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Company Profile</w:t>
      </w:r>
    </w:p>
    <w:p>
      <w:pPr>
        <w:pStyle w:val="Heading1"/>
      </w:pPr>
      <w:r>
        <w:t>Company Overview</w:t>
      </w:r>
    </w:p>
    <w:p>
      <w:r>
        <w:t>BidFactory Solutions is a leading provider of innovative software and technology services. We specialize in transforming enterprise workflows through intelligent automation and secure data management.</w:t>
      </w:r>
    </w:p>
    <w:p>
      <w:pPr>
        <w:pStyle w:val="Heading1"/>
      </w:pPr>
      <w:r>
        <w:t>Years of Experience</w:t>
      </w:r>
    </w:p>
    <w:p>
      <w:r>
        <w:t>Founded in 2012, BidFactory Solutions has over 14 years of experience delivering robust business-to-business software solutions.</w:t>
      </w:r>
    </w:p>
    <w:p>
      <w:pPr>
        <w:pStyle w:val="Heading1"/>
      </w:pPr>
      <w:r>
        <w:t>Team Capabilities</w:t>
      </w:r>
    </w:p>
    <w:p>
      <w:r>
        <w:t>Our global team consists of over 500 seasoned software engineers, data scientists, and cloud architects dedicated to delivering excellence.</w:t>
      </w:r>
    </w:p>
    <w:p>
      <w:pPr>
        <w:pStyle w:val="Heading1"/>
      </w:pPr>
      <w:r>
        <w:t>Locations</w:t>
      </w:r>
    </w:p>
    <w:p>
      <w:r>
        <w:t>We are headquartered in San Francisco, CA, with primary regional offices in New York, London, and Singapore.</w:t>
      </w:r>
    </w:p>
    <w:p>
      <w:pPr>
        <w:pStyle w:val="Heading1"/>
      </w:pPr>
      <w:r>
        <w:t>Service Areas</w:t>
      </w:r>
    </w:p>
    <w:p>
      <w:r>
        <w:t>We provide end-to-end services in cloud architecture, AI and Machine Learning, software development, and enterprise managed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