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and Compliance</w:t>
      </w:r>
    </w:p>
    <w:p>
      <w:pPr>
        <w:pStyle w:val="Heading1"/>
      </w:pPr>
      <w:r>
        <w:t>Security Controls</w:t>
      </w:r>
    </w:p>
    <w:p>
      <w:r>
        <w:t>We implement stringent security controls including continuous vulnerability scanning, intrusion detection systems (IDS), and web application firewalls.</w:t>
      </w:r>
    </w:p>
    <w:p>
      <w:pPr>
        <w:pStyle w:val="Heading1"/>
      </w:pPr>
      <w:r>
        <w:t>Data Protection</w:t>
      </w:r>
    </w:p>
    <w:p>
      <w:r>
        <w:t>All customer data is AES-256 encrypted at rest and TLS 1.3 encrypted in transit. We guarantee no unauthorized data exfiltration.</w:t>
      </w:r>
    </w:p>
    <w:p>
      <w:pPr>
        <w:pStyle w:val="Heading1"/>
      </w:pPr>
      <w:r>
        <w:t>Access Control</w:t>
      </w:r>
    </w:p>
    <w:p>
      <w:r>
        <w:t>Access control is governed by strict Role-Based Access Control (RBAC) and mandatory multi-factor authentication (MFA).</w:t>
      </w:r>
    </w:p>
    <w:p>
      <w:pPr>
        <w:pStyle w:val="Heading1"/>
      </w:pPr>
      <w:r>
        <w:t>Certifications</w:t>
      </w:r>
    </w:p>
    <w:p>
      <w:r>
        <w:t>We hold official ISO 27001 certification for Information Security Management and SOC 2 Type II attestation.</w:t>
      </w:r>
    </w:p>
    <w:p>
      <w:pPr>
        <w:pStyle w:val="Heading1"/>
      </w:pPr>
      <w:r>
        <w:t>Compliance Capabilities</w:t>
      </w:r>
    </w:p>
    <w:p>
      <w:r>
        <w:t>Our software supports enterprise compliance requirements for GDPR and HIPAA by offering selective geographical data residency and full audit trails.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