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SLA and Support</w:t>
      </w:r>
    </w:p>
    <w:p>
      <w:pPr>
        <w:pStyle w:val="Heading1"/>
      </w:pPr>
      <w:r>
        <w:t>Availability SLA</w:t>
      </w:r>
    </w:p>
    <w:p>
      <w:r>
        <w:t>BidFactory Solutions provides an industry-leading Service Level Agreement (SLA) guaranteeing 99.9% uptime and availability for all enterprise clients.</w:t>
      </w:r>
    </w:p>
    <w:p>
      <w:pPr>
        <w:pStyle w:val="Heading1"/>
      </w:pPr>
      <w:r>
        <w:t>Support Hours</w:t>
      </w:r>
    </w:p>
    <w:p>
      <w:r>
        <w:t>We provide 24/7/365 global support. Our support team is online and available around the clock.</w:t>
      </w:r>
    </w:p>
    <w:p>
      <w:pPr>
        <w:pStyle w:val="Heading1"/>
      </w:pPr>
      <w:r>
        <w:t>Response Times</w:t>
      </w:r>
    </w:p>
    <w:p>
      <w:r>
        <w:t>We guarantee a response time of under 1 hour for all Severity 1 (critical) production incidents.</w:t>
      </w:r>
    </w:p>
    <w:p>
      <w:pPr>
        <w:pStyle w:val="Heading1"/>
      </w:pPr>
      <w:r>
        <w:t>Incident Handling</w:t>
      </w:r>
    </w:p>
    <w:p>
      <w:r>
        <w:t>Our incident handling protocol involves immediate triage by Level 2 engineers and continuous updates every 30 minutes until resolution.</w:t>
      </w:r>
    </w:p>
    <w:p>
      <w:pPr>
        <w:pStyle w:val="Heading1"/>
      </w:pPr>
      <w:r>
        <w:t>Escalation</w:t>
      </w:r>
    </w:p>
    <w:p>
      <w:r>
        <w:t>Issues that remain unresolved for two hours are automatically escalated to the executive engineering team for expedited remediation.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