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Capabilities</w:t>
      </w:r>
    </w:p>
    <w:p>
      <w:pPr>
        <w:pStyle w:val="Heading1"/>
      </w:pPr>
      <w:r>
        <w:t>Cloud Platforms</w:t>
      </w:r>
    </w:p>
    <w:p>
      <w:r>
        <w:t>We securely design and host solutions across all major cloud platforms, including Amazon Web Services (AWS), Microsoft Azure, and Google Cloud Platform (GCP).</w:t>
      </w:r>
    </w:p>
    <w:p>
      <w:pPr>
        <w:pStyle w:val="Heading1"/>
      </w:pPr>
      <w:r>
        <w:t>Software Development</w:t>
      </w:r>
    </w:p>
    <w:p>
      <w:r>
        <w:t>Our software development lifecycle leverages Agile methodologies, utilizing Python, TypeScript, and Go for highly scalable backends and resilient frontends.</w:t>
      </w:r>
    </w:p>
    <w:p>
      <w:pPr>
        <w:pStyle w:val="Heading1"/>
      </w:pPr>
      <w:r>
        <w:t>AI and ML</w:t>
      </w:r>
    </w:p>
    <w:p>
      <w:r>
        <w:t>We employ cutting-edge AI and Machine Learning technologies to power our intelligent systems, utilizing frameworks like PyTorch and TensorFlow.</w:t>
      </w:r>
    </w:p>
    <w:p>
      <w:pPr>
        <w:pStyle w:val="Heading1"/>
      </w:pPr>
      <w:r>
        <w:t>APIs</w:t>
      </w:r>
    </w:p>
    <w:p>
      <w:r>
        <w:t>Our solutions rely on robust RESTful APIs and GraphQL to ensure seamless integration and data exchange across enterprise systems.</w:t>
      </w:r>
    </w:p>
    <w:p>
      <w:pPr>
        <w:pStyle w:val="Heading1"/>
      </w:pPr>
      <w:r>
        <w:t>Deployment and Scalability</w:t>
      </w:r>
    </w:p>
    <w:p>
      <w:r>
        <w:t>Using Kubernetes and Docker, we provide containerized deployments that auto-scale to meet varying traffic demands seamlessly.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