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GlobalBank Vendor RFP - 2026</w:t>
      </w:r>
    </w:p>
    <w:p>
      <w:pPr>
        <w:pStyle w:val="Heading1"/>
      </w:pPr>
      <w:r>
        <w:t>Section 1: Security Requirements</w:t>
      </w:r>
    </w:p>
    <w:p>
      <w:r>
        <w:t>REQ-01: The system must enforce Role-Based Access Control (RBAC) down to the field level.</w:t>
      </w:r>
    </w:p>
    <w:p>
      <w:r>
        <w:t>REQ-02: All customer data in Transit and at Rest must be encrypted using AES-256 and TLS 1.3 standards.</w:t>
      </w:r>
    </w:p>
    <w:p>
      <w:r>
        <w:t>REQ-03: The vendor must provide 24/7 Quantum Threat Remediation in their SLA.</w:t>
      </w:r>
    </w:p>
    <w:p>
      <w:pPr>
        <w:pStyle w:val="Heading1"/>
      </w:pPr>
      <w:r>
        <w:t>Section 2: Pricing Requirements</w:t>
      </w:r>
    </w:p>
    <w:p>
      <w:r>
        <w:t>REQ-04: Please confirm the base platform fee for Enterprise deployments.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