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RFP Requirements</w:t>
      </w:r>
    </w:p>
    <w:p>
      <w:pPr>
        <w:pStyle w:val="ListBullet"/>
      </w:pPr>
      <w:r>
        <w:t>The supplier must provide 24/7 support.</w:t>
      </w:r>
    </w:p>
    <w:p>
      <w:pPr>
        <w:pStyle w:val="ListBullet"/>
      </w:pPr>
      <w:r>
        <w:t>The supplier must provide encrypted storage for all data.</w:t>
      </w:r>
    </w:p>
    <w:p>
      <w:pPr>
        <w:pStyle w:val="ListBullet"/>
      </w:pPr>
      <w:r>
        <w:t>The supplier must provide 99.9% availability.</w:t>
      </w:r>
    </w:p>
    <w:p>
      <w:pPr>
        <w:pStyle w:val="ListBullet"/>
      </w:pPr>
      <w:r>
        <w:t>The system must include a certified security module.</w:t>
      </w:r>
    </w:p>
    <w:p>
      <w:pPr>
        <w:pStyle w:val="ListBullet"/>
      </w:pPr>
      <w:r>
        <w:t>The system must support regular automated backups.</w:t>
      </w:r>
    </w:p>
    <w:p>
      <w:pPr>
        <w:pStyle w:val="ListBullet"/>
      </w:pPr>
      <w:r>
        <w:t>The supplier must have a response time of under 1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