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BidFactory Solutions RFP Requirements</w:t>
      </w:r>
    </w:p>
    <w:p>
      <w:r>
        <w:t>REQUIREMENT 1: The vendor must natively support hosting on AWS Azure GCP platforms.</w:t>
      </w:r>
    </w:p>
    <w:p>
      <w:r>
        <w:t>REQUIREMENT 2: The vendor must possess SOC 2 certification.</w:t>
      </w:r>
    </w:p>
    <w:p>
      <w:r>
        <w:t>REQUIREMENT 3: The system must guarantee 99.9% availability for all clients.</w:t>
      </w:r>
    </w:p>
    <w:p>
      <w:r>
        <w:t>REQUIREMENT 4: The system must feature advanced AI/ML capabilities for MLOps and drift detection.</w:t>
      </w:r>
    </w:p>
    <w:p>
      <w:r>
        <w:t>REQUIREMENT 5: The vendor must have completed previous projects building a Healthcare Data Lake.</w:t>
      </w:r>
    </w:p>
    <w:p>
      <w:r>
        <w:t>REQUIREMENT 6: The vendor must hold active offices operating in Tokyo, Japan.</w:t>
      </w:r>
    </w:p>
    <w:p>
      <w:r>
        <w:t>REQUIREMENT 7: The vendor must enforce data encryption using AES-256 for all at-rest data, and utilize Quantum key distribution.</w:t>
      </w:r>
    </w:p>
    <w:p>
      <w:r>
        <w:t>REQUIREMENT 8: The vendor must have an RTO (Recovery Time Objective) of 15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