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English Report (C1 Level)</w:t>
      </w:r>
    </w:p>
    <w:p>
      <w:pPr>
        <w:pStyle w:val="Heading1"/>
      </w:pPr>
      <w:r>
        <w:t>Title</w:t>
      </w:r>
    </w:p>
    <w:p>
      <w:r>
        <w:t>Professional Communication in International Business Contexts</w:t>
      </w:r>
    </w:p>
    <w:p>
      <w:pPr>
        <w:pStyle w:val="Heading1"/>
      </w:pPr>
      <w:r>
        <w:t>Introduction</w:t>
      </w:r>
    </w:p>
    <w:p>
      <w:r>
        <w:t>This document analyzes key aspects of Business English used in professional environments, including formal communication, negotiation language, and written corporate communication.</w:t>
      </w:r>
    </w:p>
    <w:p>
      <w:pPr>
        <w:pStyle w:val="Heading1"/>
      </w:pPr>
      <w:r>
        <w:t>1. Email Communication</w:t>
      </w:r>
    </w:p>
    <w:p>
      <w:r>
        <w:t>Formal emails in business require clear structure, polite tone, and concise information. Common sections include greeting, purpose, main message, and closing.</w:t>
      </w:r>
    </w:p>
    <w:p>
      <w:pPr>
        <w:pStyle w:val="Heading1"/>
      </w:pPr>
      <w:r>
        <w:t>2. Meetings and Negotiation</w:t>
      </w:r>
    </w:p>
    <w:p>
      <w:r>
        <w:t>Effective participation in meetings requires vocabulary for agreement, disagreement, suggestions, and clarification. Negotiation also involves persuasive language and cultural awareness.</w:t>
      </w:r>
    </w:p>
    <w:p>
      <w:pPr>
        <w:pStyle w:val="Heading1"/>
      </w:pPr>
      <w:r>
        <w:t>3. Report Writing</w:t>
      </w:r>
    </w:p>
    <w:p>
      <w:r>
        <w:t>Business reports must be structured with headings, data analysis, and conclusions. They are used for decision-making in companies.</w:t>
      </w:r>
    </w:p>
    <w:p>
      <w:pPr>
        <w:pStyle w:val="Heading1"/>
      </w:pPr>
      <w:r>
        <w:t>Conclusion</w:t>
      </w:r>
    </w:p>
    <w:p>
      <w:r>
        <w:t>Mastering Business English improves employability and communication efficiency in international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