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EED62" w14:textId="77777777" w:rsidR="009D3A10" w:rsidRDefault="00000000">
      <w:pPr>
        <w:pStyle w:val="Title"/>
      </w:pPr>
      <w:r>
        <w:t>Week 5 ANA 515</w:t>
      </w:r>
    </w:p>
    <w:p w14:paraId="1165A1FF" w14:textId="77777777" w:rsidR="009D3A10" w:rsidRDefault="00000000">
      <w:pPr>
        <w:pStyle w:val="Author"/>
      </w:pPr>
      <w:r>
        <w:t>Daniel Appadurai</w:t>
      </w:r>
    </w:p>
    <w:p w14:paraId="03045B81" w14:textId="77777777" w:rsidR="009D3A10" w:rsidRDefault="00000000">
      <w:pPr>
        <w:pStyle w:val="Date"/>
      </w:pPr>
      <w:r>
        <w:t>2023-06-24</w:t>
      </w:r>
    </w:p>
    <w:p w14:paraId="59370940" w14:textId="77777777" w:rsidR="009D3A10" w:rsidRDefault="00000000">
      <w:pPr>
        <w:pStyle w:val="Heading1"/>
      </w:pPr>
      <w:bookmarkStart w:id="0" w:name="X5b1473af5891fc42f7da65b3c14eece1b8da59f"/>
      <w:r>
        <w:t>Heavy Drinking Among Adults In the US Aged 18 and Above</w:t>
      </w:r>
    </w:p>
    <w:p w14:paraId="2F6ACE98" w14:textId="77777777" w:rsidR="009D3A10" w:rsidRDefault="00000000">
      <w:pPr>
        <w:pStyle w:val="Heading2"/>
      </w:pPr>
      <w:bookmarkStart w:id="1" w:name="overview"/>
      <w:r>
        <w:t>Overview:</w:t>
      </w:r>
    </w:p>
    <w:p w14:paraId="2F846EBE" w14:textId="77777777" w:rsidR="009D3A10" w:rsidRDefault="00000000" w:rsidP="005F7D83">
      <w:pPr>
        <w:pStyle w:val="FirstParagraph"/>
        <w:jc w:val="both"/>
      </w:pPr>
      <w:r>
        <w:t>The chronic disease indicators data set is a comprehensive data set collected on an annual basis since 2001 by the CDC’s Division of Population Health across all 50 US states. The dataset has a total of 34 columns and 1185676 rows as of 2021 and contains 124 indicators for a total of 17 chronic diseases.</w:t>
      </w:r>
    </w:p>
    <w:p w14:paraId="06993A7B" w14:textId="77777777" w:rsidR="009D3A10" w:rsidRDefault="00000000">
      <w:pPr>
        <w:pStyle w:val="Heading2"/>
      </w:pPr>
      <w:bookmarkStart w:id="2" w:name="Xd7e46968f2fa895d20266420e21e52378e7fa10"/>
      <w:bookmarkEnd w:id="1"/>
      <w:r>
        <w:t>Heavy Alcohol Consumption Among Adults Aged 18 And Above:</w:t>
      </w:r>
    </w:p>
    <w:p w14:paraId="3F6530CA" w14:textId="77777777" w:rsidR="009D3A10" w:rsidRDefault="00000000" w:rsidP="005F7D83">
      <w:pPr>
        <w:pStyle w:val="FirstParagraph"/>
        <w:jc w:val="both"/>
      </w:pPr>
      <w:r>
        <w:t xml:space="preserve">One of the chronic disease data collected is on heavy alcohol consumption among adults across 50 US states. This data analysis is done on heavy alcohol consumption among different race/ethnic groups for the year 2021. The table below shows the mean, </w:t>
      </w:r>
      <w:proofErr w:type="gramStart"/>
      <w:r>
        <w:t>min</w:t>
      </w:r>
      <w:proofErr w:type="gramEnd"/>
      <w:r>
        <w:t xml:space="preserve"> and max age-adjusted prevalence for the various race/ethnic groups.</w:t>
      </w:r>
    </w:p>
    <w:p w14:paraId="5490BA04" w14:textId="77777777" w:rsidR="005F7D83" w:rsidRPr="005F7D83" w:rsidRDefault="005F7D83" w:rsidP="005F7D83">
      <w:pPr>
        <w:pStyle w:val="BodyText"/>
      </w:pPr>
    </w:p>
    <w:tbl>
      <w:tblPr>
        <w:tblStyle w:val="Table"/>
        <w:tblW w:w="5000" w:type="pct"/>
        <w:tblLook w:val="0020" w:firstRow="1" w:lastRow="0" w:firstColumn="0" w:lastColumn="0" w:noHBand="0" w:noVBand="0"/>
      </w:tblPr>
      <w:tblGrid>
        <w:gridCol w:w="3155"/>
        <w:gridCol w:w="2254"/>
        <w:gridCol w:w="2065"/>
        <w:gridCol w:w="2102"/>
      </w:tblGrid>
      <w:tr w:rsidR="009D3A10" w14:paraId="033F982D" w14:textId="77777777" w:rsidTr="009D3A10">
        <w:trPr>
          <w:cnfStyle w:val="100000000000" w:firstRow="1" w:lastRow="0" w:firstColumn="0" w:lastColumn="0" w:oddVBand="0" w:evenVBand="0" w:oddHBand="0" w:evenHBand="0" w:firstRowFirstColumn="0" w:firstRowLastColumn="0" w:lastRowFirstColumn="0" w:lastRowLastColumn="0"/>
          <w:tblHeader/>
        </w:trPr>
        <w:tc>
          <w:tcPr>
            <w:tcW w:w="0" w:type="auto"/>
          </w:tcPr>
          <w:p w14:paraId="280D8063" w14:textId="77777777" w:rsidR="009D3A10" w:rsidRDefault="00000000">
            <w:pPr>
              <w:pStyle w:val="Compact"/>
            </w:pPr>
            <w:r>
              <w:t>Race_Ethnicity</w:t>
            </w:r>
          </w:p>
        </w:tc>
        <w:tc>
          <w:tcPr>
            <w:tcW w:w="0" w:type="auto"/>
          </w:tcPr>
          <w:p w14:paraId="290328FD" w14:textId="77777777" w:rsidR="009D3A10" w:rsidRDefault="00000000">
            <w:pPr>
              <w:pStyle w:val="Compact"/>
              <w:jc w:val="right"/>
            </w:pPr>
            <w:r>
              <w:t>Mean_Prevalence</w:t>
            </w:r>
          </w:p>
        </w:tc>
        <w:tc>
          <w:tcPr>
            <w:tcW w:w="0" w:type="auto"/>
          </w:tcPr>
          <w:p w14:paraId="79482F46" w14:textId="77777777" w:rsidR="009D3A10" w:rsidRDefault="00000000">
            <w:pPr>
              <w:pStyle w:val="Compact"/>
              <w:jc w:val="right"/>
            </w:pPr>
            <w:r>
              <w:t>Min_Prevelence</w:t>
            </w:r>
          </w:p>
        </w:tc>
        <w:tc>
          <w:tcPr>
            <w:tcW w:w="0" w:type="auto"/>
          </w:tcPr>
          <w:p w14:paraId="614A8790" w14:textId="77777777" w:rsidR="009D3A10" w:rsidRDefault="00000000">
            <w:pPr>
              <w:pStyle w:val="Compact"/>
              <w:jc w:val="right"/>
            </w:pPr>
            <w:r>
              <w:t>Max_Prevelance</w:t>
            </w:r>
          </w:p>
        </w:tc>
      </w:tr>
      <w:tr w:rsidR="009D3A10" w14:paraId="0F6AF1D1" w14:textId="77777777">
        <w:tc>
          <w:tcPr>
            <w:tcW w:w="0" w:type="auto"/>
          </w:tcPr>
          <w:p w14:paraId="39BDA94D" w14:textId="77777777" w:rsidR="009D3A10" w:rsidRDefault="00000000">
            <w:pPr>
              <w:pStyle w:val="Compact"/>
            </w:pPr>
            <w:r>
              <w:t>Black, non-Hispanic</w:t>
            </w:r>
          </w:p>
        </w:tc>
        <w:tc>
          <w:tcPr>
            <w:tcW w:w="0" w:type="auto"/>
          </w:tcPr>
          <w:p w14:paraId="3C14B63B" w14:textId="77777777" w:rsidR="009D3A10" w:rsidRDefault="00000000">
            <w:pPr>
              <w:pStyle w:val="Compact"/>
              <w:jc w:val="right"/>
            </w:pPr>
            <w:r>
              <w:t>5.617391</w:t>
            </w:r>
          </w:p>
        </w:tc>
        <w:tc>
          <w:tcPr>
            <w:tcW w:w="0" w:type="auto"/>
          </w:tcPr>
          <w:p w14:paraId="019FDC50" w14:textId="77777777" w:rsidR="009D3A10" w:rsidRDefault="00000000">
            <w:pPr>
              <w:pStyle w:val="Compact"/>
              <w:jc w:val="right"/>
            </w:pPr>
            <w:r>
              <w:t>3.3</w:t>
            </w:r>
          </w:p>
        </w:tc>
        <w:tc>
          <w:tcPr>
            <w:tcW w:w="0" w:type="auto"/>
          </w:tcPr>
          <w:p w14:paraId="6CD3AB99" w14:textId="77777777" w:rsidR="009D3A10" w:rsidRDefault="00000000">
            <w:pPr>
              <w:pStyle w:val="Compact"/>
              <w:jc w:val="right"/>
            </w:pPr>
            <w:r>
              <w:t>10.1</w:t>
            </w:r>
          </w:p>
        </w:tc>
      </w:tr>
      <w:tr w:rsidR="009D3A10" w14:paraId="20CB083A" w14:textId="77777777">
        <w:tc>
          <w:tcPr>
            <w:tcW w:w="0" w:type="auto"/>
          </w:tcPr>
          <w:p w14:paraId="14CB86B7" w14:textId="77777777" w:rsidR="009D3A10" w:rsidRDefault="00000000">
            <w:pPr>
              <w:pStyle w:val="Compact"/>
            </w:pPr>
            <w:r>
              <w:t>Hispanic</w:t>
            </w:r>
          </w:p>
        </w:tc>
        <w:tc>
          <w:tcPr>
            <w:tcW w:w="0" w:type="auto"/>
          </w:tcPr>
          <w:p w14:paraId="5EFBDF43" w14:textId="77777777" w:rsidR="009D3A10" w:rsidRDefault="00000000">
            <w:pPr>
              <w:pStyle w:val="Compact"/>
              <w:jc w:val="right"/>
            </w:pPr>
            <w:r>
              <w:t>4.582759</w:t>
            </w:r>
          </w:p>
        </w:tc>
        <w:tc>
          <w:tcPr>
            <w:tcW w:w="0" w:type="auto"/>
          </w:tcPr>
          <w:p w14:paraId="7FB103CC" w14:textId="77777777" w:rsidR="009D3A10" w:rsidRDefault="00000000">
            <w:pPr>
              <w:pStyle w:val="Compact"/>
              <w:jc w:val="right"/>
            </w:pPr>
            <w:r>
              <w:t>2.2</w:t>
            </w:r>
          </w:p>
        </w:tc>
        <w:tc>
          <w:tcPr>
            <w:tcW w:w="0" w:type="auto"/>
          </w:tcPr>
          <w:p w14:paraId="44EBAFFB" w14:textId="77777777" w:rsidR="009D3A10" w:rsidRDefault="00000000">
            <w:pPr>
              <w:pStyle w:val="Compact"/>
              <w:jc w:val="right"/>
            </w:pPr>
            <w:r>
              <w:t>8.2</w:t>
            </w:r>
          </w:p>
        </w:tc>
      </w:tr>
      <w:tr w:rsidR="009D3A10" w14:paraId="612E5ECE" w14:textId="77777777">
        <w:tc>
          <w:tcPr>
            <w:tcW w:w="0" w:type="auto"/>
          </w:tcPr>
          <w:p w14:paraId="28075CF5" w14:textId="77777777" w:rsidR="009D3A10" w:rsidRDefault="00000000">
            <w:pPr>
              <w:pStyle w:val="Compact"/>
            </w:pPr>
            <w:r>
              <w:t>Multiracial, non-Hispanic</w:t>
            </w:r>
          </w:p>
        </w:tc>
        <w:tc>
          <w:tcPr>
            <w:tcW w:w="0" w:type="auto"/>
          </w:tcPr>
          <w:p w14:paraId="3D85EC36" w14:textId="77777777" w:rsidR="009D3A10" w:rsidRDefault="00000000">
            <w:pPr>
              <w:pStyle w:val="Compact"/>
              <w:jc w:val="right"/>
            </w:pPr>
            <w:r>
              <w:t>8.571429</w:t>
            </w:r>
          </w:p>
        </w:tc>
        <w:tc>
          <w:tcPr>
            <w:tcW w:w="0" w:type="auto"/>
          </w:tcPr>
          <w:p w14:paraId="55C398DA" w14:textId="77777777" w:rsidR="009D3A10" w:rsidRDefault="00000000">
            <w:pPr>
              <w:pStyle w:val="Compact"/>
              <w:jc w:val="right"/>
            </w:pPr>
            <w:r>
              <w:t>2.8</w:t>
            </w:r>
          </w:p>
        </w:tc>
        <w:tc>
          <w:tcPr>
            <w:tcW w:w="0" w:type="auto"/>
          </w:tcPr>
          <w:p w14:paraId="4BCBB6BD" w14:textId="77777777" w:rsidR="009D3A10" w:rsidRDefault="00000000">
            <w:pPr>
              <w:pStyle w:val="Compact"/>
              <w:jc w:val="right"/>
            </w:pPr>
            <w:r>
              <w:t>13.6</w:t>
            </w:r>
          </w:p>
        </w:tc>
      </w:tr>
      <w:tr w:rsidR="009D3A10" w14:paraId="1B2DC127" w14:textId="77777777">
        <w:tc>
          <w:tcPr>
            <w:tcW w:w="0" w:type="auto"/>
          </w:tcPr>
          <w:p w14:paraId="4AF7DF20" w14:textId="77777777" w:rsidR="009D3A10" w:rsidRDefault="00000000">
            <w:pPr>
              <w:pStyle w:val="Compact"/>
            </w:pPr>
            <w:r>
              <w:t>Other, non-Hispanic</w:t>
            </w:r>
          </w:p>
        </w:tc>
        <w:tc>
          <w:tcPr>
            <w:tcW w:w="0" w:type="auto"/>
          </w:tcPr>
          <w:p w14:paraId="2237A3BF" w14:textId="77777777" w:rsidR="009D3A10" w:rsidRDefault="00000000">
            <w:pPr>
              <w:pStyle w:val="Compact"/>
              <w:jc w:val="right"/>
            </w:pPr>
            <w:r>
              <w:t>4.500000</w:t>
            </w:r>
          </w:p>
        </w:tc>
        <w:tc>
          <w:tcPr>
            <w:tcW w:w="0" w:type="auto"/>
          </w:tcPr>
          <w:p w14:paraId="4B91970D" w14:textId="77777777" w:rsidR="009D3A10" w:rsidRDefault="00000000">
            <w:pPr>
              <w:pStyle w:val="Compact"/>
              <w:jc w:val="right"/>
            </w:pPr>
            <w:r>
              <w:t>1.8</w:t>
            </w:r>
          </w:p>
        </w:tc>
        <w:tc>
          <w:tcPr>
            <w:tcW w:w="0" w:type="auto"/>
          </w:tcPr>
          <w:p w14:paraId="2B5C9E32" w14:textId="77777777" w:rsidR="009D3A10" w:rsidRDefault="00000000">
            <w:pPr>
              <w:pStyle w:val="Compact"/>
              <w:jc w:val="right"/>
            </w:pPr>
            <w:r>
              <w:t>6.9</w:t>
            </w:r>
          </w:p>
        </w:tc>
      </w:tr>
      <w:tr w:rsidR="009D3A10" w14:paraId="64B29200" w14:textId="77777777">
        <w:tc>
          <w:tcPr>
            <w:tcW w:w="0" w:type="auto"/>
          </w:tcPr>
          <w:p w14:paraId="4557B89A" w14:textId="77777777" w:rsidR="009D3A10" w:rsidRDefault="00000000">
            <w:pPr>
              <w:pStyle w:val="Compact"/>
            </w:pPr>
            <w:r>
              <w:t>White, non-Hispanic</w:t>
            </w:r>
          </w:p>
        </w:tc>
        <w:tc>
          <w:tcPr>
            <w:tcW w:w="0" w:type="auto"/>
          </w:tcPr>
          <w:p w14:paraId="5151D811" w14:textId="77777777" w:rsidR="009D3A10" w:rsidRDefault="00000000">
            <w:pPr>
              <w:pStyle w:val="Compact"/>
              <w:jc w:val="right"/>
            </w:pPr>
            <w:r>
              <w:t>7.513725</w:t>
            </w:r>
          </w:p>
        </w:tc>
        <w:tc>
          <w:tcPr>
            <w:tcW w:w="0" w:type="auto"/>
          </w:tcPr>
          <w:p w14:paraId="4BDAE223" w14:textId="77777777" w:rsidR="009D3A10" w:rsidRDefault="00000000">
            <w:pPr>
              <w:pStyle w:val="Compact"/>
              <w:jc w:val="right"/>
            </w:pPr>
            <w:r>
              <w:t>4.0</w:t>
            </w:r>
          </w:p>
        </w:tc>
        <w:tc>
          <w:tcPr>
            <w:tcW w:w="0" w:type="auto"/>
          </w:tcPr>
          <w:p w14:paraId="27222A04" w14:textId="77777777" w:rsidR="009D3A10" w:rsidRDefault="00000000">
            <w:pPr>
              <w:pStyle w:val="Compact"/>
              <w:jc w:val="right"/>
            </w:pPr>
            <w:r>
              <w:t>17.3</w:t>
            </w:r>
          </w:p>
        </w:tc>
      </w:tr>
    </w:tbl>
    <w:p w14:paraId="3197ECD5" w14:textId="6CD6AF96" w:rsidR="009D3A10" w:rsidRDefault="005F7D83">
      <w:pPr>
        <w:pStyle w:val="BodyText"/>
      </w:pPr>
      <w:r w:rsidRPr="005F7D83">
        <w:lastRenderedPageBreak/>
        <w:drawing>
          <wp:inline distT="0" distB="0" distL="0" distR="0" wp14:anchorId="031B0EAC" wp14:editId="0814BD04">
            <wp:extent cx="5943600" cy="3628390"/>
            <wp:effectExtent l="0" t="0" r="0" b="0"/>
            <wp:docPr id="34287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79556" name=""/>
                    <pic:cNvPicPr/>
                  </pic:nvPicPr>
                  <pic:blipFill>
                    <a:blip r:embed="rId7"/>
                    <a:stretch>
                      <a:fillRect/>
                    </a:stretch>
                  </pic:blipFill>
                  <pic:spPr>
                    <a:xfrm>
                      <a:off x="0" y="0"/>
                      <a:ext cx="5943600" cy="3628390"/>
                    </a:xfrm>
                    <a:prstGeom prst="rect">
                      <a:avLst/>
                    </a:prstGeom>
                  </pic:spPr>
                </pic:pic>
              </a:graphicData>
            </a:graphic>
          </wp:inline>
        </w:drawing>
      </w:r>
    </w:p>
    <w:p w14:paraId="2C657142" w14:textId="77777777" w:rsidR="009D3A10" w:rsidRDefault="00000000" w:rsidP="005F7D83">
      <w:pPr>
        <w:pStyle w:val="BodyText"/>
        <w:jc w:val="both"/>
      </w:pPr>
      <w:r>
        <w:t>A box plot showing the age-adjusted prevalence of heavy alcohol consumption among different ethnic groups. The multiracial, non-Hispanic group showed the highest prevalence (8.48 %). Based on the median position in the box plot, the multiracial, non-hispanic group shows skewness. A log transformation may be required to normalize the data. Age-adjusted prevalence represents the percentage state adult population aged 18 and above.</w:t>
      </w:r>
    </w:p>
    <w:p w14:paraId="0803F2C1" w14:textId="77777777" w:rsidR="005F7D83" w:rsidRDefault="005F7D83" w:rsidP="005F7D83">
      <w:pPr>
        <w:pStyle w:val="BodyText"/>
        <w:jc w:val="both"/>
        <w:rPr>
          <w:sz w:val="10"/>
          <w:szCs w:val="10"/>
        </w:rPr>
      </w:pPr>
    </w:p>
    <w:p w14:paraId="69C495D8" w14:textId="77777777" w:rsidR="005F7D83" w:rsidRDefault="005F7D83" w:rsidP="005F7D83">
      <w:pPr>
        <w:pStyle w:val="BodyText"/>
        <w:jc w:val="both"/>
        <w:rPr>
          <w:sz w:val="10"/>
          <w:szCs w:val="10"/>
        </w:rPr>
      </w:pPr>
    </w:p>
    <w:p w14:paraId="0C96F630" w14:textId="77777777" w:rsidR="005F7D83" w:rsidRDefault="005F7D83" w:rsidP="005F7D83">
      <w:pPr>
        <w:pStyle w:val="BodyText"/>
        <w:jc w:val="both"/>
        <w:rPr>
          <w:sz w:val="10"/>
          <w:szCs w:val="10"/>
        </w:rPr>
      </w:pPr>
    </w:p>
    <w:p w14:paraId="47ED9F95" w14:textId="77777777" w:rsidR="005F7D83" w:rsidRDefault="005F7D83" w:rsidP="005F7D83">
      <w:pPr>
        <w:pStyle w:val="BodyText"/>
        <w:jc w:val="both"/>
        <w:rPr>
          <w:sz w:val="10"/>
          <w:szCs w:val="10"/>
        </w:rPr>
      </w:pPr>
    </w:p>
    <w:p w14:paraId="3790D7CB" w14:textId="77777777" w:rsidR="005F7D83" w:rsidRDefault="005F7D83" w:rsidP="005F7D83">
      <w:pPr>
        <w:pStyle w:val="BodyText"/>
        <w:jc w:val="both"/>
        <w:rPr>
          <w:sz w:val="10"/>
          <w:szCs w:val="10"/>
        </w:rPr>
      </w:pPr>
    </w:p>
    <w:p w14:paraId="5E6DA497" w14:textId="77777777" w:rsidR="005F7D83" w:rsidRDefault="005F7D83" w:rsidP="005F7D83">
      <w:pPr>
        <w:pStyle w:val="BodyText"/>
        <w:jc w:val="both"/>
        <w:rPr>
          <w:sz w:val="10"/>
          <w:szCs w:val="10"/>
        </w:rPr>
      </w:pPr>
    </w:p>
    <w:p w14:paraId="2CEED8BC" w14:textId="77777777" w:rsidR="005F7D83" w:rsidRDefault="005F7D83" w:rsidP="005F7D83">
      <w:pPr>
        <w:pStyle w:val="BodyText"/>
        <w:jc w:val="both"/>
        <w:rPr>
          <w:sz w:val="10"/>
          <w:szCs w:val="10"/>
        </w:rPr>
      </w:pPr>
    </w:p>
    <w:p w14:paraId="52CBEE2F" w14:textId="77777777" w:rsidR="005F7D83" w:rsidRDefault="005F7D83" w:rsidP="005F7D83">
      <w:pPr>
        <w:pStyle w:val="BodyText"/>
        <w:jc w:val="both"/>
        <w:rPr>
          <w:sz w:val="10"/>
          <w:szCs w:val="10"/>
        </w:rPr>
      </w:pPr>
    </w:p>
    <w:p w14:paraId="06AB64FB" w14:textId="77777777" w:rsidR="005F7D83" w:rsidRDefault="005F7D83" w:rsidP="005F7D83">
      <w:pPr>
        <w:pStyle w:val="BodyText"/>
        <w:jc w:val="both"/>
        <w:rPr>
          <w:sz w:val="10"/>
          <w:szCs w:val="10"/>
        </w:rPr>
      </w:pPr>
    </w:p>
    <w:p w14:paraId="52F5589F" w14:textId="77777777" w:rsidR="005F7D83" w:rsidRDefault="005F7D83" w:rsidP="005F7D83">
      <w:pPr>
        <w:pStyle w:val="BodyText"/>
        <w:jc w:val="both"/>
        <w:rPr>
          <w:sz w:val="10"/>
          <w:szCs w:val="10"/>
        </w:rPr>
      </w:pPr>
    </w:p>
    <w:p w14:paraId="56E4096D" w14:textId="77777777" w:rsidR="005F7D83" w:rsidRDefault="005F7D83" w:rsidP="005F7D83">
      <w:pPr>
        <w:pStyle w:val="BodyText"/>
        <w:jc w:val="both"/>
        <w:rPr>
          <w:sz w:val="10"/>
          <w:szCs w:val="10"/>
        </w:rPr>
      </w:pPr>
    </w:p>
    <w:p w14:paraId="148FBC4B" w14:textId="77777777" w:rsidR="005F7D83" w:rsidRDefault="005F7D83" w:rsidP="005F7D83">
      <w:pPr>
        <w:pStyle w:val="BodyText"/>
        <w:jc w:val="both"/>
        <w:rPr>
          <w:sz w:val="10"/>
          <w:szCs w:val="10"/>
        </w:rPr>
      </w:pPr>
    </w:p>
    <w:p w14:paraId="08AE0509" w14:textId="77777777" w:rsidR="005F7D83" w:rsidRDefault="005F7D83" w:rsidP="005F7D83">
      <w:pPr>
        <w:pStyle w:val="BodyText"/>
        <w:jc w:val="both"/>
        <w:rPr>
          <w:sz w:val="10"/>
          <w:szCs w:val="10"/>
        </w:rPr>
      </w:pPr>
    </w:p>
    <w:p w14:paraId="0B502F33" w14:textId="77777777" w:rsidR="005F7D83" w:rsidRDefault="005F7D83" w:rsidP="005F7D83">
      <w:pPr>
        <w:pStyle w:val="BodyText"/>
        <w:jc w:val="both"/>
        <w:rPr>
          <w:sz w:val="10"/>
          <w:szCs w:val="10"/>
        </w:rPr>
      </w:pPr>
    </w:p>
    <w:p w14:paraId="1BF5195E" w14:textId="77777777" w:rsidR="005F7D83" w:rsidRDefault="005F7D83" w:rsidP="005F7D83">
      <w:pPr>
        <w:pStyle w:val="BodyText"/>
        <w:jc w:val="both"/>
        <w:rPr>
          <w:sz w:val="10"/>
          <w:szCs w:val="10"/>
        </w:rPr>
      </w:pPr>
    </w:p>
    <w:p w14:paraId="7B2876F7" w14:textId="77777777" w:rsidR="005F7D83" w:rsidRDefault="005F7D83" w:rsidP="005F7D83">
      <w:pPr>
        <w:pStyle w:val="BodyText"/>
        <w:jc w:val="both"/>
        <w:rPr>
          <w:sz w:val="10"/>
          <w:szCs w:val="10"/>
        </w:rPr>
      </w:pPr>
    </w:p>
    <w:p w14:paraId="4AB6CE90" w14:textId="5A68ECDF" w:rsidR="009D3A10" w:rsidRPr="005F7D83" w:rsidRDefault="00000000" w:rsidP="005F7D83">
      <w:pPr>
        <w:pStyle w:val="BodyText"/>
        <w:jc w:val="both"/>
        <w:rPr>
          <w:sz w:val="10"/>
          <w:szCs w:val="10"/>
        </w:rPr>
      </w:pPr>
      <w:r w:rsidRPr="005F7D83">
        <w:rPr>
          <w:sz w:val="10"/>
          <w:szCs w:val="10"/>
        </w:rPr>
        <w:t xml:space="preserve">Disclaimer: The above conclusions are highly contingent on the available data and is subject to change anytime with new available data. This is solely meant as academic exercise only and in no way represents the personal view of the author nor it is intended to be discriminatory or maliciously targeted towards any </w:t>
      </w:r>
      <w:proofErr w:type="gramStart"/>
      <w:r w:rsidRPr="005F7D83">
        <w:rPr>
          <w:sz w:val="10"/>
          <w:szCs w:val="10"/>
        </w:rPr>
        <w:t>particular race/ethnicity</w:t>
      </w:r>
      <w:proofErr w:type="gramEnd"/>
      <w:r w:rsidRPr="005F7D83">
        <w:rPr>
          <w:sz w:val="10"/>
          <w:szCs w:val="10"/>
        </w:rPr>
        <w:t>, group or gender.</w:t>
      </w:r>
    </w:p>
    <w:p w14:paraId="621F3F21" w14:textId="7E2A624F" w:rsidR="009D3A10" w:rsidRDefault="005F7D83">
      <w:pPr>
        <w:pStyle w:val="BodyText"/>
      </w:pPr>
      <w:r w:rsidRPr="005F7D83">
        <w:lastRenderedPageBreak/>
        <w:drawing>
          <wp:inline distT="0" distB="0" distL="0" distR="0" wp14:anchorId="3B0A6118" wp14:editId="4915E96E">
            <wp:extent cx="5943600" cy="3622675"/>
            <wp:effectExtent l="0" t="0" r="0" b="0"/>
            <wp:docPr id="2052525285"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25285" name="Picture 1" descr="A picture containing text, screenshot, diagram, rectangle&#10;&#10;Description automatically generated"/>
                    <pic:cNvPicPr/>
                  </pic:nvPicPr>
                  <pic:blipFill>
                    <a:blip r:embed="rId8"/>
                    <a:stretch>
                      <a:fillRect/>
                    </a:stretch>
                  </pic:blipFill>
                  <pic:spPr>
                    <a:xfrm>
                      <a:off x="0" y="0"/>
                      <a:ext cx="5943600" cy="3622675"/>
                    </a:xfrm>
                    <a:prstGeom prst="rect">
                      <a:avLst/>
                    </a:prstGeom>
                  </pic:spPr>
                </pic:pic>
              </a:graphicData>
            </a:graphic>
          </wp:inline>
        </w:drawing>
      </w:r>
    </w:p>
    <w:p w14:paraId="63C5C681" w14:textId="77777777" w:rsidR="009D3A10" w:rsidRDefault="00000000" w:rsidP="005F7D83">
      <w:pPr>
        <w:pStyle w:val="BodyText"/>
        <w:jc w:val="both"/>
      </w:pPr>
      <w:r>
        <w:t>The histogram shows the frequency distribution of states based on age-adjusted prevalence of heavy alcohol consumption. The distribution if fairly normally distributed with most states centering around the mean of (6.4388889 %).</w:t>
      </w:r>
      <w:bookmarkEnd w:id="0"/>
      <w:bookmarkEnd w:id="2"/>
    </w:p>
    <w:sectPr w:rsidR="009D3A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3D50C" w14:textId="77777777" w:rsidR="004E1FB6" w:rsidRDefault="004E1FB6">
      <w:pPr>
        <w:spacing w:after="0"/>
      </w:pPr>
      <w:r>
        <w:separator/>
      </w:r>
    </w:p>
  </w:endnote>
  <w:endnote w:type="continuationSeparator" w:id="0">
    <w:p w14:paraId="15270CA4" w14:textId="77777777" w:rsidR="004E1FB6" w:rsidRDefault="004E1F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41A96" w14:textId="77777777" w:rsidR="004E1FB6" w:rsidRDefault="004E1FB6">
      <w:r>
        <w:separator/>
      </w:r>
    </w:p>
  </w:footnote>
  <w:footnote w:type="continuationSeparator" w:id="0">
    <w:p w14:paraId="31852FD2" w14:textId="77777777" w:rsidR="004E1FB6" w:rsidRDefault="004E1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DE65A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29078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A10"/>
    <w:rsid w:val="004E1FB6"/>
    <w:rsid w:val="005F7D83"/>
    <w:rsid w:val="009D3A1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B7D5C"/>
  <w15:docId w15:val="{822B85A7-7CF7-0B41-BCBB-D65290DF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ANA 515</dc:title>
  <dc:creator>Daniel Appadurai</dc:creator>
  <cp:keywords/>
  <cp:lastModifiedBy>Daniel Appadurai</cp:lastModifiedBy>
  <cp:revision>2</cp:revision>
  <dcterms:created xsi:type="dcterms:W3CDTF">2023-06-24T20:57:00Z</dcterms:created>
  <dcterms:modified xsi:type="dcterms:W3CDTF">2023-06-24T21:00:00Z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2023-06-24</vt:lpwstr>
  </property>
  <property fmtid="{D5CDD505-2E9C-101B-9397-08002B2CF9AE}" pid="3" name="output">
    <vt:lpwstr>word_document</vt:lpwstr>
  </property>
</Properties>
</file>