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Решение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в</w:t>
      </w:r>
      <w:r>
        <w:t xml:space="preserve"> </w:t>
      </w:r>
      <w:r>
        <w:t xml:space="preserve">непрерывном</w:t>
      </w:r>
      <w:r>
        <w:t xml:space="preserve"> </w:t>
      </w:r>
      <w:r>
        <w:t xml:space="preserve">и</w:t>
      </w:r>
      <w:r>
        <w:t xml:space="preserve"> </w:t>
      </w:r>
      <w:r>
        <w:t xml:space="preserve">дискретном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JupyterLab, повторите примерыи. При этом дополните графики</w:t>
      </w:r>
      <w:r>
        <w:t xml:space="preserve"> </w:t>
      </w:r>
      <w:r>
        <w:t xml:space="preserve">обозначениями осей координат, легендой с названиями траекторий, названиями</w:t>
      </w:r>
      <w:r>
        <w:t xml:space="preserve"> </w:t>
      </w:r>
      <w:r>
        <w:t xml:space="preserve">графиков и т.п.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 </w:t>
      </w:r>
      <w:r>
        <w:t xml:space="preserve">[1]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Выполним примеры из лабораторной работы для знакомства с работой с различными моделями и способами их задания решения (рис. 1-3).</w:t>
      </w:r>
    </w:p>
    <w:p>
      <w:pPr>
        <w:pStyle w:val="CaptionedFigure"/>
      </w:pPr>
      <w:bookmarkStart w:id="26" w:name="fig:001"/>
      <w:r>
        <w:drawing>
          <wp:inline>
            <wp:extent cx="5334000" cy="4275469"/>
            <wp:effectExtent b="0" l="0" r="0" t="0"/>
            <wp:docPr descr="Рис. 1: Модель экспоненциального рост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5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Модель экспоненциального роста</w:t>
      </w:r>
    </w:p>
    <w:p>
      <w:pPr>
        <w:pStyle w:val="CaptionedFigure"/>
      </w:pPr>
      <w:bookmarkStart w:id="30" w:name="fig:002"/>
      <w:r>
        <w:drawing>
          <wp:inline>
            <wp:extent cx="5334000" cy="4905489"/>
            <wp:effectExtent b="0" l="0" r="0" t="0"/>
            <wp:docPr descr="Рис. 2: Система Лоренца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5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Система Лоренца</w:t>
      </w:r>
    </w:p>
    <w:p>
      <w:pPr>
        <w:pStyle w:val="CaptionedFigure"/>
      </w:pPr>
      <w:bookmarkStart w:id="34" w:name="fig:003"/>
      <w:r>
        <w:drawing>
          <wp:inline>
            <wp:extent cx="5334000" cy="5327135"/>
            <wp:effectExtent b="0" l="0" r="0" t="0"/>
            <wp:docPr descr="Рис. 3: Модель Лотки–Вольтерры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7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Модель Лотки–Вольтерры</w:t>
      </w:r>
    </w:p>
    <w:p>
      <w:pPr>
        <w:pStyle w:val="BodyText"/>
      </w:pPr>
      <w:r>
        <w:t xml:space="preserve">Далее перейдем к заданиям для самостоятельного выполнения.</w:t>
      </w:r>
    </w:p>
    <w:p>
      <w:pPr>
        <w:pStyle w:val="BodyText"/>
      </w:pPr>
      <w:r>
        <w:t xml:space="preserve">Реализуем и проанализируем модель роста численности изолированной популяции(модель Мальтуса):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численность изолированной популяции в момент времени</w:t>
      </w:r>
      <w:r>
        <w:t xml:space="preserve"> </w:t>
      </w:r>
      <m:oMath>
        <m:r>
          <m:t>t</m:t>
        </m:r>
      </m:oMath>
      <w:r>
        <w:t xml:space="preserve">,</w:t>
      </w:r>
      <m:oMath>
        <m:r>
          <m:t>a</m:t>
        </m:r>
      </m:oMath>
      <w:r>
        <w:t xml:space="preserve"> </w:t>
      </w:r>
      <w:r>
        <w:t xml:space="preserve">– коэффициент роста популяции,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коэффициент рождаемости,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коэффициент смертности.</w:t>
      </w:r>
      <w:r>
        <w:t xml:space="preserve"> </w:t>
      </w:r>
      <w:r>
        <w:t xml:space="preserve">Построим соответствующие графики (в том числе с анимацией) (рис. 4-5).</w:t>
      </w:r>
    </w:p>
    <w:p>
      <w:pPr>
        <w:pStyle w:val="CaptionedFigure"/>
      </w:pPr>
      <w:bookmarkStart w:id="38" w:name="fig:004"/>
      <w:r>
        <w:drawing>
          <wp:inline>
            <wp:extent cx="5334000" cy="4401021"/>
            <wp:effectExtent b="0" l="0" r="0" t="0"/>
            <wp:docPr descr="Рис. 4: модель Мальтус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модель Мальтуса</w:t>
      </w:r>
    </w:p>
    <w:p>
      <w:pPr>
        <w:pStyle w:val="CaptionedFigure"/>
      </w:pPr>
      <w:bookmarkStart w:id="42" w:name="fig:005"/>
      <w:r>
        <w:drawing>
          <wp:inline>
            <wp:extent cx="5334000" cy="6493199"/>
            <wp:effectExtent b="0" l="0" r="0" t="0"/>
            <wp:docPr descr="Рис. 5: модель Мальтус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3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модель Мальтуса</w:t>
      </w:r>
    </w:p>
    <w:p>
      <w:pPr>
        <w:pStyle w:val="BodyText"/>
      </w:pPr>
      <w:r>
        <w:t xml:space="preserve">Реализуем и проанализируем логистическую модель роста популяции: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r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коэффициент роста популяции,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потенциальная ёмкость экологической системы (предельное значение численности популяции).</w:t>
      </w:r>
      <w:r>
        <w:t xml:space="preserve"> </w:t>
      </w:r>
      <w:r>
        <w:t xml:space="preserve">Построим соответствующие графики (в том числе с анимацией) (рис. 6-7).</w:t>
      </w:r>
    </w:p>
    <w:p>
      <w:pPr>
        <w:pStyle w:val="CaptionedFigure"/>
      </w:pPr>
      <w:bookmarkStart w:id="46" w:name="fig:006"/>
      <w:r>
        <w:drawing>
          <wp:inline>
            <wp:extent cx="5168766" cy="3773103"/>
            <wp:effectExtent b="0" l="0" r="0" t="0"/>
            <wp:docPr descr="Рис. 6: Логистическая модель роста популяции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766" cy="377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Логистическая модель роста популяции</w:t>
      </w:r>
    </w:p>
    <w:p>
      <w:pPr>
        <w:pStyle w:val="CaptionedFigure"/>
      </w:pPr>
      <w:bookmarkStart w:id="50" w:name="fig:007"/>
      <w:r>
        <w:drawing>
          <wp:inline>
            <wp:extent cx="5334000" cy="3099786"/>
            <wp:effectExtent b="0" l="0" r="0" t="0"/>
            <wp:docPr descr="Рис. 7: Логистическая модель роста популяции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Логистическая модель роста популяции</w:t>
      </w:r>
    </w:p>
    <w:p>
      <w:pPr>
        <w:pStyle w:val="BodyText"/>
      </w:pPr>
      <w:r>
        <w:t xml:space="preserve">Реализуем и проанализируем логистическую модель эпидемии Кермака–Маккендрика (SIR-модель):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– численность восприимчивой популяции,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– численность инфицированных,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численность удаленной популяции (в результате смерти или выздоровления), 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это сумма этих трёх, 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это коэффициенты заболеваемости</w:t>
      </w:r>
      <w:r>
        <w:t xml:space="preserve"> </w:t>
      </w:r>
      <w:r>
        <w:t xml:space="preserve">и выздоровления соответственно (рис. 8).</w:t>
      </w:r>
    </w:p>
    <w:p>
      <w:pPr>
        <w:pStyle w:val="CaptionedFigure"/>
      </w:pPr>
      <w:bookmarkStart w:id="54" w:name="fig:008"/>
      <w:r>
        <w:drawing>
          <wp:inline>
            <wp:extent cx="4263991" cy="4918509"/>
            <wp:effectExtent b="0" l="0" r="0" t="0"/>
            <wp:docPr descr="Рис. 8: SIR-модель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991" cy="49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SIR-модель</w:t>
      </w:r>
    </w:p>
    <w:p>
      <w:pPr>
        <w:pStyle w:val="BodyText"/>
      </w:pPr>
      <w:r>
        <w:t xml:space="preserve">Как расширение модели SIR (Susceptible-Infected-Removed) по результатам эпидемии испанки была предложена модель SEIR (Susceptible-Exposed-Infected-Removed) (рис. 9).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β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E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β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CaptionedFigure"/>
      </w:pPr>
      <w:bookmarkStart w:id="58" w:name="fig:009"/>
      <w:r>
        <w:drawing>
          <wp:inline>
            <wp:extent cx="4177364" cy="5005136"/>
            <wp:effectExtent b="0" l="0" r="0" t="0"/>
            <wp:docPr descr="Рис. 9: SEIR-модель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364" cy="500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SEIR-модель</w:t>
      </w:r>
    </w:p>
    <w:p>
      <w:pPr>
        <w:pStyle w:val="BodyText"/>
      </w:pPr>
      <w:r>
        <w:t xml:space="preserve">Для дискретной модели Лотки–Вольтерры: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данными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найдем точку равновесия. Получим и сравним аналитическое и численное решения (рис. 10).</w:t>
      </w:r>
    </w:p>
    <w:p>
      <w:pPr>
        <w:pStyle w:val="CaptionedFigure"/>
      </w:pPr>
      <w:bookmarkStart w:id="62" w:name="fig:010"/>
      <w:r>
        <w:drawing>
          <wp:inline>
            <wp:extent cx="4389120" cy="7247823"/>
            <wp:effectExtent b="0" l="0" r="0" t="0"/>
            <wp:docPr descr="Рис. 10: Дискретная модель Лотки–Вольтерры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724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Дискретная модель Лотки–Вольтерры</w:t>
      </w:r>
    </w:p>
    <w:p>
      <w:pPr>
        <w:pStyle w:val="BodyText"/>
      </w:pPr>
      <w:r>
        <w:t xml:space="preserve">Реализуем на языке Julia модель отбора на основе конкурентных отношений: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Построим соответствующие графики (в том числе с анимацией) и фазовый портрет (рис. 11-12).</w:t>
      </w:r>
    </w:p>
    <w:p>
      <w:pPr>
        <w:pStyle w:val="CaptionedFigure"/>
      </w:pPr>
      <w:bookmarkStart w:id="66" w:name="fig:011"/>
      <w:r>
        <w:drawing>
          <wp:inline>
            <wp:extent cx="4215865" cy="4456496"/>
            <wp:effectExtent b="0" l="0" r="0" t="0"/>
            <wp:docPr descr="Рис. 11: Модель отбора на основе конкурентных отношений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865" cy="445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Модель отбора на основе конкурентных отношений</w:t>
      </w:r>
    </w:p>
    <w:p>
      <w:pPr>
        <w:pStyle w:val="CaptionedFigure"/>
      </w:pPr>
      <w:bookmarkStart w:id="70" w:name="fig:012"/>
      <w:r>
        <w:drawing>
          <wp:inline>
            <wp:extent cx="5334000" cy="5714353"/>
            <wp:effectExtent b="0" l="0" r="0" t="0"/>
            <wp:docPr descr="Рис. 12: Модель отбора на основе конкурентных отношений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4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Модель отбора на основе конкурентных отношений</w:t>
      </w:r>
    </w:p>
    <w:p>
      <w:pPr>
        <w:pStyle w:val="BodyText"/>
      </w:pPr>
      <w:r>
        <w:t xml:space="preserve">Реализуем на языке Julia модель консервативного гармонического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Построим соответствующие графики (в том числе с анимацией) и фазовый портрет (рис. 13-14).</w:t>
      </w:r>
    </w:p>
    <w:p>
      <w:pPr>
        <w:pStyle w:val="CaptionedFigure"/>
      </w:pPr>
      <w:bookmarkStart w:id="74" w:name="fig:013"/>
      <w:r>
        <w:drawing>
          <wp:inline>
            <wp:extent cx="4523873" cy="4408370"/>
            <wp:effectExtent b="0" l="0" r="0" t="0"/>
            <wp:docPr descr="Рис. 13: Модель консервативного гармонического осциллятора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4408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Модель консервативного гармонического осциллятора</w:t>
      </w:r>
    </w:p>
    <w:p>
      <w:pPr>
        <w:pStyle w:val="CaptionedFigure"/>
      </w:pPr>
      <w:bookmarkStart w:id="78" w:name="fig:014"/>
      <w:r>
        <w:drawing>
          <wp:inline>
            <wp:extent cx="4918509" cy="5958037"/>
            <wp:effectExtent b="0" l="0" r="0" t="0"/>
            <wp:docPr descr="Рис. 14: Модель консервативного гармонического осциллятора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509" cy="595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Модель консервативного гармонического осциллятора</w:t>
      </w:r>
    </w:p>
    <w:p>
      <w:pPr>
        <w:pStyle w:val="BodyText"/>
      </w:pPr>
      <w:r>
        <w:t xml:space="preserve">Реализуем на языке Julia модель свободных колебаний гармонического осциллятора: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Построим соответствующие графики (в том числе с анимацией) и фазовый портрет (рис. 15-16).</w:t>
      </w:r>
    </w:p>
    <w:p>
      <w:pPr>
        <w:pStyle w:val="CaptionedFigure"/>
      </w:pPr>
      <w:bookmarkStart w:id="82" w:name="fig:015"/>
      <w:r>
        <w:drawing>
          <wp:inline>
            <wp:extent cx="4677877" cy="3503595"/>
            <wp:effectExtent b="0" l="0" r="0" t="0"/>
            <wp:docPr descr="Рис. 15: Модель свободных колебаний гармонического осциллятора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3503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Модель свободных колебаний гармонического осциллятора</w:t>
      </w:r>
    </w:p>
    <w:p>
      <w:pPr>
        <w:pStyle w:val="CaptionedFigure"/>
      </w:pPr>
      <w:bookmarkStart w:id="86" w:name="fig:016"/>
      <w:r>
        <w:drawing>
          <wp:inline>
            <wp:extent cx="4754880" cy="6227545"/>
            <wp:effectExtent b="0" l="0" r="0" t="0"/>
            <wp:docPr descr="Рис. 16: Модель свободных колебаний гармонического осциллятора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22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Модель свободных колебаний гармонического осциллятора</w:t>
      </w:r>
    </w:p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освоила специализированные пакеты для решения задач в непрерывном и дискретном времени.</w:t>
      </w:r>
    </w:p>
    <w:bookmarkEnd w:id="88"/>
    <w:bookmarkStart w:id="94" w:name="список-литературы"/>
    <w:p>
      <w:pPr>
        <w:pStyle w:val="Heading1"/>
      </w:pPr>
      <w:r>
        <w:t xml:space="preserve">Список литературы</w:t>
      </w:r>
    </w:p>
    <w:bookmarkStart w:id="93" w:name="refs"/>
    <w:bookmarkStart w:id="90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2025 JuliaLang.org contributors. URL:</w:t>
      </w:r>
      <w:r>
        <w:t xml:space="preserve"> </w:t>
      </w:r>
      <w:hyperlink r:id="rId89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11.10.2025).</w:t>
      </w:r>
    </w:p>
    <w:bookmarkEnd w:id="90"/>
    <w:bookmarkStart w:id="92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2025 JuliaLang.org contributors. URL:</w:t>
      </w:r>
      <w:r>
        <w:t xml:space="preserve"> </w:t>
      </w:r>
      <w:hyperlink r:id="rId91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11.10.2025).</w:t>
      </w:r>
    </w:p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91" Target="https://docs.julialang.org/en/v1/" TargetMode="External" /><Relationship Type="http://schemas.openxmlformats.org/officeDocument/2006/relationships/hyperlink" Id="rId89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docs.julialang.org/en/v1/" TargetMode="External" /><Relationship Type="http://schemas.openxmlformats.org/officeDocument/2006/relationships/hyperlink" Id="rId89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Шияпова Дарина Илдаровна</dc:creator>
  <dc:language>ru-RU</dc:language>
  <cp:keywords/>
  <dcterms:created xsi:type="dcterms:W3CDTF">2025-11-22T13:43:37Z</dcterms:created>
  <dcterms:modified xsi:type="dcterms:W3CDTF">2025-11-22T13:43:37Z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Решение моделей в непрерывном и дискретном времени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