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</w:t>
      </w:r>
      <w:r>
        <w:t xml:space="preserve"> </w:t>
      </w:r>
      <w:r>
        <w:t xml:space="preserve">алгебры.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JupyterLab, повторите примеры.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</w:t>
      </w:r>
      <w:r>
        <w:rPr>
          <w:bCs/>
          <w:b/>
        </w:rPr>
        <w:t xml:space="preserve">julialang?</w:t>
      </w:r>
      <w:r>
        <w:t xml:space="preserve">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</w:t>
      </w:r>
      <w:r>
        <w:rPr>
          <w:bCs/>
          <w:b/>
        </w:rPr>
        <w:t xml:space="preserve">juliadoc?</w:t>
      </w:r>
      <w:r>
        <w:t xml:space="preserve">]</w:t>
      </w:r>
      <w:r>
        <w:t xml:space="preserve">.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раздела про поэлементные операции над многомерными массивами (рис. 1-2).</w:t>
      </w:r>
    </w:p>
    <w:p>
      <w:pPr>
        <w:pStyle w:val="CaptionedFigure"/>
      </w:pPr>
      <w:bookmarkStart w:id="26" w:name="fig:001"/>
      <w:r>
        <w:drawing>
          <wp:inline>
            <wp:extent cx="5053263" cy="5736656"/>
            <wp:effectExtent b="0" l="0" r="0" t="0"/>
            <wp:docPr descr="Рис. 1: Поэлементные операции над многомерными массив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Поэлементные операции над многомерными массивами</w:t>
      </w:r>
    </w:p>
    <w:p>
      <w:pPr>
        <w:pStyle w:val="CaptionedFigure"/>
      </w:pPr>
      <w:bookmarkStart w:id="30" w:name="fig:002"/>
      <w:r>
        <w:drawing>
          <wp:inline>
            <wp:extent cx="5197642" cy="7652084"/>
            <wp:effectExtent b="0" l="0" r="0" t="0"/>
            <wp:docPr descr="Рис. 2: Поэлементные операции над многомерными массива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765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Поэлементные операции над многомерными массивами</w:t>
      </w:r>
    </w:p>
    <w:p>
      <w:pPr>
        <w:pStyle w:val="BodyText"/>
      </w:pPr>
      <w:r>
        <w:t xml:space="preserve">Выполним примеры из раздела про транспонирование,след,ранг,определительи инверсия матрицы (рис. 3).</w:t>
      </w:r>
    </w:p>
    <w:p>
      <w:pPr>
        <w:pStyle w:val="CaptionedFigure"/>
      </w:pPr>
      <w:bookmarkStart w:id="34" w:name="fig:003"/>
      <w:r>
        <w:drawing>
          <wp:inline>
            <wp:extent cx="4957010" cy="7324825"/>
            <wp:effectExtent b="0" l="0" r="0" t="0"/>
            <wp:docPr descr="Рис. 3: Транспонирование,след,ранг,определительи инверсия матриц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732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Транспонирование,след,ранг,определительи инверсия матрицы</w:t>
      </w:r>
    </w:p>
    <w:p>
      <w:pPr>
        <w:pStyle w:val="BodyText"/>
      </w:pPr>
      <w:r>
        <w:t xml:space="preserve">Выполним примеры из раздела про матричное умножение,единичная матрица,скалярное</w:t>
      </w:r>
      <w:r>
        <w:t xml:space="preserve"> </w:t>
      </w:r>
      <w:r>
        <w:t xml:space="preserve">произведение (рис. 4).</w:t>
      </w:r>
    </w:p>
    <w:p>
      <w:pPr>
        <w:pStyle w:val="CaptionedFigure"/>
      </w:pPr>
      <w:bookmarkStart w:id="38" w:name="fig:004"/>
      <w:r>
        <w:drawing>
          <wp:inline>
            <wp:extent cx="5334000" cy="6642339"/>
            <wp:effectExtent b="0" l="0" r="0" t="0"/>
            <wp:docPr descr="Рис. 4: Матричное умножение,единичная матрица,скалярное произведени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Матричное умножение,единичная матрица,скалярное произведение</w:t>
      </w:r>
    </w:p>
    <w:p>
      <w:pPr>
        <w:pStyle w:val="BodyText"/>
      </w:pPr>
      <w:r>
        <w:t xml:space="preserve">Выполним примеры из раздела про факторизацию и специальные матричные структуры (рис. 4-7).</w:t>
      </w:r>
    </w:p>
    <w:p>
      <w:pPr>
        <w:pStyle w:val="CaptionedFigure"/>
      </w:pPr>
      <w:bookmarkStart w:id="42" w:name="fig:005"/>
      <w:r>
        <w:drawing>
          <wp:inline>
            <wp:extent cx="5334000" cy="7611762"/>
            <wp:effectExtent b="0" l="0" r="0" t="0"/>
            <wp:docPr descr="Рис. 5: Факторизация.Специальные матричные структур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Факторизация.Специальные матричные структуры</w:t>
      </w:r>
    </w:p>
    <w:p>
      <w:pPr>
        <w:pStyle w:val="CaptionedFigure"/>
      </w:pPr>
      <w:bookmarkStart w:id="46" w:name="fig:006"/>
      <w:r>
        <w:drawing>
          <wp:inline>
            <wp:extent cx="5334000" cy="6404067"/>
            <wp:effectExtent b="0" l="0" r="0" t="0"/>
            <wp:docPr descr="Рис. 6: Факторизация.Специальные матричные структур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Факторизация.Специальные матричные структуры</w:t>
      </w:r>
    </w:p>
    <w:p>
      <w:pPr>
        <w:pStyle w:val="CaptionedFigure"/>
      </w:pPr>
      <w:bookmarkStart w:id="50" w:name="fig:007"/>
      <w:r>
        <w:drawing>
          <wp:inline>
            <wp:extent cx="5334000" cy="6709699"/>
            <wp:effectExtent b="0" l="0" r="0" t="0"/>
            <wp:docPr descr="Рис. 7: Факторизация.Специальные матричные структур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Факторизация.Специальные матричные структуры</w:t>
      </w:r>
    </w:p>
    <w:p>
      <w:pPr>
        <w:pStyle w:val="BodyText"/>
      </w:pPr>
      <w:r>
        <w:t xml:space="preserve">Выполним примеры из раздела про общую линейную алгебру (рис. 8).</w:t>
      </w:r>
    </w:p>
    <w:p>
      <w:pPr>
        <w:pStyle w:val="CaptionedFigure"/>
      </w:pPr>
      <w:bookmarkStart w:id="54" w:name="fig:008"/>
      <w:r>
        <w:drawing>
          <wp:inline>
            <wp:extent cx="5334000" cy="6656966"/>
            <wp:effectExtent b="0" l="0" r="0" t="0"/>
            <wp:docPr descr="Рис. 8: Общаялинейная алгебр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Общаялинейная алгебра</w:t>
      </w:r>
    </w:p>
    <w:bookmarkStart w:id="103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самостоятельного выполнения</w:t>
      </w:r>
    </w:p>
    <w:p>
      <w:pPr>
        <w:pStyle w:val="FirstParagraph"/>
      </w:pPr>
      <w:r>
        <w:t xml:space="preserve">Зададим вектор v. Умножим вектор v скалярно сам на себя и сохраним результат</w:t>
      </w:r>
      <w:r>
        <w:t xml:space="preserve"> </w:t>
      </w:r>
      <w:r>
        <w:t xml:space="preserve">вdot_v (рис. 9).</w:t>
      </w:r>
    </w:p>
    <w:p>
      <w:pPr>
        <w:pStyle w:val="CaptionedFigure"/>
      </w:pPr>
      <w:bookmarkStart w:id="58" w:name="fig:009"/>
      <w:r>
        <w:drawing>
          <wp:inline>
            <wp:extent cx="5334000" cy="1250854"/>
            <wp:effectExtent b="0" l="0" r="0" t="0"/>
            <wp:docPr descr="Рис. 9: Произведение векторов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Произведение векторов</w:t>
      </w:r>
    </w:p>
    <w:p>
      <w:pPr>
        <w:pStyle w:val="BodyText"/>
      </w:pPr>
      <w:r>
        <w:t xml:space="preserve">Умножим v матрично на себя(внешнее произведение), присвоив результат переменной outer_v (рис. 10).</w:t>
      </w:r>
    </w:p>
    <w:p>
      <w:pPr>
        <w:pStyle w:val="CaptionedFigure"/>
      </w:pPr>
      <w:bookmarkStart w:id="62" w:name="fig:010"/>
      <w:r>
        <w:drawing>
          <wp:inline>
            <wp:extent cx="5334000" cy="1627174"/>
            <wp:effectExtent b="0" l="0" r="0" t="0"/>
            <wp:docPr descr="Рис. 10: Произведение векто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Произведение векторов</w:t>
      </w:r>
    </w:p>
    <w:p>
      <w:pPr>
        <w:pStyle w:val="BodyText"/>
      </w:pPr>
      <w:r>
        <w:t xml:space="preserve">Решим СЛАУ с двумя неизвестными (рис. 11-13).</w:t>
      </w:r>
    </w:p>
    <w:p>
      <w:pPr>
        <w:pStyle w:val="CaptionedFigure"/>
      </w:pPr>
      <w:bookmarkStart w:id="66" w:name="fig:011"/>
      <w:r>
        <w:drawing>
          <wp:inline>
            <wp:extent cx="3590223" cy="3291840"/>
            <wp:effectExtent b="0" l="0" r="0" t="0"/>
            <wp:docPr descr="Рис. 11: Системы линейных уравнен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Системы линейных уравнений</w:t>
      </w:r>
    </w:p>
    <w:p>
      <w:pPr>
        <w:pStyle w:val="CaptionedFigure"/>
      </w:pPr>
      <w:bookmarkStart w:id="70" w:name="fig:012"/>
      <w:r>
        <w:drawing>
          <wp:inline>
            <wp:extent cx="3570972" cy="7536581"/>
            <wp:effectExtent b="0" l="0" r="0" t="0"/>
            <wp:docPr descr="Рис. 12: Систем линейных уравнени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753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Систем линейных уравнений</w:t>
      </w:r>
    </w:p>
    <w:p>
      <w:pPr>
        <w:pStyle w:val="CaptionedFigure"/>
      </w:pPr>
      <w:bookmarkStart w:id="74" w:name="fig:121"/>
      <w:r>
        <w:drawing>
          <wp:inline>
            <wp:extent cx="4581625" cy="5005136"/>
            <wp:effectExtent b="0" l="0" r="0" t="0"/>
            <wp:docPr descr="Рис. 13: Систем линейных уравнений" title="" id="72" name="Picture"/>
            <a:graphic>
              <a:graphicData uri="http://schemas.openxmlformats.org/drawingml/2006/picture">
                <pic:pic>
                  <pic:nvPicPr>
                    <pic:cNvPr descr="image/12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Систем линейных уравнений</w:t>
      </w:r>
    </w:p>
    <w:p>
      <w:pPr>
        <w:pStyle w:val="BodyText"/>
      </w:pPr>
      <w:r>
        <w:t xml:space="preserve">Решим СЛАУ с тремя неизвестными (рис. 14).</w:t>
      </w:r>
    </w:p>
    <w:p>
      <w:pPr>
        <w:pStyle w:val="CaptionedFigure"/>
      </w:pPr>
      <w:bookmarkStart w:id="78" w:name="fig:013"/>
      <w:r>
        <w:drawing>
          <wp:inline>
            <wp:extent cx="3984858" cy="7719461"/>
            <wp:effectExtent b="0" l="0" r="0" t="0"/>
            <wp:docPr descr="Рис. 14: Систем линейных уравнений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77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Систем линейных уравнений</w:t>
      </w:r>
    </w:p>
    <w:p>
      <w:pPr>
        <w:pStyle w:val="BodyText"/>
      </w:pPr>
      <w:r>
        <w:t xml:space="preserve">Приведем матрицы к диагональному виду (рис. 15).</w:t>
      </w:r>
    </w:p>
    <w:p>
      <w:pPr>
        <w:pStyle w:val="CaptionedFigure"/>
      </w:pPr>
      <w:bookmarkStart w:id="82" w:name="fig:014"/>
      <w:r>
        <w:drawing>
          <wp:inline>
            <wp:extent cx="4485372" cy="4639376"/>
            <wp:effectExtent b="0" l="0" r="0" t="0"/>
            <wp:docPr descr="Рис. 15: Операции с матрицами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Операции с матрицами</w:t>
      </w:r>
    </w:p>
    <w:p>
      <w:pPr>
        <w:pStyle w:val="BodyText"/>
      </w:pPr>
      <w:r>
        <w:t xml:space="preserve">Вычислим (рис. 16).</w:t>
      </w:r>
    </w:p>
    <w:p>
      <w:pPr>
        <w:pStyle w:val="CaptionedFigure"/>
      </w:pPr>
      <w:bookmarkStart w:id="86" w:name="fig:015"/>
      <w:r>
        <w:drawing>
          <wp:inline>
            <wp:extent cx="4726004" cy="6179418"/>
            <wp:effectExtent b="0" l="0" r="0" t="0"/>
            <wp:docPr descr="Рис. 16: Операции с матрицами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Операции с матрицами</w:t>
      </w:r>
    </w:p>
    <w:p>
      <w:pPr>
        <w:pStyle w:val="BodyText"/>
      </w:pPr>
      <w:r>
        <w:t xml:space="preserve">Найдем собственные значения матрицы A. Создадим диагональную матрицу из собственных значений матрицы A. Создадим</w:t>
      </w:r>
      <w:r>
        <w:t xml:space="preserve"> </w:t>
      </w:r>
      <w:r>
        <w:t xml:space="preserve">нижнедиагональную матрицу из матрицы A. Оценим эффективность выполняемых</w:t>
      </w:r>
      <w:r>
        <w:t xml:space="preserve"> </w:t>
      </w:r>
      <w:r>
        <w:t xml:space="preserve">операций (рис. 17).</w:t>
      </w:r>
    </w:p>
    <w:p>
      <w:pPr>
        <w:pStyle w:val="CaptionedFigure"/>
      </w:pPr>
      <w:bookmarkStart w:id="90" w:name="fig:016"/>
      <w:r>
        <w:drawing>
          <wp:inline>
            <wp:extent cx="5334000" cy="3565036"/>
            <wp:effectExtent b="0" l="0" r="0" t="0"/>
            <wp:docPr descr="Рис. 17: Операции с матрицами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Операции с матрицами</w:t>
      </w:r>
    </w:p>
    <w:p>
      <w:pPr>
        <w:pStyle w:val="BodyText"/>
      </w:pPr>
      <w:r>
        <w:t xml:space="preserve">Линейная модель может быть записана как СЛАУ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элементы матрицы A и столбца y – неотрицательные числа. По своему смыслу в экономике элементы матрицы A и столбцов x, y не могут быть отрицательными числами.</w:t>
      </w:r>
    </w:p>
    <w:p>
      <w:pPr>
        <w:pStyle w:val="BodyText"/>
      </w:pPr>
      <w:r>
        <w:t xml:space="preserve">Матрица A называется продуктивной,если решение x системы при любой неотрицательной правой части y имеет только неотрицательные элементы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.Используя это</w:t>
      </w:r>
      <w:r>
        <w:t xml:space="preserve"> </w:t>
      </w:r>
      <w:r>
        <w:t xml:space="preserve">определение, проверим, являются ли матрицып родуктивными (рис. 18-19).</w:t>
      </w:r>
    </w:p>
    <w:p>
      <w:pPr>
        <w:pStyle w:val="CaptionedFigure"/>
      </w:pPr>
      <w:bookmarkStart w:id="94" w:name="fig:017"/>
      <w:r>
        <w:drawing>
          <wp:inline>
            <wp:extent cx="4052235" cy="5014762"/>
            <wp:effectExtent b="0" l="0" r="0" t="0"/>
            <wp:docPr descr="Рис. 18: Линейные модели экономики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Линейные модели экономики</w:t>
      </w:r>
    </w:p>
    <w:p>
      <w:pPr>
        <w:pStyle w:val="CaptionedFigure"/>
      </w:pPr>
      <w:bookmarkStart w:id="98" w:name="fig:171"/>
      <w:r>
        <w:drawing>
          <wp:inline>
            <wp:extent cx="4004109" cy="4880008"/>
            <wp:effectExtent b="0" l="0" r="0" t="0"/>
            <wp:docPr descr="Рис. 19: Линейные модели экономики" title="" id="96" name="Picture"/>
            <a:graphic>
              <a:graphicData uri="http://schemas.openxmlformats.org/drawingml/2006/picture">
                <pic:pic>
                  <pic:nvPicPr>
                    <pic:cNvPr descr="image/17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Линейные модели экономики</w:t>
      </w:r>
    </w:p>
    <w:p>
      <w:pPr>
        <w:pStyle w:val="CaptionedFigure"/>
      </w:pPr>
      <w:bookmarkStart w:id="102" w:name="fig:018"/>
      <w:r>
        <w:drawing>
          <wp:inline>
            <wp:extent cx="5034012" cy="6468176"/>
            <wp:effectExtent b="0" l="0" r="0" t="0"/>
            <wp:docPr descr="Рис. 20: Линейные модели экономики" title="" id="100" name="Picture"/>
            <a:graphic>
              <a:graphicData uri="http://schemas.openxmlformats.org/drawingml/2006/picture">
                <pic:pic>
                  <pic:nvPicPr>
                    <pic:cNvPr descr="image/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Линейные модели экономики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возможности специализированных пакетов Julia для выполнения и оценки эффективности операций над объектами линейной</w:t>
      </w:r>
      <w:r>
        <w:t xml:space="preserve"> </w:t>
      </w:r>
      <w:r>
        <w:t xml:space="preserve">алгебры.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Шияпова Дарина Илдаровна</dc:creator>
  <dc:language>ru-RU</dc:language>
  <cp:keywords/>
  <dcterms:created xsi:type="dcterms:W3CDTF">2025-10-25T19:39:49Z</dcterms:created>
  <dcterms:modified xsi:type="dcterms:W3CDTF">2025-10-25T19:39:49Z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Линейная алгебра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