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pStyle w:val="Compact"/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оператор оформляет заказ;</w:t>
      </w:r>
    </w:p>
    <w:p>
      <w:pPr>
        <w:pStyle w:val="Compact"/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p>
      <w:pPr>
        <w:pStyle w:val="CaptionedFigure"/>
      </w:pPr>
      <w:r>
        <w:drawing>
          <wp:inline>
            <wp:extent cx="829875" cy="1045028"/>
            <wp:effectExtent b="0" l="0" r="0" t="0"/>
            <wp:docPr descr="Рис. 1: 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875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r>
        <w:drawing>
          <wp:inline>
            <wp:extent cx="3733800" cy="2880147"/>
            <wp:effectExtent b="0" l="0" r="0" t="0"/>
            <wp:docPr descr="Рис. 2: Отчёт по модели оформления заказов в интернет-магазин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0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pStyle w:val="Compact"/>
        <w:numPr>
          <w:ilvl w:val="0"/>
          <w:numId w:val="1005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1005"/>
        </w:numPr>
      </w:pPr>
      <w:r>
        <w:t xml:space="preserve">PRI=0 – все клиенты (из заявки) равноправны;</w:t>
      </w:r>
    </w:p>
    <w:p>
      <w:pPr>
        <w:pStyle w:val="Compact"/>
        <w:numPr>
          <w:ilvl w:val="0"/>
          <w:numId w:val="1005"/>
        </w:numPr>
      </w:pPr>
      <w:r>
        <w:t xml:space="preserve"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1005"/>
        </w:numPr>
      </w:pPr>
      <w:r>
        <w:t xml:space="preserve">ASSEM=33 – номер семейства транзактов;</w:t>
      </w:r>
    </w:p>
    <w:p>
      <w:pPr>
        <w:pStyle w:val="Compact"/>
        <w:numPr>
          <w:ilvl w:val="0"/>
          <w:numId w:val="1005"/>
        </w:numPr>
      </w:pPr>
      <w:r>
        <w:t xml:space="preserve">CURRENT=5 – номер блока, в котором находится транзакт;</w:t>
      </w:r>
    </w:p>
    <w:p>
      <w:pPr>
        <w:pStyle w:val="Compact"/>
        <w:numPr>
          <w:ilvl w:val="0"/>
          <w:numId w:val="1005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p>
      <w:pPr>
        <w:pStyle w:val="CaptionedFigure"/>
      </w:pPr>
      <w:r>
        <w:drawing>
          <wp:inline>
            <wp:extent cx="975872" cy="1214077"/>
            <wp:effectExtent b="0" l="0" r="0" t="0"/>
            <wp:docPr descr="Рис. 3: Модель оформления заказов клиентов одним оператором с измененными интервалами заказов и времени оформления клиен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72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r>
        <w:drawing>
          <wp:inline>
            <wp:extent cx="3288766" cy="3434763"/>
            <wp:effectExtent b="0" l="0" r="0" t="0"/>
            <wp:docPr descr="Рис. 4: Отчёт по модели оформления заказов в интернет-магазине с измененными интервалами заказов и времени оформления клиен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766" cy="3434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4"/>
    <w:bookmarkStart w:id="47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5).</w:t>
      </w:r>
    </w:p>
    <w:p>
      <w:pPr>
        <w:pStyle w:val="CaptionedFigure"/>
      </w:pPr>
      <w:r>
        <w:drawing>
          <wp:inline>
            <wp:extent cx="1552174" cy="1037344"/>
            <wp:effectExtent b="0" l="0" r="0" t="0"/>
            <wp:docPr descr="Рис. 5: Построение гистограммы распределения заявок в очеред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174" cy="103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6, 7).</w:t>
      </w:r>
    </w:p>
    <w:p>
      <w:pPr>
        <w:pStyle w:val="CaptionedFigure"/>
      </w:pPr>
      <w:r>
        <w:drawing>
          <wp:inline>
            <wp:extent cx="3733800" cy="3188827"/>
            <wp:effectExtent b="0" l="0" r="0" t="0"/>
            <wp:docPr descr="Рис. 6: Отчёт по модели оформления заказов в интернет-магазине при построении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r>
        <w:drawing>
          <wp:inline>
            <wp:extent cx="3626863" cy="1613647"/>
            <wp:effectExtent b="0" l="0" r="0" t="0"/>
            <wp:docPr descr="Рис. 7: Отчёт по модели оформления заказов в интернет-магазине при построении гистограммы распределения заявок в очеред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863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9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9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pStyle w:val="Compact"/>
        <w:numPr>
          <w:ilvl w:val="0"/>
          <w:numId w:val="1009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pStyle w:val="Compact"/>
        <w:numPr>
          <w:ilvl w:val="0"/>
          <w:numId w:val="1009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9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8).</w:t>
      </w:r>
    </w:p>
    <w:p>
      <w:pPr>
        <w:pStyle w:val="CaptionedFigure"/>
      </w:pPr>
      <w:r>
        <w:drawing>
          <wp:inline>
            <wp:extent cx="3733800" cy="1855720"/>
            <wp:effectExtent b="0" l="0" r="0" t="0"/>
            <wp:docPr descr="Рис. 8: Гистограмма распределения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7"/>
    <w:bookmarkStart w:id="60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9, 10).</w:t>
      </w:r>
    </w:p>
    <w:p>
      <w:pPr>
        <w:pStyle w:val="CaptionedFigure"/>
      </w:pPr>
      <w:r>
        <w:drawing>
          <wp:inline>
            <wp:extent cx="1613647" cy="2128477"/>
            <wp:effectExtent b="0" l="0" r="0" t="0"/>
            <wp:docPr descr="Рис. 9: Модель обслуживания двух типов заказов от клиентов в интернет-магазине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647" cy="212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3733800" cy="3000027"/>
            <wp:effectExtent b="0" l="0" r="0" t="0"/>
            <wp:docPr descr="Рис. 10: Отчёт по модели оформления заказов двух тип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pStyle w:val="Compact"/>
        <w:numPr>
          <w:ilvl w:val="0"/>
          <w:numId w:val="101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4"/>
        </w:numPr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11).</w:t>
      </w:r>
    </w:p>
    <w:p>
      <w:pPr>
        <w:pStyle w:val="CaptionedFigure"/>
      </w:pPr>
      <w:r>
        <w:drawing>
          <wp:inline>
            <wp:extent cx="1629015" cy="1536806"/>
            <wp:effectExtent b="0" l="0" r="0" t="0"/>
            <wp:docPr descr="Рис. 11: Модель обслуживания двух типов заказов с условием, что число заказов с дополнительным пакетом услуг составляет 30% от общего числа заказов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01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 12).</w:t>
      </w:r>
    </w:p>
    <w:p>
      <w:pPr>
        <w:pStyle w:val="CaptionedFigure"/>
      </w:pPr>
      <w:r>
        <w:drawing>
          <wp:inline>
            <wp:extent cx="3733800" cy="3285135"/>
            <wp:effectExtent b="0" l="0" r="0" t="0"/>
            <wp:docPr descr="Рис. 12: Отчёт по модели оформления заказов двух типов заказ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5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5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5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pStyle w:val="Compact"/>
        <w:numPr>
          <w:ilvl w:val="0"/>
          <w:numId w:val="1015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5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60"/>
    <w:bookmarkStart w:id="73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13).</w:t>
      </w:r>
    </w:p>
    <w:p>
      <w:pPr>
        <w:pStyle w:val="CaptionedFigure"/>
      </w:pPr>
      <w:r>
        <w:drawing>
          <wp:inline>
            <wp:extent cx="1091132" cy="1160289"/>
            <wp:effectExtent b="0" l="0" r="0" t="0"/>
            <wp:docPr descr="Рис. 13: Модель оформления заказов несколькими операторам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132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 14).</w:t>
      </w:r>
    </w:p>
    <w:p>
      <w:pPr>
        <w:pStyle w:val="CaptionedFigure"/>
      </w:pPr>
      <w:r>
        <w:drawing>
          <wp:inline>
            <wp:extent cx="3696020" cy="2666359"/>
            <wp:effectExtent b="0" l="0" r="0" t="0"/>
            <wp:docPr descr="Рис. 14: Отчет по модели оформления заказов несколькими операторами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020" cy="266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8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8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8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8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15).</w:t>
      </w:r>
    </w:p>
    <w:p>
      <w:pPr>
        <w:pStyle w:val="CaptionedFigure"/>
      </w:pPr>
      <w:r>
        <w:drawing>
          <wp:inline>
            <wp:extent cx="1352389" cy="1360073"/>
            <wp:effectExtent b="0" l="0" r="0" t="0"/>
            <wp:docPr descr="Рис. 15: Модель оформления заказов несколькими операторами с учетом отказов клиент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89" cy="1360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 ~ 16).</w:t>
      </w:r>
    </w:p>
    <w:p>
      <w:pPr>
        <w:pStyle w:val="CaptionedFigure"/>
      </w:pPr>
      <w:r>
        <w:drawing>
          <wp:inline>
            <wp:extent cx="3619179" cy="3818964"/>
            <wp:effectExtent b="0" l="0" r="0" t="0"/>
            <wp:docPr descr="Рис. 16: Отчет по модели оформления заказов несколькими операторами с учетом отказов клиент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3818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21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21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21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21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21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24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24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несколькими операторами.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Шияпова Дарина Илдаровна</dc:creator>
  <dc:language>ru-RU</dc:language>
  <cp:keywords/>
  <dcterms:created xsi:type="dcterms:W3CDTF">2025-06-14T21:45:25Z</dcterms:created>
  <dcterms:modified xsi:type="dcterms:W3CDTF">2025-06-14T21:45:25Z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Модели обработки заказов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