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Rule="auto"/>
        <w:rPr>
          <w:rFonts w:ascii="Cormorant Garamond" w:cs="Cormorant Garamond" w:eastAsia="Cormorant Garamond" w:hAnsi="Cormorant Garamond"/>
          <w:sz w:val="38"/>
          <w:szCs w:val="38"/>
        </w:rPr>
      </w:pP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En</w:t>
      </w: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hancing effective charitable giving</w:t>
      </w:r>
    </w:p>
    <w:p w:rsidR="00000000" w:rsidDel="00000000" w:rsidP="00000000" w:rsidRDefault="00000000" w:rsidRPr="00000000" w14:paraId="00000002">
      <w:pPr>
        <w:pStyle w:val="Subtitle"/>
        <w:spacing w:before="0" w:lineRule="auto"/>
        <w:jc w:val="center"/>
        <w:rPr>
          <w:rFonts w:ascii="Cormorant Garamond" w:cs="Cormorant Garamond" w:eastAsia="Cormorant Garamond" w:hAnsi="Cormorant Garamond"/>
          <w:sz w:val="28"/>
          <w:szCs w:val="28"/>
        </w:rPr>
      </w:pPr>
      <w:bookmarkStart w:colFirst="0" w:colLast="0" w:name="_1cwp284l0gjg" w:id="0"/>
      <w:bookmarkEnd w:id="0"/>
      <w:r w:rsidDel="00000000" w:rsidR="00000000" w:rsidRPr="00000000">
        <w:rPr>
          <w:rFonts w:ascii="Cormorant Garamond" w:cs="Cormorant Garamond" w:eastAsia="Cormorant Garamond" w:hAnsi="Cormorant Garamond"/>
          <w:sz w:val="28"/>
          <w:szCs w:val="28"/>
          <w:rtl w:val="0"/>
        </w:rPr>
        <w:t xml:space="preserve">a research, collaboration, and information sharing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Summary and proposal for collaboration with Ideas42 and the Gates foundation,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composed by David Reinstein; survey paper is with Nick Fitz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,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 Kagan, Robin Bergh, and Jason Nemirow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Purpose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 and proposed outputs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: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research, communication, and impact program aims to provide practical methods to increase the level and impact of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informed and intentional generosity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are building a database of evidence on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works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a particular focus on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impact-driven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donation behavior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will assess, evaluate, and present this in several ways, including an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database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">
        <w:r w:rsidDel="00000000" w:rsidR="00000000" w:rsidRPr="00000000">
          <w:rPr>
            <w:rFonts w:ascii="Cormorant Garamond" w:cs="Cormorant Garamond" w:eastAsia="Cormorant Garamond" w:hAnsi="Cormorant Garamond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 col</w:t>
        </w:r>
      </w:hyperlink>
      <w:hyperlink r:id="rId7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laborative </w:t>
        </w:r>
      </w:hyperlink>
      <w:hyperlink r:id="rId8">
        <w:r w:rsidDel="00000000" w:rsidR="00000000" w:rsidRPr="00000000">
          <w:rPr>
            <w:rFonts w:ascii="Cormorant Garamond" w:cs="Cormorant Garamond" w:eastAsia="Cormorant Garamond" w:hAnsi="Cormorant Garamond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wiki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 meta-analysis survey paper. Each of these will be carefully linked and integrated. For example, the analysis and discussion in the survey paper will be mirrored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st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ructure of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wiki, providing a platform for discussion and updating. Each element of the surveyed evidence will be provided as a database entry, cross-referencing relevant papers, theories, use-cases, and available raw data.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living resource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will be able to quickly compile and disseminate the best available evidence to users.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meta-analysis will be presented in the database and wiki, as well as in a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(e.g., R Shiny Rstudio).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will permit users to consider alternate assumptions and methodological criteria, and to focus on particular domains as relevant to their own practice. We aim to engage a diverse user-base, including fundraisers, charities, academics, and donors/philanthropists. Thus we will offer multiple formats (while avoiding confusing overlap), allowing users to choose their preferred level of technicality and detail.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and preliminary work can be found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on the </w:t>
      </w:r>
      <w:hyperlink r:id="rId9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Innovations in Fundraising wiki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further work is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compiled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database format (A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irtable)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Key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questions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tabs>
          <w:tab w:val="left" w:pos="0"/>
        </w:tabs>
        <w:spacing w:after="0" w:afterAutospacing="0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Targeting and basic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gives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effective charities, and can we predict who is likely to be convinced to do so?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best target and persuade the general population as well as high-ńet-worth individuals?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productive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ask people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shift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their giving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towards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impactful charities? If so, when and how is this effective? Underlying this: are charities in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 people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 Peter to pay Paul?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Psychology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Individual barriers to moving toward more effective giving may include cognitive dissonance avoidance, cost-benefit aversion, and opportunity-cost neglect; as well as common factual misconceptions about international charities.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de-biasing and correcting misconceptions lead to more effective giving?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left" w:pos="0"/>
        </w:tabs>
        <w:spacing w:after="0" w:afterAutospacing="0" w:before="0" w:beforeAutospacing="0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present effectiveness information in a way that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works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without dampening emotional motivations to give? C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we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avoid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self-interested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motivated reasoning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 responses to this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reduce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empathic distance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international recipients and make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those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geographically-distant feel local?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best apply standard emotional and behavioral approaches (evidence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-based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fundraising tools like "gift exchange")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charities. In applying these tools, what superpowers and weaknesses do the most effective charities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incorporate psychological and social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rewards for donors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overly sacrificing efficiency? What is the tradeoff between promoting the purest, best-evidenced charities (e.g., GiveWell's list) and increasing the overall donation amounts?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the tools that boost effective giving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increase support for foreign aid and pro-poor policies?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private giving, the level of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public funding for effective causes,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government policies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how can we boost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and pri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vate impact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 program for future work and evaluating previous work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Build platforms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to observe relevant giving behavior and run experiments to understand the impact of approaches across several contexts.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Open Science Framework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Maintain research integrity, collaboration and data-sharing, enabling re-analysis and meta-analysis.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Robust and validated 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This includes pre-registration and pre-analysis plans, experimentation and independent replication across a range of relevant environment and frames.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Present research for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u w:val="single"/>
          <w:rtl w:val="0"/>
        </w:rPr>
        <w:t xml:space="preserve">users</w:t>
      </w: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 in an effective way, using modern information systems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. Avoid “old-school” academic journal presentation formats and “frozen PDFs” in favor of living, continually-validated and re-assessed content. Open access in a web framework.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Collaboration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with and among relevant charities/fundraisers (e.g., International Fundraising Leadership Forum)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 wiki and other collaboration tools to organize open communication and sharing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research results and insights, data, and methods,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informal (non-academic, non-systematic) trials and experiences, and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critical insider knowledge and intuition.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1"/>
        </w:numPr>
        <w:tabs>
          <w:tab w:val="left" w:pos="0"/>
        </w:tabs>
        <w:rPr>
          <w:rFonts w:ascii="Cormorant Garamond" w:cs="Cormorant Garamond" w:eastAsia="Cormorant Garamond" w:hAnsi="Cormorant Garamond"/>
        </w:rPr>
      </w:pPr>
      <w:bookmarkStart w:colFirst="0" w:colLast="0" w:name="_z9ozgi2b5gax" w:id="1"/>
      <w:bookmarkEnd w:id="1"/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User stories: Who will use this and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Effective charities, their fundraisers, and groups of these organizations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(e.g., the </w:t>
      </w:r>
      <w:hyperlink r:id="rId10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IFCL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 will use this directly to increase their support-base, their appeal, and their income. Evidence will be presented in interactive and accessible ways, including more and less technical presentations, allowing users to select a tailored analysis. We will provide personal support to qualified effective charities.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Government policymakers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enabling and enhancing effective private giving, and providing public programs that are compatible with this.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Foundations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targeting and communicating interventions, considering interactions and feedback on the wider society of givers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Advocates and activists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for globally sympathetic and pro-poor policies; as research is likely to unlock both factors that encourage effective giving and factors that drive cross-cultural sympathy, empathy, and action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0"/>
        </w:tabs>
        <w:spacing w:after="0" w:afterAutospacing="0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Academic, professional, and applied researchers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interested in this area (both "effective charitable giving" directly, and as an input into understanding human behavior).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Our project will encourage and foster future work by...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an accessible “evidence baseline”: a shared database of raw and meta-data,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collaborative tools and platforms to facilitate further analysis (e.g., working with e-commerce and social fundraising sites to establish a continuous opportunity to test charitable messaging in a stable context),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an interactive, global community of researchers and practitioners, and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 pathway to disseminate results to users and measure a clear practical impact, and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tabs>
          <w:tab w:val="left" w:pos="0"/>
        </w:tabs>
        <w:spacing w:after="86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tools and a framework to enable  to a clear and efficient process for evaluating and funding  to evaluate and disperse grants to fund promising research, following the principles of open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86" w:before="86" w:lineRule="auto"/>
        <w:ind w:left="72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existing team and resources</w:t>
      </w:r>
    </w:p>
    <w:p w:rsidR="00000000" w:rsidDel="00000000" w:rsidP="00000000" w:rsidRDefault="00000000" w:rsidRPr="00000000" w14:paraId="00000032">
      <w:pPr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Principal investigator: 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David Reinstein, Dept. of Economics, University of Exeter</w:t>
      </w:r>
    </w:p>
    <w:p w:rsidR="00000000" w:rsidDel="00000000" w:rsidP="00000000" w:rsidRDefault="00000000" w:rsidRPr="00000000" w14:paraId="00000033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6" w:before="86" w:lineRule="auto"/>
        <w:rPr>
          <w:rFonts w:ascii="Cormorant Garamond" w:cs="Cormorant Garamond" w:eastAsia="Cormorant Garamond" w:hAnsi="Cormorant Garamond"/>
          <w:b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Co-authors </w:t>
      </w:r>
    </w:p>
    <w:p w:rsidR="00000000" w:rsidDel="00000000" w:rsidP="00000000" w:rsidRDefault="00000000" w:rsidRPr="00000000" w14:paraId="00000035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Nick Fitz (Psychology), Center for Advanced Hindsight, Duke University</w:t>
      </w:r>
    </w:p>
    <w:p w:rsidR="00000000" w:rsidDel="00000000" w:rsidP="00000000" w:rsidRDefault="00000000" w:rsidRPr="00000000" w14:paraId="00000036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Ari Kagan, Center for Advanced Hindsight, Duke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,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guidance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, and consultation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(past, current, and promised)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Smeets (Sustainable Finance,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University of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Maastricht)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Lucius Caviola, Dept. of Psychology, University of Oxford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Robin Bergh, Sidanius lab, Harvard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Mark Kelson, Statistics and Data Science, University of Exeter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Ekaterina (Katja) Abramova (Cognitive Science, web developer)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Omar Parbhoo, Ideas42 and BHub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Charity Science Foundation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Giving for Impact (Contact: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Vera Scholermich)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Life You Can Save/Giving Games (Contact: Jon Behar)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Centre for Effective Altruism (Oxford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; Contact: George Howlett)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Eva Vivalt (Australian National University, founder of </w:t>
      </w:r>
      <w:hyperlink r:id="rId11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AidGrade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support from: BITSS for meta-analysis projects (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David Reinstein is a </w:t>
      </w:r>
      <w:hyperlink r:id="rId12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Catalyst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to work with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X-Econ.org, the Open Scienc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e Framework, Harvard's Dataverse, and Scientific Data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data sharing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Other potential funding sources: </w:t>
      </w:r>
      <w:hyperlink r:id="rId13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Open Philanthropy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Leverhulme Academy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ormorant Garamond" w:cs="Cormorant Garamond" w:eastAsia="Cormorant Garamond" w:hAnsi="Cormorant Garamond"/>
          <w:i w:val="0"/>
        </w:rPr>
      </w:pPr>
      <w:bookmarkStart w:colFirst="0" w:colLast="0" w:name="_4umb838g0ss7" w:id="2"/>
      <w:bookmarkEnd w:id="2"/>
      <w:r w:rsidDel="00000000" w:rsidR="00000000" w:rsidRPr="00000000">
        <w:rPr>
          <w:rFonts w:ascii="Cormorant Garamond" w:cs="Cormorant Garamond" w:eastAsia="Cormorant Garamond" w:hAnsi="Cormorant Garamond"/>
          <w:i w:val="0"/>
          <w:rtl w:val="0"/>
        </w:rPr>
        <w:t xml:space="preserve">Discussion: combining and weighing information from different domains, with different approaches, etc.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Discussion moved to IIF page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2016" w:top="1440" w:left="1080" w:right="990" w:header="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rmorant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idgrade.org/about" TargetMode="External"/><Relationship Id="rId10" Type="http://schemas.openxmlformats.org/officeDocument/2006/relationships/hyperlink" Target="http://www.fundraisers.fr/sites/default/files/4/IFL-Forum-presentation-at-IFC-2014_0.pdf" TargetMode="External"/><Relationship Id="rId13" Type="http://schemas.openxmlformats.org/officeDocument/2006/relationships/hyperlink" Target="https://www.openphilanthropy.org/giving/guide-for-grant-seekers" TargetMode="External"/><Relationship Id="rId12" Type="http://schemas.openxmlformats.org/officeDocument/2006/relationships/hyperlink" Target="https://www.bitss.org/people/david-reinste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nnovationsinfundraising.org/doku.php?id=iifwiki:evidence_tools" TargetMode="External"/><Relationship Id="rId15" Type="http://schemas.openxmlformats.org/officeDocument/2006/relationships/header" Target="header1.xml"/><Relationship Id="rId14" Type="http://schemas.openxmlformats.org/officeDocument/2006/relationships/hyperlink" Target="http://innovationsinfundraising.org/doku.php?id=tools:meta-analysis_approach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innovationsinfundraising.org" TargetMode="External"/><Relationship Id="rId7" Type="http://schemas.openxmlformats.org/officeDocument/2006/relationships/hyperlink" Target="http://innovationsinfundraising.org" TargetMode="External"/><Relationship Id="rId8" Type="http://schemas.openxmlformats.org/officeDocument/2006/relationships/hyperlink" Target="http://innovationsinfundraising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morantGaramond-regular.ttf"/><Relationship Id="rId2" Type="http://schemas.openxmlformats.org/officeDocument/2006/relationships/font" Target="fonts/CormorantGaramond-bold.ttf"/><Relationship Id="rId3" Type="http://schemas.openxmlformats.org/officeDocument/2006/relationships/font" Target="fonts/CormorantGaramond-italic.ttf"/><Relationship Id="rId4" Type="http://schemas.openxmlformats.org/officeDocument/2006/relationships/font" Target="fonts/Cormorant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