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86" w:before="86" w:lineRule="auto"/>
        <w:rPr>
          <w:rFonts w:ascii="Cormorant Garamond" w:cs="Cormorant Garamond" w:eastAsia="Cormorant Garamond" w:hAnsi="Cormorant Garamond"/>
          <w:sz w:val="36"/>
          <w:szCs w:val="36"/>
          <w:vertAlign w:val="baseline"/>
        </w:rPr>
      </w:pPr>
      <w:bookmarkStart w:colFirst="0" w:colLast="0" w:name="_az3axu1p8r1h" w:id="0"/>
      <w:bookmarkEnd w:id="0"/>
      <w:commentRangeStart w:id="0"/>
      <w:commentRangeStart w:id="1"/>
      <w:r w:rsidDel="00000000" w:rsidR="00000000" w:rsidRPr="00000000">
        <w:rPr>
          <w:rFonts w:ascii="Cormorant Garamond" w:cs="Cormorant Garamond" w:eastAsia="Cormorant Garamond" w:hAnsi="Cormorant Garamond"/>
          <w:sz w:val="36"/>
          <w:szCs w:val="36"/>
          <w:vertAlign w:val="baseline"/>
          <w:rtl w:val="0"/>
        </w:rPr>
        <w:t xml:space="preserve">Increasing effective charitable giving: The puzzle, what we know, what we need to know next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Reinstein, Fitz, Kagan</w:t>
      </w:r>
    </w:p>
    <w:p w:rsidR="00000000" w:rsidDel="00000000" w:rsidP="00000000" w:rsidRDefault="00000000" w:rsidRPr="00000000" w14:paraId="00000003">
      <w:pPr>
        <w:pStyle w:val="Heading1"/>
        <w:numPr>
          <w:ilvl w:val="0"/>
          <w:numId w:val="4"/>
        </w:numPr>
        <w:tabs>
          <w:tab w:val="left" w:pos="0"/>
        </w:tabs>
        <w:ind w:left="0" w:firstLine="0"/>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1. Presenting the puzzle and challenge: Our ineffective giving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b w:val="1"/>
          <w:rtl w:val="0"/>
        </w:rPr>
        <w:t xml:space="preserve">(Motivation) </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Why should you care about this? Descriptives of giving (US, international) and how 'ineffective' it is. Potential global welfare gains to changing </w:t>
      </w:r>
      <w:r w:rsidDel="00000000" w:rsidR="00000000" w:rsidRPr="00000000">
        <w:rPr>
          <w:rFonts w:ascii="Cormorant Garamond" w:cs="Cormorant Garamond" w:eastAsia="Cormorant Garamond" w:hAnsi="Cormorant Garamond"/>
          <w:rtl w:val="0"/>
        </w:rPr>
        <w:t xml:space="preserve">“</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where we give.</w:t>
      </w:r>
      <w:r w:rsidDel="00000000" w:rsidR="00000000" w:rsidRPr="00000000">
        <w:rPr>
          <w:rFonts w:ascii="Cormorant Garamond" w:cs="Cormorant Garamond" w:eastAsia="Cormorant Garamond" w:hAnsi="Cormorant Garamond"/>
          <w:rtl w:val="0"/>
        </w:rPr>
        <w:t xml:space="preserve">”</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44" w:before="144" w:line="240" w:lineRule="auto"/>
        <w:ind w:left="72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tl w:val="0"/>
        </w:rPr>
        <w:tab/>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Bekkers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commentRangeStart w:id="2"/>
      <w:r w:rsidDel="00000000" w:rsidR="00000000" w:rsidRPr="00000000">
        <w:rPr>
          <w:rFonts w:ascii="Cormorant Garamond" w:cs="Cormorant Garamond" w:eastAsia="Cormorant Garamond" w:hAnsi="Cormorant Garamond"/>
          <w:b w:val="1"/>
          <w:rtl w:val="0"/>
        </w:rPr>
        <w:t xml:space="preserve">RQ</w:t>
      </w:r>
      <w:commentRangeEnd w:id="2"/>
      <w:r w:rsidDel="00000000" w:rsidR="00000000" w:rsidRPr="00000000">
        <w:commentReference w:id="2"/>
      </w:r>
      <w:r w:rsidDel="00000000" w:rsidR="00000000" w:rsidRPr="00000000">
        <w:rPr>
          <w:rFonts w:ascii="Cormorant Garamond" w:cs="Cormorant Garamond" w:eastAsia="Cormorant Garamond" w:hAnsi="Cormorant Garamond"/>
          <w:b w:val="1"/>
          <w:rtl w:val="0"/>
        </w:rPr>
        <w:t xml:space="preserve">/Problem: Why don’t people give in an evidence-based way? </w:t>
      </w:r>
      <w:r w:rsidDel="00000000" w:rsidR="00000000" w:rsidRPr="00000000">
        <w:rPr>
          <w:rFonts w:ascii="Cormorant Garamond" w:cs="Cormorant Garamond" w:eastAsia="Cormorant Garamond" w:hAnsi="Cormorant Garamond"/>
          <w:rtl w:val="0"/>
        </w:rPr>
        <w:t xml:space="preserve">(what are the psychological motivations for not giving effectively?). People make evidence-based decisions when they invest/buy, but not when they give (why?). People say they want to give effectively (Money for Good) -- Intention/Action -- people say they want to do good and be effective, but they don’t actually -- why?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Motivation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commentRangeStart w:id="3"/>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d9d9d9" w:val="clear"/>
        </w:rPr>
      </w:pPr>
      <w:r w:rsidDel="00000000" w:rsidR="00000000" w:rsidRPr="00000000">
        <w:rPr>
          <w:sz w:val="20"/>
          <w:szCs w:val="20"/>
          <w:shd w:fill="d9d9d9" w:val="clear"/>
          <w:rtl w:val="0"/>
        </w:rPr>
        <w:t xml:space="preserve">“The Science of Giving” (2011), introduction:</w:t>
      </w:r>
      <w:commentRangeEnd w:id="3"/>
      <w:r w:rsidDel="00000000" w:rsidR="00000000" w:rsidRPr="00000000">
        <w:commentReference w:id="3"/>
      </w:r>
      <w:r w:rsidDel="00000000" w:rsidR="00000000" w:rsidRPr="00000000">
        <w:rPr>
          <w:sz w:val="20"/>
          <w:szCs w:val="20"/>
          <w:shd w:fill="d9d9d9" w:val="clear"/>
          <w:rtl w:val="0"/>
        </w:rPr>
        <w:t xml:space="preserve"> contrasts Tsunami, Pakistan earthquake, Sept-11.  “A startling level of inconsistency in the way donations are raised and allocated to needy recipients… mirrored by biases in bedia attention. (Armstrong ea ‘06, Eisensee &amp; S ‘07, Slovic ‘07)”</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d9d9d9" w:val="clear"/>
        </w:rPr>
      </w:pPr>
      <w:r w:rsidDel="00000000" w:rsidR="00000000" w:rsidRPr="00000000">
        <w:rPr>
          <w:sz w:val="20"/>
          <w:szCs w:val="20"/>
          <w:shd w:fill="d9d9d9" w:val="clear"/>
          <w:rtl w:val="0"/>
        </w:rPr>
        <w:t xml:space="preserve">Simple analysis finds low correlation to Charity Navigator efficiency rating… “So, if people’s donations aren’t governed by the amount of the need or the quality of the organizations, what are the factors that govern charitable giving?”</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0F">
      <w:pPr>
        <w:pStyle w:val="Heading2"/>
        <w:rPr/>
      </w:pPr>
      <w:bookmarkStart w:colFirst="0" w:colLast="0" w:name="_d0w00gkypcqi" w:id="1"/>
      <w:bookmarkEnd w:id="1"/>
      <w:r w:rsidDel="00000000" w:rsidR="00000000" w:rsidRPr="00000000">
        <w:rPr>
          <w:rtl w:val="0"/>
        </w:rPr>
        <w:t xml:space="preserve">Previous literature reviews and surveys, lack of previous work</w:t>
      </w:r>
    </w:p>
    <w:p w:rsidR="00000000" w:rsidDel="00000000" w:rsidP="00000000" w:rsidRDefault="00000000" w:rsidRPr="00000000" w14:paraId="00000010">
      <w:pPr>
        <w:spacing w:after="144" w:before="144" w:lineRule="auto"/>
        <w:ind w:left="720" w:firstLine="0"/>
        <w:rPr/>
      </w:pPr>
      <w:r w:rsidDel="00000000" w:rsidR="00000000" w:rsidRPr="00000000">
        <w:rPr>
          <w:rtl w:val="0"/>
        </w:rPr>
        <w:t xml:space="preserve">Ideas42: "We did not find many field-based, experimental studies on the factors th</w:t>
      </w:r>
      <w:r w:rsidDel="00000000" w:rsidR="00000000" w:rsidRPr="00000000">
        <w:rPr>
          <w:rtl w:val="0"/>
        </w:rPr>
        <w:t xml:space="preserve">a</w:t>
      </w:r>
      <w:r w:rsidDel="00000000" w:rsidR="00000000" w:rsidRPr="00000000">
        <w:rPr>
          <w:rtl w:val="0"/>
        </w:rPr>
        <w:t xml:space="preserve">t encourage people to choose thoughtfully among charities or to plan ahead to give. "</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u w:val="single"/>
          <w:rtl w:val="0"/>
        </w:rPr>
        <w:t xml:space="preserve">Effectiveness-specific</w:t>
      </w:r>
      <w:r w:rsidDel="00000000" w:rsidR="00000000" w:rsidRPr="00000000">
        <w:rPr>
          <w:rFonts w:ascii="Cormorant Garamond" w:cs="Cormorant Garamond" w:eastAsia="Cormorant Garamond" w:hAnsi="Cormorant Garamond"/>
          <w:rtl w:val="0"/>
        </w:rPr>
        <w:t xml:space="preserve">:</w:t>
      </w:r>
    </w:p>
    <w:p w:rsidR="00000000" w:rsidDel="00000000" w:rsidP="00000000" w:rsidRDefault="00000000" w:rsidRPr="00000000" w14:paraId="0000001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Gertler</w:t>
      </w:r>
    </w:p>
    <w:p w:rsidR="00000000" w:rsidDel="00000000" w:rsidP="00000000" w:rsidRDefault="00000000" w:rsidRPr="00000000" w14:paraId="0000001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Baron and Szymanowski 2011 -  Heuristics and Biases in Charity: Largely conceptual, minimal survey of specific empirical/experimental papers</w:t>
      </w:r>
    </w:p>
    <w:p w:rsidR="00000000" w:rsidDel="00000000" w:rsidP="00000000" w:rsidRDefault="00000000" w:rsidRPr="00000000" w14:paraId="0000001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ab/>
        <w:t xml:space="preserve">See also:</w:t>
      </w:r>
    </w:p>
    <w:p w:rsidR="00000000" w:rsidDel="00000000" w:rsidP="00000000" w:rsidRDefault="00000000" w:rsidRPr="00000000" w14:paraId="0000001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rmorant Garamond" w:cs="Cormorant Garamond" w:eastAsia="Cormorant Garamond" w:hAnsi="Cormorant Garamond"/>
        </w:rPr>
      </w:pPr>
      <w:hyperlink r:id="rId8">
        <w:r w:rsidDel="00000000" w:rsidR="00000000" w:rsidRPr="00000000">
          <w:rPr>
            <w:rFonts w:ascii="Cormorant Garamond" w:cs="Cormorant Garamond" w:eastAsia="Cormorant Garamond" w:hAnsi="Cormorant Garamond"/>
            <w:i w:val="1"/>
            <w:color w:val="91170a"/>
            <w:sz w:val="20"/>
            <w:szCs w:val="20"/>
            <w:highlight w:val="white"/>
            <w:u w:val="single"/>
            <w:rtl w:val="0"/>
          </w:rPr>
          <w:t xml:space="preserve">Charity Science: Trials and synthesis of research for Effective Altruism Outreach</w:t>
        </w:r>
      </w:hyperlink>
      <w:r w:rsidDel="00000000" w:rsidR="00000000" w:rsidRPr="00000000">
        <w:rPr>
          <w:rFonts w:ascii="Cormorant Garamond" w:cs="Cormorant Garamond" w:eastAsia="Cormorant Garamond" w:hAnsi="Cormorant Garamond"/>
          <w:rtl w:val="0"/>
        </w:rPr>
        <w:t xml:space="preserve"> (http://www.charityscience.com/outreach-research.html)</w:t>
      </w:r>
    </w:p>
    <w:p w:rsidR="00000000" w:rsidDel="00000000" w:rsidP="00000000" w:rsidRDefault="00000000" w:rsidRPr="00000000" w14:paraId="00000018">
      <w:pPr>
        <w:numPr>
          <w:ilvl w:val="0"/>
          <w:numId w:val="3"/>
        </w:numPr>
        <w:ind w:left="720" w:hanging="360"/>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 Geoffrey Miller's "10 cognitive and emotional  challenges in EA"</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rmorant Garamond" w:cs="Cormorant Garamond" w:eastAsia="Cormorant Garamond" w:hAnsi="Cormorant Garamond"/>
          <w:u w:val="single"/>
        </w:rPr>
      </w:pPr>
      <w:r w:rsidDel="00000000" w:rsidR="00000000" w:rsidRPr="00000000">
        <w:rPr>
          <w:rFonts w:ascii="Cormorant Garamond" w:cs="Cormorant Garamond" w:eastAsia="Cormorant Garamond" w:hAnsi="Cormorant Garamond"/>
          <w:u w:val="single"/>
          <w:rtl w:val="0"/>
        </w:rPr>
        <w:t xml:space="preserve">Charitable giving, more general</w:t>
      </w:r>
    </w:p>
    <w:p w:rsidR="00000000" w:rsidDel="00000000" w:rsidP="00000000" w:rsidRDefault="00000000" w:rsidRPr="00000000" w14:paraId="0000001B">
      <w:pPr>
        <w:numPr>
          <w:ilvl w:val="0"/>
          <w:numId w:val="1"/>
        </w:numPr>
        <w:spacing w:after="0" w:afterAutospacing="0" w:lineRule="auto"/>
        <w:ind w:left="720" w:hanging="360"/>
        <w:rPr>
          <w:rFonts w:ascii="Cormorant Garamond" w:cs="Cormorant Garamond" w:eastAsia="Cormorant Garamond" w:hAnsi="Cormorant Garamond"/>
          <w:color w:val="777777"/>
          <w:sz w:val="20"/>
          <w:szCs w:val="20"/>
        </w:rPr>
      </w:pPr>
      <w:hyperlink r:id="rId9">
        <w:r w:rsidDel="00000000" w:rsidR="00000000" w:rsidRPr="00000000">
          <w:rPr>
            <w:rFonts w:ascii="Cormorant Garamond" w:cs="Cormorant Garamond" w:eastAsia="Cormorant Garamond" w:hAnsi="Cormorant Garamond"/>
            <w:color w:val="d9230f"/>
            <w:sz w:val="20"/>
            <w:szCs w:val="20"/>
            <w:u w:val="single"/>
            <w:rtl w:val="0"/>
          </w:rPr>
          <w:t xml:space="preserve">Bekkers and Wiepking, (2011). "A Literature Review of Empirical Studies of Philanthropy</w:t>
        </w:r>
      </w:hyperlink>
      <w:hyperlink r:id="rId10">
        <w:r w:rsidDel="00000000" w:rsidR="00000000" w:rsidRPr="00000000">
          <w:rPr>
            <w:rFonts w:ascii="Cormorant Garamond" w:cs="Cormorant Garamond" w:eastAsia="Cormorant Garamond" w:hAnsi="Cormorant Garamond"/>
            <w:color w:val="d9230f"/>
            <w:sz w:val="20"/>
            <w:szCs w:val="20"/>
            <w:u w:val="single"/>
            <w:rtl w:val="0"/>
          </w:rPr>
          <w:t xml:space="preserve">: </w:t>
        </w:r>
      </w:hyperlink>
      <w:r w:rsidDel="00000000" w:rsidR="00000000" w:rsidRPr="00000000">
        <w:fldChar w:fldCharType="begin"/>
        <w:instrText xml:space="preserve"> HYPERLINK "http://www.wiepking.com/papers/BekkersWiepking_2011_NVSQ.pdf" </w:instrText>
        <w:fldChar w:fldCharType="separate"/>
      </w:r>
      <w:r w:rsidDel="00000000" w:rsidR="00000000" w:rsidRPr="00000000">
        <w:rPr>
          <w:rFonts w:ascii="Cormorant Garamond" w:cs="Cormorant Garamond" w:eastAsia="Cormorant Garamond" w:hAnsi="Cormorant Garamond"/>
          <w:color w:val="d9230f"/>
          <w:sz w:val="20"/>
          <w:szCs w:val="20"/>
          <w:u w:val="single"/>
          <w:rtl w:val="0"/>
        </w:rPr>
        <w:t xml:space="preserve">Eight Mechanisms That Drive Charitable Giving” esp “Part 2: why do people give”; Nonprofit and Voluntary Sector Quarterly</w:t>
      </w:r>
    </w:p>
    <w:p w:rsidR="00000000" w:rsidDel="00000000" w:rsidP="00000000" w:rsidRDefault="00000000" w:rsidRPr="00000000" w14:paraId="0000001C">
      <w:pPr>
        <w:numPr>
          <w:ilvl w:val="0"/>
          <w:numId w:val="1"/>
        </w:numPr>
        <w:spacing w:after="0" w:afterAutospacing="0" w:lineRule="auto"/>
        <w:ind w:left="720" w:hanging="360"/>
        <w:rPr>
          <w:rFonts w:ascii="Cormorant Garamond" w:cs="Cormorant Garamond" w:eastAsia="Cormorant Garamond" w:hAnsi="Cormorant Garamond"/>
          <w:color w:val="777777"/>
          <w:sz w:val="20"/>
          <w:szCs w:val="20"/>
        </w:rPr>
      </w:pPr>
      <w:r w:rsidDel="00000000" w:rsidR="00000000" w:rsidRPr="00000000">
        <w:fldChar w:fldCharType="end"/>
      </w:r>
      <w:r w:rsidDel="00000000" w:rsidR="00000000" w:rsidRPr="00000000">
        <w:rPr>
          <w:rFonts w:ascii="Cormorant Garamond" w:cs="Cormorant Garamond" w:eastAsia="Cormorant Garamond" w:hAnsi="Cormorant Garamond"/>
          <w:color w:val="777777"/>
          <w:sz w:val="20"/>
          <w:szCs w:val="20"/>
          <w:rtl w:val="0"/>
        </w:rPr>
        <w:t xml:space="preserve">Andreoni and Payne (2013). Chapter 1 “Charitable Giving” in Auerbach, Alan J., et al., eds. Handbook of Public Economics. Vol. 5. Newnes</w:t>
      </w:r>
    </w:p>
    <w:p w:rsidR="00000000" w:rsidDel="00000000" w:rsidP="00000000" w:rsidRDefault="00000000" w:rsidRPr="00000000" w14:paraId="0000001D">
      <w:pPr>
        <w:numPr>
          <w:ilvl w:val="0"/>
          <w:numId w:val="1"/>
        </w:numPr>
        <w:spacing w:after="0" w:afterAutospacing="0" w:lineRule="auto"/>
        <w:ind w:left="720" w:hanging="360"/>
        <w:rPr>
          <w:rFonts w:ascii="Cormorant Garamond" w:cs="Cormorant Garamond" w:eastAsia="Cormorant Garamond" w:hAnsi="Cormorant Garamond"/>
          <w:color w:val="777777"/>
          <w:sz w:val="20"/>
          <w:szCs w:val="20"/>
        </w:rPr>
      </w:pPr>
      <w:r w:rsidDel="00000000" w:rsidR="00000000" w:rsidRPr="00000000">
        <w:rPr>
          <w:rFonts w:ascii="Cormorant Garamond" w:cs="Cormorant Garamond" w:eastAsia="Cormorant Garamond" w:hAnsi="Cormorant Garamond"/>
          <w:color w:val="777777"/>
          <w:sz w:val="20"/>
          <w:szCs w:val="20"/>
          <w:rtl w:val="0"/>
        </w:rPr>
        <w:t xml:space="preserve">Andreoni (2006), “Philanthropy” in Handbook of Giving, Reciprocity and Altruism</w:t>
      </w:r>
    </w:p>
    <w:p w:rsidR="00000000" w:rsidDel="00000000" w:rsidP="00000000" w:rsidRDefault="00000000" w:rsidRPr="00000000" w14:paraId="0000001E">
      <w:pPr>
        <w:numPr>
          <w:ilvl w:val="0"/>
          <w:numId w:val="1"/>
        </w:numPr>
        <w:spacing w:after="0" w:afterAutospacing="0" w:lineRule="auto"/>
        <w:ind w:left="720" w:hanging="360"/>
        <w:rPr>
          <w:rFonts w:ascii="Cormorant Garamond" w:cs="Cormorant Garamond" w:eastAsia="Cormorant Garamond" w:hAnsi="Cormorant Garamond"/>
          <w:color w:val="777777"/>
          <w:sz w:val="20"/>
          <w:szCs w:val="20"/>
        </w:rPr>
      </w:pPr>
      <w:r w:rsidDel="00000000" w:rsidR="00000000" w:rsidRPr="00000000">
        <w:rPr>
          <w:rFonts w:ascii="Cormorant Garamond" w:cs="Cormorant Garamond" w:eastAsia="Cormorant Garamond" w:hAnsi="Cormorant Garamond"/>
          <w:color w:val="777777"/>
          <w:sz w:val="20"/>
          <w:szCs w:val="20"/>
          <w:rtl w:val="0"/>
        </w:rPr>
        <w:t xml:space="preserve">“Gift giving: an interdisciplinary review” </w:t>
      </w:r>
      <w:hyperlink r:id="rId11">
        <w:r w:rsidDel="00000000" w:rsidR="00000000" w:rsidRPr="00000000">
          <w:rPr>
            <w:rFonts w:ascii="Cormorant Garamond" w:cs="Cormorant Garamond" w:eastAsia="Cormorant Garamond" w:hAnsi="Cormorant Garamond"/>
            <w:color w:val="d9230f"/>
            <w:sz w:val="20"/>
            <w:szCs w:val="20"/>
            <w:u w:val="single"/>
            <w:rtl w:val="0"/>
          </w:rPr>
          <w:t xml:space="preserve">Sargent and Woodliffe</w:t>
        </w:r>
      </w:hyperlink>
      <w:r w:rsidDel="00000000" w:rsidR="00000000" w:rsidRPr="00000000">
        <w:rPr>
          <w:rFonts w:ascii="Cormorant Garamond" w:cs="Cormorant Garamond" w:eastAsia="Cormorant Garamond" w:hAnsi="Cormorant Garamond"/>
          <w:color w:val="777777"/>
          <w:sz w:val="20"/>
          <w:szCs w:val="20"/>
          <w:rtl w:val="0"/>
        </w:rPr>
        <w:t xml:space="preserve"> (2007), Nonprofit and Voluntary Sector Marketing</w:t>
      </w:r>
    </w:p>
    <w:p w:rsidR="00000000" w:rsidDel="00000000" w:rsidP="00000000" w:rsidRDefault="00000000" w:rsidRPr="00000000" w14:paraId="0000001F">
      <w:pPr>
        <w:numPr>
          <w:ilvl w:val="0"/>
          <w:numId w:val="1"/>
        </w:numPr>
        <w:spacing w:after="0" w:afterAutospacing="0" w:lineRule="auto"/>
        <w:ind w:left="720" w:hanging="360"/>
        <w:rPr>
          <w:rFonts w:ascii="Cormorant Garamond" w:cs="Cormorant Garamond" w:eastAsia="Cormorant Garamond" w:hAnsi="Cormorant Garamond"/>
          <w:color w:val="777777"/>
          <w:sz w:val="20"/>
          <w:szCs w:val="20"/>
        </w:rPr>
      </w:pPr>
      <w:r w:rsidDel="00000000" w:rsidR="00000000" w:rsidRPr="00000000">
        <w:rPr>
          <w:rFonts w:ascii="Cormorant Garamond" w:cs="Cormorant Garamond" w:eastAsia="Cormorant Garamond" w:hAnsi="Cormorant Garamond"/>
          <w:b w:val="1"/>
          <w:color w:val="777777"/>
          <w:sz w:val="20"/>
          <w:szCs w:val="20"/>
          <w:rtl w:val="0"/>
        </w:rPr>
        <w:t xml:space="preserve">List</w:t>
      </w:r>
      <w:r w:rsidDel="00000000" w:rsidR="00000000" w:rsidRPr="00000000">
        <w:rPr>
          <w:rFonts w:ascii="Cormorant Garamond" w:cs="Cormorant Garamond" w:eastAsia="Cormorant Garamond" w:hAnsi="Cormorant Garamond"/>
          <w:color w:val="777777"/>
          <w:sz w:val="20"/>
          <w:szCs w:val="20"/>
          <w:rtl w:val="0"/>
        </w:rPr>
        <w:t xml:space="preserve"> (2011). Econ Perspectives or List (2008, ExpEcon), “Introduction to field experiments in economics with applications to the economics of charity”</w:t>
      </w:r>
    </w:p>
    <w:p w:rsidR="00000000" w:rsidDel="00000000" w:rsidP="00000000" w:rsidRDefault="00000000" w:rsidRPr="00000000" w14:paraId="00000020">
      <w:pPr>
        <w:numPr>
          <w:ilvl w:val="0"/>
          <w:numId w:val="1"/>
        </w:numPr>
        <w:spacing w:after="140" w:lineRule="auto"/>
        <w:ind w:left="720" w:hanging="360"/>
        <w:rPr>
          <w:rFonts w:ascii="Cormorant Garamond" w:cs="Cormorant Garamond" w:eastAsia="Cormorant Garamond" w:hAnsi="Cormorant Garamond"/>
          <w:color w:val="777777"/>
          <w:sz w:val="20"/>
          <w:szCs w:val="20"/>
        </w:rPr>
      </w:pPr>
      <w:r w:rsidDel="00000000" w:rsidR="00000000" w:rsidRPr="00000000">
        <w:rPr>
          <w:rFonts w:ascii="Cormorant Garamond" w:cs="Cormorant Garamond" w:eastAsia="Cormorant Garamond" w:hAnsi="Cormorant Garamond"/>
          <w:color w:val="777777"/>
          <w:sz w:val="20"/>
          <w:szCs w:val="20"/>
          <w:rtl w:val="0"/>
        </w:rPr>
        <w:t xml:space="preserve">Also: Duncan (2004); Atkinson (2008); List (2011, JEPR)</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...Less academic:</w:t>
      </w:r>
    </w:p>
    <w:p w:rsidR="00000000" w:rsidDel="00000000" w:rsidP="00000000" w:rsidRDefault="00000000" w:rsidRPr="00000000" w14:paraId="00000022">
      <w:pPr>
        <w:numPr>
          <w:ilvl w:val="0"/>
          <w:numId w:val="6"/>
        </w:numPr>
        <w:spacing w:after="0" w:afterAutospacing="0" w:lineRule="auto"/>
        <w:ind w:left="720" w:hanging="360"/>
        <w:rPr>
          <w:rFonts w:ascii="Cormorant Garamond" w:cs="Cormorant Garamond" w:eastAsia="Cormorant Garamond" w:hAnsi="Cormorant Garamond"/>
          <w:sz w:val="20"/>
          <w:szCs w:val="20"/>
        </w:rPr>
      </w:pPr>
      <w:r w:rsidDel="00000000" w:rsidR="00000000" w:rsidRPr="00000000">
        <w:fldChar w:fldCharType="begin"/>
        <w:instrText xml:space="preserve"> HYPERLINK "http://www.ideas42.org/wp-content/uploads/2016/06/Behavior-and-Charitable-Giving_ideas42.pdf" </w:instrText>
        <w:fldChar w:fldCharType="separate"/>
      </w:r>
      <w:r w:rsidDel="00000000" w:rsidR="00000000" w:rsidRPr="00000000">
        <w:rPr>
          <w:rFonts w:ascii="Cormorant Garamond" w:cs="Cormorant Garamond" w:eastAsia="Cormorant Garamond" w:hAnsi="Cormorant Garamond"/>
          <w:color w:val="91170a"/>
          <w:sz w:val="20"/>
          <w:szCs w:val="20"/>
          <w:u w:val="single"/>
          <w:rtl w:val="0"/>
        </w:rPr>
        <w:t xml:space="preserve">Ideas42- Behavior and Charitable Giving</w:t>
      </w:r>
    </w:p>
    <w:p w:rsidR="00000000" w:rsidDel="00000000" w:rsidP="00000000" w:rsidRDefault="00000000" w:rsidRPr="00000000" w14:paraId="00000023">
      <w:pPr>
        <w:numPr>
          <w:ilvl w:val="0"/>
          <w:numId w:val="6"/>
        </w:numPr>
        <w:spacing w:after="0" w:afterAutospacing="0" w:lineRule="auto"/>
        <w:ind w:left="720" w:hanging="360"/>
        <w:rPr>
          <w:rFonts w:ascii="Cormorant Garamond" w:cs="Cormorant Garamond" w:eastAsia="Cormorant Garamond" w:hAnsi="Cormorant Garamond"/>
          <w:sz w:val="20"/>
          <w:szCs w:val="20"/>
        </w:rPr>
      </w:pPr>
      <w:r w:rsidDel="00000000" w:rsidR="00000000" w:rsidRPr="00000000">
        <w:fldChar w:fldCharType="end"/>
      </w:r>
      <w:r w:rsidDel="00000000" w:rsidR="00000000" w:rsidRPr="00000000">
        <w:fldChar w:fldCharType="begin"/>
        <w:instrText xml:space="preserve"> HYPERLINK "http://spihub.org/resources/practice" </w:instrText>
        <w:fldChar w:fldCharType="separate"/>
      </w:r>
      <w:r w:rsidDel="00000000" w:rsidR="00000000" w:rsidRPr="00000000">
        <w:rPr>
          <w:rFonts w:ascii="Cormorant Garamond" w:cs="Cormorant Garamond" w:eastAsia="Cormorant Garamond" w:hAnsi="Cormorant Garamond"/>
          <w:color w:val="d9230f"/>
          <w:sz w:val="20"/>
          <w:szCs w:val="20"/>
          <w:u w:val="single"/>
          <w:rtl w:val="0"/>
        </w:rPr>
        <w:t xml:space="preserve">Science of Philanthropy Initiative 'Practical Takeaways</w:t>
      </w:r>
    </w:p>
    <w:p w:rsidR="00000000" w:rsidDel="00000000" w:rsidP="00000000" w:rsidRDefault="00000000" w:rsidRPr="00000000" w14:paraId="00000024">
      <w:pPr>
        <w:numPr>
          <w:ilvl w:val="0"/>
          <w:numId w:val="6"/>
        </w:numPr>
        <w:spacing w:after="140" w:lineRule="auto"/>
        <w:ind w:left="720" w:hanging="360"/>
        <w:rPr>
          <w:rFonts w:ascii="Cormorant Garamond" w:cs="Cormorant Garamond" w:eastAsia="Cormorant Garamond" w:hAnsi="Cormorant Garamond"/>
          <w:sz w:val="20"/>
          <w:szCs w:val="20"/>
        </w:rPr>
      </w:pPr>
      <w:r w:rsidDel="00000000" w:rsidR="00000000" w:rsidRPr="00000000">
        <w:fldChar w:fldCharType="end"/>
      </w:r>
      <w:hyperlink r:id="rId12">
        <w:r w:rsidDel="00000000" w:rsidR="00000000" w:rsidRPr="00000000">
          <w:rPr>
            <w:rFonts w:ascii="Cormorant Garamond" w:cs="Cormorant Garamond" w:eastAsia="Cormorant Garamond" w:hAnsi="Cormorant Garamond"/>
            <w:color w:val="d9230f"/>
            <w:sz w:val="20"/>
            <w:szCs w:val="20"/>
            <w:u w:val="single"/>
            <w:rtl w:val="0"/>
          </w:rPr>
          <w:t xml:space="preserve">Behavioural Insights Team (2013), “Applying Behavioural Insights to Charitable Giving.”</w:t>
        </w:r>
      </w:hyperlink>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Other relevant examples of literature reviews/surveys/meta:</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28">
      <w:pPr>
        <w:pStyle w:val="Heading2"/>
        <w:numPr>
          <w:ilvl w:val="1"/>
          <w:numId w:val="4"/>
        </w:numPr>
        <w:tabs>
          <w:tab w:val="left" w:pos="0"/>
        </w:tabs>
        <w:rPr>
          <w:i w:val="0"/>
          <w:sz w:val="24"/>
          <w:szCs w:val="24"/>
          <w:u w:val="none"/>
        </w:rPr>
      </w:pPr>
      <w:r w:rsidDel="00000000" w:rsidR="00000000" w:rsidRPr="00000000">
        <w:rPr>
          <w:rtl w:val="0"/>
        </w:rPr>
        <w:t xml:space="preserve">1a. Who does give effectively? (or put at bottom?)</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Who </w:t>
      </w:r>
      <w:r w:rsidDel="00000000" w:rsidR="00000000" w:rsidRPr="00000000">
        <w:rPr>
          <w:rFonts w:ascii="Cormorant Garamond" w:cs="Cormorant Garamond" w:eastAsia="Cormorant Garamond" w:hAnsi="Cormorant Garamond"/>
          <w:i w:val="1"/>
          <w:smallCaps w:val="0"/>
          <w:strike w:val="0"/>
          <w:color w:val="000000"/>
          <w:sz w:val="24"/>
          <w:szCs w:val="24"/>
          <w:u w:val="none"/>
          <w:shd w:fill="auto" w:val="clear"/>
          <w:vertAlign w:val="baseline"/>
          <w:rtl w:val="0"/>
        </w:rPr>
        <w:t xml:space="preserve">does</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give internationally/effectively (descriptives). Briefly defining the EA movement as an important force "we" (economists, psychologists) need to discuss. (Or put this at bottom?)</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Cormorant Garamond" w:cs="Cormorant Garamond" w:eastAsia="Cormorant Garamond" w:hAnsi="Cormorant Garamond"/>
          <w:i w:val="0"/>
          <w:smallCaps w:val="0"/>
          <w:strike w:val="0"/>
          <w:color w:val="000000"/>
          <w:sz w:val="20"/>
          <w:szCs w:val="20"/>
          <w:u w:val="none"/>
          <w:shd w:fill="cccccc" w:val="clear"/>
          <w:vertAlign w:val="baseline"/>
        </w:rPr>
      </w:pPr>
      <w:r w:rsidDel="00000000" w:rsidR="00000000" w:rsidRPr="00000000">
        <w:rPr>
          <w:rFonts w:ascii="Cormorant Garamond" w:cs="Cormorant Garamond" w:eastAsia="Cormorant Garamond" w:hAnsi="Cormorant Garamond"/>
          <w:i w:val="0"/>
          <w:smallCaps w:val="0"/>
          <w:strike w:val="0"/>
          <w:color w:val="000000"/>
          <w:sz w:val="20"/>
          <w:szCs w:val="20"/>
          <w:u w:val="none"/>
          <w:shd w:fill="cccccc" w:val="clear"/>
          <w:vertAlign w:val="baseline"/>
          <w:rtl w:val="0"/>
        </w:rPr>
        <w:t xml:space="preserve">Fitz/Kagan: Understanding Effective Givers: In this study we attempt to understand who is predisposed towards effective giving. After providing a description of the effective giving movement, we measure support for effective giving and measure a wide range of personality traits and demographics that may predict support for effective giving.</w:t>
      </w:r>
    </w:p>
    <w:p w:rsidR="00000000" w:rsidDel="00000000" w:rsidP="00000000" w:rsidRDefault="00000000" w:rsidRPr="00000000" w14:paraId="0000002B">
      <w:pPr>
        <w:pStyle w:val="Heading2"/>
        <w:numPr>
          <w:ilvl w:val="1"/>
          <w:numId w:val="4"/>
        </w:numPr>
        <w:tabs>
          <w:tab w:val="left" w:pos="0"/>
        </w:tabs>
        <w:ind w:left="0" w:firstLine="0"/>
        <w:rPr>
          <w:u w:val="none"/>
        </w:rPr>
      </w:pPr>
      <w:r w:rsidDel="00000000" w:rsidR="00000000" w:rsidRPr="00000000">
        <w:rPr>
          <w:rtl w:val="0"/>
        </w:rPr>
        <w:t xml:space="preserve">1b. Why (under what models) is this a puzzle?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Why (under what models) is this a puzzle? Economics and psych models </w:t>
      </w:r>
      <w:r w:rsidDel="00000000" w:rsidR="00000000" w:rsidRPr="00000000">
        <w:rPr>
          <w:rFonts w:ascii="Nova Mono" w:cs="Nova Mono" w:eastAsia="Nova Mono" w:hAnsi="Nova Mono"/>
          <w:rtl w:val="0"/>
        </w:rPr>
        <w:t xml:space="preserve">→ </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puzzle? Models where people care about the impact of their gift or just 'amount sacrificed' (naive warm glow). Does impact map into the 'good feeling' from giving, can it do so?</w:t>
      </w:r>
    </w:p>
    <w:p w:rsidR="00000000" w:rsidDel="00000000" w:rsidP="00000000" w:rsidRDefault="00000000" w:rsidRPr="00000000" w14:paraId="0000002D">
      <w:pPr>
        <w:pStyle w:val="Heading2"/>
        <w:numPr>
          <w:ilvl w:val="1"/>
          <w:numId w:val="4"/>
        </w:numPr>
        <w:tabs>
          <w:tab w:val="left" w:pos="0"/>
        </w:tabs>
        <w:ind w:left="0" w:firstLine="0"/>
        <w:rPr>
          <w:u w:val="none"/>
        </w:rPr>
      </w:pPr>
      <w:r w:rsidDel="00000000" w:rsidR="00000000" w:rsidRPr="00000000">
        <w:rPr>
          <w:rtl w:val="0"/>
        </w:rPr>
        <w:t xml:space="preserve">1c: Are charities in competition? Is the ineffective giving reducing effective giving? Ask people to give to EA charity 'instead'?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(Or put in section 2?)</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Does one ask (or donation) crowd out another... when and how? This is critical to understanding the extent to which gains can be achieved by getting people to 'switch' from other charities. To the extent this is the case, factors driving giving to the non-EA charities, especially local obligations (e.g., neighbors pressure you to give to local orgs) themselves represent barriers to EA giving (see below).</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(David Reinstein has a simultaneous research project on this 'expenditure substitution' question.)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(Reinstein, '10), (Meer, '17)</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Donkers2017, Diepen2009, scharf2015disaster, reinstein2010does, meer_2017 deryugina2015causes, Harwell, van2009does, reinstein2010substitution</w:t>
      </w:r>
    </w:p>
    <w:p w:rsidR="00000000" w:rsidDel="00000000" w:rsidP="00000000" w:rsidRDefault="00000000" w:rsidRPr="00000000" w14:paraId="00000033">
      <w:pPr>
        <w:pStyle w:val="Heading1"/>
        <w:numPr>
          <w:ilvl w:val="0"/>
          <w:numId w:val="4"/>
        </w:numPr>
        <w:tabs>
          <w:tab w:val="left" w:pos="0"/>
        </w:tabs>
        <w:ind w:left="0" w:firstLine="0"/>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2. Explaining the puzzle: </w:t>
      </w:r>
      <w:commentRangeStart w:id="4"/>
      <w:commentRangeStart w:id="5"/>
      <w:r w:rsidDel="00000000" w:rsidR="00000000" w:rsidRPr="00000000">
        <w:rPr>
          <w:rFonts w:ascii="Cormorant Garamond" w:cs="Cormorant Garamond" w:eastAsia="Cormorant Garamond" w:hAnsi="Cormorant Garamond"/>
          <w:rtl w:val="0"/>
        </w:rPr>
        <w:t xml:space="preserve">Barriers to EA giving and potential responses, evidence</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4">
      <w:pPr>
        <w:pStyle w:val="Heading2"/>
        <w:numPr>
          <w:ilvl w:val="1"/>
          <w:numId w:val="4"/>
        </w:numPr>
        <w:tabs>
          <w:tab w:val="left" w:pos="0"/>
        </w:tabs>
        <w:ind w:left="0" w:firstLine="0"/>
        <w:rPr>
          <w:u w:val="none"/>
        </w:rPr>
      </w:pPr>
      <w:r w:rsidDel="00000000" w:rsidR="00000000" w:rsidRPr="00000000">
        <w:rPr>
          <w:rtl w:val="0"/>
        </w:rPr>
        <w:t xml:space="preserve">2a. Economic and psych models conceptualizing this</w:t>
      </w:r>
    </w:p>
    <w:p w:rsidR="00000000" w:rsidDel="00000000" w:rsidP="00000000" w:rsidRDefault="00000000" w:rsidRPr="00000000" w14:paraId="00000035">
      <w:pPr>
        <w:pStyle w:val="Heading2"/>
        <w:numPr>
          <w:ilvl w:val="1"/>
          <w:numId w:val="4"/>
        </w:numPr>
        <w:tabs>
          <w:tab w:val="left" w:pos="0"/>
        </w:tabs>
        <w:ind w:left="0" w:firstLine="0"/>
        <w:rPr>
          <w:u w:val="none"/>
        </w:rPr>
      </w:pPr>
      <w:r w:rsidDel="00000000" w:rsidR="00000000" w:rsidRPr="00000000">
        <w:rPr>
          <w:rtl w:val="0"/>
        </w:rPr>
        <w:t xml:space="preserve">2a: Do people care about impact? "Efficiency" versus impact.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Charity 'quality ratings' -, Overhead aversion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(Yoruk, 2016), (Gneezy ea, '14) yoruk_2016, Gneezy 2014 brown_etal_2016, Chhaochharia_Ghosh_08?, Kinsbergen_tolsma_13 </w:t>
      </w:r>
      <w:r w:rsidDel="00000000" w:rsidR="00000000" w:rsidRPr="00000000">
        <w:rPr>
          <w:rFonts w:ascii="Cormorant Garamond" w:cs="Cormorant Garamond" w:eastAsia="Cormorant Garamond" w:hAnsi="Cormorant Garamond"/>
          <w:rtl w:val="0"/>
        </w:rPr>
        <w:t xml:space="preserve">- Andrioni ‘warm glow’</w:t>
      </w:r>
    </w:p>
    <w:p w:rsidR="00000000" w:rsidDel="00000000" w:rsidP="00000000" w:rsidRDefault="00000000" w:rsidRPr="00000000" w14:paraId="00000038">
      <w:pPr>
        <w:pStyle w:val="Heading2"/>
        <w:numPr>
          <w:ilvl w:val="1"/>
          <w:numId w:val="4"/>
        </w:numPr>
        <w:tabs>
          <w:tab w:val="left" w:pos="0"/>
        </w:tabs>
        <w:ind w:left="0" w:firstLine="0"/>
        <w:rPr>
          <w:u w:val="none"/>
        </w:rPr>
      </w:pPr>
      <w:r w:rsidDel="00000000" w:rsidR="00000000" w:rsidRPr="00000000">
        <w:rPr>
          <w:rtl w:val="0"/>
        </w:rPr>
        <w:t xml:space="preserve">( or here -- 2a: Charities in competition? Ask people to give to EA charity 'instead'?)</w:t>
      </w:r>
    </w:p>
    <w:p w:rsidR="00000000" w:rsidDel="00000000" w:rsidP="00000000" w:rsidRDefault="00000000" w:rsidRPr="00000000" w14:paraId="00000039">
      <w:pPr>
        <w:pStyle w:val="Heading2"/>
        <w:numPr>
          <w:ilvl w:val="1"/>
          <w:numId w:val="4"/>
        </w:numPr>
        <w:tabs>
          <w:tab w:val="left" w:pos="0"/>
        </w:tabs>
        <w:ind w:left="0" w:firstLine="0"/>
        <w:rPr>
          <w:u w:val="none"/>
        </w:rPr>
      </w:pPr>
      <w:r w:rsidDel="00000000" w:rsidR="00000000" w:rsidRPr="00000000">
        <w:rPr>
          <w:rtl w:val="0"/>
        </w:rPr>
        <w:t xml:space="preserve">2b. Barriers: Biases in perceiving impact (or in perceiving the importance of impact)</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Cognitive biases: Overweighting and underweighting probabilities (relates to </w:t>
      </w:r>
      <w:r w:rsidDel="00000000" w:rsidR="00000000" w:rsidRPr="00000000">
        <w:rPr>
          <w:rFonts w:ascii="Cormorant Garamond" w:cs="Cormorant Garamond" w:eastAsia="Cormorant Garamond" w:hAnsi="Cormorant Garamond"/>
          <w:i w:val="1"/>
          <w:rtl w:val="0"/>
        </w:rPr>
        <w:t xml:space="preserve">availability bias</w:t>
      </w:r>
      <w:r w:rsidDel="00000000" w:rsidR="00000000" w:rsidRPr="00000000">
        <w:rPr>
          <w:rFonts w:ascii="Cormorant Garamond" w:cs="Cormorant Garamond" w:eastAsia="Cormorant Garamond" w:hAnsi="Cormorant Garamond"/>
          <w:rtl w:val="0"/>
        </w:rPr>
        <w:t xml:space="preserve">)</w:t>
      </w:r>
      <w:r w:rsidDel="00000000" w:rsidR="00000000" w:rsidRPr="00000000">
        <w:rPr>
          <w:rFonts w:ascii="Cormorant Garamond" w:cs="Cormorant Garamond" w:eastAsia="Cormorant Garamond" w:hAnsi="Cormorant Garamond"/>
          <w:vertAlign w:val="superscript"/>
        </w:rPr>
        <w:footnoteReference w:customMarkFollows="0" w:id="1"/>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misunderstanding marginality (vs </w:t>
      </w:r>
      <w:r w:rsidDel="00000000" w:rsidR="00000000" w:rsidRPr="00000000">
        <w:rPr>
          <w:rtl w:val="0"/>
        </w:rPr>
        <w:t xml:space="preserve">average, pakistan vs tsunami; also relates to drop in the bcket and futility)</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scope-insensitivity,</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superscript"/>
        </w:rPr>
        <w:footnoteReference w:customMarkFollows="0" w:id="2"/>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Opportunity-cost </w:t>
      </w:r>
      <w:r w:rsidDel="00000000" w:rsidR="00000000" w:rsidRPr="00000000">
        <w:rPr>
          <w:rtl w:val="0"/>
        </w:rPr>
        <w:t xml:space="preserve">n</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eglect., </w:t>
      </w:r>
      <w:r w:rsidDel="00000000" w:rsidR="00000000" w:rsidRPr="00000000">
        <w:rPr>
          <w:rFonts w:ascii="Cormorant Garamond" w:cs="Cormorant Garamond" w:eastAsia="Cormorant Garamond" w:hAnsi="Cormorant Garamond"/>
          <w:rtl w:val="0"/>
        </w:rPr>
        <w:t xml:space="preserve">confirmation bias, ,</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w:t>
      </w:r>
      <w:r w:rsidDel="00000000" w:rsidR="00000000" w:rsidRPr="00000000">
        <w:rPr>
          <w:rFonts w:ascii="Cormorant Garamond" w:cs="Cormorant Garamond" w:eastAsia="Cormorant Garamond" w:hAnsi="Cormorant Garamond"/>
          <w:rtl w:val="0"/>
        </w:rPr>
        <w:t xml:space="preserve">i</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dentifiable victims effec</w:t>
      </w:r>
      <w:r w:rsidDel="00000000" w:rsidR="00000000" w:rsidRPr="00000000">
        <w:rPr>
          <w:rtl w:val="0"/>
        </w:rPr>
        <w:t xml:space="preserve">t (put elsewhere?) </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Responses: De-biasing, etc.</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small2007sympathy, Gneezy2014 ein2013giving, kogut2005identified, kogut_2005b, Kinsbergen_tolsma_13</w:t>
      </w:r>
    </w:p>
    <w:p w:rsidR="00000000" w:rsidDel="00000000" w:rsidP="00000000" w:rsidRDefault="00000000" w:rsidRPr="00000000" w14:paraId="0000003D">
      <w:pPr>
        <w:pStyle w:val="Heading2"/>
        <w:numPr>
          <w:ilvl w:val="1"/>
          <w:numId w:val="4"/>
        </w:numPr>
        <w:tabs>
          <w:tab w:val="left" w:pos="0"/>
        </w:tabs>
        <w:ind w:left="0" w:firstLine="0"/>
        <w:rPr>
          <w:u w:val="none"/>
        </w:rPr>
      </w:pPr>
      <w:r w:rsidDel="00000000" w:rsidR="00000000" w:rsidRPr="00000000">
        <w:rPr>
          <w:rtl w:val="0"/>
        </w:rPr>
        <w:t xml:space="preserve">2b. Barriers: Presenting analytical/impact information </w:t>
      </w:r>
      <w:commentRangeStart w:id="6"/>
      <w:r w:rsidDel="00000000" w:rsidR="00000000" w:rsidRPr="00000000">
        <w:rPr>
          <w:rtl w:val="0"/>
        </w:rPr>
        <w:t xml:space="preserve">switches off system 1;</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Charity effectiveness (info/deliberation) -, Donor's mood (Impacting) - Affect prime -, Evaluation mode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(Karlan &amp; W, '07), (Kogut &amp; R, '05) (Small ea, '07), (Drouvelis &amp; G, '16), (Caviola ea, '14)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We next survey the empirical work related to whether (and when and how) presenting information on a charity's impact (amount of good done per dollar spent) will have a positive effect on amounts raised, and donation propensity. The evidence (from the Economics/Behavioral Economics literature) is largely mixed and indeterminate. There has been only a single strong field trial (Karlan) in a particular context, which itself reported mixed (null overall, positive for some subgroups, negative for others), and some underpowered results. Laboratory experiments (with real donations) by Small et al find that giving to an identifiable victim is </w:t>
      </w:r>
      <w:r w:rsidDel="00000000" w:rsidR="00000000" w:rsidRPr="00000000">
        <w:rPr>
          <w:rFonts w:ascii="Cormorant Garamond" w:cs="Cormorant Garamond" w:eastAsia="Cormorant Garamond" w:hAnsi="Cormorant Garamond"/>
          <w:i w:val="1"/>
          <w:rtl w:val="0"/>
        </w:rPr>
        <w:t xml:space="preserve">reduced</w:t>
      </w:r>
      <w:r w:rsidDel="00000000" w:rsidR="00000000" w:rsidRPr="00000000">
        <w:rPr>
          <w:rFonts w:ascii="Cormorant Garamond" w:cs="Cormorant Garamond" w:eastAsia="Cormorant Garamond" w:hAnsi="Cormorant Garamond"/>
          <w:rtl w:val="0"/>
        </w:rPr>
        <w:t xml:space="preserve"> when statistics are also presented and “priming analytic thinking reduced donations to an identifiable victim relative to a feeling-based thinking prime.” Further evidence from lab experiments is mixed and limited, with some studies (Fong and O) </w:t>
      </w:r>
      <w:r w:rsidDel="00000000" w:rsidR="00000000" w:rsidRPr="00000000">
        <w:rPr>
          <w:rFonts w:ascii="Cormorant Garamond" w:cs="Cormorant Garamond" w:eastAsia="Cormorant Garamond" w:hAnsi="Cormorant Garamond"/>
          <w:i w:val="1"/>
          <w:rtl w:val="0"/>
        </w:rPr>
        <w:t xml:space="preserve">apparently</w:t>
      </w:r>
      <w:r w:rsidDel="00000000" w:rsidR="00000000" w:rsidRPr="00000000">
        <w:rPr>
          <w:rFonts w:ascii="Cormorant Garamond" w:cs="Cormorant Garamond" w:eastAsia="Cormorant Garamond" w:hAnsi="Cormorant Garamond"/>
          <w:rtl w:val="0"/>
        </w:rPr>
        <w:t xml:space="preserve"> finding that exogenous information about recipient increases donations (although they do not report this), and another underpowered study (Metzger and G).  There is some evidence from observational studies that 'charity ratings' boost giving, at least for smaller charities (Yoruk), but these ratings do not measure impact. Further review should explore the psychology (see., e.g., Verkaik), marketing, and nonprofit management literatures. There is some speculation, but again, mixed evidence, that individuals already in a “system 2” (deliberative) frame are more likely to be positively affected by impact information. There is also a distinction to be further explored between “output information” (how the donation is used) and “impact information”; the former is seen to increase generosity in several studies.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43">
      <w:pPr>
        <w:pStyle w:val="Heading2"/>
        <w:numPr>
          <w:ilvl w:val="1"/>
          <w:numId w:val="4"/>
        </w:numPr>
        <w:tabs>
          <w:tab w:val="left" w:pos="0"/>
        </w:tabs>
        <w:ind w:left="0" w:firstLine="0"/>
        <w:rPr>
          <w:u w:val="none"/>
        </w:rPr>
      </w:pPr>
      <w:r w:rsidDel="00000000" w:rsidR="00000000" w:rsidRPr="00000000">
        <w:rPr>
          <w:rtl w:val="0"/>
        </w:rPr>
        <w:t xml:space="preserve">2b. Barriers: Avoiding information, motivated reasoning in processing it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andreoni2017avoiding, Exley2016, Exley2015, dellavigna2012 Kellner_EA_2017, </w:t>
      </w:r>
    </w:p>
    <w:p w:rsidR="00000000" w:rsidDel="00000000" w:rsidP="00000000" w:rsidRDefault="00000000" w:rsidRPr="00000000" w14:paraId="00000045">
      <w:pPr>
        <w:pStyle w:val="Heading2"/>
        <w:numPr>
          <w:ilvl w:val="1"/>
          <w:numId w:val="4"/>
        </w:numPr>
        <w:tabs>
          <w:tab w:val="left" w:pos="0"/>
        </w:tabs>
        <w:ind w:left="0" w:firstLine="0"/>
        <w:rPr>
          <w:u w:val="none"/>
        </w:rPr>
      </w:pPr>
      <w:r w:rsidDel="00000000" w:rsidR="00000000" w:rsidRPr="00000000">
        <w:rPr>
          <w:rtl w:val="0"/>
        </w:rPr>
        <w:t xml:space="preserve">2b. Barriers: Perfectionism/deontological aversion to 'waste' (or excuse-driven, motivated reasoning), lack of tangibility (giving to a diffuse cause); Percieved lack of transparency, and perceived corruption overseas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"Overhead aversion, Information about recipients' deservingness -, "Avoid uncertainties/excuses not to give/mental transactions costs -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(Gneezy ea, '14), (Fong &amp; O, '10), (Exley, '16b) (Andreoni ea, '17), (Dellavigna ea, '12)</w:t>
      </w:r>
    </w:p>
    <w:p w:rsidR="00000000" w:rsidDel="00000000" w:rsidP="00000000" w:rsidRDefault="00000000" w:rsidRPr="00000000" w14:paraId="00000048">
      <w:pPr>
        <w:pStyle w:val="Heading2"/>
        <w:numPr>
          <w:ilvl w:val="1"/>
          <w:numId w:val="4"/>
        </w:numPr>
        <w:tabs>
          <w:tab w:val="left" w:pos="0"/>
        </w:tabs>
        <w:ind w:left="0" w:firstLine="0"/>
        <w:rPr>
          <w:u w:val="none"/>
        </w:rPr>
      </w:pPr>
      <w:r w:rsidDel="00000000" w:rsidR="00000000" w:rsidRPr="00000000">
        <w:rPr>
          <w:rtl w:val="0"/>
        </w:rPr>
        <w:t xml:space="preserve">2b. Barriers: Social/geographic distance attenuates empathy (and other motivators)</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(Info enhancing) social closeness of recipient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?cuddy_ea_2007 (Sudhir ea, '16)</w:t>
      </w:r>
    </w:p>
    <w:p w:rsidR="00000000" w:rsidDel="00000000" w:rsidP="00000000" w:rsidRDefault="00000000" w:rsidRPr="00000000" w14:paraId="0000004B">
      <w:pPr>
        <w:pStyle w:val="Heading2"/>
        <w:numPr>
          <w:ilvl w:val="1"/>
          <w:numId w:val="4"/>
        </w:numPr>
        <w:tabs>
          <w:tab w:val="left" w:pos="0"/>
        </w:tabs>
        <w:ind w:left="0" w:firstLine="0"/>
        <w:rPr>
          <w:u w:val="none"/>
        </w:rPr>
      </w:pPr>
      <w:r w:rsidDel="00000000" w:rsidR="00000000" w:rsidRPr="00000000">
        <w:rPr>
          <w:rtl w:val="0"/>
        </w:rPr>
        <w:t xml:space="preserve">2b. Barriers: Strong local appeals ('the ask'), social obligations to give locally, and </w:t>
      </w:r>
      <w:commentRangeStart w:id="7"/>
      <w:r w:rsidDel="00000000" w:rsidR="00000000" w:rsidRPr="00000000">
        <w:rPr>
          <w:rtl w:val="0"/>
        </w:rPr>
        <w:t xml:space="preserve">need for “virtue-signaling”</w:t>
      </w:r>
      <w:commentRangeEnd w:id="7"/>
      <w:r w:rsidDel="00000000" w:rsidR="00000000" w:rsidRPr="00000000">
        <w:commentReference w:id="7"/>
      </w:r>
      <w:r w:rsidDel="00000000" w:rsidR="00000000" w:rsidRPr="00000000">
        <w:rPr>
          <w:rtl w:val="0"/>
        </w:rPr>
        <w:t xml:space="preserve">  (and 'crowding out'/moral licensing may exist)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(Meer, '11)</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4E">
      <w:pPr>
        <w:rPr>
          <w:rFonts w:ascii="Cormorant Garamond" w:cs="Cormorant Garamond" w:eastAsia="Cormorant Garamond" w:hAnsi="Cormorant Garamond"/>
          <w:b w:val="1"/>
          <w:u w:val="single"/>
        </w:rPr>
      </w:pPr>
      <w:commentRangeStart w:id="8"/>
      <w:r w:rsidDel="00000000" w:rsidR="00000000" w:rsidRPr="00000000">
        <w:rPr>
          <w:rFonts w:ascii="Cormorant Garamond" w:cs="Cormorant Garamond" w:eastAsia="Cormorant Garamond" w:hAnsi="Cormorant Garamond"/>
          <w:b w:val="1"/>
          <w:u w:val="single"/>
          <w:rtl w:val="0"/>
        </w:rPr>
        <w:t xml:space="preserve">2b. Barriers: Moral emotions not aligned to effectiveness (and 'crowding out'/moral licensing may exist)</w:t>
      </w:r>
      <w:commentRangeEnd w:id="8"/>
      <w:r w:rsidDel="00000000" w:rsidR="00000000" w:rsidRPr="00000000">
        <w:commentReference w:id="8"/>
      </w:r>
      <w:r w:rsidDel="00000000" w:rsidR="00000000" w:rsidRPr="00000000">
        <w:rPr>
          <w:rFonts w:ascii="Cormorant Garamond" w:cs="Cormorant Garamond" w:eastAsia="Cormorant Garamond" w:hAnsi="Cormorant Garamond"/>
          <w:b w:val="1"/>
          <w:u w:val="single"/>
          <w:vertAlign w:val="superscript"/>
        </w:rPr>
        <w:footnoteReference w:customMarkFollows="0" w:id="4"/>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b w:val="1"/>
          <w:u w:val="singl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b w:val="1"/>
          <w:u w:val="single"/>
        </w:rPr>
      </w:pPr>
      <w:r w:rsidDel="00000000" w:rsidR="00000000" w:rsidRPr="00000000">
        <w:rPr>
          <w:rFonts w:ascii="Cormorant Garamond" w:cs="Cormorant Garamond" w:eastAsia="Cormorant Garamond" w:hAnsi="Cormorant Garamond"/>
          <w:b w:val="1"/>
          <w:u w:val="single"/>
          <w:rtl w:val="0"/>
        </w:rPr>
        <w:t xml:space="preserve">2b. Barriers: Cognitive dissonance with previous decisions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Other barriers</w:t>
      </w:r>
    </w:p>
    <w:p w:rsidR="00000000" w:rsidDel="00000000" w:rsidP="00000000" w:rsidRDefault="00000000" w:rsidRPr="00000000" w14:paraId="00000053">
      <w:pPr>
        <w:rPr>
          <w:u w:val="single"/>
        </w:rPr>
      </w:pPr>
      <w:r w:rsidDel="00000000" w:rsidR="00000000" w:rsidRPr="00000000">
        <w:rPr>
          <w:rtl w:val="0"/>
        </w:rPr>
        <w:t xml:space="preserve">status quo bias, system justification</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55">
      <w:pPr>
        <w:pStyle w:val="Heading1"/>
        <w:numPr>
          <w:ilvl w:val="0"/>
          <w:numId w:val="4"/>
        </w:numPr>
        <w:tabs>
          <w:tab w:val="left" w:pos="0"/>
        </w:tabs>
        <w:ind w:left="0" w:firstLine="0"/>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3. Tools for motivating EA giving</w:t>
      </w:r>
    </w:p>
    <w:p w:rsidR="00000000" w:rsidDel="00000000" w:rsidP="00000000" w:rsidRDefault="00000000" w:rsidRPr="00000000" w14:paraId="00000056">
      <w:pPr>
        <w:pStyle w:val="Heading2"/>
        <w:numPr>
          <w:ilvl w:val="1"/>
          <w:numId w:val="4"/>
        </w:numPr>
        <w:tabs>
          <w:tab w:val="left" w:pos="0"/>
        </w:tabs>
        <w:ind w:left="0" w:firstLine="0"/>
        <w:rPr>
          <w:u w:val="none"/>
        </w:rPr>
      </w:pPr>
      <w:r w:rsidDel="00000000" w:rsidR="00000000" w:rsidRPr="00000000">
        <w:rPr>
          <w:rtl w:val="0"/>
        </w:rPr>
        <w:t xml:space="preserve">3a. Psych/behavioral tools; applicability to EA charities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Briefly highlight those 'tools' that give non-EA an advantage, but focus on the actionable--how EA lessen or flip that advantage. 2. Which tools present particular challenges or opportunities for EA</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Recipient's plight as 'loss' vs previous state -, Unconditional gift (Gift exchange) -, "Percentage donations tied to purchases, especially in online auctions -", Give more tomorrow -, Give if you win -, "Size of ask; Low-ball, 'Legitimation of paltry donation' (LPD/LPC) -", Solicitor characteristics -, Visibility (of giver), Visibility - Recognition 'to influence others', Visibility - Recognition tiers, Reveal previous donor/donation (also 'info')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(Sudhir ea, '16), (Falk, '07), (Elfenbein ea, '12), (Breman, '11), (Kellner ea, '17), (Fraser ea, '89), (Cialdini and S, '76), (Andrews ea, '08), (Gneezy ea, '17), (Landry ea, '05), (Meer, '11), (Harbaugh, '98), (Soetevent, '05), (Reinstein &amp; R, '12), (Karlan &amp; M '14), (Harbaugh, '98), (Karlan &amp; M '14), (Harbaugh, '98), (Soetevent, '05) (Karlan &amp; M '14), (Karlan &amp; M '14)</w:t>
      </w:r>
    </w:p>
    <w:p w:rsidR="00000000" w:rsidDel="00000000" w:rsidP="00000000" w:rsidRDefault="00000000" w:rsidRPr="00000000" w14:paraId="0000005A">
      <w:pPr>
        <w:pStyle w:val="Heading2"/>
        <w:numPr>
          <w:ilvl w:val="1"/>
          <w:numId w:val="4"/>
        </w:numPr>
        <w:tabs>
          <w:tab w:val="left" w:pos="0"/>
        </w:tabs>
        <w:ind w:left="0" w:firstLine="0"/>
        <w:rPr>
          <w:u w:val="none"/>
        </w:rPr>
      </w:pPr>
      <w:r w:rsidDel="00000000" w:rsidR="00000000" w:rsidRPr="00000000">
        <w:rPr>
          <w:rtl w:val="0"/>
        </w:rPr>
        <w:t xml:space="preserve">3b: De-biasing and misperception-correction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(Kogut &amp; R, '05) (Caviola ea, '14)</w:t>
      </w:r>
    </w:p>
    <w:p w:rsidR="00000000" w:rsidDel="00000000" w:rsidP="00000000" w:rsidRDefault="00000000" w:rsidRPr="00000000" w14:paraId="0000005C">
      <w:pPr>
        <w:pStyle w:val="Heading2"/>
        <w:numPr>
          <w:ilvl w:val="1"/>
          <w:numId w:val="4"/>
        </w:numPr>
        <w:tabs>
          <w:tab w:val="left" w:pos="0"/>
        </w:tabs>
        <w:ind w:left="0" w:firstLine="0"/>
        <w:rPr>
          <w:u w:val="none"/>
        </w:rPr>
      </w:pPr>
      <w:r w:rsidDel="00000000" w:rsidR="00000000" w:rsidRPr="00000000">
        <w:rPr>
          <w:rtl w:val="0"/>
        </w:rPr>
        <w:t xml:space="preserve">3c. innovative proposals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Smeets?, Kellner_EA_2017</w:t>
      </w:r>
    </w:p>
    <w:p w:rsidR="00000000" w:rsidDel="00000000" w:rsidP="00000000" w:rsidRDefault="00000000" w:rsidRPr="00000000" w14:paraId="0000005E">
      <w:pPr>
        <w:pStyle w:val="Heading2"/>
        <w:numPr>
          <w:ilvl w:val="1"/>
          <w:numId w:val="4"/>
        </w:numPr>
        <w:tabs>
          <w:tab w:val="left" w:pos="0"/>
        </w:tabs>
        <w:ind w:left="0" w:firstLine="0"/>
        <w:rPr>
          <w:u w:val="none"/>
        </w:rPr>
      </w:pPr>
      <w:r w:rsidDel="00000000" w:rsidR="00000000" w:rsidRPr="00000000">
        <w:rPr>
          <w:rtl w:val="0"/>
        </w:rPr>
        <w:t xml:space="preserve">3d. EA-movement approaches and pitfalls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What has EA tried and how has it worked; evaluate approaches in light of the evidence. Is the movement too 'purist' (e.g., focusing on only the most effective, proven charities instead of those with broader potential appeal but less evidence)?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Charity science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Wiepking2012?</w:t>
      </w:r>
    </w:p>
    <w:p w:rsidR="00000000" w:rsidDel="00000000" w:rsidP="00000000" w:rsidRDefault="00000000" w:rsidRPr="00000000" w14:paraId="00000062">
      <w:pPr>
        <w:pStyle w:val="Heading1"/>
        <w:numPr>
          <w:ilvl w:val="0"/>
          <w:numId w:val="4"/>
        </w:numPr>
        <w:tabs>
          <w:tab w:val="left" w:pos="0"/>
        </w:tabs>
        <w:ind w:left="0" w:firstLine="0"/>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4. Conclusion; a research agenda</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Need for systematic platforms to study this, systematic experimentation and data sharing among effective/international charities. Platforms available, proposals for particular research projects and approaches.</w:t>
      </w:r>
    </w:p>
    <w:p w:rsidR="00000000" w:rsidDel="00000000" w:rsidP="00000000" w:rsidRDefault="00000000" w:rsidRPr="00000000" w14:paraId="00000064">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0"/>
        </w:tabs>
        <w:spacing w:after="86" w:before="86" w:line="240" w:lineRule="auto"/>
        <w:ind w:left="720" w:right="0" w:hanging="360"/>
        <w:jc w:val="left"/>
        <w:rPr>
          <w:rFonts w:ascii="Cormorant Garamond" w:cs="Cormorant Garamond" w:eastAsia="Cormorant Garamond" w:hAnsi="Cormorant Garamond"/>
          <w:i w:val="0"/>
          <w:smallCaps w:val="0"/>
          <w:strike w:val="0"/>
          <w:color w:val="000000"/>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Who gives to the </w:t>
      </w:r>
      <w:r w:rsidDel="00000000" w:rsidR="00000000" w:rsidRPr="00000000">
        <w:rPr>
          <w:rFonts w:ascii="Cormorant Garamond" w:cs="Cormorant Garamond" w:eastAsia="Cormorant Garamond" w:hAnsi="Cormorant Garamond"/>
          <w:i w:val="1"/>
          <w:smallCaps w:val="0"/>
          <w:strike w:val="0"/>
          <w:color w:val="000000"/>
          <w:sz w:val="24"/>
          <w:szCs w:val="24"/>
          <w:u w:val="none"/>
          <w:shd w:fill="auto" w:val="clear"/>
          <w:vertAlign w:val="baseline"/>
          <w:rtl w:val="0"/>
        </w:rPr>
        <w:t xml:space="preserve">truly</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most effective international charities?</w:t>
      </w:r>
    </w:p>
    <w:p w:rsidR="00000000" w:rsidDel="00000000" w:rsidP="00000000" w:rsidRDefault="00000000" w:rsidRPr="00000000" w14:paraId="00000065">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0"/>
        </w:tabs>
        <w:spacing w:after="86" w:before="86" w:line="240" w:lineRule="auto"/>
        <w:ind w:left="720" w:right="0" w:hanging="360"/>
        <w:jc w:val="left"/>
        <w:rPr>
          <w:rFonts w:ascii="Cormorant Garamond" w:cs="Cormorant Garamond" w:eastAsia="Cormorant Garamond" w:hAnsi="Cormorant Garamond"/>
          <w:i w:val="0"/>
          <w:smallCaps w:val="0"/>
          <w:strike w:val="0"/>
          <w:color w:val="000000"/>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Who is most likely to be convinced, and which arguments/presentations work in the SR and LR, and for whom (heterogeneity)?</w:t>
      </w:r>
    </w:p>
    <w:p w:rsidR="00000000" w:rsidDel="00000000" w:rsidP="00000000" w:rsidRDefault="00000000" w:rsidRPr="00000000" w14:paraId="00000066">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0"/>
        </w:tabs>
        <w:spacing w:after="0" w:before="0" w:line="240" w:lineRule="auto"/>
        <w:ind w:left="1080" w:right="0" w:hanging="360"/>
        <w:jc w:val="left"/>
        <w:rPr>
          <w:rFonts w:ascii="Cormorant Garamond" w:cs="Cormorant Garamond" w:eastAsia="Cormorant Garamond" w:hAnsi="Cormorant Garamond"/>
          <w:i w:val="0"/>
          <w:smallCaps w:val="0"/>
          <w:strike w:val="0"/>
          <w:color w:val="000000"/>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Statistical learning-based analyses</w:t>
      </w:r>
    </w:p>
    <w:p w:rsidR="00000000" w:rsidDel="00000000" w:rsidP="00000000" w:rsidRDefault="00000000" w:rsidRPr="00000000" w14:paraId="00000067">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0"/>
        </w:tabs>
        <w:spacing w:after="86" w:before="86" w:line="240" w:lineRule="auto"/>
        <w:ind w:left="720" w:right="0" w:hanging="360"/>
        <w:jc w:val="left"/>
        <w:rPr>
          <w:rFonts w:ascii="Cormorant Garamond" w:cs="Cormorant Garamond" w:eastAsia="Cormorant Garamond" w:hAnsi="Cormorant Garamond"/>
          <w:i w:val="0"/>
          <w:smallCaps w:val="0"/>
          <w:strike w:val="0"/>
          <w:color w:val="000000"/>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Practicable techniques in a range of higher-stakes real-world environments</w:t>
      </w:r>
    </w:p>
    <w:p w:rsidR="00000000" w:rsidDel="00000000" w:rsidP="00000000" w:rsidRDefault="00000000" w:rsidRPr="00000000" w14:paraId="00000068">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0"/>
        </w:tabs>
        <w:spacing w:after="86" w:before="86" w:line="240" w:lineRule="auto"/>
        <w:ind w:left="720" w:right="0" w:hanging="360"/>
        <w:jc w:val="left"/>
        <w:rPr>
          <w:rFonts w:ascii="Cormorant Garamond" w:cs="Cormorant Garamond" w:eastAsia="Cormorant Garamond" w:hAnsi="Cormorant Garamond"/>
          <w:i w:val="0"/>
          <w:smallCaps w:val="0"/>
          <w:strike w:val="0"/>
          <w:color w:val="000000"/>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Replication (and verification), pooled evidence, meta-analysis</w:t>
      </w:r>
    </w:p>
    <w:p w:rsidR="00000000" w:rsidDel="00000000" w:rsidP="00000000" w:rsidRDefault="00000000" w:rsidRPr="00000000" w14:paraId="00000069">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0"/>
        </w:tabs>
        <w:spacing w:after="86" w:before="86" w:line="240" w:lineRule="auto"/>
        <w:ind w:left="1080" w:right="0" w:hanging="360"/>
        <w:jc w:val="left"/>
        <w:rPr>
          <w:rFonts w:ascii="Cormorant Garamond" w:cs="Cormorant Garamond" w:eastAsia="Cormorant Garamond" w:hAnsi="Cormorant Garamond"/>
          <w:i w:val="0"/>
          <w:smallCaps w:val="0"/>
          <w:strike w:val="0"/>
          <w:color w:val="000000"/>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Context-sensitivity, large SE </w:t>
      </w:r>
      <m:oMath>
        <m:r>
          <w:rPr>
            <w:rFonts w:ascii="Cormorant Garamond" w:cs="Cormorant Garamond" w:eastAsia="Cormorant Garamond" w:hAnsi="Cormorant Garamond"/>
            <w:i w:val="0"/>
            <w:smallCaps w:val="0"/>
            <w:strike w:val="0"/>
            <w:color w:val="000000"/>
            <w:sz w:val="24"/>
            <w:szCs w:val="24"/>
            <w:u w:val="none"/>
            <w:shd w:fill="auto" w:val="clear"/>
            <w:vertAlign w:val="baseline"/>
          </w:rPr>
          <m:t xml:space="preserve">→</m:t>
        </m:r>
      </m:oMath>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large samples, statistical learning controls, sharing data</w:t>
      </w:r>
    </w:p>
    <w:p w:rsidR="00000000" w:rsidDel="00000000" w:rsidP="00000000" w:rsidRDefault="00000000" w:rsidRPr="00000000" w14:paraId="0000006A">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0"/>
        </w:tabs>
        <w:spacing w:after="86" w:before="86" w:line="240" w:lineRule="auto"/>
        <w:ind w:left="1080" w:right="0" w:hanging="360"/>
        <w:jc w:val="left"/>
        <w:rPr>
          <w:rFonts w:ascii="Cormorant Garamond" w:cs="Cormorant Garamond" w:eastAsia="Cormorant Garamond" w:hAnsi="Cormorant Garamond"/>
          <w:i w:val="0"/>
          <w:smallCaps w:val="0"/>
          <w:strike w:val="0"/>
          <w:color w:val="000000"/>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Responses to 'obvious contrasts' seem to not reflect between-subject responses"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Also see gatesproposal.md (Gates foundation)</w:t>
      </w:r>
    </w:p>
    <w:sectPr>
      <w:footerReference r:id="rId13" w:type="default"/>
      <w:pgSz w:h="15840" w:w="12240"/>
      <w:pgMar w:bottom="2016" w:top="1440" w:left="1440" w:right="1440" w:header="0" w:footer="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id reinstein" w:id="6" w:date="2018-03-21T11:39:55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relates to G Miller's EA challenges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Moral emotions don’t track utilitarian outcomes ... he mentions Moral self-consciousness: shame, guilt, pride, embarrassment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Moral condemnation: contempt, anger, disgust, outrage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Other-suffering: empathy, sympathy, compassion</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Other-praising: gratitude, awe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evolved to track expected global long-term sentient utility</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 issue is broader than the one I mention here. Perhaps it deserves its own category. However, the list I made here is more geared towards things that may have practicable responses; I'm not sure what the response to Miller's EA-challenge 5 would be. +fitznich@gmail.com +ari.kagan@duke.edu  Thoughts?</w:t>
      </w:r>
    </w:p>
  </w:comment>
  <w:comment w:author="david reinstein" w:id="3" w:date="2018-04-10T11:34:49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putting quotes/notes in grey shading and smaller font for now, to keep it separate. There shoud be a better way to do this though (like a box that opens)</w:t>
      </w:r>
    </w:p>
  </w:comment>
  <w:comment w:author="david reinstein" w:id="7" w:date="2018-03-21T12:24:23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+ari.kagan@duke.edu +fitznich@gmail.com Should this be a separate category? -- i.e, effective giving may not be as effective in boosting one's reputation. CF, Miller's "EA challenges 8: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Virtue-signaling"</w:t>
      </w:r>
    </w:p>
  </w:comment>
  <w:comment w:author="david reinstein" w:id="4" w:date="2018-03-21T11:16:17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to Geoffrey Miller's "10 cognitive and emotional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challenges in EA"</w:t>
      </w:r>
    </w:p>
  </w:comment>
  <w:comment w:author="Nick Fitz" w:id="5" w:date="2018-04-09T16:44:43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want to integrate these.</w:t>
      </w:r>
    </w:p>
  </w:comment>
  <w:comment w:author="david reinstein" w:id="9" w:date="2018-03-21T11:33:37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Worth thinking about the extent to which differential news coverage shoud be a 'level 1' issue, and whether it is a cause or a consequence</w:t>
      </w:r>
    </w:p>
  </w:comment>
  <w:comment w:author="david reinstein" w:id="0" w:date="2018-04-10T11:38:37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I switch on 'add-ons' in this file??</w:t>
      </w:r>
    </w:p>
  </w:comment>
  <w:comment w:author="david reinstein" w:id="1" w:date="2018-04-10T12:04:18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+ari.kagan@duke.edu +fitznich@gmail.com  -- I started a new doc because somehow plugins were disabled here. See https://docs.google.com/document/d/1KcqGEvU_kPt-uT0NHxcE7BDubmwWihfLsrzYUK7a3PY/edit#heading=h.az3axu1p8r1h</w:t>
      </w:r>
    </w:p>
  </w:comment>
  <w:comment w:author="david reinstein" w:id="2" w:date="2018-04-10T11:34:48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"RQ"?</w:t>
      </w:r>
    </w:p>
  </w:comment>
  <w:comment w:author="david reinstein" w:id="8" w:date="2018-03-21T11:43:25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+ari.kagan@duke.edu +fitznich@gmail.com Add this one to cover G Miller's challenge 5?</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rmorant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06D">
      <w:pPr>
        <w:rPr>
          <w:sz w:val="20"/>
          <w:szCs w:val="20"/>
        </w:rPr>
      </w:pPr>
      <w:r w:rsidDel="00000000" w:rsidR="00000000" w:rsidRPr="00000000">
        <w:rPr>
          <w:rStyle w:val="FootnoteReference"/>
          <w:vertAlign w:val="superscript"/>
        </w:rPr>
        <w:footnoteRef/>
      </w:r>
      <w:r w:rsidDel="00000000" w:rsidR="00000000" w:rsidRPr="00000000">
        <w:rPr>
          <w:rFonts w:ascii="Nova Mono" w:cs="Nova Mono" w:eastAsia="Nova Mono" w:hAnsi="Nova Mono"/>
          <w:sz w:val="20"/>
          <w:szCs w:val="20"/>
          <w:rtl w:val="0"/>
        </w:rPr>
        <w:t xml:space="preserve"> Geoffrey Miller: “EA challenges 1: Selfish genes vs. the expanding circle… Kin selection  → family… Reciprocal altruism →   friends… Sexual selection →   mates … Group selection →   tribe...Humans show parochialism: favor domestic charities over global charities than may be 100x more cost-effective”. This could be extended to the “distance” to “non-humans”; see Miller “EA challenges 9: Theory of Mind fails for non-humans”</w:t>
      </w:r>
    </w:p>
  </w:footnote>
  <w:footnote w:id="2">
    <w:p w:rsidR="00000000" w:rsidDel="00000000" w:rsidP="00000000" w:rsidRDefault="00000000" w:rsidRPr="00000000" w14:paraId="0000006E">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 Miller’s “EA challenges 3: Scope-insensitivity in utilitarian judgments”; notes Scope (‘number of beings affected, current and future’), Suffering, and Duration… Challenge 10 “Scope-insensitivity about long-term stakes”</w:t>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rtl w:val="0"/>
        </w:rPr>
      </w:r>
    </w:p>
  </w:footnote>
  <w:footnote w:id="1">
    <w:p w:rsidR="00000000" w:rsidDel="00000000" w:rsidP="00000000" w:rsidRDefault="00000000" w:rsidRPr="00000000" w14:paraId="00000071">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 Miller “EA challenges 4: Availability bias in utilitarian judgments”; he contrasts US rifle homicides to global malaria deaths, </w:t>
      </w:r>
      <w:commentRangeStart w:id="9"/>
      <w:r w:rsidDel="00000000" w:rsidR="00000000" w:rsidRPr="00000000">
        <w:rPr>
          <w:sz w:val="20"/>
          <w:szCs w:val="20"/>
          <w:rtl w:val="0"/>
        </w:rPr>
        <w:t xml:space="preserve">mentions news coverage</w:t>
      </w:r>
      <w:commentRangeEnd w:id="9"/>
      <w:r w:rsidDel="00000000" w:rsidR="00000000" w:rsidRPr="00000000">
        <w:commentReference w:id="9"/>
      </w:r>
      <w:r w:rsidDel="00000000" w:rsidR="00000000" w:rsidRPr="00000000">
        <w:rPr>
          <w:rtl w:val="0"/>
        </w:rPr>
      </w:r>
    </w:p>
  </w:footnote>
  <w:footnote w:id="4">
    <w:p w:rsidR="00000000" w:rsidDel="00000000" w:rsidP="00000000" w:rsidRDefault="00000000" w:rsidRPr="00000000" w14:paraId="00000072">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Miller: “5: Moral emotions don’t track utilitarian outcomes” and “Challenge 6… Moral instincts make utilitarianism counter-intuitive and repulsive”</w:t>
      </w:r>
    </w:p>
  </w:footnote>
  <w:footnote w:id="0">
    <w:p w:rsidR="00000000" w:rsidDel="00000000" w:rsidP="00000000" w:rsidRDefault="00000000" w:rsidRPr="00000000" w14:paraId="00000073">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Relates to Geoffrey Miller’s “EA challenges 7: instinctive moral judgment don’t update very well”... mentions confirmation bias (Plous ‘93), status-quo bias (Kahneman ea ‘91), difficulty with moral uncertainty (MacAskill ‘14), ‘bad at Bayesian updateing, counterfactual reasoning, and steelmanning arguments’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5">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rmorant Garamond" w:cs="Cormorant Garamond" w:eastAsia="Cormorant Garamond" w:hAnsi="Cormorant Garamond"/>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Arial" w:cs="Arial" w:eastAsia="Arial" w:hAnsi="Arial"/>
      <w:b w:val="1"/>
      <w:sz w:val="32"/>
      <w:szCs w:val="32"/>
    </w:rPr>
  </w:style>
  <w:style w:type="paragraph" w:styleId="Heading2">
    <w:name w:val="heading 2"/>
    <w:basedOn w:val="Normal"/>
    <w:next w:val="Normal"/>
    <w:pPr>
      <w:keepNext w:val="1"/>
      <w:tabs>
        <w:tab w:val="left" w:pos="0"/>
      </w:tabs>
      <w:spacing w:after="120" w:before="240" w:lineRule="auto"/>
    </w:pPr>
    <w:rPr>
      <w:rFonts w:ascii="Cormorant Garamond" w:cs="Cormorant Garamond" w:eastAsia="Cormorant Garamond" w:hAnsi="Cormorant Garamond"/>
      <w:b w:val="1"/>
      <w:u w:val="single"/>
    </w:rPr>
  </w:style>
  <w:style w:type="paragraph" w:styleId="Heading3">
    <w:name w:val="heading 3"/>
    <w:basedOn w:val="Normal"/>
    <w:next w:val="Normal"/>
    <w:pPr>
      <w:keepNext w:val="1"/>
      <w:spacing w:after="120" w:before="240" w:lineRule="auto"/>
      <w:ind w:left="0" w:firstLine="0"/>
    </w:pPr>
    <w:rPr>
      <w:rFonts w:ascii="Arial" w:cs="Arial" w:eastAsia="Arial" w:hAnsi="Arial"/>
      <w:b w:val="1"/>
      <w:sz w:val="28"/>
      <w:szCs w:val="28"/>
    </w:rPr>
  </w:style>
  <w:style w:type="paragraph" w:styleId="Heading4">
    <w:name w:val="heading 4"/>
    <w:basedOn w:val="Normal"/>
    <w:next w:val="Normal"/>
    <w:pPr>
      <w:keepNext w:val="1"/>
      <w:spacing w:after="120" w:before="240" w:lineRule="auto"/>
      <w:ind w:left="0" w:firstLine="0"/>
    </w:pPr>
    <w:rPr>
      <w:rFonts w:ascii="Arial" w:cs="Arial" w:eastAsia="Arial" w:hAnsi="Arial"/>
      <w:b w:val="1"/>
      <w:i w:val="1"/>
      <w:sz w:val="24"/>
      <w:szCs w:val="24"/>
    </w:rPr>
  </w:style>
  <w:style w:type="paragraph" w:styleId="Heading5">
    <w:name w:val="heading 5"/>
    <w:basedOn w:val="Normal"/>
    <w:next w:val="Normal"/>
    <w:pPr>
      <w:keepNext w:val="1"/>
      <w:spacing w:after="120" w:before="240" w:lineRule="auto"/>
      <w:ind w:left="0" w:firstLine="0"/>
    </w:pPr>
    <w:rPr>
      <w:rFonts w:ascii="Arial" w:cs="Arial" w:eastAsia="Arial" w:hAnsi="Arial"/>
      <w:b w:val="1"/>
      <w:sz w:val="24"/>
      <w:szCs w:val="24"/>
    </w:rPr>
  </w:style>
  <w:style w:type="paragraph" w:styleId="Heading6">
    <w:name w:val="heading 6"/>
    <w:basedOn w:val="Normal"/>
    <w:next w:val="Normal"/>
    <w:pPr>
      <w:keepNext w:val="1"/>
      <w:spacing w:after="120" w:before="240" w:lineRule="auto"/>
      <w:ind w:left="0" w:firstLine="0"/>
    </w:pPr>
    <w:rPr>
      <w:rFonts w:ascii="Arial" w:cs="Arial" w:eastAsia="Arial" w:hAnsi="Arial"/>
      <w:b w:val="1"/>
      <w:sz w:val="21"/>
      <w:szCs w:val="2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onlinelibrary.wiley.com/doi/10.1002/nvsm.308/abstract" TargetMode="External"/><Relationship Id="rId10" Type="http://schemas.openxmlformats.org/officeDocument/2006/relationships/hyperlink" Target="http://www.wiepking.com/papers/BekkersWiepking_2011_NVSQ.pdf" TargetMode="External"/><Relationship Id="rId13" Type="http://schemas.openxmlformats.org/officeDocument/2006/relationships/footer" Target="footer1.xml"/><Relationship Id="rId12" Type="http://schemas.openxmlformats.org/officeDocument/2006/relationships/hyperlink" Target="http://www.behaviouralinsights.co.uk/publications/applying-behavioural-insights-to-charitable-giv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wiepking.com/papers/BekkersWiepking_2011_NVSQ.pdf"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www.charityscience.com/outreach-research.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rmorantGaramond-regular.ttf"/><Relationship Id="rId2" Type="http://schemas.openxmlformats.org/officeDocument/2006/relationships/font" Target="fonts/CormorantGaramond-bold.ttf"/><Relationship Id="rId3" Type="http://schemas.openxmlformats.org/officeDocument/2006/relationships/font" Target="fonts/CormorantGaramond-italic.ttf"/><Relationship Id="rId4" Type="http://schemas.openxmlformats.org/officeDocument/2006/relationships/font" Target="fonts/CormorantGaramond-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