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E7D40" w14:textId="54725548" w:rsidR="0086388D" w:rsidRPr="00C04C29" w:rsidRDefault="002F547C" w:rsidP="0086388D">
      <w:pPr>
        <w:spacing w:before="240" w:after="120"/>
        <w:outlineLvl w:val="2"/>
        <w:rPr>
          <w:rFonts w:eastAsia="Times New Roman" w:cs="Times New Roman"/>
          <w:b/>
          <w:bCs/>
          <w:color w:val="000000"/>
        </w:rPr>
      </w:pPr>
      <w:r w:rsidRPr="00C04C29">
        <w:rPr>
          <w:rFonts w:eastAsia="Times New Roman" w:cs="Times New Roman"/>
          <w:b/>
          <w:bCs/>
          <w:color w:val="000000"/>
        </w:rPr>
        <w:t xml:space="preserve">Opposition to </w:t>
      </w:r>
      <w:r w:rsidR="0086388D" w:rsidRPr="00C04C29">
        <w:rPr>
          <w:rFonts w:eastAsia="Times New Roman" w:cs="Times New Roman"/>
          <w:b/>
          <w:bCs/>
          <w:color w:val="000000"/>
        </w:rPr>
        <w:t xml:space="preserve">Cost-Benefit </w:t>
      </w:r>
      <w:r w:rsidRPr="00C04C29">
        <w:rPr>
          <w:rFonts w:eastAsia="Times New Roman" w:cs="Times New Roman"/>
          <w:b/>
          <w:bCs/>
          <w:color w:val="000000"/>
        </w:rPr>
        <w:t>Analysis (CBA)</w:t>
      </w:r>
      <w:r w:rsidR="0086388D" w:rsidRPr="00C04C29">
        <w:rPr>
          <w:rFonts w:eastAsia="Times New Roman" w:cs="Times New Roman"/>
          <w:b/>
          <w:bCs/>
          <w:color w:val="000000"/>
        </w:rPr>
        <w:t xml:space="preserve"> </w:t>
      </w:r>
      <w:r w:rsidRPr="00C04C29">
        <w:rPr>
          <w:rFonts w:eastAsia="Times New Roman" w:cs="Times New Roman"/>
          <w:b/>
          <w:bCs/>
          <w:color w:val="000000"/>
        </w:rPr>
        <w:t>in Charitable G</w:t>
      </w:r>
      <w:r w:rsidR="0086388D" w:rsidRPr="00C04C29">
        <w:rPr>
          <w:rFonts w:eastAsia="Times New Roman" w:cs="Times New Roman"/>
          <w:b/>
          <w:bCs/>
          <w:color w:val="000000"/>
        </w:rPr>
        <w:t>iving</w:t>
      </w:r>
      <w:r w:rsidR="003301BD">
        <w:rPr>
          <w:rFonts w:eastAsia="Times New Roman" w:cs="Times New Roman"/>
          <w:b/>
          <w:bCs/>
          <w:color w:val="000000"/>
        </w:rPr>
        <w:t xml:space="preserve"> and/or subjectivity &gt; objectivity for prosocial decision-making</w:t>
      </w:r>
    </w:p>
    <w:p w14:paraId="594803BF" w14:textId="77777777" w:rsidR="0086388D" w:rsidRPr="00C04C29" w:rsidRDefault="0086388D" w:rsidP="0086388D">
      <w:pPr>
        <w:rPr>
          <w:rFonts w:eastAsia="Times New Roman" w:cs="Times New Roman"/>
          <w:b/>
          <w:bCs/>
          <w:color w:val="000000"/>
        </w:rPr>
      </w:pPr>
    </w:p>
    <w:p w14:paraId="3AC4AE33" w14:textId="77777777" w:rsidR="0086388D" w:rsidRPr="00C04C29" w:rsidRDefault="0086388D" w:rsidP="0086388D">
      <w:pPr>
        <w:rPr>
          <w:rFonts w:eastAsia="Times New Roman" w:cs="Times New Roman"/>
          <w:b/>
          <w:bCs/>
          <w:color w:val="000000"/>
        </w:rPr>
      </w:pPr>
      <w:r w:rsidRPr="00C04C29">
        <w:rPr>
          <w:rFonts w:eastAsia="Times New Roman" w:cs="Times New Roman"/>
          <w:b/>
          <w:bCs/>
          <w:color w:val="000000"/>
        </w:rPr>
        <w:t>Description</w:t>
      </w:r>
    </w:p>
    <w:p w14:paraId="265B9F04" w14:textId="77777777" w:rsidR="00252D9E" w:rsidRPr="00C04C29" w:rsidRDefault="00252D9E" w:rsidP="0086388D">
      <w:pPr>
        <w:rPr>
          <w:rFonts w:eastAsia="Times New Roman" w:cs="Times New Roman"/>
          <w:b/>
          <w:bCs/>
          <w:color w:val="000000"/>
        </w:rPr>
      </w:pPr>
    </w:p>
    <w:p w14:paraId="23F010AE" w14:textId="77777777" w:rsidR="00252D9E" w:rsidRPr="00C04C29" w:rsidRDefault="00252D9E" w:rsidP="0086388D">
      <w:pPr>
        <w:rPr>
          <w:rFonts w:eastAsia="Times New Roman" w:cs="Times New Roman"/>
          <w:bCs/>
          <w:color w:val="000000"/>
        </w:rPr>
      </w:pPr>
      <w:r w:rsidRPr="00C04C29">
        <w:rPr>
          <w:rFonts w:eastAsia="Times New Roman" w:cs="Times New Roman"/>
          <w:bCs/>
          <w:color w:val="000000"/>
        </w:rPr>
        <w:t xml:space="preserve">People are less likely to engage in cost-benefit analyses for prosocial charitable giving than for self-oriented market decisions such as investing or consuming. </w:t>
      </w:r>
    </w:p>
    <w:p w14:paraId="4BBCADD7" w14:textId="77777777" w:rsidR="0086388D" w:rsidRPr="00C04C29" w:rsidRDefault="0086388D" w:rsidP="0086388D">
      <w:pPr>
        <w:rPr>
          <w:rFonts w:eastAsia="Times New Roman" w:cs="Times New Roman"/>
          <w:b/>
          <w:bCs/>
          <w:color w:val="000000"/>
        </w:rPr>
      </w:pPr>
    </w:p>
    <w:p w14:paraId="1B5D2E54" w14:textId="77777777" w:rsidR="005666AE" w:rsidRPr="00C04C29" w:rsidRDefault="005666AE" w:rsidP="005666AE">
      <w:pPr>
        <w:rPr>
          <w:rFonts w:eastAsia="Times New Roman" w:cs="Times New Roman"/>
          <w:b/>
          <w:bCs/>
          <w:color w:val="000000"/>
        </w:rPr>
      </w:pPr>
      <w:r w:rsidRPr="00C04C29">
        <w:rPr>
          <w:rFonts w:eastAsia="Times New Roman" w:cs="Times New Roman"/>
          <w:b/>
          <w:bCs/>
          <w:color w:val="000000"/>
        </w:rPr>
        <w:t>EG Relevance</w:t>
      </w:r>
    </w:p>
    <w:p w14:paraId="60C71F3C" w14:textId="77777777" w:rsidR="005666AE" w:rsidRPr="00C04C29" w:rsidRDefault="005666AE" w:rsidP="005666AE">
      <w:pPr>
        <w:rPr>
          <w:rFonts w:eastAsia="Times New Roman" w:cs="Times New Roman"/>
          <w:b/>
          <w:bCs/>
          <w:color w:val="000000"/>
        </w:rPr>
      </w:pPr>
    </w:p>
    <w:p w14:paraId="1B88678B" w14:textId="52468DB6" w:rsidR="005666AE" w:rsidRPr="005666AE" w:rsidRDefault="005666AE" w:rsidP="0086388D">
      <w:pPr>
        <w:rPr>
          <w:rFonts w:eastAsia="Times New Roman" w:cs="Times New Roman"/>
          <w:bCs/>
          <w:color w:val="000000"/>
        </w:rPr>
      </w:pPr>
      <w:r w:rsidRPr="00C04C29">
        <w:rPr>
          <w:rFonts w:eastAsia="Times New Roman" w:cs="Times New Roman"/>
          <w:bCs/>
          <w:color w:val="000000"/>
        </w:rPr>
        <w:t xml:space="preserve">Effective Giving is predicated on conducting CBA for programs and organizations. To the extent that people are uncomfortable with CBA in the charitable domain, they will be uncomfortable with giving effectively. </w:t>
      </w:r>
    </w:p>
    <w:p w14:paraId="5AF8F1B2" w14:textId="77777777" w:rsidR="005666AE" w:rsidRDefault="005666AE" w:rsidP="0086388D">
      <w:pPr>
        <w:rPr>
          <w:rFonts w:eastAsia="Times New Roman" w:cs="Times New Roman"/>
          <w:b/>
          <w:bCs/>
          <w:color w:val="000000"/>
        </w:rPr>
      </w:pPr>
    </w:p>
    <w:p w14:paraId="2065E7A6" w14:textId="77777777" w:rsidR="0086388D" w:rsidRPr="00C04C29" w:rsidRDefault="00252D9E" w:rsidP="0086388D">
      <w:pPr>
        <w:rPr>
          <w:rFonts w:eastAsia="Times New Roman" w:cs="Times New Roman"/>
          <w:b/>
          <w:bCs/>
          <w:color w:val="000000"/>
        </w:rPr>
      </w:pPr>
      <w:r w:rsidRPr="00C04C29">
        <w:rPr>
          <w:rFonts w:eastAsia="Times New Roman" w:cs="Times New Roman"/>
          <w:b/>
          <w:bCs/>
          <w:color w:val="000000"/>
        </w:rPr>
        <w:t>Theory</w:t>
      </w:r>
    </w:p>
    <w:p w14:paraId="00749D48" w14:textId="77777777" w:rsidR="00252D9E" w:rsidRPr="00C04C29" w:rsidRDefault="00252D9E" w:rsidP="0086388D">
      <w:pPr>
        <w:rPr>
          <w:rFonts w:eastAsia="Times New Roman" w:cs="Times New Roman"/>
          <w:b/>
          <w:bCs/>
          <w:color w:val="000000"/>
        </w:rPr>
      </w:pPr>
    </w:p>
    <w:p w14:paraId="6AA84496" w14:textId="55BED87B" w:rsidR="00C04C29" w:rsidRPr="00C04C29" w:rsidRDefault="00252D9E" w:rsidP="00C04C29">
      <w:pPr>
        <w:rPr>
          <w:rFonts w:eastAsia="Times New Roman" w:cs="Times New Roman"/>
          <w:bCs/>
          <w:color w:val="000000"/>
        </w:rPr>
      </w:pPr>
      <w:r w:rsidRPr="00C04C29">
        <w:rPr>
          <w:rFonts w:eastAsia="Times New Roman" w:cs="Times New Roman"/>
          <w:bCs/>
          <w:color w:val="000000"/>
        </w:rPr>
        <w:t xml:space="preserve">This </w:t>
      </w:r>
      <w:r w:rsidR="00C04C29" w:rsidRPr="00C04C29">
        <w:rPr>
          <w:rFonts w:eastAsia="Times New Roman" w:cs="Times New Roman"/>
          <w:bCs/>
          <w:color w:val="000000"/>
        </w:rPr>
        <w:t>CBA discomfort brings together several overlapping theoretical frameworks:</w:t>
      </w:r>
    </w:p>
    <w:p w14:paraId="2A404F01" w14:textId="77777777" w:rsidR="00C04C29" w:rsidRDefault="00C04C29" w:rsidP="00C04C29">
      <w:pPr>
        <w:pStyle w:val="ListParagraph"/>
        <w:rPr>
          <w:rFonts w:eastAsia="Times New Roman" w:cs="Times New Roman"/>
          <w:bCs/>
          <w:color w:val="000000"/>
        </w:rPr>
      </w:pPr>
    </w:p>
    <w:p w14:paraId="1583C4DF" w14:textId="05EC3E74" w:rsidR="00C04C29" w:rsidRDefault="00C04C29" w:rsidP="00C04C29">
      <w:pPr>
        <w:pStyle w:val="ListParagraph"/>
        <w:numPr>
          <w:ilvl w:val="0"/>
          <w:numId w:val="5"/>
        </w:numPr>
        <w:rPr>
          <w:rFonts w:eastAsia="Times New Roman" w:cs="Times New Roman"/>
          <w:bCs/>
          <w:color w:val="000000"/>
        </w:rPr>
      </w:pPr>
      <w:r>
        <w:rPr>
          <w:rFonts w:eastAsia="Times New Roman" w:cs="Times New Roman"/>
          <w:bCs/>
          <w:color w:val="000000"/>
        </w:rPr>
        <w:t>Fiske’s relational theory (1992; also see Aggarwal, 2004), which proposes four basic types of social relationships: communal sharing, authority ranking, equality matching, and market</w:t>
      </w:r>
      <w:r w:rsidR="0027734F">
        <w:rPr>
          <w:rFonts w:eastAsia="Times New Roman" w:cs="Times New Roman"/>
          <w:bCs/>
          <w:color w:val="000000"/>
        </w:rPr>
        <w:t xml:space="preserve"> pricing. For more here, see Heyman &amp; Ariely, 2004</w:t>
      </w:r>
      <w:r w:rsidR="00A23FB5">
        <w:rPr>
          <w:rFonts w:eastAsia="Times New Roman" w:cs="Times New Roman"/>
          <w:bCs/>
          <w:color w:val="000000"/>
        </w:rPr>
        <w:t xml:space="preserve"> on social vs economic markets</w:t>
      </w:r>
      <w:r w:rsidR="0027734F">
        <w:rPr>
          <w:rFonts w:eastAsia="Times New Roman" w:cs="Times New Roman"/>
          <w:bCs/>
          <w:color w:val="000000"/>
        </w:rPr>
        <w:t xml:space="preserve">. </w:t>
      </w:r>
    </w:p>
    <w:p w14:paraId="0023B528" w14:textId="77777777" w:rsidR="00C04C29" w:rsidRDefault="00C04C29" w:rsidP="00C04C29">
      <w:pPr>
        <w:pStyle w:val="ListParagraph"/>
        <w:rPr>
          <w:rFonts w:eastAsia="Times New Roman" w:cs="Times New Roman"/>
          <w:bCs/>
          <w:color w:val="000000"/>
        </w:rPr>
      </w:pPr>
    </w:p>
    <w:p w14:paraId="037E0578" w14:textId="77777777" w:rsidR="00080A4E" w:rsidRDefault="00C04C29" w:rsidP="00080A4E">
      <w:pPr>
        <w:pStyle w:val="ListParagraph"/>
        <w:numPr>
          <w:ilvl w:val="0"/>
          <w:numId w:val="5"/>
        </w:numPr>
        <w:rPr>
          <w:rFonts w:eastAsia="Times New Roman" w:cs="Times New Roman"/>
          <w:bCs/>
          <w:color w:val="000000"/>
        </w:rPr>
      </w:pPr>
      <w:r>
        <w:rPr>
          <w:rFonts w:eastAsia="Times New Roman" w:cs="Times New Roman"/>
          <w:bCs/>
          <w:color w:val="000000"/>
        </w:rPr>
        <w:t>Taboo Tradeoffs</w:t>
      </w:r>
      <w:r w:rsidR="0027734F">
        <w:rPr>
          <w:rFonts w:eastAsia="Times New Roman" w:cs="Times New Roman"/>
          <w:bCs/>
          <w:color w:val="000000"/>
        </w:rPr>
        <w:t xml:space="preserve"> &amp; Protected Values: to the extent that CBA requires making taboo tradeoffs that clash with protected values, people may be reticent to engage in CBA for prosocial purposes. </w:t>
      </w:r>
    </w:p>
    <w:p w14:paraId="061CC0DA" w14:textId="77777777" w:rsidR="00080A4E" w:rsidRPr="00080A4E" w:rsidRDefault="00080A4E" w:rsidP="00080A4E">
      <w:pPr>
        <w:rPr>
          <w:rFonts w:eastAsia="Times New Roman" w:cs="Times New Roman"/>
          <w:bCs/>
          <w:color w:val="000000"/>
        </w:rPr>
      </w:pPr>
    </w:p>
    <w:p w14:paraId="147F0457" w14:textId="21258A1A" w:rsidR="007908EF" w:rsidRPr="00080A4E" w:rsidRDefault="00080A4E" w:rsidP="00080A4E">
      <w:pPr>
        <w:pStyle w:val="ListParagraph"/>
        <w:numPr>
          <w:ilvl w:val="0"/>
          <w:numId w:val="5"/>
        </w:numPr>
        <w:rPr>
          <w:rFonts w:eastAsia="Times New Roman" w:cs="Times New Roman"/>
          <w:bCs/>
          <w:color w:val="000000"/>
        </w:rPr>
      </w:pPr>
      <w:r>
        <w:rPr>
          <w:rFonts w:eastAsia="Times New Roman" w:cs="Times New Roman"/>
          <w:bCs/>
          <w:color w:val="000000"/>
        </w:rPr>
        <w:t xml:space="preserve">Distorted Altruists c.f., </w:t>
      </w:r>
      <w:r w:rsidRPr="00080A4E">
        <w:rPr>
          <w:rFonts w:eastAsia="Times New Roman" w:cs="Times New Roman"/>
          <w:bCs/>
          <w:color w:val="000000"/>
        </w:rPr>
        <w:t xml:space="preserve">Loewenstein &amp; Small, 2007; Slovic, 2007). </w:t>
      </w:r>
      <w:r>
        <w:rPr>
          <w:rFonts w:eastAsia="Times New Roman" w:cs="Times New Roman"/>
          <w:bCs/>
          <w:color w:val="000000"/>
        </w:rPr>
        <w:t>Berman et al 2018 build on this.</w:t>
      </w:r>
    </w:p>
    <w:p w14:paraId="4E894FF0" w14:textId="77777777" w:rsidR="005666AE" w:rsidRPr="005666AE" w:rsidRDefault="005666AE" w:rsidP="005666AE">
      <w:pPr>
        <w:rPr>
          <w:rFonts w:eastAsia="Times New Roman" w:cs="Times New Roman"/>
          <w:bCs/>
          <w:color w:val="000000"/>
        </w:rPr>
      </w:pPr>
    </w:p>
    <w:p w14:paraId="381C65DD" w14:textId="77777777" w:rsidR="00C04C29" w:rsidRPr="00C04C29" w:rsidRDefault="00C04C29" w:rsidP="00C04C29">
      <w:pPr>
        <w:rPr>
          <w:rFonts w:eastAsia="Times New Roman" w:cs="Times New Roman"/>
          <w:bCs/>
          <w:color w:val="000000"/>
        </w:rPr>
      </w:pPr>
    </w:p>
    <w:p w14:paraId="74E96032" w14:textId="07A7B590" w:rsidR="00C04C29" w:rsidRDefault="00483D05" w:rsidP="00483D05">
      <w:pPr>
        <w:rPr>
          <w:rFonts w:eastAsia="Times New Roman" w:cs="Times New Roman"/>
          <w:bCs/>
          <w:color w:val="000000"/>
        </w:rPr>
      </w:pPr>
      <w:r>
        <w:rPr>
          <w:rFonts w:eastAsia="Times New Roman" w:cs="Times New Roman"/>
          <w:bCs/>
          <w:color w:val="000000"/>
        </w:rPr>
        <w:t xml:space="preserve">NB: we distinguish CBA opposition from the inability to conduct CBA. The former is treated here while the latter involves a series of quantitative biases discussed later. </w:t>
      </w:r>
    </w:p>
    <w:p w14:paraId="52984ADA" w14:textId="77777777" w:rsidR="006D6789" w:rsidRDefault="006D6789" w:rsidP="00483D05">
      <w:pPr>
        <w:rPr>
          <w:rFonts w:eastAsia="Times New Roman" w:cs="Times New Roman"/>
          <w:bCs/>
          <w:color w:val="000000"/>
        </w:rPr>
      </w:pPr>
    </w:p>
    <w:p w14:paraId="377C7C17" w14:textId="3DB1519A" w:rsidR="006D6789" w:rsidRDefault="006D6789" w:rsidP="00483D05">
      <w:pPr>
        <w:rPr>
          <w:rFonts w:eastAsia="Times New Roman" w:cs="Times New Roman"/>
          <w:b/>
          <w:bCs/>
          <w:color w:val="000000"/>
        </w:rPr>
      </w:pPr>
      <w:r w:rsidRPr="006D6789">
        <w:rPr>
          <w:rFonts w:eastAsia="Times New Roman" w:cs="Times New Roman"/>
          <w:b/>
          <w:bCs/>
          <w:color w:val="000000"/>
        </w:rPr>
        <w:t>Evidence</w:t>
      </w:r>
    </w:p>
    <w:p w14:paraId="56945337" w14:textId="77777777" w:rsidR="006D6789" w:rsidRDefault="006D6789" w:rsidP="00483D05">
      <w:pPr>
        <w:rPr>
          <w:rFonts w:eastAsia="Times New Roman" w:cs="Times New Roman"/>
          <w:b/>
          <w:bCs/>
          <w:color w:val="000000"/>
        </w:rPr>
      </w:pPr>
    </w:p>
    <w:p w14:paraId="0EE37E3A" w14:textId="18559CEE" w:rsidR="00002B32" w:rsidRPr="00080A4E" w:rsidRDefault="00080A4E" w:rsidP="00002B32">
      <w:pPr>
        <w:rPr>
          <w:rFonts w:eastAsia="Times New Roman" w:cs="Times New Roman"/>
          <w:b/>
          <w:bCs/>
          <w:color w:val="000000"/>
        </w:rPr>
      </w:pPr>
      <w:r w:rsidRPr="00080A4E">
        <w:rPr>
          <w:rFonts w:eastAsia="Times New Roman" w:cs="Times New Roman"/>
          <w:b/>
          <w:bCs/>
          <w:color w:val="000000"/>
        </w:rPr>
        <w:t>People don’t engage in CBA even though they want to…</w:t>
      </w:r>
      <w:r w:rsidR="00002B32" w:rsidRPr="00002B32">
        <w:rPr>
          <w:rFonts w:cs="Times New Roman"/>
          <w:bCs/>
          <w:color w:val="000000"/>
        </w:rPr>
        <w:t xml:space="preserve">When it comes to selecting a charity, </w:t>
      </w:r>
      <w:r w:rsidR="00002B32">
        <w:rPr>
          <w:rFonts w:cs="Times New Roman"/>
          <w:bCs/>
          <w:color w:val="000000"/>
        </w:rPr>
        <w:t>a</w:t>
      </w:r>
      <w:r w:rsidR="00002B32" w:rsidRPr="00002B32">
        <w:rPr>
          <w:rFonts w:cs="Times New Roman"/>
          <w:bCs/>
          <w:color w:val="000000"/>
        </w:rPr>
        <w:t xml:space="preserve"> study through the Money for Good </w:t>
      </w:r>
      <w:r w:rsidR="002A6E4C">
        <w:rPr>
          <w:rFonts w:cs="Times New Roman"/>
          <w:bCs/>
          <w:color w:val="000000"/>
        </w:rPr>
        <w:t>(</w:t>
      </w:r>
      <w:hyperlink r:id="rId6" w:history="1">
        <w:r w:rsidR="002A6E4C" w:rsidRPr="00002B32">
          <w:rPr>
            <w:rStyle w:val="Hyperlink"/>
            <w:rFonts w:cs="Times New Roman"/>
            <w:bCs/>
          </w:rPr>
          <w:t>2015</w:t>
        </w:r>
      </w:hyperlink>
      <w:r w:rsidR="002A6E4C">
        <w:rPr>
          <w:rFonts w:cs="Times New Roman"/>
          <w:bCs/>
          <w:color w:val="000000"/>
        </w:rPr>
        <w:t xml:space="preserve">) </w:t>
      </w:r>
      <w:r w:rsidR="00002B32" w:rsidRPr="00002B32">
        <w:rPr>
          <w:rFonts w:cs="Times New Roman"/>
          <w:bCs/>
          <w:color w:val="000000"/>
        </w:rPr>
        <w:t xml:space="preserve">project looked at whether charity performance dictates how people make their giving decisions. Sure enough, when asked, 85 percent of donors said they care about the effectiveness of the charities they support. However, only 21 percent of those respondents admitted to actually researching organizational performance, and </w:t>
      </w:r>
      <w:r w:rsidR="00002B32" w:rsidRPr="00002B32">
        <w:rPr>
          <w:rFonts w:cs="Times New Roman"/>
          <w:bCs/>
          <w:color w:val="000000"/>
        </w:rPr>
        <w:lastRenderedPageBreak/>
        <w:t>more remarkably, just 3 percent donated based on the relative performance of multiple nonprofits.</w:t>
      </w:r>
    </w:p>
    <w:p w14:paraId="55B3A8D8" w14:textId="77777777" w:rsidR="00EC1ECD" w:rsidRDefault="00EC1ECD" w:rsidP="006D6789">
      <w:pPr>
        <w:rPr>
          <w:rFonts w:eastAsia="Times New Roman" w:cs="Times New Roman"/>
          <w:bCs/>
          <w:color w:val="000000"/>
        </w:rPr>
      </w:pPr>
    </w:p>
    <w:p w14:paraId="298756DF" w14:textId="2CC883F9" w:rsidR="00002B32" w:rsidRPr="002A6E4C" w:rsidRDefault="002A6E4C" w:rsidP="00EC1ECD">
      <w:pPr>
        <w:rPr>
          <w:rFonts w:eastAsia="Times New Roman" w:cs="Times New Roman"/>
          <w:b/>
          <w:bCs/>
          <w:color w:val="000000"/>
        </w:rPr>
      </w:pPr>
      <w:r w:rsidRPr="002A6E4C">
        <w:rPr>
          <w:rFonts w:eastAsia="Times New Roman" w:cs="Times New Roman"/>
          <w:b/>
          <w:bCs/>
          <w:color w:val="000000"/>
        </w:rPr>
        <w:t>On s</w:t>
      </w:r>
      <w:r w:rsidR="002327AC" w:rsidRPr="002A6E4C">
        <w:rPr>
          <w:rFonts w:eastAsia="Times New Roman" w:cs="Times New Roman"/>
          <w:b/>
          <w:bCs/>
          <w:color w:val="000000"/>
        </w:rPr>
        <w:t>ocial</w:t>
      </w:r>
      <w:r w:rsidRPr="002A6E4C">
        <w:rPr>
          <w:rFonts w:eastAsia="Times New Roman" w:cs="Times New Roman"/>
          <w:b/>
          <w:bCs/>
          <w:color w:val="000000"/>
        </w:rPr>
        <w:t xml:space="preserve"> vs economic m</w:t>
      </w:r>
      <w:r w:rsidR="002327AC" w:rsidRPr="002A6E4C">
        <w:rPr>
          <w:rFonts w:eastAsia="Times New Roman" w:cs="Times New Roman"/>
          <w:b/>
          <w:bCs/>
          <w:color w:val="000000"/>
        </w:rPr>
        <w:t>arkets, or w</w:t>
      </w:r>
      <w:r w:rsidR="00002B32" w:rsidRPr="002A6E4C">
        <w:rPr>
          <w:rFonts w:eastAsia="Times New Roman" w:cs="Times New Roman"/>
          <w:b/>
          <w:bCs/>
          <w:color w:val="000000"/>
        </w:rPr>
        <w:t>hen prosocial behaviors move into the economic realm…</w:t>
      </w:r>
    </w:p>
    <w:p w14:paraId="05D81946" w14:textId="77777777" w:rsidR="00002B32" w:rsidRDefault="00002B32" w:rsidP="00EC1ECD">
      <w:pPr>
        <w:rPr>
          <w:rFonts w:eastAsia="Times New Roman" w:cs="Times New Roman"/>
          <w:bCs/>
          <w:color w:val="000000"/>
        </w:rPr>
      </w:pPr>
    </w:p>
    <w:p w14:paraId="2FB53B71" w14:textId="77777777" w:rsidR="002327AC" w:rsidRPr="002327AC" w:rsidRDefault="00002B32" w:rsidP="002327AC">
      <w:pPr>
        <w:rPr>
          <w:rFonts w:eastAsia="Times New Roman" w:cs="Times New Roman"/>
          <w:bCs/>
          <w:color w:val="000000"/>
        </w:rPr>
      </w:pPr>
      <w:r w:rsidRPr="002327AC">
        <w:rPr>
          <w:rFonts w:eastAsia="Times New Roman" w:cs="Times New Roman"/>
          <w:bCs/>
          <w:color w:val="000000"/>
        </w:rPr>
        <w:t>Gneezy and Rustichini (2000a) documented the ironic outcome that emerged when the owners of a childcare center instituted fines for parents who were late to pick up their children. Lateness actually increased when fines were instituted; while most parents had made a good faith effort to arrive on time when not doing so was rude to the owners of the center, the institution of fines made showing up late an economic matter, with parents simply calculating the costs and benefits of tardiness. Most troubling, when the owners discontinued the fines, parents did not revert to their earlier behavior, suggesting that when social markets are made economic, it may be difficult to change them back.</w:t>
      </w:r>
    </w:p>
    <w:p w14:paraId="7BA66E86" w14:textId="77777777" w:rsidR="002327AC" w:rsidRDefault="002327AC" w:rsidP="002327AC">
      <w:pPr>
        <w:rPr>
          <w:rFonts w:eastAsia="Times New Roman" w:cs="Times New Roman"/>
          <w:bCs/>
          <w:color w:val="000000"/>
        </w:rPr>
      </w:pPr>
    </w:p>
    <w:p w14:paraId="1B6CEFE0" w14:textId="56B6393D" w:rsidR="002327AC" w:rsidRPr="002327AC" w:rsidRDefault="002327AC" w:rsidP="002327AC">
      <w:pPr>
        <w:rPr>
          <w:rFonts w:eastAsia="Times New Roman" w:cs="Times New Roman"/>
          <w:bCs/>
          <w:color w:val="000000"/>
        </w:rPr>
      </w:pPr>
      <w:r w:rsidRPr="002A6E4C">
        <w:rPr>
          <w:rFonts w:eastAsia="Times New Roman" w:cs="Times New Roman"/>
          <w:b/>
          <w:bCs/>
          <w:color w:val="000000"/>
        </w:rPr>
        <w:t>P</w:t>
      </w:r>
      <w:r w:rsidR="00EC1ECD" w:rsidRPr="002A6E4C">
        <w:rPr>
          <w:rFonts w:eastAsia="Times New Roman" w:cs="Times New Roman"/>
          <w:b/>
          <w:bCs/>
          <w:color w:val="000000"/>
        </w:rPr>
        <w:t>eople work harder for no money than for low pay</w:t>
      </w:r>
      <w:r w:rsidR="00EC1ECD" w:rsidRPr="002327AC">
        <w:rPr>
          <w:rFonts w:eastAsia="Times New Roman" w:cs="Times New Roman"/>
          <w:bCs/>
          <w:color w:val="000000"/>
        </w:rPr>
        <w:t xml:space="preserve"> (Gneezy &amp; Rustichini, 2000b). People are willing to engage in effort such as helping others or doing favors for them for social reasons; once money is introduced, however, people engage in cost-benefit analysis, and small amounts of money are not sufficient to incentivize them to do the work they were willing to do for free for more </w:t>
      </w:r>
      <w:r w:rsidRPr="002327AC">
        <w:rPr>
          <w:rFonts w:eastAsia="Times New Roman" w:cs="Times New Roman"/>
          <w:bCs/>
          <w:color w:val="000000"/>
        </w:rPr>
        <w:t xml:space="preserve">altruistic reasons. </w:t>
      </w:r>
    </w:p>
    <w:p w14:paraId="7BA76BC9" w14:textId="77777777" w:rsidR="002327AC" w:rsidRDefault="002327AC" w:rsidP="002327AC">
      <w:pPr>
        <w:rPr>
          <w:rFonts w:eastAsia="Times New Roman" w:cs="Times New Roman"/>
          <w:bCs/>
          <w:color w:val="000000"/>
        </w:rPr>
      </w:pPr>
    </w:p>
    <w:p w14:paraId="26FF28E4" w14:textId="77777777" w:rsidR="002327AC" w:rsidRPr="002327AC" w:rsidRDefault="002327AC" w:rsidP="002327AC">
      <w:pPr>
        <w:rPr>
          <w:rFonts w:eastAsia="Times New Roman" w:cs="Times New Roman"/>
          <w:bCs/>
          <w:color w:val="000000"/>
        </w:rPr>
      </w:pPr>
      <w:r w:rsidRPr="002A6E4C">
        <w:rPr>
          <w:rFonts w:eastAsia="Times New Roman" w:cs="Times New Roman"/>
          <w:b/>
          <w:bCs/>
          <w:color w:val="000000"/>
        </w:rPr>
        <w:t xml:space="preserve">Mixed markets – </w:t>
      </w:r>
      <w:r w:rsidR="00EC1ECD" w:rsidRPr="002A6E4C">
        <w:rPr>
          <w:rFonts w:eastAsia="Times New Roman" w:cs="Times New Roman"/>
          <w:b/>
          <w:bCs/>
          <w:color w:val="000000"/>
        </w:rPr>
        <w:t>where both social and economic incentives are present – look like economic markets</w:t>
      </w:r>
      <w:r w:rsidR="00EC1ECD" w:rsidRPr="002327AC">
        <w:rPr>
          <w:rFonts w:eastAsia="Times New Roman" w:cs="Times New Roman"/>
          <w:bCs/>
          <w:color w:val="000000"/>
        </w:rPr>
        <w:t>, as though the mere whiff of monetary incentives corrupts social motivations (Heyman &amp; Ariely, 2004).</w:t>
      </w:r>
    </w:p>
    <w:p w14:paraId="401361D8" w14:textId="77777777" w:rsidR="002327AC" w:rsidRDefault="002327AC" w:rsidP="002327AC">
      <w:pPr>
        <w:rPr>
          <w:rFonts w:eastAsia="Times New Roman" w:cs="Times New Roman"/>
          <w:bCs/>
          <w:color w:val="000000"/>
        </w:rPr>
      </w:pPr>
    </w:p>
    <w:p w14:paraId="797E06BF" w14:textId="4732C312" w:rsidR="00002B32" w:rsidRPr="002327AC" w:rsidRDefault="00A23FB5" w:rsidP="002327AC">
      <w:pPr>
        <w:rPr>
          <w:rFonts w:eastAsia="Times New Roman" w:cs="Times New Roman"/>
          <w:bCs/>
          <w:color w:val="000000"/>
        </w:rPr>
      </w:pPr>
      <w:r>
        <w:rPr>
          <w:rFonts w:eastAsia="Times New Roman" w:cs="Times New Roman"/>
          <w:bCs/>
          <w:color w:val="000000"/>
        </w:rPr>
        <w:t>T</w:t>
      </w:r>
      <w:r w:rsidR="00002B32" w:rsidRPr="002327AC">
        <w:rPr>
          <w:rFonts w:eastAsia="Times New Roman" w:cs="Times New Roman"/>
          <w:bCs/>
          <w:color w:val="000000"/>
        </w:rPr>
        <w:t xml:space="preserve">he standard model of labor is one in which individuals trade their time and energy in return for monetary rewards. </w:t>
      </w:r>
      <w:r w:rsidR="00002B32" w:rsidRPr="002A6E4C">
        <w:rPr>
          <w:rFonts w:eastAsia="Times New Roman" w:cs="Times New Roman"/>
          <w:b/>
          <w:bCs/>
          <w:color w:val="000000"/>
        </w:rPr>
        <w:t xml:space="preserve">Building on Fiske’s relational theory (1992), </w:t>
      </w:r>
      <w:r>
        <w:rPr>
          <w:rFonts w:eastAsia="Times New Roman" w:cs="Times New Roman"/>
          <w:b/>
          <w:bCs/>
          <w:color w:val="000000"/>
        </w:rPr>
        <w:t>Heyman &amp; Ariely (2004)</w:t>
      </w:r>
      <w:r w:rsidR="00002B32" w:rsidRPr="002A6E4C">
        <w:rPr>
          <w:rFonts w:eastAsia="Times New Roman" w:cs="Times New Roman"/>
          <w:b/>
          <w:bCs/>
          <w:color w:val="000000"/>
        </w:rPr>
        <w:t xml:space="preserve"> propose that there are two types of markets that determine relationships between effort and payment: monetary and social.</w:t>
      </w:r>
      <w:r w:rsidR="00002B32" w:rsidRPr="002327AC">
        <w:rPr>
          <w:rFonts w:eastAsia="Times New Roman" w:cs="Times New Roman"/>
          <w:bCs/>
          <w:color w:val="000000"/>
        </w:rPr>
        <w:t xml:space="preserve"> </w:t>
      </w:r>
      <w:r>
        <w:rPr>
          <w:rFonts w:eastAsia="Times New Roman" w:cs="Times New Roman"/>
          <w:bCs/>
          <w:color w:val="000000"/>
        </w:rPr>
        <w:t>They found</w:t>
      </w:r>
      <w:r w:rsidR="00002B32" w:rsidRPr="002327AC">
        <w:rPr>
          <w:rFonts w:eastAsia="Times New Roman" w:cs="Times New Roman"/>
          <w:bCs/>
          <w:color w:val="000000"/>
        </w:rPr>
        <w:t xml:space="preserve"> that monetary markets are highly sensitive to the magnitude of compensation, whereas social markets </w:t>
      </w:r>
      <w:commentRangeStart w:id="0"/>
      <w:r w:rsidR="00002B32" w:rsidRPr="002327AC">
        <w:rPr>
          <w:rFonts w:eastAsia="Times New Roman" w:cs="Times New Roman"/>
          <w:bCs/>
          <w:color w:val="000000"/>
        </w:rPr>
        <w:t>are not</w:t>
      </w:r>
      <w:commentRangeEnd w:id="0"/>
      <w:r w:rsidR="00002B32">
        <w:rPr>
          <w:rStyle w:val="CommentReference"/>
        </w:rPr>
        <w:commentReference w:id="0"/>
      </w:r>
      <w:r w:rsidR="00002B32" w:rsidRPr="002327AC">
        <w:rPr>
          <w:rFonts w:eastAsia="Times New Roman" w:cs="Times New Roman"/>
          <w:bCs/>
          <w:color w:val="000000"/>
        </w:rPr>
        <w:t xml:space="preserve">. </w:t>
      </w:r>
      <w:r>
        <w:rPr>
          <w:rFonts w:eastAsia="Times New Roman" w:cs="Times New Roman"/>
          <w:bCs/>
          <w:color w:val="000000"/>
        </w:rPr>
        <w:t>Taken together, evidence from t</w:t>
      </w:r>
      <w:r w:rsidR="00002B32" w:rsidRPr="002327AC">
        <w:rPr>
          <w:rFonts w:eastAsia="Times New Roman" w:cs="Times New Roman"/>
          <w:bCs/>
          <w:color w:val="000000"/>
        </w:rPr>
        <w:t xml:space="preserve">hree experiments support these ideas. Their </w:t>
      </w:r>
      <w:r>
        <w:rPr>
          <w:rFonts w:eastAsia="Times New Roman" w:cs="Times New Roman"/>
          <w:bCs/>
          <w:color w:val="000000"/>
        </w:rPr>
        <w:t>results</w:t>
      </w:r>
      <w:r w:rsidR="00002B32" w:rsidRPr="002327AC">
        <w:rPr>
          <w:rFonts w:eastAsia="Times New Roman" w:cs="Times New Roman"/>
          <w:bCs/>
          <w:color w:val="000000"/>
        </w:rPr>
        <w:t xml:space="preserve"> </w:t>
      </w:r>
      <w:r>
        <w:rPr>
          <w:rFonts w:eastAsia="Times New Roman" w:cs="Times New Roman"/>
          <w:bCs/>
          <w:color w:val="000000"/>
        </w:rPr>
        <w:t>also demonstrat</w:t>
      </w:r>
      <w:r w:rsidR="00002B32" w:rsidRPr="002327AC">
        <w:rPr>
          <w:rFonts w:eastAsia="Times New Roman" w:cs="Times New Roman"/>
          <w:bCs/>
          <w:color w:val="000000"/>
        </w:rPr>
        <w:t>s that mixed markets (markets that include aspects of both social and monetary markets) more closely resemble monetary than social markets.</w:t>
      </w:r>
    </w:p>
    <w:p w14:paraId="50C43541" w14:textId="77777777" w:rsidR="002327AC" w:rsidRDefault="002327AC" w:rsidP="0086388D">
      <w:pPr>
        <w:rPr>
          <w:rFonts w:eastAsia="Times New Roman" w:cs="Times New Roman"/>
          <w:bCs/>
          <w:color w:val="000000"/>
        </w:rPr>
      </w:pPr>
    </w:p>
    <w:p w14:paraId="666FEE77" w14:textId="68B86AF6" w:rsidR="00092A12" w:rsidRDefault="00A23FB5" w:rsidP="002327AC">
      <w:pPr>
        <w:rPr>
          <w:rFonts w:eastAsia="Times New Roman" w:cs="Times New Roman"/>
          <w:bCs/>
          <w:color w:val="000000"/>
        </w:rPr>
      </w:pPr>
      <w:r w:rsidRPr="00080A4E">
        <w:rPr>
          <w:rFonts w:eastAsia="Times New Roman" w:cs="Times New Roman"/>
          <w:b/>
          <w:bCs/>
          <w:color w:val="000000"/>
        </w:rPr>
        <w:t>People don’t engage in CBA</w:t>
      </w:r>
      <w:r w:rsidR="002327AC" w:rsidRPr="00080A4E">
        <w:rPr>
          <w:rFonts w:eastAsia="Times New Roman" w:cs="Times New Roman"/>
          <w:b/>
          <w:bCs/>
          <w:color w:val="000000"/>
        </w:rPr>
        <w:t xml:space="preserve"> because they view charity as relatively subjective decision</w:t>
      </w:r>
      <w:r w:rsidR="002327AC">
        <w:rPr>
          <w:rFonts w:eastAsia="Times New Roman" w:cs="Times New Roman"/>
          <w:bCs/>
          <w:color w:val="000000"/>
        </w:rPr>
        <w:t xml:space="preserve"> (Berman et al, 2018, c.f., </w:t>
      </w:r>
      <w:r w:rsidR="002327AC" w:rsidRPr="002327AC">
        <w:rPr>
          <w:rFonts w:eastAsia="Times New Roman" w:cs="Times New Roman"/>
          <w:bCs/>
          <w:color w:val="000000"/>
        </w:rPr>
        <w:t>Goodwin &amp; Darley, 20</w:t>
      </w:r>
      <w:r w:rsidR="002327AC">
        <w:rPr>
          <w:rFonts w:eastAsia="Times New Roman" w:cs="Times New Roman"/>
          <w:bCs/>
          <w:color w:val="000000"/>
        </w:rPr>
        <w:t xml:space="preserve">08; Spiller &amp; Belogolova, </w:t>
      </w:r>
      <w:r>
        <w:rPr>
          <w:rFonts w:eastAsia="Times New Roman" w:cs="Times New Roman"/>
          <w:bCs/>
          <w:color w:val="000000"/>
        </w:rPr>
        <w:t>2017), and they’re less likely to conduct CBA for charitable giving decisions than for financial investment decisions (Bermn et al, 2018).</w:t>
      </w:r>
      <w:r w:rsidR="002327AC">
        <w:rPr>
          <w:rFonts w:eastAsia="Times New Roman" w:cs="Times New Roman"/>
          <w:bCs/>
          <w:color w:val="000000"/>
        </w:rPr>
        <w:t xml:space="preserve"> </w:t>
      </w:r>
      <w:r>
        <w:rPr>
          <w:rFonts w:eastAsia="Times New Roman" w:cs="Times New Roman"/>
          <w:bCs/>
          <w:color w:val="000000"/>
        </w:rPr>
        <w:t>P</w:t>
      </w:r>
      <w:r w:rsidR="002327AC" w:rsidRPr="002327AC">
        <w:rPr>
          <w:rFonts w:eastAsia="Times New Roman" w:cs="Times New Roman"/>
          <w:bCs/>
          <w:color w:val="000000"/>
        </w:rPr>
        <w:t>eople often feel justified to discount welfare-maximization concerns in order to choose in accordance with their personal preferences.</w:t>
      </w:r>
      <w:r w:rsidR="002327AC">
        <w:rPr>
          <w:rFonts w:eastAsia="Times New Roman" w:cs="Times New Roman"/>
          <w:bCs/>
          <w:color w:val="000000"/>
        </w:rPr>
        <w:t xml:space="preserve"> Moreover, people were l</w:t>
      </w:r>
      <w:r w:rsidR="00092A12">
        <w:rPr>
          <w:rFonts w:eastAsia="Times New Roman" w:cs="Times New Roman"/>
          <w:bCs/>
          <w:color w:val="000000"/>
        </w:rPr>
        <w:t xml:space="preserve">ess likely to engage in CBA when making a charity decision than when making a financial investment decision. </w:t>
      </w:r>
      <w:r w:rsidR="002327AC">
        <w:rPr>
          <w:rFonts w:eastAsia="Times New Roman" w:cs="Times New Roman"/>
          <w:bCs/>
          <w:color w:val="000000"/>
        </w:rPr>
        <w:t>Across several studies, Berman et al (2018), provide evidence for this:</w:t>
      </w:r>
    </w:p>
    <w:p w14:paraId="6FB8BACE" w14:textId="77777777" w:rsidR="00092A12" w:rsidRDefault="002327AC" w:rsidP="002327AC">
      <w:pPr>
        <w:pStyle w:val="ListParagraph"/>
        <w:numPr>
          <w:ilvl w:val="0"/>
          <w:numId w:val="9"/>
        </w:numPr>
        <w:rPr>
          <w:rFonts w:eastAsia="Times New Roman" w:cs="Times New Roman"/>
          <w:bCs/>
          <w:color w:val="000000"/>
        </w:rPr>
      </w:pPr>
      <w:r w:rsidRPr="00092A12">
        <w:rPr>
          <w:rFonts w:eastAsia="Times New Roman" w:cs="Times New Roman"/>
          <w:bCs/>
          <w:color w:val="000000"/>
        </w:rPr>
        <w:t xml:space="preserve">Study 1 showed that, relative to many personal decisions, individuals view charity as being relatively subjective. </w:t>
      </w:r>
    </w:p>
    <w:p w14:paraId="0762D6CA" w14:textId="77777777" w:rsidR="00092A12" w:rsidRDefault="002327AC" w:rsidP="002327AC">
      <w:pPr>
        <w:pStyle w:val="ListParagraph"/>
        <w:numPr>
          <w:ilvl w:val="0"/>
          <w:numId w:val="9"/>
        </w:numPr>
        <w:rPr>
          <w:rFonts w:eastAsia="Times New Roman" w:cs="Times New Roman"/>
          <w:bCs/>
          <w:color w:val="000000"/>
        </w:rPr>
      </w:pPr>
      <w:r w:rsidRPr="00092A12">
        <w:rPr>
          <w:rFonts w:eastAsia="Times New Roman" w:cs="Times New Roman"/>
          <w:bCs/>
          <w:color w:val="000000"/>
        </w:rPr>
        <w:t xml:space="preserve">Study 2 showed that individuals prioritize emotional connection over welfare maximization when comparing charity options. </w:t>
      </w:r>
    </w:p>
    <w:p w14:paraId="21A35454" w14:textId="75D6BCDA" w:rsidR="002327AC" w:rsidRDefault="002327AC" w:rsidP="002327AC">
      <w:pPr>
        <w:pStyle w:val="ListParagraph"/>
        <w:numPr>
          <w:ilvl w:val="0"/>
          <w:numId w:val="9"/>
        </w:numPr>
        <w:rPr>
          <w:rFonts w:eastAsia="Times New Roman" w:cs="Times New Roman"/>
          <w:bCs/>
          <w:color w:val="000000"/>
        </w:rPr>
      </w:pPr>
      <w:r w:rsidRPr="00092A12">
        <w:rPr>
          <w:rFonts w:eastAsia="Times New Roman" w:cs="Times New Roman"/>
          <w:bCs/>
          <w:color w:val="000000"/>
        </w:rPr>
        <w:t xml:space="preserve">Study 3 examined choice processes and found that people are more likely to override welfare maximization when choosing a charity than when choosing a financial investment. </w:t>
      </w:r>
    </w:p>
    <w:p w14:paraId="4A17DD3F" w14:textId="7237548A" w:rsidR="00092A12" w:rsidRPr="002A6E4C" w:rsidRDefault="002A6E4C" w:rsidP="002A6E4C">
      <w:pPr>
        <w:pStyle w:val="ListParagraph"/>
        <w:numPr>
          <w:ilvl w:val="0"/>
          <w:numId w:val="9"/>
        </w:numPr>
        <w:rPr>
          <w:rFonts w:eastAsia="Times New Roman" w:cs="Times New Roman"/>
          <w:bCs/>
          <w:color w:val="000000"/>
        </w:rPr>
      </w:pPr>
      <w:r>
        <w:rPr>
          <w:rFonts w:eastAsia="Times New Roman" w:cs="Times New Roman"/>
          <w:bCs/>
          <w:color w:val="000000"/>
        </w:rPr>
        <w:t xml:space="preserve">Studies 4 and 5 found that individuals are </w:t>
      </w:r>
      <w:r w:rsidRPr="002A6E4C">
        <w:rPr>
          <w:rFonts w:eastAsia="Times New Roman" w:cs="Times New Roman"/>
          <w:bCs/>
          <w:color w:val="000000"/>
        </w:rPr>
        <w:t>less likely to license themselves (Study 4) and others (Study 5) to select an ineffective option when a decision maker assumes a position of responsibili</w:t>
      </w:r>
      <w:r>
        <w:rPr>
          <w:rFonts w:eastAsia="Times New Roman" w:cs="Times New Roman"/>
          <w:bCs/>
          <w:color w:val="000000"/>
        </w:rPr>
        <w:t>ty – this suggests a novel mechanism for reducing CBA aversion (e.g., elicit responsibility in charitable donations)</w:t>
      </w:r>
    </w:p>
    <w:p w14:paraId="0B5224F4" w14:textId="77777777" w:rsidR="002327AC" w:rsidRDefault="002327AC" w:rsidP="0086388D">
      <w:pPr>
        <w:rPr>
          <w:rFonts w:eastAsia="Times New Roman" w:cs="Times New Roman"/>
          <w:bCs/>
          <w:color w:val="000000"/>
        </w:rPr>
      </w:pPr>
    </w:p>
    <w:p w14:paraId="32D8E946" w14:textId="6B0DEB20" w:rsidR="002327AC" w:rsidRPr="002327AC" w:rsidRDefault="002327AC" w:rsidP="002327AC">
      <w:pPr>
        <w:rPr>
          <w:rFonts w:eastAsia="Times New Roman" w:cs="Times New Roman"/>
          <w:bCs/>
          <w:color w:val="000000"/>
        </w:rPr>
      </w:pPr>
      <w:r>
        <w:rPr>
          <w:rFonts w:eastAsia="Times New Roman" w:cs="Times New Roman"/>
          <w:bCs/>
          <w:color w:val="000000"/>
        </w:rPr>
        <w:t>It’s not just that people are ‘distorted altruists’ – that they</w:t>
      </w:r>
      <w:r w:rsidRPr="002327AC">
        <w:rPr>
          <w:rFonts w:eastAsia="Times New Roman" w:cs="Times New Roman"/>
          <w:bCs/>
          <w:color w:val="000000"/>
        </w:rPr>
        <w:t xml:space="preserve"> care about welfare maximization, but without clear information to make comparisons, they rely on their feelings to guide choice (Loewenstein &amp; Small, 2007; Slovic, 2007).</w:t>
      </w:r>
      <w:r w:rsidR="00080A4E">
        <w:rPr>
          <w:rFonts w:eastAsia="Times New Roman" w:cs="Times New Roman"/>
          <w:bCs/>
          <w:color w:val="000000"/>
        </w:rPr>
        <w:t xml:space="preserve"> It’s that they</w:t>
      </w:r>
      <w:r w:rsidRPr="002327AC">
        <w:rPr>
          <w:rFonts w:eastAsia="Times New Roman" w:cs="Times New Roman"/>
          <w:bCs/>
          <w:color w:val="000000"/>
        </w:rPr>
        <w:t xml:space="preserve"> </w:t>
      </w:r>
      <w:r w:rsidR="0014039B">
        <w:rPr>
          <w:rFonts w:eastAsia="Times New Roman" w:cs="Times New Roman"/>
          <w:bCs/>
          <w:color w:val="000000"/>
        </w:rPr>
        <w:t>can care more about their own subjective preferences than they may about welfare maximization such that even with the relevant welfare-maximization information, people still prioritize emotional connection.</w:t>
      </w:r>
      <w:bookmarkStart w:id="1" w:name="_GoBack"/>
      <w:bookmarkEnd w:id="1"/>
    </w:p>
    <w:p w14:paraId="69606A3F" w14:textId="77777777" w:rsidR="002327AC" w:rsidRPr="002327AC" w:rsidRDefault="002327AC" w:rsidP="0086388D">
      <w:pPr>
        <w:rPr>
          <w:rFonts w:eastAsia="Times New Roman" w:cs="Times New Roman"/>
          <w:bCs/>
          <w:color w:val="000000"/>
        </w:rPr>
      </w:pPr>
    </w:p>
    <w:p w14:paraId="4BE85DC0" w14:textId="4859A856" w:rsidR="002327AC" w:rsidRDefault="00F86D35" w:rsidP="0086388D">
      <w:pPr>
        <w:rPr>
          <w:rFonts w:cs="Times New Roman"/>
          <w:bCs/>
          <w:color w:val="000000"/>
        </w:rPr>
      </w:pPr>
      <w:r>
        <w:rPr>
          <w:rFonts w:cs="Times New Roman"/>
          <w:bCs/>
          <w:color w:val="000000"/>
        </w:rPr>
        <w:t>--</w:t>
      </w:r>
    </w:p>
    <w:p w14:paraId="4FB332DC" w14:textId="77777777" w:rsidR="002A6E4C" w:rsidRDefault="002A6E4C" w:rsidP="0086388D">
      <w:pPr>
        <w:rPr>
          <w:rFonts w:cs="Times New Roman"/>
          <w:bCs/>
          <w:color w:val="000000"/>
        </w:rPr>
      </w:pPr>
    </w:p>
    <w:p w14:paraId="2F089516" w14:textId="77777777" w:rsidR="002A6E4C" w:rsidRDefault="002A6E4C" w:rsidP="0086388D">
      <w:pPr>
        <w:rPr>
          <w:rFonts w:cs="Times New Roman"/>
          <w:bCs/>
          <w:color w:val="000000"/>
        </w:rPr>
      </w:pPr>
      <w:r>
        <w:rPr>
          <w:rFonts w:cs="Times New Roman"/>
          <w:bCs/>
          <w:color w:val="000000"/>
        </w:rPr>
        <w:t>Looked into these from David</w:t>
      </w:r>
      <w:r w:rsidR="00930AB1">
        <w:rPr>
          <w:rFonts w:cs="Times New Roman"/>
          <w:bCs/>
          <w:color w:val="000000"/>
        </w:rPr>
        <w:t xml:space="preserve">: </w:t>
      </w:r>
    </w:p>
    <w:p w14:paraId="426340C7" w14:textId="77777777" w:rsidR="002A6E4C" w:rsidRDefault="002A6E4C" w:rsidP="0086388D">
      <w:pPr>
        <w:rPr>
          <w:rFonts w:cs="Times New Roman"/>
          <w:bCs/>
          <w:color w:val="000000"/>
        </w:rPr>
      </w:pPr>
    </w:p>
    <w:p w14:paraId="74B8EDA1" w14:textId="77777777" w:rsidR="002A6E4C" w:rsidRDefault="002327AC" w:rsidP="0086388D">
      <w:pPr>
        <w:rPr>
          <w:rFonts w:cs="Times New Roman"/>
          <w:bCs/>
          <w:color w:val="000000"/>
        </w:rPr>
      </w:pPr>
      <w:r>
        <w:rPr>
          <w:rFonts w:cs="Times New Roman"/>
          <w:bCs/>
          <w:color w:val="000000"/>
        </w:rPr>
        <w:t>On rarely seeking out effectiveness information and are reticent to purchase it…</w:t>
      </w:r>
    </w:p>
    <w:p w14:paraId="76395387" w14:textId="77777777" w:rsidR="002A6E4C" w:rsidRDefault="002A6E4C" w:rsidP="0086388D">
      <w:pPr>
        <w:rPr>
          <w:rFonts w:cs="Times New Roman"/>
          <w:bCs/>
          <w:color w:val="000000"/>
        </w:rPr>
      </w:pPr>
    </w:p>
    <w:p w14:paraId="0601EA25" w14:textId="7581236F" w:rsidR="00092A12" w:rsidRPr="00930AB1" w:rsidRDefault="00930AB1" w:rsidP="002A6E4C">
      <w:pPr>
        <w:rPr>
          <w:rFonts w:cs="Times New Roman"/>
          <w:bCs/>
          <w:color w:val="000000"/>
        </w:rPr>
      </w:pPr>
      <w:r>
        <w:rPr>
          <w:rFonts w:cs="Times New Roman"/>
          <w:bCs/>
          <w:color w:val="000000"/>
        </w:rPr>
        <w:t xml:space="preserve">Null (2011) found that most (60%) of people were not willing to give up a small portion of endowed money in order to learn cost-effectiveness information about matching. Interestingly, these people who did not purchase the information forfeited matching funds that ranged between </w:t>
      </w:r>
      <w:r w:rsidRPr="00930AB1">
        <w:rPr>
          <w:rFonts w:cs="Times New Roman"/>
          <w:bCs/>
          <w:color w:val="000000"/>
        </w:rPr>
        <w:t xml:space="preserve">30-150% of the </w:t>
      </w:r>
      <w:r>
        <w:rPr>
          <w:rFonts w:cs="Times New Roman"/>
          <w:bCs/>
          <w:color w:val="000000"/>
        </w:rPr>
        <w:t xml:space="preserve">value of their unmatched gifts. The </w:t>
      </w:r>
      <w:r w:rsidRPr="00930AB1">
        <w:rPr>
          <w:rFonts w:cs="Times New Roman"/>
          <w:bCs/>
          <w:color w:val="000000"/>
        </w:rPr>
        <w:t xml:space="preserve">median donor </w:t>
      </w:r>
      <w:r>
        <w:rPr>
          <w:rFonts w:cs="Times New Roman"/>
          <w:bCs/>
          <w:color w:val="000000"/>
        </w:rPr>
        <w:t>gave up</w:t>
      </w:r>
      <w:r w:rsidRPr="00930AB1">
        <w:rPr>
          <w:rFonts w:cs="Times New Roman"/>
          <w:bCs/>
          <w:color w:val="000000"/>
        </w:rPr>
        <w:t xml:space="preserve"> matching funds exactly equal to t</w:t>
      </w:r>
      <w:r>
        <w:rPr>
          <w:rFonts w:cs="Times New Roman"/>
          <w:bCs/>
          <w:color w:val="000000"/>
        </w:rPr>
        <w:t xml:space="preserve">he value of her unmatched gift: “a truly staggering sum” (Null, 2011). </w:t>
      </w:r>
      <w:r w:rsidR="002A6E4C">
        <w:rPr>
          <w:rFonts w:cs="Times New Roman"/>
          <w:bCs/>
          <w:color w:val="000000"/>
        </w:rPr>
        <w:t xml:space="preserve">It’s possible that subjects </w:t>
      </w:r>
      <w:r w:rsidR="002A6E4C" w:rsidRPr="002A6E4C">
        <w:rPr>
          <w:rFonts w:cs="Times New Roman"/>
          <w:bCs/>
          <w:color w:val="000000"/>
        </w:rPr>
        <w:t>“simply [did] not care about the potential to substitute into the charity w</w:t>
      </w:r>
      <w:r w:rsidR="002A6E4C">
        <w:rPr>
          <w:rFonts w:cs="Times New Roman"/>
          <w:bCs/>
          <w:color w:val="000000"/>
        </w:rPr>
        <w:t>ith the highest matching rate,” driven</w:t>
      </w:r>
      <w:r w:rsidR="002A6E4C" w:rsidRPr="002A6E4C">
        <w:rPr>
          <w:rFonts w:cs="Times New Roman"/>
          <w:bCs/>
          <w:color w:val="000000"/>
        </w:rPr>
        <w:t xml:space="preserve"> perhaps </w:t>
      </w:r>
      <w:r w:rsidR="002A6E4C">
        <w:rPr>
          <w:rFonts w:cs="Times New Roman"/>
          <w:bCs/>
          <w:color w:val="000000"/>
        </w:rPr>
        <w:t xml:space="preserve">by both risk aversion and warm glow. It may also be due to </w:t>
      </w:r>
      <w:r w:rsidR="002A6E4C" w:rsidRPr="002A6E4C">
        <w:rPr>
          <w:rFonts w:cs="Times New Roman"/>
          <w:bCs/>
          <w:color w:val="000000"/>
        </w:rPr>
        <w:t xml:space="preserve">simple misunderstanding or fatigue (in an </w:t>
      </w:r>
      <w:r w:rsidR="002A6E4C">
        <w:rPr>
          <w:rFonts w:cs="Times New Roman"/>
          <w:bCs/>
          <w:color w:val="000000"/>
        </w:rPr>
        <w:t>incentivized</w:t>
      </w:r>
      <w:r w:rsidR="002A6E4C" w:rsidRPr="002A6E4C">
        <w:rPr>
          <w:rFonts w:cs="Times New Roman"/>
          <w:bCs/>
          <w:color w:val="000000"/>
        </w:rPr>
        <w:t xml:space="preserve"> elicitati</w:t>
      </w:r>
      <w:r w:rsidR="002A6E4C">
        <w:rPr>
          <w:rFonts w:cs="Times New Roman"/>
          <w:bCs/>
          <w:color w:val="000000"/>
        </w:rPr>
        <w:t xml:space="preserve">on, she found some evidence of </w:t>
      </w:r>
      <w:r w:rsidR="002A6E4C" w:rsidRPr="002A6E4C">
        <w:rPr>
          <w:rFonts w:cs="Times New Roman"/>
          <w:bCs/>
          <w:color w:val="000000"/>
        </w:rPr>
        <w:t>incomplete comprehension).  </w:t>
      </w:r>
    </w:p>
    <w:p w14:paraId="054C4D9E" w14:textId="77777777" w:rsidR="0086388D" w:rsidRPr="00C04C29" w:rsidRDefault="0086388D" w:rsidP="0086388D">
      <w:pPr>
        <w:rPr>
          <w:rFonts w:eastAsia="Times New Roman" w:cs="Times New Roman"/>
        </w:rPr>
      </w:pPr>
    </w:p>
    <w:p w14:paraId="64F40B01" w14:textId="1CFB7AF5" w:rsidR="00092A12" w:rsidRPr="002A6E4C" w:rsidRDefault="002A6E4C" w:rsidP="002A6E4C">
      <w:pPr>
        <w:rPr>
          <w:rFonts w:cs="Times New Roman"/>
          <w:bCs/>
          <w:iCs/>
          <w:color w:val="000000"/>
        </w:rPr>
      </w:pPr>
      <w:r>
        <w:rPr>
          <w:rFonts w:cs="Times New Roman"/>
          <w:bCs/>
          <w:iCs/>
          <w:color w:val="000000"/>
        </w:rPr>
        <w:t xml:space="preserve">People are </w:t>
      </w:r>
      <w:r w:rsidR="00092A12" w:rsidRPr="00092A12">
        <w:rPr>
          <w:rFonts w:cs="Times New Roman"/>
          <w:bCs/>
          <w:iCs/>
          <w:color w:val="000000"/>
        </w:rPr>
        <w:t xml:space="preserve">less interested in </w:t>
      </w:r>
      <w:r w:rsidR="00092A12">
        <w:rPr>
          <w:rFonts w:cs="Times New Roman"/>
          <w:bCs/>
          <w:iCs/>
          <w:color w:val="000000"/>
        </w:rPr>
        <w:t>information</w:t>
      </w:r>
      <w:r w:rsidR="00930AB1">
        <w:rPr>
          <w:rFonts w:cs="Times New Roman"/>
          <w:bCs/>
          <w:iCs/>
          <w:color w:val="000000"/>
        </w:rPr>
        <w:t xml:space="preserve"> about cost-effectiveness</w:t>
      </w:r>
      <w:r w:rsidR="00092A12">
        <w:rPr>
          <w:rFonts w:cs="Times New Roman"/>
          <w:bCs/>
          <w:iCs/>
          <w:color w:val="000000"/>
        </w:rPr>
        <w:t xml:space="preserve"> than they are in information about recipients…</w:t>
      </w:r>
      <w:r w:rsidR="00092A12">
        <w:rPr>
          <w:rFonts w:cs="Times New Roman"/>
        </w:rPr>
        <w:t>Metzger and Gunther (2015) found that only than 18.5% of people were willing to purchase information about effectiveness (e.g., aid impact) while 28% were willing to purchase information about administrative costs (e.g., overhead), and 41% were willing to purchase information about the recipients (e.g., individual beneficiaries). The difference between effectiveness and recipients was significant.</w:t>
      </w:r>
    </w:p>
    <w:p w14:paraId="23A527E3" w14:textId="77777777" w:rsidR="0086388D" w:rsidRPr="00C04C29" w:rsidRDefault="0086388D" w:rsidP="0086388D">
      <w:pPr>
        <w:rPr>
          <w:rFonts w:eastAsia="Times New Roman" w:cs="Times New Roman"/>
        </w:rPr>
      </w:pPr>
    </w:p>
    <w:p w14:paraId="71B25C37" w14:textId="77777777" w:rsidR="0086388D" w:rsidRPr="00C04C29" w:rsidRDefault="0086388D" w:rsidP="0086388D">
      <w:pPr>
        <w:rPr>
          <w:rFonts w:eastAsia="Times New Roman" w:cs="Times New Roman"/>
        </w:rPr>
      </w:pPr>
    </w:p>
    <w:p w14:paraId="62889B0C" w14:textId="77777777" w:rsidR="00AF5A53" w:rsidRPr="00C04C29" w:rsidRDefault="00AF5A53"/>
    <w:sectPr w:rsidR="00AF5A53" w:rsidRPr="00C04C29" w:rsidSect="009273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holas Fitz" w:date="2018-06-17T09:38:00Z" w:initials="NF">
    <w:p w14:paraId="72D5B456" w14:textId="77777777" w:rsidR="002A6E4C" w:rsidRDefault="002A6E4C" w:rsidP="00002B32">
      <w:pPr>
        <w:pStyle w:val="CommentText"/>
      </w:pPr>
      <w:r>
        <w:rPr>
          <w:rStyle w:val="CommentReference"/>
        </w:rPr>
        <w:annotationRef/>
      </w:r>
      <w:r w:rsidRPr="006D6789">
        <w:rPr>
          <w:rFonts w:eastAsia="Times New Roman" w:cs="Times New Roman"/>
          <w:bCs/>
          <w:color w:val="000000"/>
        </w:rPr>
        <w:t>This perspective can shed light on the well-established observation that people sometimes expend more effort in exchange for no payment (a social market) than they expend when they receive low payment (a monetary market).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7F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68A276D"/>
    <w:multiLevelType w:val="hybridMultilevel"/>
    <w:tmpl w:val="89A0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D3C35"/>
    <w:multiLevelType w:val="hybridMultilevel"/>
    <w:tmpl w:val="D7B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A13E6"/>
    <w:multiLevelType w:val="hybridMultilevel"/>
    <w:tmpl w:val="1CCA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F45B3"/>
    <w:multiLevelType w:val="multilevel"/>
    <w:tmpl w:val="3A3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171B9"/>
    <w:multiLevelType w:val="hybridMultilevel"/>
    <w:tmpl w:val="50D4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2738C"/>
    <w:multiLevelType w:val="hybridMultilevel"/>
    <w:tmpl w:val="4422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33D57"/>
    <w:multiLevelType w:val="hybridMultilevel"/>
    <w:tmpl w:val="CBC8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8D"/>
    <w:rsid w:val="00002B32"/>
    <w:rsid w:val="00080A4E"/>
    <w:rsid w:val="00092A12"/>
    <w:rsid w:val="0014039B"/>
    <w:rsid w:val="002327AC"/>
    <w:rsid w:val="00247221"/>
    <w:rsid w:val="00252D9E"/>
    <w:rsid w:val="0027734F"/>
    <w:rsid w:val="002A6E4C"/>
    <w:rsid w:val="002F547C"/>
    <w:rsid w:val="003301BD"/>
    <w:rsid w:val="00483D05"/>
    <w:rsid w:val="005666AE"/>
    <w:rsid w:val="006D6789"/>
    <w:rsid w:val="006E3958"/>
    <w:rsid w:val="007908EF"/>
    <w:rsid w:val="0086388D"/>
    <w:rsid w:val="00927328"/>
    <w:rsid w:val="00930AB1"/>
    <w:rsid w:val="00934AC2"/>
    <w:rsid w:val="00A23FB5"/>
    <w:rsid w:val="00AF0C74"/>
    <w:rsid w:val="00AF5A53"/>
    <w:rsid w:val="00B658A5"/>
    <w:rsid w:val="00C04C29"/>
    <w:rsid w:val="00D401B5"/>
    <w:rsid w:val="00EC1ECD"/>
    <w:rsid w:val="00F86D35"/>
    <w:rsid w:val="00FB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B3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C2"/>
    <w:rPr>
      <w:rFonts w:ascii="Helvetica" w:hAnsi="Helvetica"/>
    </w:rPr>
  </w:style>
  <w:style w:type="paragraph" w:styleId="Heading1">
    <w:name w:val="heading 1"/>
    <w:basedOn w:val="Normal"/>
    <w:next w:val="Normal"/>
    <w:link w:val="Heading1Char"/>
    <w:autoRedefine/>
    <w:uiPriority w:val="9"/>
    <w:qFormat/>
    <w:rsid w:val="006E3958"/>
    <w:pPr>
      <w:keepNext/>
      <w:keepLines/>
      <w:numPr>
        <w:numId w:val="2"/>
      </w:numPr>
      <w:spacing w:before="480"/>
      <w:outlineLvl w:val="0"/>
    </w:pPr>
    <w:rPr>
      <w:rFonts w:ascii="Times New Roman" w:eastAsiaTheme="majorEastAsia" w:hAnsi="Times New Roman" w:cstheme="majorBidi"/>
      <w:bCs/>
      <w:sz w:val="28"/>
      <w:szCs w:val="32"/>
    </w:rPr>
  </w:style>
  <w:style w:type="paragraph" w:styleId="Heading2">
    <w:name w:val="heading 2"/>
    <w:basedOn w:val="Normal"/>
    <w:next w:val="Normal"/>
    <w:link w:val="Heading2Char"/>
    <w:autoRedefine/>
    <w:uiPriority w:val="9"/>
    <w:unhideWhenUsed/>
    <w:qFormat/>
    <w:rsid w:val="006E3958"/>
    <w:pPr>
      <w:keepNext/>
      <w:keepLines/>
      <w:numPr>
        <w:ilvl w:val="1"/>
        <w:numId w:val="1"/>
      </w:numPr>
      <w:spacing w:before="200"/>
      <w:outlineLvl w:val="1"/>
    </w:pPr>
    <w:rPr>
      <w:rFonts w:ascii="Times New Roman" w:eastAsiaTheme="majorEastAsia" w:hAnsi="Times New Roman" w:cstheme="majorBidi"/>
      <w:b/>
      <w:bCs/>
      <w:szCs w:val="26"/>
    </w:rPr>
  </w:style>
  <w:style w:type="paragraph" w:styleId="Heading3">
    <w:name w:val="heading 3"/>
    <w:basedOn w:val="Normal"/>
    <w:link w:val="Heading3Char"/>
    <w:uiPriority w:val="9"/>
    <w:qFormat/>
    <w:rsid w:val="008638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58"/>
    <w:rPr>
      <w:rFonts w:ascii="Times New Roman" w:eastAsiaTheme="majorEastAsia" w:hAnsi="Times New Roman" w:cstheme="majorBidi"/>
      <w:bCs/>
      <w:sz w:val="28"/>
      <w:szCs w:val="32"/>
    </w:rPr>
  </w:style>
  <w:style w:type="character" w:customStyle="1" w:styleId="Heading2Char">
    <w:name w:val="Heading 2 Char"/>
    <w:basedOn w:val="DefaultParagraphFont"/>
    <w:link w:val="Heading2"/>
    <w:uiPriority w:val="9"/>
    <w:rsid w:val="006E3958"/>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86388D"/>
    <w:rPr>
      <w:rFonts w:ascii="Times" w:hAnsi="Times"/>
      <w:b/>
      <w:bCs/>
      <w:sz w:val="27"/>
      <w:szCs w:val="27"/>
    </w:rPr>
  </w:style>
  <w:style w:type="paragraph" w:styleId="NormalWeb">
    <w:name w:val="Normal (Web)"/>
    <w:basedOn w:val="Normal"/>
    <w:uiPriority w:val="99"/>
    <w:semiHidden/>
    <w:unhideWhenUsed/>
    <w:rsid w:val="0086388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04C29"/>
    <w:pPr>
      <w:ind w:left="720"/>
      <w:contextualSpacing/>
    </w:pPr>
  </w:style>
  <w:style w:type="character" w:styleId="CommentReference">
    <w:name w:val="annotation reference"/>
    <w:basedOn w:val="DefaultParagraphFont"/>
    <w:uiPriority w:val="99"/>
    <w:semiHidden/>
    <w:unhideWhenUsed/>
    <w:rsid w:val="00002B32"/>
    <w:rPr>
      <w:sz w:val="18"/>
      <w:szCs w:val="18"/>
    </w:rPr>
  </w:style>
  <w:style w:type="paragraph" w:styleId="CommentText">
    <w:name w:val="annotation text"/>
    <w:basedOn w:val="Normal"/>
    <w:link w:val="CommentTextChar"/>
    <w:uiPriority w:val="99"/>
    <w:semiHidden/>
    <w:unhideWhenUsed/>
    <w:rsid w:val="00002B32"/>
  </w:style>
  <w:style w:type="character" w:customStyle="1" w:styleId="CommentTextChar">
    <w:name w:val="Comment Text Char"/>
    <w:basedOn w:val="DefaultParagraphFont"/>
    <w:link w:val="CommentText"/>
    <w:uiPriority w:val="99"/>
    <w:semiHidden/>
    <w:rsid w:val="00002B32"/>
    <w:rPr>
      <w:rFonts w:ascii="Helvetica" w:hAnsi="Helvetica"/>
    </w:rPr>
  </w:style>
  <w:style w:type="paragraph" w:styleId="CommentSubject">
    <w:name w:val="annotation subject"/>
    <w:basedOn w:val="CommentText"/>
    <w:next w:val="CommentText"/>
    <w:link w:val="CommentSubjectChar"/>
    <w:uiPriority w:val="99"/>
    <w:semiHidden/>
    <w:unhideWhenUsed/>
    <w:rsid w:val="00002B32"/>
    <w:rPr>
      <w:b/>
      <w:bCs/>
      <w:sz w:val="20"/>
      <w:szCs w:val="20"/>
    </w:rPr>
  </w:style>
  <w:style w:type="character" w:customStyle="1" w:styleId="CommentSubjectChar">
    <w:name w:val="Comment Subject Char"/>
    <w:basedOn w:val="CommentTextChar"/>
    <w:link w:val="CommentSubject"/>
    <w:uiPriority w:val="99"/>
    <w:semiHidden/>
    <w:rsid w:val="00002B32"/>
    <w:rPr>
      <w:rFonts w:ascii="Helvetica" w:hAnsi="Helvetica"/>
      <w:b/>
      <w:bCs/>
      <w:sz w:val="20"/>
      <w:szCs w:val="20"/>
    </w:rPr>
  </w:style>
  <w:style w:type="paragraph" w:styleId="BalloonText">
    <w:name w:val="Balloon Text"/>
    <w:basedOn w:val="Normal"/>
    <w:link w:val="BalloonTextChar"/>
    <w:uiPriority w:val="99"/>
    <w:semiHidden/>
    <w:unhideWhenUsed/>
    <w:rsid w:val="00002B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B32"/>
    <w:rPr>
      <w:rFonts w:ascii="Lucida Grande" w:hAnsi="Lucida Grande" w:cs="Lucida Grande"/>
      <w:sz w:val="18"/>
      <w:szCs w:val="18"/>
    </w:rPr>
  </w:style>
  <w:style w:type="character" w:styleId="Hyperlink">
    <w:name w:val="Hyperlink"/>
    <w:basedOn w:val="DefaultParagraphFont"/>
    <w:uiPriority w:val="99"/>
    <w:unhideWhenUsed/>
    <w:rsid w:val="00002B3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C2"/>
    <w:rPr>
      <w:rFonts w:ascii="Helvetica" w:hAnsi="Helvetica"/>
    </w:rPr>
  </w:style>
  <w:style w:type="paragraph" w:styleId="Heading1">
    <w:name w:val="heading 1"/>
    <w:basedOn w:val="Normal"/>
    <w:next w:val="Normal"/>
    <w:link w:val="Heading1Char"/>
    <w:autoRedefine/>
    <w:uiPriority w:val="9"/>
    <w:qFormat/>
    <w:rsid w:val="006E3958"/>
    <w:pPr>
      <w:keepNext/>
      <w:keepLines/>
      <w:numPr>
        <w:numId w:val="2"/>
      </w:numPr>
      <w:spacing w:before="480"/>
      <w:outlineLvl w:val="0"/>
    </w:pPr>
    <w:rPr>
      <w:rFonts w:ascii="Times New Roman" w:eastAsiaTheme="majorEastAsia" w:hAnsi="Times New Roman" w:cstheme="majorBidi"/>
      <w:bCs/>
      <w:sz w:val="28"/>
      <w:szCs w:val="32"/>
    </w:rPr>
  </w:style>
  <w:style w:type="paragraph" w:styleId="Heading2">
    <w:name w:val="heading 2"/>
    <w:basedOn w:val="Normal"/>
    <w:next w:val="Normal"/>
    <w:link w:val="Heading2Char"/>
    <w:autoRedefine/>
    <w:uiPriority w:val="9"/>
    <w:unhideWhenUsed/>
    <w:qFormat/>
    <w:rsid w:val="006E3958"/>
    <w:pPr>
      <w:keepNext/>
      <w:keepLines/>
      <w:numPr>
        <w:ilvl w:val="1"/>
        <w:numId w:val="1"/>
      </w:numPr>
      <w:spacing w:before="200"/>
      <w:outlineLvl w:val="1"/>
    </w:pPr>
    <w:rPr>
      <w:rFonts w:ascii="Times New Roman" w:eastAsiaTheme="majorEastAsia" w:hAnsi="Times New Roman" w:cstheme="majorBidi"/>
      <w:b/>
      <w:bCs/>
      <w:szCs w:val="26"/>
    </w:rPr>
  </w:style>
  <w:style w:type="paragraph" w:styleId="Heading3">
    <w:name w:val="heading 3"/>
    <w:basedOn w:val="Normal"/>
    <w:link w:val="Heading3Char"/>
    <w:uiPriority w:val="9"/>
    <w:qFormat/>
    <w:rsid w:val="008638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58"/>
    <w:rPr>
      <w:rFonts w:ascii="Times New Roman" w:eastAsiaTheme="majorEastAsia" w:hAnsi="Times New Roman" w:cstheme="majorBidi"/>
      <w:bCs/>
      <w:sz w:val="28"/>
      <w:szCs w:val="32"/>
    </w:rPr>
  </w:style>
  <w:style w:type="character" w:customStyle="1" w:styleId="Heading2Char">
    <w:name w:val="Heading 2 Char"/>
    <w:basedOn w:val="DefaultParagraphFont"/>
    <w:link w:val="Heading2"/>
    <w:uiPriority w:val="9"/>
    <w:rsid w:val="006E3958"/>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86388D"/>
    <w:rPr>
      <w:rFonts w:ascii="Times" w:hAnsi="Times"/>
      <w:b/>
      <w:bCs/>
      <w:sz w:val="27"/>
      <w:szCs w:val="27"/>
    </w:rPr>
  </w:style>
  <w:style w:type="paragraph" w:styleId="NormalWeb">
    <w:name w:val="Normal (Web)"/>
    <w:basedOn w:val="Normal"/>
    <w:uiPriority w:val="99"/>
    <w:semiHidden/>
    <w:unhideWhenUsed/>
    <w:rsid w:val="0086388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04C29"/>
    <w:pPr>
      <w:ind w:left="720"/>
      <w:contextualSpacing/>
    </w:pPr>
  </w:style>
  <w:style w:type="character" w:styleId="CommentReference">
    <w:name w:val="annotation reference"/>
    <w:basedOn w:val="DefaultParagraphFont"/>
    <w:uiPriority w:val="99"/>
    <w:semiHidden/>
    <w:unhideWhenUsed/>
    <w:rsid w:val="00002B32"/>
    <w:rPr>
      <w:sz w:val="18"/>
      <w:szCs w:val="18"/>
    </w:rPr>
  </w:style>
  <w:style w:type="paragraph" w:styleId="CommentText">
    <w:name w:val="annotation text"/>
    <w:basedOn w:val="Normal"/>
    <w:link w:val="CommentTextChar"/>
    <w:uiPriority w:val="99"/>
    <w:semiHidden/>
    <w:unhideWhenUsed/>
    <w:rsid w:val="00002B32"/>
  </w:style>
  <w:style w:type="character" w:customStyle="1" w:styleId="CommentTextChar">
    <w:name w:val="Comment Text Char"/>
    <w:basedOn w:val="DefaultParagraphFont"/>
    <w:link w:val="CommentText"/>
    <w:uiPriority w:val="99"/>
    <w:semiHidden/>
    <w:rsid w:val="00002B32"/>
    <w:rPr>
      <w:rFonts w:ascii="Helvetica" w:hAnsi="Helvetica"/>
    </w:rPr>
  </w:style>
  <w:style w:type="paragraph" w:styleId="CommentSubject">
    <w:name w:val="annotation subject"/>
    <w:basedOn w:val="CommentText"/>
    <w:next w:val="CommentText"/>
    <w:link w:val="CommentSubjectChar"/>
    <w:uiPriority w:val="99"/>
    <w:semiHidden/>
    <w:unhideWhenUsed/>
    <w:rsid w:val="00002B32"/>
    <w:rPr>
      <w:b/>
      <w:bCs/>
      <w:sz w:val="20"/>
      <w:szCs w:val="20"/>
    </w:rPr>
  </w:style>
  <w:style w:type="character" w:customStyle="1" w:styleId="CommentSubjectChar">
    <w:name w:val="Comment Subject Char"/>
    <w:basedOn w:val="CommentTextChar"/>
    <w:link w:val="CommentSubject"/>
    <w:uiPriority w:val="99"/>
    <w:semiHidden/>
    <w:rsid w:val="00002B32"/>
    <w:rPr>
      <w:rFonts w:ascii="Helvetica" w:hAnsi="Helvetica"/>
      <w:b/>
      <w:bCs/>
      <w:sz w:val="20"/>
      <w:szCs w:val="20"/>
    </w:rPr>
  </w:style>
  <w:style w:type="paragraph" w:styleId="BalloonText">
    <w:name w:val="Balloon Text"/>
    <w:basedOn w:val="Normal"/>
    <w:link w:val="BalloonTextChar"/>
    <w:uiPriority w:val="99"/>
    <w:semiHidden/>
    <w:unhideWhenUsed/>
    <w:rsid w:val="00002B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B32"/>
    <w:rPr>
      <w:rFonts w:ascii="Lucida Grande" w:hAnsi="Lucida Grande" w:cs="Lucida Grande"/>
      <w:sz w:val="18"/>
      <w:szCs w:val="18"/>
    </w:rPr>
  </w:style>
  <w:style w:type="character" w:styleId="Hyperlink">
    <w:name w:val="Hyperlink"/>
    <w:basedOn w:val="DefaultParagraphFont"/>
    <w:uiPriority w:val="99"/>
    <w:unhideWhenUsed/>
    <w:rsid w:val="00002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61424">
      <w:bodyDiv w:val="1"/>
      <w:marLeft w:val="0"/>
      <w:marRight w:val="0"/>
      <w:marTop w:val="0"/>
      <w:marBottom w:val="0"/>
      <w:divBdr>
        <w:top w:val="none" w:sz="0" w:space="0" w:color="auto"/>
        <w:left w:val="none" w:sz="0" w:space="0" w:color="auto"/>
        <w:bottom w:val="none" w:sz="0" w:space="0" w:color="auto"/>
        <w:right w:val="none" w:sz="0" w:space="0" w:color="auto"/>
      </w:divBdr>
    </w:div>
    <w:div w:id="1754736571">
      <w:bodyDiv w:val="1"/>
      <w:marLeft w:val="0"/>
      <w:marRight w:val="0"/>
      <w:marTop w:val="0"/>
      <w:marBottom w:val="0"/>
      <w:divBdr>
        <w:top w:val="none" w:sz="0" w:space="0" w:color="auto"/>
        <w:left w:val="none" w:sz="0" w:space="0" w:color="auto"/>
        <w:bottom w:val="none" w:sz="0" w:space="0" w:color="auto"/>
        <w:right w:val="none" w:sz="0" w:space="0" w:color="auto"/>
      </w:divBdr>
    </w:div>
    <w:div w:id="2015569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mbercollective.com/moneyforgood/"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6203</Characters>
  <Application>Microsoft Macintosh Word</Application>
  <DocSecurity>0</DocSecurity>
  <Lines>51</Lines>
  <Paragraphs>14</Paragraphs>
  <ScaleCrop>false</ScaleCrop>
  <Company>National Core for Neuroethics</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Fitz</dc:creator>
  <cp:keywords/>
  <dc:description/>
  <cp:lastModifiedBy>Nicholas Fitz</cp:lastModifiedBy>
  <cp:revision>3</cp:revision>
  <dcterms:created xsi:type="dcterms:W3CDTF">2018-06-17T14:16:00Z</dcterms:created>
  <dcterms:modified xsi:type="dcterms:W3CDTF">2018-06-17T14:17:00Z</dcterms:modified>
</cp:coreProperties>
</file>