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A365D"/>
          <w:sz w:val="44"/>
        </w:rPr>
        <w:t>System Specification &amp; Architecture Document</w:t>
      </w:r>
    </w:p>
    <w:p>
      <w:pPr>
        <w:spacing w:before="0" w:after="360"/>
      </w:pPr>
      <w:r>
        <w:rPr>
          <w:color w:val="2B6CB0"/>
          <w:sz w:val="24"/>
        </w:rPr>
        <w:t>Decentralized Cross-Device Scraping, Autonomous API Discovery &amp; Adaptive UI Engine</w:t>
      </w:r>
    </w:p>
    <w:tbl>
      <w:tblPr>
        <w:tblW w:type="auto" w:w="0"/>
        <w:jc w:val="center"/>
        <w:tblLook w:firstColumn="1" w:firstRow="1" w:lastColumn="0" w:lastRow="0" w:noHBand="0" w:noVBand="1" w:val="04A0"/>
      </w:tblPr>
      <w:tblGrid>
        <w:gridCol w:w="4680"/>
        <w:gridCol w:w="4680"/>
      </w:tblGrid>
      <w:tr>
        <w:tc>
          <w:tcPr>
            <w:tcW w:type="dxa" w:w="4680"/>
            <w:shd w:val="clear" w:color="auto" w:fill="1A365D"/>
            <w:tcMar>
              <w:top w:w="140" w:type="dxa"/>
              <w:bottom w:w="140" w:type="dxa"/>
              <w:left w:w="160" w:type="dxa"/>
              <w:right w:w="160" w:type="dxa"/>
            </w:tcMar>
          </w:tcPr>
          <w:p>
            <w:pPr>
              <w:jc w:val="left"/>
            </w:pPr>
            <w:r>
              <w:rPr>
                <w:b/>
                <w:color w:val="FFFFFF"/>
                <w:sz w:val="19"/>
              </w:rPr>
              <w:t>Target Environment: Desktop Chrome + Android OS</w:t>
            </w:r>
          </w:p>
        </w:tc>
        <w:tc>
          <w:tcPr>
            <w:tcW w:type="dxa" w:w="4680"/>
            <w:shd w:val="clear" w:color="auto" w:fill="1A365D"/>
            <w:tcMar>
              <w:top w:w="140" w:type="dxa"/>
              <w:bottom w:w="140" w:type="dxa"/>
              <w:left w:w="160" w:type="dxa"/>
              <w:right w:w="160" w:type="dxa"/>
            </w:tcMar>
          </w:tcPr>
          <w:p>
            <w:pPr>
              <w:jc w:val="left"/>
            </w:pPr>
            <w:r>
              <w:rPr>
                <w:b/>
                <w:color w:val="FFFFFF"/>
                <w:sz w:val="19"/>
              </w:rPr>
              <w:t>Data Storage: Decentralized Google Drive</w:t>
            </w:r>
          </w:p>
        </w:tc>
      </w:tr>
      <w:tr>
        <w:tc>
          <w:tcPr>
            <w:tcW w:type="dxa" w:w="4680"/>
            <w:shd w:val="clear" w:color="auto" w:fill="FFFFFF"/>
            <w:tcMar>
              <w:top w:w="100" w:type="dxa"/>
              <w:bottom w:w="100" w:type="dxa"/>
              <w:left w:w="140" w:type="dxa"/>
              <w:right w:w="140" w:type="dxa"/>
            </w:tcMar>
          </w:tcPr>
          <w:p>
            <w:pPr>
              <w:jc w:val="left"/>
            </w:pPr>
            <w:r>
              <w:rPr>
                <w:color w:val="2D3748"/>
                <w:sz w:val="18"/>
              </w:rPr>
              <w:t>AI Runtime: 100% On-Device (Gemini Nano + EmbeddingGemma 2)</w:t>
            </w:r>
          </w:p>
        </w:tc>
        <w:tc>
          <w:tcPr>
            <w:tcW w:type="dxa" w:w="4680"/>
            <w:shd w:val="clear" w:color="auto" w:fill="FFFFFF"/>
            <w:tcMar>
              <w:top w:w="100" w:type="dxa"/>
              <w:bottom w:w="100" w:type="dxa"/>
              <w:left w:w="140" w:type="dxa"/>
              <w:right w:w="140" w:type="dxa"/>
            </w:tcMar>
          </w:tcPr>
          <w:p>
            <w:pPr>
              <w:jc w:val="left"/>
            </w:pPr>
            <w:r>
              <w:rPr>
                <w:color w:val="2D3748"/>
                <w:sz w:val="18"/>
              </w:rPr>
              <w:t>Specification Status: Ready for PRD Formulation</w:t>
            </w:r>
          </w:p>
        </w:tc>
      </w:tr>
    </w:tbl>
    <w:p>
      <w:pPr>
        <w:keepNext/>
        <w:spacing w:before="280" w:after="120"/>
      </w:pPr>
      <w:r>
        <w:rPr>
          <w:b/>
          <w:color w:val="1A365D"/>
          <w:sz w:val="32"/>
        </w:rPr>
        <w:t>1. Executive Summary &amp; System Vision</w:t>
      </w:r>
    </w:p>
    <w:p>
      <w:pPr>
        <w:spacing w:before="0" w:after="80" w:line="276" w:lineRule="auto"/>
      </w:pPr>
      <w:r>
        <w:rPr>
          <w:color w:val="2D3748"/>
          <w:sz w:val="20"/>
        </w:rPr>
        <w:t>This document specifies the technical architecture for an autonomous, zero-cost, serverless cross-device data harvesting and intelligence system. The system reliably extracts private, authenticated data from arbitrary web portals—including Single Page Applications (SPAs), Google Workspace (Classroom, Gmail), learning management systems (LMS), school/enterprise ERPs, YouTube Kids watch histories, gaming profiles, and communication platforms.</w:t>
      </w:r>
    </w:p>
    <w:p>
      <w:pPr>
        <w:spacing w:before="0" w:after="80" w:line="276" w:lineRule="auto"/>
      </w:pPr>
      <w:r>
        <w:rPr>
          <w:color w:val="2D3748"/>
          <w:sz w:val="20"/>
        </w:rPr>
        <w:t>The architecture achieves complete data sovereignty and zero server overhead by using Google Drive as an append-only distributed storage and messaging bus. To eliminate user setup friction, scraping logic is either passively discovered via internal network API interception or synthesized through on-device Generative AI (Gemini Nano) using a visual point-and-click recorder.</w:t>
      </w:r>
    </w:p>
    <w:p>
      <w:pPr>
        <w:keepNext/>
        <w:spacing w:before="280" w:after="120"/>
      </w:pPr>
      <w:r>
        <w:rPr>
          <w:b/>
          <w:color w:val="1A365D"/>
          <w:sz w:val="32"/>
        </w:rPr>
        <w:t>2. Dual-Phase Ingestion Architecture</w:t>
      </w:r>
    </w:p>
    <w:p>
      <w:pPr>
        <w:spacing w:before="0" w:after="80" w:line="276" w:lineRule="auto"/>
      </w:pPr>
      <w:r>
        <w:rPr>
          <w:color w:val="2D3748"/>
          <w:sz w:val="20"/>
        </w:rPr>
        <w:t>Data capture is strictly bifurcated into two specialized operational phases to balance resource footprints between desktop and mobile devices:</w:t>
      </w:r>
    </w:p>
    <w:p>
      <w:pPr>
        <w:keepNext/>
        <w:spacing w:before="280" w:after="120"/>
      </w:pPr>
      <w:r>
        <w:rPr>
          <w:b/>
          <w:color w:val="2B6CB0"/>
          <w:sz w:val="26"/>
        </w:rPr>
        <w:t>2.1 Phase 1: Bulk Baseline Capture (Desktop Exclusive)</w:t>
      </w:r>
    </w:p>
    <w:p>
      <w:pPr>
        <w:pStyle w:val="ListBullet"/>
        <w:spacing w:before="20" w:after="60" w:line="276" w:lineRule="auto"/>
      </w:pPr>
      <w:r>
        <w:rPr>
          <w:b/>
          <w:color w:val="2D3748"/>
          <w:sz w:val="20"/>
        </w:rPr>
        <w:t xml:space="preserve">Runtime Scope: </w:t>
      </w:r>
      <w:r>
        <w:rPr>
          <w:color w:val="2D3748"/>
          <w:sz w:val="20"/>
        </w:rPr>
        <w:t>Executed solely on the Chrome Extension on laptop to prevent mobile OS battery throttling and memory kills.</w:t>
      </w:r>
    </w:p>
    <w:p>
      <w:pPr>
        <w:pStyle w:val="ListBullet"/>
        <w:spacing w:before="20" w:after="60" w:line="276" w:lineRule="auto"/>
      </w:pPr>
      <w:r>
        <w:rPr>
          <w:b/>
          <w:color w:val="2D3748"/>
          <w:sz w:val="20"/>
        </w:rPr>
        <w:t xml:space="preserve">Traversal Mechanics: </w:t>
      </w:r>
      <w:r>
        <w:rPr>
          <w:color w:val="2D3748"/>
          <w:sz w:val="20"/>
        </w:rPr>
        <w:t>Automates pagination cycles, tab traverses, and virtual scrolling to extract all historical records (e.g., past terms, announcements, syllabi, circulars).</w:t>
      </w:r>
    </w:p>
    <w:p>
      <w:pPr>
        <w:pStyle w:val="ListBullet"/>
        <w:spacing w:before="20" w:after="60" w:line="276" w:lineRule="auto"/>
      </w:pPr>
      <w:r>
        <w:rPr>
          <w:b/>
          <w:color w:val="2D3748"/>
          <w:sz w:val="20"/>
        </w:rPr>
        <w:t xml:space="preserve">Attachment Resolution: </w:t>
      </w:r>
      <w:r>
        <w:rPr>
          <w:color w:val="2D3748"/>
          <w:sz w:val="20"/>
        </w:rPr>
        <w:t>Pre-resolves and stores authenticated download URLs for referenced documents and assets without forcing massive binary downloads onto mobile storage.</w:t>
      </w:r>
    </w:p>
    <w:p>
      <w:pPr>
        <w:pStyle w:val="ListBullet"/>
        <w:spacing w:before="20" w:after="60" w:line="276" w:lineRule="auto"/>
      </w:pPr>
      <w:r>
        <w:rPr>
          <w:b/>
          <w:color w:val="2D3748"/>
          <w:sz w:val="20"/>
        </w:rPr>
        <w:t xml:space="preserve">Sync Watermark: </w:t>
      </w:r>
      <w:r>
        <w:rPr>
          <w:color w:val="2D3748"/>
          <w:sz w:val="20"/>
        </w:rPr>
        <w:t>Computes and logs a cryptographic sync watermark (highest seen ID, latest ISO timestamp, and entity hash sets) to /data/baseline/history_&lt;id&gt;.json.</w:t>
      </w:r>
    </w:p>
    <w:p>
      <w:pPr>
        <w:keepNext/>
        <w:spacing w:before="280" w:after="120"/>
      </w:pPr>
      <w:r>
        <w:rPr>
          <w:b/>
          <w:color w:val="2B6CB0"/>
          <w:sz w:val="26"/>
        </w:rPr>
        <w:t>2.2 Phase 2: Incremental Delta Capture (Opportunistic Hybrid)</w:t>
      </w:r>
    </w:p>
    <w:p>
      <w:pPr>
        <w:pStyle w:val="ListBullet"/>
        <w:spacing w:before="20" w:after="60" w:line="276" w:lineRule="auto"/>
      </w:pPr>
      <w:r>
        <w:rPr>
          <w:b/>
          <w:color w:val="2D3748"/>
          <w:sz w:val="20"/>
        </w:rPr>
        <w:t xml:space="preserve">Event Trigger: </w:t>
      </w:r>
      <w:r>
        <w:rPr>
          <w:color w:val="2D3748"/>
          <w:sz w:val="20"/>
        </w:rPr>
        <w:t>Triggered whenever a target Android notification arrives via NotificationListenerService.</w:t>
      </w:r>
    </w:p>
    <w:p>
      <w:pPr>
        <w:pStyle w:val="ListBullet"/>
        <w:spacing w:before="20" w:after="60" w:line="276" w:lineRule="auto"/>
      </w:pPr>
      <w:r>
        <w:rPr>
          <w:b/>
          <w:color w:val="2D3748"/>
          <w:sz w:val="20"/>
        </w:rPr>
        <w:t xml:space="preserve">Scoped Scope: </w:t>
      </w:r>
      <w:r>
        <w:rPr>
          <w:color w:val="2D3748"/>
          <w:sz w:val="20"/>
        </w:rPr>
        <w:t>Executes a strictly scoped single-target fetch (fetching only the newest item or specific deep-link ID) rather than crawling historical pages.</w:t>
      </w:r>
    </w:p>
    <w:p>
      <w:pPr>
        <w:pStyle w:val="ListBullet"/>
        <w:spacing w:before="20" w:after="60" w:line="276" w:lineRule="auto"/>
      </w:pPr>
      <w:r>
        <w:rPr>
          <w:b/>
          <w:color w:val="2D3748"/>
          <w:sz w:val="20"/>
        </w:rPr>
        <w:t xml:space="preserve">Watermark Reconciliation: </w:t>
      </w:r>
      <w:r>
        <w:rPr>
          <w:color w:val="2D3748"/>
          <w:sz w:val="20"/>
        </w:rPr>
        <w:t>Captured items are verified against the active Drive watermark. If item ID/timestamp &lt;= watermark, the record is discarded as duplicate; otherwise, it appends to /data/updates/delta_&lt;timestamp&gt;.json and advances the watermark.</w:t>
      </w:r>
    </w:p>
    <w:p>
      <w:pPr>
        <w:keepNext/>
        <w:spacing w:before="280" w:after="120"/>
      </w:pPr>
      <w:r>
        <w:rPr>
          <w:b/>
          <w:color w:val="1A365D"/>
          <w:sz w:val="32"/>
        </w:rPr>
        <w:t>3. Autonomous Backend API Interception ('API-First' Discovery)</w:t>
      </w:r>
    </w:p>
    <w:p>
      <w:pPr>
        <w:spacing w:before="0" w:after="80" w:line="276" w:lineRule="auto"/>
      </w:pPr>
      <w:r>
        <w:rPr>
          <w:color w:val="2D3748"/>
          <w:sz w:val="20"/>
        </w:rPr>
        <w:t>Modern SPAs and web portals rarely transmit static HTML; they issue background authenticated fetch() or XHR requests to internal REST/GraphQL endpoints. The system exploits this behavior to eliminate brittle DOM scraping whenever possible without requiring user technical knowledge.</w:t>
      </w:r>
    </w:p>
    <w:p>
      <w:pPr>
        <w:keepNext/>
        <w:spacing w:before="280" w:after="120"/>
      </w:pPr>
      <w:r>
        <w:rPr>
          <w:b/>
          <w:color w:val="2B6CB0"/>
          <w:sz w:val="26"/>
        </w:rPr>
        <w:t>3.1 The Passive Interception Mechanism</w:t>
      </w:r>
    </w:p>
    <w:p>
      <w:pPr>
        <w:pStyle w:val="ListBullet"/>
        <w:spacing w:before="20" w:after="60" w:line="276" w:lineRule="auto"/>
      </w:pPr>
      <w:r>
        <w:rPr>
          <w:b/>
          <w:color w:val="2D3748"/>
          <w:sz w:val="20"/>
        </w:rPr>
        <w:t xml:space="preserve">Passive Sniffing: </w:t>
      </w:r>
      <w:r>
        <w:rPr>
          <w:color w:val="2D3748"/>
          <w:sz w:val="20"/>
        </w:rPr>
        <w:t>The desktop Chrome Extension passively monitors network traffic via chrome.debugger / DevTools Protocol.</w:t>
      </w:r>
    </w:p>
    <w:p>
      <w:pPr>
        <w:pStyle w:val="ListBullet"/>
        <w:spacing w:before="20" w:after="60" w:line="276" w:lineRule="auto"/>
      </w:pPr>
      <w:r>
        <w:rPr>
          <w:b/>
          <w:color w:val="2D3748"/>
          <w:sz w:val="20"/>
        </w:rPr>
        <w:t xml:space="preserve">Payload Heuristic: </w:t>
      </w:r>
      <w:r>
        <w:rPr>
          <w:color w:val="2D3748"/>
          <w:sz w:val="20"/>
        </w:rPr>
        <w:t>When responses with Content-Type: application/json complete, an on-device heuristic parser scans the JSON body for domain entity keys (e.g., arrays with 'id', 'title', 'due_date', 'assignment', 'score', 'message').</w:t>
      </w:r>
    </w:p>
    <w:p>
      <w:pPr>
        <w:pStyle w:val="ListBullet"/>
        <w:spacing w:before="20" w:after="60" w:line="276" w:lineRule="auto"/>
      </w:pPr>
      <w:r>
        <w:rPr>
          <w:b/>
          <w:color w:val="2D3748"/>
          <w:sz w:val="20"/>
        </w:rPr>
        <w:t xml:space="preserve">Endpoint Fingerprinting: </w:t>
      </w:r>
      <w:r>
        <w:rPr>
          <w:color w:val="2D3748"/>
          <w:sz w:val="20"/>
        </w:rPr>
        <w:t>Upon detecting valid structured data, the extension records the endpoint URL schema, required request headers (Bearer tokens, CSRF tokens), and query parameters into recipe_&lt;id&gt;.json.</w:t>
      </w:r>
    </w:p>
    <w:p>
      <w:pPr>
        <w:keepNext/>
        <w:spacing w:before="280" w:after="120"/>
      </w:pPr>
      <w:r>
        <w:rPr>
          <w:b/>
          <w:color w:val="2B6CB0"/>
          <w:sz w:val="26"/>
        </w:rPr>
        <w:t>3.2 Autonomous Strategy Selection Ladder</w:t>
      </w:r>
    </w:p>
    <w:p>
      <w:pPr>
        <w:spacing w:before="0" w:after="80" w:line="276" w:lineRule="auto"/>
      </w:pPr>
      <w:r>
        <w:rPr>
          <w:color w:val="2D3748"/>
          <w:sz w:val="20"/>
        </w:rPr>
        <w:t>When extracting data on either platform, the engine executes via a strict hierarchical priority:</w:t>
      </w:r>
    </w:p>
    <w:p>
      <w:pPr>
        <w:pStyle w:val="ListBullet"/>
        <w:spacing w:before="20" w:after="60" w:line="276" w:lineRule="auto"/>
      </w:pPr>
      <w:r>
        <w:rPr>
          <w:b/>
          <w:color w:val="2D3748"/>
          <w:sz w:val="20"/>
        </w:rPr>
        <w:t xml:space="preserve">Strategy A (Direct Internal API): </w:t>
      </w:r>
      <w:r>
        <w:rPr>
          <w:color w:val="2D3748"/>
          <w:sz w:val="20"/>
        </w:rPr>
        <w:t>Bypasses DOM rendering entirely. Android (via OkHttp) and Desktop directly replay the authenticated JSON GET/POST. Delivers sub-300ms execution, zero DOM breakage risk, and near-zero memory footprint.</w:t>
      </w:r>
    </w:p>
    <w:p>
      <w:pPr>
        <w:pStyle w:val="ListBullet"/>
        <w:spacing w:before="20" w:after="60" w:line="276" w:lineRule="auto"/>
      </w:pPr>
      <w:r>
        <w:rPr>
          <w:b/>
          <w:color w:val="2D3748"/>
          <w:sz w:val="20"/>
        </w:rPr>
        <w:t xml:space="preserve">Strategy B (Dynamic DOM Scrape): </w:t>
      </w:r>
      <w:r>
        <w:rPr>
          <w:color w:val="2D3748"/>
          <w:sz w:val="20"/>
        </w:rPr>
        <w:t>Engaged only when no clean JSON API exists (e.g., server-side rendered HTML or binary streams). Evaluates Gemini Nano's declarative CSS/ARIA selector recipe inside an asset-blocked headless WebView or browser tab.</w:t>
      </w:r>
    </w:p>
    <w:p>
      <w:pPr>
        <w:keepNext/>
        <w:spacing w:before="280" w:after="120"/>
      </w:pPr>
      <w:r>
        <w:rPr>
          <w:b/>
          <w:color w:val="1A365D"/>
          <w:sz w:val="32"/>
        </w:rPr>
        <w:t>4. Cross-Device Opportunistic Execution Architecture</w:t>
      </w:r>
    </w:p>
    <w:p>
      <w:pPr>
        <w:spacing w:before="0" w:after="80" w:line="276" w:lineRule="auto"/>
      </w:pPr>
      <w:r>
        <w:rPr>
          <w:color w:val="2D3748"/>
          <w:sz w:val="20"/>
        </w:rPr>
        <w:t>To avoid running expensive browser processes on mobile while ensuring 100% data capture reliability, tasks are coordinated opportunistically through Google Drive:</w:t>
      </w:r>
    </w:p>
    <w:p>
      <w:pPr>
        <w:pStyle w:val="ListBullet"/>
        <w:spacing w:before="20" w:after="60" w:line="276" w:lineRule="auto"/>
      </w:pPr>
      <w:r>
        <w:rPr>
          <w:b/>
          <w:color w:val="2D3748"/>
          <w:sz w:val="20"/>
        </w:rPr>
        <w:t xml:space="preserve">Step 1 (Notification Log): </w:t>
      </w:r>
      <w:r>
        <w:rPr>
          <w:color w:val="2D3748"/>
          <w:sz w:val="20"/>
        </w:rPr>
        <w:t>Android captures an incoming notification and logs /queue/task_&lt;id&gt;.json with status 'PENDING'.</w:t>
      </w:r>
    </w:p>
    <w:p>
      <w:pPr>
        <w:pStyle w:val="ListBullet"/>
        <w:spacing w:before="20" w:after="60" w:line="276" w:lineRule="auto"/>
      </w:pPr>
      <w:r>
        <w:rPr>
          <w:b/>
          <w:color w:val="2D3748"/>
          <w:sz w:val="20"/>
        </w:rPr>
        <w:t xml:space="preserve">Step 2 (Deferred Fallback): </w:t>
      </w:r>
      <w:r>
        <w:rPr>
          <w:color w:val="2D3748"/>
          <w:sz w:val="20"/>
        </w:rPr>
        <w:t>Android schedules a deferred CoroutineWorker with a 90-second initial delay.</w:t>
      </w:r>
    </w:p>
    <w:p>
      <w:pPr>
        <w:pStyle w:val="ListBullet"/>
        <w:spacing w:before="20" w:after="60" w:line="276" w:lineRule="auto"/>
      </w:pPr>
      <w:r>
        <w:rPr>
          <w:b/>
          <w:color w:val="2D3748"/>
          <w:sz w:val="20"/>
        </w:rPr>
        <w:t xml:space="preserve">Step 3 (Desktop Claim): </w:t>
      </w:r>
      <w:r>
        <w:rPr>
          <w:color w:val="2D3748"/>
          <w:sz w:val="20"/>
        </w:rPr>
        <w:t>If the laptop is online, the Chrome Extension detects the task, updates status to 'CLAIMED', executes the high-fidelity desktop capture, writes results to /data/updates/, and marks status 'COMPLETED'.</w:t>
      </w:r>
    </w:p>
    <w:p>
      <w:pPr>
        <w:pStyle w:val="ListBullet"/>
        <w:spacing w:before="20" w:after="60" w:line="276" w:lineRule="auto"/>
      </w:pPr>
      <w:r>
        <w:rPr>
          <w:b/>
          <w:color w:val="2D3748"/>
          <w:sz w:val="20"/>
        </w:rPr>
        <w:t xml:space="preserve">Step 4 (Mobile Fallback): </w:t>
      </w:r>
      <w:r>
        <w:rPr>
          <w:color w:val="2D3748"/>
          <w:sz w:val="20"/>
        </w:rPr>
        <w:t>If the 90-second timer elapses and task status is still 'PENDING' (laptop closed/offline), Android's WorkManager wakes up, loads session_auth.json, executes the background mobile scrape, and updates status to 'COMPLETED_BY_MOBILE'.</w:t>
      </w:r>
    </w:p>
    <w:p>
      <w:pPr>
        <w:keepNext/>
        <w:spacing w:before="280" w:after="120"/>
      </w:pPr>
      <w:r>
        <w:rPr>
          <w:b/>
          <w:color w:val="2B6CB0"/>
          <w:sz w:val="26"/>
        </w:rPr>
        <w:t>4.1 Google Drive File System Architecture</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1A365D"/>
            <w:tcMar>
              <w:top w:w="140" w:type="dxa"/>
              <w:bottom w:w="140" w:type="dxa"/>
              <w:left w:w="160" w:type="dxa"/>
              <w:right w:w="160" w:type="dxa"/>
            </w:tcMar>
          </w:tcPr>
          <w:p>
            <w:pPr>
              <w:jc w:val="left"/>
            </w:pPr>
            <w:r>
              <w:rPr>
                <w:b/>
                <w:color w:val="FFFFFF"/>
                <w:sz w:val="19"/>
              </w:rPr>
              <w:t>Drive Directory</w:t>
            </w:r>
          </w:p>
        </w:tc>
        <w:tc>
          <w:tcPr>
            <w:tcW w:type="dxa" w:w="2592"/>
            <w:shd w:val="clear" w:color="auto" w:fill="1A365D"/>
            <w:tcMar>
              <w:top w:w="140" w:type="dxa"/>
              <w:bottom w:w="140" w:type="dxa"/>
              <w:left w:w="160" w:type="dxa"/>
              <w:right w:w="160" w:type="dxa"/>
            </w:tcMar>
          </w:tcPr>
          <w:p>
            <w:pPr>
              <w:jc w:val="left"/>
            </w:pPr>
            <w:r>
              <w:rPr>
                <w:b/>
                <w:color w:val="FFFFFF"/>
                <w:sz w:val="19"/>
              </w:rPr>
              <w:t>File Artifact</w:t>
            </w:r>
          </w:p>
        </w:tc>
        <w:tc>
          <w:tcPr>
            <w:tcW w:type="dxa" w:w="4176"/>
            <w:shd w:val="clear" w:color="auto" w:fill="1A365D"/>
            <w:tcMar>
              <w:top w:w="140" w:type="dxa"/>
              <w:bottom w:w="140" w:type="dxa"/>
              <w:left w:w="160" w:type="dxa"/>
              <w:right w:w="160" w:type="dxa"/>
            </w:tcMar>
          </w:tcPr>
          <w:p>
            <w:pPr>
              <w:jc w:val="left"/>
            </w:pPr>
            <w:r>
              <w:rPr>
                <w:b/>
                <w:color w:val="FFFFFF"/>
                <w:sz w:val="19"/>
              </w:rPr>
              <w:t>Architectural Purpose</w:t>
            </w:r>
          </w:p>
        </w:tc>
      </w:tr>
      <w:tr>
        <w:tc>
          <w:tcPr>
            <w:tcW w:type="dxa" w:w="2592"/>
            <w:shd w:val="clear" w:color="auto" w:fill="FFFFFF"/>
            <w:tcMar>
              <w:top w:w="100" w:type="dxa"/>
              <w:bottom w:w="100" w:type="dxa"/>
              <w:left w:w="140" w:type="dxa"/>
              <w:right w:w="140" w:type="dxa"/>
            </w:tcMar>
          </w:tcPr>
          <w:p>
            <w:pPr>
              <w:jc w:val="left"/>
            </w:pPr>
            <w:r>
              <w:rPr>
                <w:color w:val="2D3748"/>
                <w:sz w:val="18"/>
              </w:rPr>
              <w:t>/config/recipes/</w:t>
            </w:r>
          </w:p>
        </w:tc>
        <w:tc>
          <w:tcPr>
            <w:tcW w:type="dxa" w:w="2592"/>
            <w:shd w:val="clear" w:color="auto" w:fill="FFFFFF"/>
            <w:tcMar>
              <w:top w:w="100" w:type="dxa"/>
              <w:bottom w:w="100" w:type="dxa"/>
              <w:left w:w="140" w:type="dxa"/>
              <w:right w:w="140" w:type="dxa"/>
            </w:tcMar>
          </w:tcPr>
          <w:p>
            <w:pPr>
              <w:jc w:val="left"/>
            </w:pPr>
            <w:r>
              <w:rPr>
                <w:color w:val="2D3748"/>
                <w:sz w:val="18"/>
              </w:rPr>
              <w:t>recipe_&lt;id&gt;.json</w:t>
            </w:r>
          </w:p>
        </w:tc>
        <w:tc>
          <w:tcPr>
            <w:tcW w:type="dxa" w:w="4176"/>
            <w:shd w:val="clear" w:color="auto" w:fill="FFFFFF"/>
            <w:tcMar>
              <w:top w:w="100" w:type="dxa"/>
              <w:bottom w:w="100" w:type="dxa"/>
              <w:left w:w="140" w:type="dxa"/>
              <w:right w:w="140" w:type="dxa"/>
            </w:tcMar>
          </w:tcPr>
          <w:p>
            <w:pPr>
              <w:jc w:val="left"/>
            </w:pPr>
            <w:r>
              <w:rPr>
                <w:color w:val="2D3748"/>
                <w:sz w:val="18"/>
              </w:rPr>
              <w:t>Declarative extraction rules, API endpoints, or CSS selectors.</w:t>
            </w:r>
          </w:p>
        </w:tc>
      </w:tr>
      <w:tr>
        <w:tc>
          <w:tcPr>
            <w:tcW w:type="dxa" w:w="2592"/>
            <w:shd w:val="clear" w:color="auto" w:fill="F7FAFC"/>
            <w:tcMar>
              <w:top w:w="100" w:type="dxa"/>
              <w:bottom w:w="100" w:type="dxa"/>
              <w:left w:w="140" w:type="dxa"/>
              <w:right w:w="140" w:type="dxa"/>
            </w:tcMar>
          </w:tcPr>
          <w:p>
            <w:pPr>
              <w:jc w:val="left"/>
            </w:pPr>
            <w:r>
              <w:rPr>
                <w:color w:val="2D3748"/>
                <w:sz w:val="18"/>
              </w:rPr>
              <w:t>/config/auth/</w:t>
            </w:r>
          </w:p>
        </w:tc>
        <w:tc>
          <w:tcPr>
            <w:tcW w:type="dxa" w:w="2592"/>
            <w:shd w:val="clear" w:color="auto" w:fill="F7FAFC"/>
            <w:tcMar>
              <w:top w:w="100" w:type="dxa"/>
              <w:bottom w:w="100" w:type="dxa"/>
              <w:left w:w="140" w:type="dxa"/>
              <w:right w:w="140" w:type="dxa"/>
            </w:tcMar>
          </w:tcPr>
          <w:p>
            <w:pPr>
              <w:jc w:val="left"/>
            </w:pPr>
            <w:r>
              <w:rPr>
                <w:color w:val="2D3748"/>
                <w:sz w:val="18"/>
              </w:rPr>
              <w:t>session_auth.json</w:t>
            </w:r>
          </w:p>
        </w:tc>
        <w:tc>
          <w:tcPr>
            <w:tcW w:type="dxa" w:w="4176"/>
            <w:shd w:val="clear" w:color="auto" w:fill="F7FAFC"/>
            <w:tcMar>
              <w:top w:w="100" w:type="dxa"/>
              <w:bottom w:w="100" w:type="dxa"/>
              <w:left w:w="140" w:type="dxa"/>
              <w:right w:w="140" w:type="dxa"/>
            </w:tcMar>
          </w:tcPr>
          <w:p>
            <w:pPr>
              <w:jc w:val="left"/>
            </w:pPr>
            <w:r>
              <w:rPr>
                <w:color w:val="2D3748"/>
                <w:sz w:val="18"/>
              </w:rPr>
              <w:t>Cookies, LocalStorage tokens, and synced desktop User-Agent string.</w:t>
            </w:r>
          </w:p>
        </w:tc>
      </w:tr>
      <w:tr>
        <w:tc>
          <w:tcPr>
            <w:tcW w:type="dxa" w:w="2592"/>
            <w:shd w:val="clear" w:color="auto" w:fill="FFFFFF"/>
            <w:tcMar>
              <w:top w:w="100" w:type="dxa"/>
              <w:bottom w:w="100" w:type="dxa"/>
              <w:left w:w="140" w:type="dxa"/>
              <w:right w:w="140" w:type="dxa"/>
            </w:tcMar>
          </w:tcPr>
          <w:p>
            <w:pPr>
              <w:jc w:val="left"/>
            </w:pPr>
            <w:r>
              <w:rPr>
                <w:color w:val="2D3748"/>
                <w:sz w:val="18"/>
              </w:rPr>
              <w:t>/queue/</w:t>
            </w:r>
          </w:p>
        </w:tc>
        <w:tc>
          <w:tcPr>
            <w:tcW w:type="dxa" w:w="2592"/>
            <w:shd w:val="clear" w:color="auto" w:fill="FFFFFF"/>
            <w:tcMar>
              <w:top w:w="100" w:type="dxa"/>
              <w:bottom w:w="100" w:type="dxa"/>
              <w:left w:w="140" w:type="dxa"/>
              <w:right w:w="140" w:type="dxa"/>
            </w:tcMar>
          </w:tcPr>
          <w:p>
            <w:pPr>
              <w:jc w:val="left"/>
            </w:pPr>
            <w:r>
              <w:rPr>
                <w:color w:val="2D3748"/>
                <w:sz w:val="18"/>
              </w:rPr>
              <w:t>task_&lt;id&gt;.json</w:t>
            </w:r>
          </w:p>
        </w:tc>
        <w:tc>
          <w:tcPr>
            <w:tcW w:type="dxa" w:w="4176"/>
            <w:shd w:val="clear" w:color="auto" w:fill="FFFFFF"/>
            <w:tcMar>
              <w:top w:w="100" w:type="dxa"/>
              <w:bottom w:w="100" w:type="dxa"/>
              <w:left w:w="140" w:type="dxa"/>
              <w:right w:w="140" w:type="dxa"/>
            </w:tcMar>
          </w:tcPr>
          <w:p>
            <w:pPr>
              <w:jc w:val="left"/>
            </w:pPr>
            <w:r>
              <w:rPr>
                <w:color w:val="2D3748"/>
                <w:sz w:val="18"/>
              </w:rPr>
              <w:t>Transactional lock files (PENDING, CLAIMED, COMPLETED).</w:t>
            </w:r>
          </w:p>
        </w:tc>
      </w:tr>
      <w:tr>
        <w:tc>
          <w:tcPr>
            <w:tcW w:type="dxa" w:w="2592"/>
            <w:shd w:val="clear" w:color="auto" w:fill="F7FAFC"/>
            <w:tcMar>
              <w:top w:w="100" w:type="dxa"/>
              <w:bottom w:w="100" w:type="dxa"/>
              <w:left w:w="140" w:type="dxa"/>
              <w:right w:w="140" w:type="dxa"/>
            </w:tcMar>
          </w:tcPr>
          <w:p>
            <w:pPr>
              <w:jc w:val="left"/>
            </w:pPr>
            <w:r>
              <w:rPr>
                <w:color w:val="2D3748"/>
                <w:sz w:val="18"/>
              </w:rPr>
              <w:t>/data/baseline/</w:t>
            </w:r>
          </w:p>
        </w:tc>
        <w:tc>
          <w:tcPr>
            <w:tcW w:type="dxa" w:w="2592"/>
            <w:shd w:val="clear" w:color="auto" w:fill="F7FAFC"/>
            <w:tcMar>
              <w:top w:w="100" w:type="dxa"/>
              <w:bottom w:w="100" w:type="dxa"/>
              <w:left w:w="140" w:type="dxa"/>
              <w:right w:w="140" w:type="dxa"/>
            </w:tcMar>
          </w:tcPr>
          <w:p>
            <w:pPr>
              <w:jc w:val="left"/>
            </w:pPr>
            <w:r>
              <w:rPr>
                <w:color w:val="2D3748"/>
                <w:sz w:val="18"/>
              </w:rPr>
              <w:t>history_&lt;id&gt;.json</w:t>
            </w:r>
          </w:p>
        </w:tc>
        <w:tc>
          <w:tcPr>
            <w:tcW w:type="dxa" w:w="4176"/>
            <w:shd w:val="clear" w:color="auto" w:fill="F7FAFC"/>
            <w:tcMar>
              <w:top w:w="100" w:type="dxa"/>
              <w:bottom w:w="100" w:type="dxa"/>
              <w:left w:w="140" w:type="dxa"/>
              <w:right w:w="140" w:type="dxa"/>
            </w:tcMar>
          </w:tcPr>
          <w:p>
            <w:pPr>
              <w:jc w:val="left"/>
            </w:pPr>
            <w:r>
              <w:rPr>
                <w:color w:val="2D3748"/>
                <w:sz w:val="18"/>
              </w:rPr>
              <w:t>Bulk historical data dump captured on desktop with sync watermark.</w:t>
            </w:r>
          </w:p>
        </w:tc>
      </w:tr>
      <w:tr>
        <w:tc>
          <w:tcPr>
            <w:tcW w:type="dxa" w:w="2592"/>
            <w:shd w:val="clear" w:color="auto" w:fill="FFFFFF"/>
            <w:tcMar>
              <w:top w:w="100" w:type="dxa"/>
              <w:bottom w:w="100" w:type="dxa"/>
              <w:left w:w="140" w:type="dxa"/>
              <w:right w:w="140" w:type="dxa"/>
            </w:tcMar>
          </w:tcPr>
          <w:p>
            <w:pPr>
              <w:jc w:val="left"/>
            </w:pPr>
            <w:r>
              <w:rPr>
                <w:color w:val="2D3748"/>
                <w:sz w:val="18"/>
              </w:rPr>
              <w:t>/data/updates/</w:t>
            </w:r>
          </w:p>
        </w:tc>
        <w:tc>
          <w:tcPr>
            <w:tcW w:type="dxa" w:w="2592"/>
            <w:shd w:val="clear" w:color="auto" w:fill="FFFFFF"/>
            <w:tcMar>
              <w:top w:w="100" w:type="dxa"/>
              <w:bottom w:w="100" w:type="dxa"/>
              <w:left w:w="140" w:type="dxa"/>
              <w:right w:w="140" w:type="dxa"/>
            </w:tcMar>
          </w:tcPr>
          <w:p>
            <w:pPr>
              <w:jc w:val="left"/>
            </w:pPr>
            <w:r>
              <w:rPr>
                <w:color w:val="2D3748"/>
                <w:sz w:val="18"/>
              </w:rPr>
              <w:t>delta_&lt;timestamp&gt;.json</w:t>
            </w:r>
          </w:p>
        </w:tc>
        <w:tc>
          <w:tcPr>
            <w:tcW w:type="dxa" w:w="4176"/>
            <w:shd w:val="clear" w:color="auto" w:fill="FFFFFF"/>
            <w:tcMar>
              <w:top w:w="100" w:type="dxa"/>
              <w:bottom w:w="100" w:type="dxa"/>
              <w:left w:w="140" w:type="dxa"/>
              <w:right w:w="140" w:type="dxa"/>
            </w:tcMar>
          </w:tcPr>
          <w:p>
            <w:pPr>
              <w:jc w:val="left"/>
            </w:pPr>
            <w:r>
              <w:rPr>
                <w:color w:val="2D3748"/>
                <w:sz w:val="18"/>
              </w:rPr>
              <w:t>Append-only incremental records captured per notification.</w:t>
            </w:r>
          </w:p>
        </w:tc>
      </w:tr>
      <w:tr>
        <w:tc>
          <w:tcPr>
            <w:tcW w:type="dxa" w:w="2592"/>
            <w:shd w:val="clear" w:color="auto" w:fill="F7FAFC"/>
            <w:tcMar>
              <w:top w:w="100" w:type="dxa"/>
              <w:bottom w:w="100" w:type="dxa"/>
              <w:left w:w="140" w:type="dxa"/>
              <w:right w:w="140" w:type="dxa"/>
            </w:tcMar>
          </w:tcPr>
          <w:p>
            <w:pPr>
              <w:jc w:val="left"/>
            </w:pPr>
            <w:r>
              <w:rPr>
                <w:color w:val="2D3748"/>
                <w:sz w:val="18"/>
              </w:rPr>
              <w:t>/ui/</w:t>
            </w:r>
          </w:p>
        </w:tc>
        <w:tc>
          <w:tcPr>
            <w:tcW w:type="dxa" w:w="2592"/>
            <w:shd w:val="clear" w:color="auto" w:fill="F7FAFC"/>
            <w:tcMar>
              <w:top w:w="100" w:type="dxa"/>
              <w:bottom w:w="100" w:type="dxa"/>
              <w:left w:w="140" w:type="dxa"/>
              <w:right w:w="140" w:type="dxa"/>
            </w:tcMar>
          </w:tcPr>
          <w:p>
            <w:pPr>
              <w:jc w:val="left"/>
            </w:pPr>
            <w:r>
              <w:rPr>
                <w:color w:val="2D3748"/>
                <w:sz w:val="18"/>
              </w:rPr>
              <w:t>layout_manifest.json</w:t>
            </w:r>
          </w:p>
        </w:tc>
        <w:tc>
          <w:tcPr>
            <w:tcW w:type="dxa" w:w="4176"/>
            <w:shd w:val="clear" w:color="auto" w:fill="F7FAFC"/>
            <w:tcMar>
              <w:top w:w="100" w:type="dxa"/>
              <w:bottom w:w="100" w:type="dxa"/>
              <w:left w:w="140" w:type="dxa"/>
              <w:right w:w="140" w:type="dxa"/>
            </w:tcMar>
          </w:tcPr>
          <w:p>
            <w:pPr>
              <w:jc w:val="left"/>
            </w:pPr>
            <w:r>
              <w:rPr>
                <w:color w:val="2D3748"/>
                <w:sz w:val="18"/>
              </w:rPr>
              <w:t>Dynamic UI layout configuration prioritizing active widgets.</w:t>
            </w:r>
          </w:p>
        </w:tc>
      </w:tr>
    </w:tbl>
    <w:p>
      <w:pPr>
        <w:keepNext/>
        <w:spacing w:before="280" w:after="120"/>
      </w:pPr>
      <w:r>
        <w:rPr>
          <w:b/>
          <w:color w:val="1A365D"/>
          <w:sz w:val="32"/>
        </w:rPr>
        <w:t>5. Universal Schema-Driven UI &amp; Dynamic Dashboards</w:t>
      </w:r>
    </w:p>
    <w:p>
      <w:pPr>
        <w:spacing w:before="0" w:after="80" w:line="276" w:lineRule="auto"/>
      </w:pPr>
      <w:r>
        <w:rPr>
          <w:color w:val="2D3748"/>
          <w:sz w:val="20"/>
        </w:rPr>
        <w:t>Because users may target arbitrary, unforeseen domains (school ERPs, YouTube Kids, gaming profiles, or messaging feeds), the user interface is completely decoupled from domain schemas. Any arbitrary dataset is automatically classified into 5 Universal UI Primitives:</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1A365D"/>
            <w:tcMar>
              <w:top w:w="140" w:type="dxa"/>
              <w:bottom w:w="140" w:type="dxa"/>
              <w:left w:w="160" w:type="dxa"/>
              <w:right w:w="160" w:type="dxa"/>
            </w:tcMar>
          </w:tcPr>
          <w:p>
            <w:pPr>
              <w:jc w:val="left"/>
            </w:pPr>
            <w:r>
              <w:rPr>
                <w:b/>
                <w:color w:val="FFFFFF"/>
                <w:sz w:val="19"/>
              </w:rPr>
              <w:t>Primitive Type</w:t>
            </w:r>
          </w:p>
        </w:tc>
        <w:tc>
          <w:tcPr>
            <w:tcW w:type="dxa" w:w="3312"/>
            <w:shd w:val="clear" w:color="auto" w:fill="1A365D"/>
            <w:tcMar>
              <w:top w:w="140" w:type="dxa"/>
              <w:bottom w:w="140" w:type="dxa"/>
              <w:left w:w="160" w:type="dxa"/>
              <w:right w:w="160" w:type="dxa"/>
            </w:tcMar>
          </w:tcPr>
          <w:p>
            <w:pPr>
              <w:jc w:val="left"/>
            </w:pPr>
            <w:r>
              <w:rPr>
                <w:b/>
                <w:color w:val="FFFFFF"/>
                <w:sz w:val="19"/>
              </w:rPr>
              <w:t>Data Signature Detected</w:t>
            </w:r>
          </w:p>
        </w:tc>
        <w:tc>
          <w:tcPr>
            <w:tcW w:type="dxa" w:w="3456"/>
            <w:shd w:val="clear" w:color="auto" w:fill="1A365D"/>
            <w:tcMar>
              <w:top w:w="140" w:type="dxa"/>
              <w:bottom w:w="140" w:type="dxa"/>
              <w:left w:w="160" w:type="dxa"/>
              <w:right w:w="160" w:type="dxa"/>
            </w:tcMar>
          </w:tcPr>
          <w:p>
            <w:pPr>
              <w:jc w:val="left"/>
            </w:pPr>
            <w:r>
              <w:rPr>
                <w:b/>
                <w:color w:val="FFFFFF"/>
                <w:sz w:val="19"/>
              </w:rPr>
              <w:t>Universal UI Rendering</w:t>
            </w:r>
          </w:p>
        </w:tc>
      </w:tr>
      <w:tr>
        <w:tc>
          <w:tcPr>
            <w:tcW w:type="dxa" w:w="2592"/>
            <w:shd w:val="clear" w:color="auto" w:fill="FFFFFF"/>
            <w:tcMar>
              <w:top w:w="100" w:type="dxa"/>
              <w:bottom w:w="100" w:type="dxa"/>
              <w:left w:w="140" w:type="dxa"/>
              <w:right w:w="140" w:type="dxa"/>
            </w:tcMar>
          </w:tcPr>
          <w:p>
            <w:pPr>
              <w:jc w:val="left"/>
            </w:pPr>
            <w:r>
              <w:rPr>
                <w:color w:val="2D3748"/>
                <w:sz w:val="18"/>
              </w:rPr>
              <w:t>TIMELINE_ACTION</w:t>
            </w:r>
          </w:p>
        </w:tc>
        <w:tc>
          <w:tcPr>
            <w:tcW w:type="dxa" w:w="3312"/>
            <w:shd w:val="clear" w:color="auto" w:fill="FFFFFF"/>
            <w:tcMar>
              <w:top w:w="100" w:type="dxa"/>
              <w:bottom w:w="100" w:type="dxa"/>
              <w:left w:w="140" w:type="dxa"/>
              <w:right w:w="140" w:type="dxa"/>
            </w:tcMar>
          </w:tcPr>
          <w:p>
            <w:pPr>
              <w:jc w:val="left"/>
            </w:pPr>
            <w:r>
              <w:rPr>
                <w:color w:val="2D3748"/>
                <w:sz w:val="18"/>
              </w:rPr>
              <w:t>Contains target dates (due_date, submit_by, test_date)</w:t>
            </w:r>
          </w:p>
        </w:tc>
        <w:tc>
          <w:tcPr>
            <w:tcW w:type="dxa" w:w="3456"/>
            <w:shd w:val="clear" w:color="auto" w:fill="FFFFFF"/>
            <w:tcMar>
              <w:top w:w="100" w:type="dxa"/>
              <w:bottom w:w="100" w:type="dxa"/>
              <w:left w:w="140" w:type="dxa"/>
              <w:right w:w="140" w:type="dxa"/>
            </w:tcMar>
          </w:tcPr>
          <w:p>
            <w:pPr>
              <w:jc w:val="left"/>
            </w:pPr>
            <w:r>
              <w:rPr>
                <w:color w:val="2D3748"/>
                <w:sz w:val="18"/>
              </w:rPr>
              <w:t>Countdown Deadline Cards with urgency status pills (&lt;48h alert).</w:t>
            </w:r>
          </w:p>
        </w:tc>
      </w:tr>
      <w:tr>
        <w:tc>
          <w:tcPr>
            <w:tcW w:type="dxa" w:w="2592"/>
            <w:shd w:val="clear" w:color="auto" w:fill="F7FAFC"/>
            <w:tcMar>
              <w:top w:w="100" w:type="dxa"/>
              <w:bottom w:w="100" w:type="dxa"/>
              <w:left w:w="140" w:type="dxa"/>
              <w:right w:w="140" w:type="dxa"/>
            </w:tcMar>
          </w:tcPr>
          <w:p>
            <w:pPr>
              <w:jc w:val="left"/>
            </w:pPr>
            <w:r>
              <w:rPr>
                <w:color w:val="2D3748"/>
                <w:sz w:val="18"/>
              </w:rPr>
              <w:t>MEDIA_CARD</w:t>
            </w:r>
          </w:p>
        </w:tc>
        <w:tc>
          <w:tcPr>
            <w:tcW w:type="dxa" w:w="3312"/>
            <w:shd w:val="clear" w:color="auto" w:fill="F7FAFC"/>
            <w:tcMar>
              <w:top w:w="100" w:type="dxa"/>
              <w:bottom w:w="100" w:type="dxa"/>
              <w:left w:w="140" w:type="dxa"/>
              <w:right w:w="140" w:type="dxa"/>
            </w:tcMar>
          </w:tcPr>
          <w:p>
            <w:pPr>
              <w:jc w:val="left"/>
            </w:pPr>
            <w:r>
              <w:rPr>
                <w:color w:val="2D3748"/>
                <w:sz w:val="18"/>
              </w:rPr>
              <w:t>Contains thumbnail URL (.jpg, .webp, ytimg) + title</w:t>
            </w:r>
          </w:p>
        </w:tc>
        <w:tc>
          <w:tcPr>
            <w:tcW w:type="dxa" w:w="3456"/>
            <w:shd w:val="clear" w:color="auto" w:fill="F7FAFC"/>
            <w:tcMar>
              <w:top w:w="100" w:type="dxa"/>
              <w:bottom w:w="100" w:type="dxa"/>
              <w:left w:w="140" w:type="dxa"/>
              <w:right w:w="140" w:type="dxa"/>
            </w:tcMar>
          </w:tcPr>
          <w:p>
            <w:pPr>
              <w:jc w:val="left"/>
            </w:pPr>
            <w:r>
              <w:rPr>
                <w:color w:val="2D3748"/>
                <w:sz w:val="18"/>
              </w:rPr>
              <w:t>Media Grid Card with image thumbnail, title, and duration tag.</w:t>
            </w:r>
          </w:p>
        </w:tc>
      </w:tr>
      <w:tr>
        <w:tc>
          <w:tcPr>
            <w:tcW w:type="dxa" w:w="2592"/>
            <w:shd w:val="clear" w:color="auto" w:fill="FFFFFF"/>
            <w:tcMar>
              <w:top w:w="100" w:type="dxa"/>
              <w:bottom w:w="100" w:type="dxa"/>
              <w:left w:w="140" w:type="dxa"/>
              <w:right w:w="140" w:type="dxa"/>
            </w:tcMar>
          </w:tcPr>
          <w:p>
            <w:pPr>
              <w:jc w:val="left"/>
            </w:pPr>
            <w:r>
              <w:rPr>
                <w:color w:val="2D3748"/>
                <w:sz w:val="18"/>
              </w:rPr>
              <w:t>STAT_METRIC</w:t>
            </w:r>
          </w:p>
        </w:tc>
        <w:tc>
          <w:tcPr>
            <w:tcW w:type="dxa" w:w="3312"/>
            <w:shd w:val="clear" w:color="auto" w:fill="FFFFFF"/>
            <w:tcMar>
              <w:top w:w="100" w:type="dxa"/>
              <w:bottom w:w="100" w:type="dxa"/>
              <w:left w:w="140" w:type="dxa"/>
              <w:right w:w="140" w:type="dxa"/>
            </w:tcMar>
          </w:tcPr>
          <w:p>
            <w:pPr>
              <w:jc w:val="left"/>
            </w:pPr>
            <w:r>
              <w:rPr>
                <w:color w:val="2D3748"/>
                <w:sz w:val="18"/>
              </w:rPr>
              <w:t>Scalar numeric values or currency (coins, level, rank)</w:t>
            </w:r>
          </w:p>
        </w:tc>
        <w:tc>
          <w:tcPr>
            <w:tcW w:type="dxa" w:w="3456"/>
            <w:shd w:val="clear" w:color="auto" w:fill="FFFFFF"/>
            <w:tcMar>
              <w:top w:w="100" w:type="dxa"/>
              <w:bottom w:w="100" w:type="dxa"/>
              <w:left w:w="140" w:type="dxa"/>
              <w:right w:w="140" w:type="dxa"/>
            </w:tcMar>
          </w:tcPr>
          <w:p>
            <w:pPr>
              <w:jc w:val="left"/>
            </w:pPr>
            <w:r>
              <w:rPr>
                <w:color w:val="2D3748"/>
                <w:sz w:val="18"/>
              </w:rPr>
              <w:t>Hero KPI Metric Tiles with bold numbers and category labels.</w:t>
            </w:r>
          </w:p>
        </w:tc>
      </w:tr>
      <w:tr>
        <w:tc>
          <w:tcPr>
            <w:tcW w:type="dxa" w:w="2592"/>
            <w:shd w:val="clear" w:color="auto" w:fill="F7FAFC"/>
            <w:tcMar>
              <w:top w:w="100" w:type="dxa"/>
              <w:bottom w:w="100" w:type="dxa"/>
              <w:left w:w="140" w:type="dxa"/>
              <w:right w:w="140" w:type="dxa"/>
            </w:tcMar>
          </w:tcPr>
          <w:p>
            <w:pPr>
              <w:jc w:val="left"/>
            </w:pPr>
            <w:r>
              <w:rPr>
                <w:color w:val="2D3748"/>
                <w:sz w:val="18"/>
              </w:rPr>
              <w:t>PROGRESS_GAUGE</w:t>
            </w:r>
          </w:p>
        </w:tc>
        <w:tc>
          <w:tcPr>
            <w:tcW w:type="dxa" w:w="3312"/>
            <w:shd w:val="clear" w:color="auto" w:fill="F7FAFC"/>
            <w:tcMar>
              <w:top w:w="100" w:type="dxa"/>
              <w:bottom w:w="100" w:type="dxa"/>
              <w:left w:w="140" w:type="dxa"/>
              <w:right w:w="140" w:type="dxa"/>
            </w:tcMar>
          </w:tcPr>
          <w:p>
            <w:pPr>
              <w:jc w:val="left"/>
            </w:pPr>
            <w:r>
              <w:rPr>
                <w:color w:val="2D3748"/>
                <w:sz w:val="18"/>
              </w:rPr>
              <w:t>Fractions ('3400/5000') or percentages ('85%')</w:t>
            </w:r>
          </w:p>
        </w:tc>
        <w:tc>
          <w:tcPr>
            <w:tcW w:type="dxa" w:w="3456"/>
            <w:shd w:val="clear" w:color="auto" w:fill="F7FAFC"/>
            <w:tcMar>
              <w:top w:w="100" w:type="dxa"/>
              <w:bottom w:w="100" w:type="dxa"/>
              <w:left w:w="140" w:type="dxa"/>
              <w:right w:w="140" w:type="dxa"/>
            </w:tcMar>
          </w:tcPr>
          <w:p>
            <w:pPr>
              <w:jc w:val="left"/>
            </w:pPr>
            <w:r>
              <w:rPr>
                <w:color w:val="2D3748"/>
                <w:sz w:val="18"/>
              </w:rPr>
              <w:t>Linear Progress Bars or Radial Rings showing completion %.</w:t>
            </w:r>
          </w:p>
        </w:tc>
      </w:tr>
      <w:tr>
        <w:tc>
          <w:tcPr>
            <w:tcW w:type="dxa" w:w="2592"/>
            <w:shd w:val="clear" w:color="auto" w:fill="FFFFFF"/>
            <w:tcMar>
              <w:top w:w="100" w:type="dxa"/>
              <w:bottom w:w="100" w:type="dxa"/>
              <w:left w:w="140" w:type="dxa"/>
              <w:right w:w="140" w:type="dxa"/>
            </w:tcMar>
          </w:tcPr>
          <w:p>
            <w:pPr>
              <w:jc w:val="left"/>
            </w:pPr>
            <w:r>
              <w:rPr>
                <w:color w:val="2D3748"/>
                <w:sz w:val="18"/>
              </w:rPr>
              <w:t>DATA_GRID / FEED</w:t>
            </w:r>
          </w:p>
        </w:tc>
        <w:tc>
          <w:tcPr>
            <w:tcW w:type="dxa" w:w="3312"/>
            <w:shd w:val="clear" w:color="auto" w:fill="FFFFFF"/>
            <w:tcMar>
              <w:top w:w="100" w:type="dxa"/>
              <w:bottom w:w="100" w:type="dxa"/>
              <w:left w:w="140" w:type="dxa"/>
              <w:right w:w="140" w:type="dxa"/>
            </w:tcMar>
          </w:tcPr>
          <w:p>
            <w:pPr>
              <w:jc w:val="left"/>
            </w:pPr>
            <w:r>
              <w:rPr>
                <w:color w:val="2D3748"/>
                <w:sz w:val="18"/>
              </w:rPr>
              <w:t>Multi-column records or timestamped text entries</w:t>
            </w:r>
          </w:p>
        </w:tc>
        <w:tc>
          <w:tcPr>
            <w:tcW w:type="dxa" w:w="3456"/>
            <w:shd w:val="clear" w:color="auto" w:fill="FFFFFF"/>
            <w:tcMar>
              <w:top w:w="100" w:type="dxa"/>
              <w:bottom w:w="100" w:type="dxa"/>
              <w:left w:w="140" w:type="dxa"/>
              <w:right w:w="140" w:type="dxa"/>
            </w:tcMar>
          </w:tcPr>
          <w:p>
            <w:pPr>
              <w:jc w:val="left"/>
            </w:pPr>
            <w:r>
              <w:rPr>
                <w:color w:val="2D3748"/>
                <w:sz w:val="18"/>
              </w:rPr>
              <w:t>Sortable Data Tables or Expandable Chronological Accordions.</w:t>
            </w:r>
          </w:p>
        </w:tc>
      </w:tr>
    </w:tbl>
    <w:p>
      <w:pPr>
        <w:keepNext/>
        <w:spacing w:before="280" w:after="120"/>
      </w:pPr>
      <w:r>
        <w:rPr>
          <w:b/>
          <w:color w:val="1A365D"/>
          <w:sz w:val="32"/>
        </w:rPr>
        <w:t>6. 100% On-Device Artificial Intelligence Stack</w:t>
      </w:r>
    </w:p>
    <w:p>
      <w:pPr>
        <w:pStyle w:val="ListBullet"/>
        <w:spacing w:before="20" w:after="60" w:line="276" w:lineRule="auto"/>
      </w:pPr>
      <w:r>
        <w:rPr>
          <w:b/>
          <w:color w:val="2D3748"/>
          <w:sz w:val="20"/>
        </w:rPr>
        <w:t xml:space="preserve">Gemini Nano (Generative SLM): </w:t>
      </w:r>
      <w:r>
        <w:rPr>
          <w:color w:val="2D3748"/>
          <w:sz w:val="20"/>
        </w:rPr>
        <w:t>Runs in Chrome (Prompt API). Synthesizes resilient ARIA/CSS selectors, generates human-readable layout summary banners, and answers ad-hoc user queries over extracted Drive data.</w:t>
      </w:r>
    </w:p>
    <w:p>
      <w:pPr>
        <w:pStyle w:val="ListBullet"/>
        <w:spacing w:before="20" w:after="60" w:line="276" w:lineRule="auto"/>
      </w:pPr>
      <w:r>
        <w:rPr>
          <w:b/>
          <w:color w:val="2D3748"/>
          <w:sz w:val="20"/>
        </w:rPr>
        <w:t xml:space="preserve">EmbeddingGemma 2 (Encoder Model): </w:t>
      </w:r>
      <w:r>
        <w:rPr>
          <w:color w:val="2D3748"/>
          <w:sz w:val="20"/>
        </w:rPr>
        <w:t>Runs via LiteRT on Android (&lt;200MB RAM) and on desktop. Vectorizes notifications to route ambiguous alerts to correct portal recipes via cosine similarity, deduplicates repetitive notifications, and powers local vector search.</w:t>
      </w:r>
    </w:p>
    <w:p>
      <w:pPr>
        <w:keepNext/>
        <w:spacing w:before="280" w:after="120"/>
      </w:pPr>
      <w:r>
        <w:rPr>
          <w:b/>
          <w:color w:val="1A365D"/>
          <w:sz w:val="32"/>
        </w:rPr>
        <w:t>7. Non-Functional Requirements &amp; Security Guardrails</w:t>
      </w:r>
    </w:p>
    <w:p>
      <w:pPr>
        <w:pStyle w:val="ListBullet"/>
        <w:spacing w:before="20" w:after="60" w:line="276" w:lineRule="auto"/>
      </w:pPr>
      <w:r>
        <w:rPr>
          <w:b/>
          <w:color w:val="2D3748"/>
          <w:sz w:val="20"/>
        </w:rPr>
        <w:t xml:space="preserve">Mobile RAM &amp; Battery Guard: </w:t>
      </w:r>
      <w:r>
        <w:rPr>
          <w:color w:val="2D3748"/>
          <w:sz w:val="20"/>
        </w:rPr>
        <w:t>Off-screen Android WebViews must intercept and block images, fonts, and stylesheets via shouldInterceptRequest, timeout at 15s, and immediately call webView.destroy().</w:t>
      </w:r>
    </w:p>
    <w:p>
      <w:pPr>
        <w:pStyle w:val="ListBullet"/>
        <w:spacing w:before="20" w:after="60" w:line="276" w:lineRule="auto"/>
      </w:pPr>
      <w:r>
        <w:rPr>
          <w:b/>
          <w:color w:val="2D3748"/>
          <w:sz w:val="20"/>
        </w:rPr>
        <w:t xml:space="preserve">Session Expiration Recovery: </w:t>
      </w:r>
      <w:r>
        <w:rPr>
          <w:color w:val="2D3748"/>
          <w:sz w:val="20"/>
        </w:rPr>
        <w:t>If an HTTP 401/403 or redirect to /login occurs, scrapers halt, mark status AUTH_EXPIRED in Drive, and surface an actionable re-authentication banner.</w:t>
      </w:r>
    </w:p>
    <w:p>
      <w:pPr>
        <w:pStyle w:val="ListBullet"/>
        <w:spacing w:before="20" w:after="60" w:line="276" w:lineRule="auto"/>
      </w:pPr>
      <w:r>
        <w:rPr>
          <w:b/>
          <w:color w:val="2D3748"/>
          <w:sz w:val="20"/>
        </w:rPr>
        <w:t xml:space="preserve">Self-Healing Selector Repair: </w:t>
      </w:r>
      <w:r>
        <w:rPr>
          <w:color w:val="2D3748"/>
          <w:sz w:val="20"/>
        </w:rPr>
        <w:t>If a recipe yields 0 matches following a valid notification, it is flagged as STALE on Drive, prompting Gemini Nano to run an automated selector repair pass on the next desktop visit.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