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SG24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Estado avance proyecto “ServiGo”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Daniel Abarzúa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.40625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13/06/2026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ServiGo</w:t>
            </w:r>
          </w:p>
        </w:tc>
      </w:tr>
    </w:tbl>
    <w:p w:rsidR="00000000" w:rsidDel="00000000" w:rsidP="00000000" w:rsidRDefault="00000000" w:rsidRPr="00000000" w14:paraId="0000001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Daniel Abarzúa DA</w:t>
            </w:r>
          </w:p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Nicole Chavez NC</w:t>
            </w:r>
          </w:p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Catalina Palma CPA</w:t>
            </w:r>
          </w:p>
          <w:p w:rsidR="00000000" w:rsidDel="00000000" w:rsidP="00000000" w:rsidRDefault="00000000" w:rsidRPr="00000000" w14:paraId="0000002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Sebastián Riquelme SR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Da.abarzua@duocuc.cl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ni.chavezg@duocuc.cl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9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cata.palmam@duocuc.c</w:t>
              </w:r>
            </w:hyperlink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l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</w:rPr>
            </w:pPr>
            <w:hyperlink r:id="rId10">
              <w:r w:rsidDel="00000000" w:rsidR="00000000" w:rsidRPr="00000000">
                <w:rPr>
                  <w:rFonts w:ascii="Tahoma" w:cs="Tahoma" w:eastAsia="Tahoma" w:hAnsi="Tahoma"/>
                  <w:b w:val="1"/>
                  <w:bCs w:val="1"/>
                  <w:color w:val="1155cc"/>
                  <w:u w:val="single"/>
                  <w:rtl w:val="0"/>
                </w:rPr>
                <w:t xml:space="preserve">seba.riquelmeg@duocuc.cl</w:t>
              </w:r>
            </w:hyperlink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ff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tabs>
          <w:tab w:val="center" w:leader="none" w:pos="4320"/>
          <w:tab w:val="right" w:leader="none" w:pos="8640"/>
        </w:tabs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Durante la reunión se revisó la implementación del modal de validación biométrica incorporado para clientes y prestadores dentro de la plataforma.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SR presentó el funcionamiento del nuevo flujo de captura facial desde el frontend, mientras que CPA informó que la comunicación con el backend se encontraba operativa.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DA Se realizaron pruebas funcionales observándose inconsistencias en algunos reconocimientos, especialmente cuando las imágenes capturadas presentaban baja resolución.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informó el avance de la documentación del proyecto y presentó una actualización del diagrama de casos de uso, además de continuar con la revisión de las historias de usuario.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NC presentó avances del documento de cierre y se acordó seguir desarrollándolo paralelamente al desarrollo técnico.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Modal biométrico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E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Continuar realizando pruebas con distintos dispositivos.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Reconocimiento facial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Analizar parámetros de validación para mejorar precisión.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Documentación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Mantener actualizados diagramas e historias de usuario.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7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8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20.0" w:type="dxa"/>
        <w:jc w:val="left"/>
        <w:tblInd w:w="-112.0" w:type="dxa"/>
        <w:tblLayout w:type="fixed"/>
        <w:tblLook w:val="0000"/>
      </w:tblPr>
      <w:tblGrid>
        <w:gridCol w:w="2955"/>
        <w:gridCol w:w="2265"/>
        <w:gridCol w:w="5100"/>
        <w:tblGridChange w:id="0">
          <w:tblGrid>
            <w:gridCol w:w="2955"/>
            <w:gridCol w:w="2265"/>
            <w:gridCol w:w="510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.9609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Optimizar reconocimiento facial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numPr>
                <w:ilvl w:val="5"/>
                <w:numId w:val="1"/>
              </w:numP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Corregir interfaz biométrica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16/06/2026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2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numPr>
                <w:ilvl w:val="5"/>
                <w:numId w:val="1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documentación técnica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numPr>
                <w:ilvl w:val="3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numPr>
                <w:ilvl w:val="4"/>
                <w:numId w:val="1"/>
              </w:numPr>
              <w:ind w:left="0" w:right="-15" w:firstLine="0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Continuar documento de cierre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16/06/2026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NC</w:t>
            </w:r>
          </w:p>
        </w:tc>
      </w:tr>
    </w:tbl>
    <w:p w:rsidR="00000000" w:rsidDel="00000000" w:rsidP="00000000" w:rsidRDefault="00000000" w:rsidRPr="00000000" w14:paraId="0000007F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120" w:lineRule="auto"/>
              <w:ind w:left="35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numPr>
          <w:ilvl w:val="5"/>
          <w:numId w:val="1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-37771</wp:posOffset>
              </wp:positionH>
              <wp:positionV relativeFrom="paragraph">
                <wp:posOffset>-48567</wp:posOffset>
              </wp:positionV>
              <wp:extent cx="22225" cy="2222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2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rPr/>
    </w:pPr>
    <w:r w:rsidDel="00000000" w:rsidR="00000000" w:rsidRPr="00000000">
      <w:rPr>
        <w:rtl w:val="0"/>
      </w:rPr>
    </w:r>
  </w:p>
  <w:tbl>
    <w:tblPr>
      <w:tblStyle w:val="Table7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5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6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widowControl w:val="0"/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mailto:seba.riquelmeg@duocuc.cl" TargetMode="External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cata.palmam@duocuc.cl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a.abarzua@duocuc.cl" TargetMode="External"/><Relationship Id="rId8" Type="http://schemas.openxmlformats.org/officeDocument/2006/relationships/hyperlink" Target="mailto:ni.chavezg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GXpp2NSyyUYed8lK9M/Lc5vo8A==">CgMxLjA4AHIhMXV5TDNqMUxLRG1OYTg5Y29WdG9lcVU5YWJ0dEs1WnMx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