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SG28</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Estado avance proyecto “ServiGo”</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Daniel Abarzúa</w:t>
            </w:r>
            <w:r w:rsidDel="00000000" w:rsidR="00000000" w:rsidRPr="00000000">
              <w:rPr>
                <w:rtl w:val="0"/>
              </w:rPr>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rHeight w:val="271.40625" w:hRule="atLeast"/>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25/06/2026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rFonts w:ascii="Tahoma" w:cs="Tahoma" w:eastAsia="Tahoma" w:hAnsi="Tahoma"/>
              </w:rPr>
            </w:pPr>
            <w:r w:rsidDel="00000000" w:rsidR="00000000" w:rsidRPr="00000000">
              <w:rPr>
                <w:rFonts w:ascii="Tahoma" w:cs="Tahoma" w:eastAsia="Tahoma" w:hAnsi="Tahoma"/>
                <w:rtl w:val="0"/>
              </w:rPr>
              <w:t xml:space="preserve">Videollamada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rFonts w:ascii="Tahoma" w:cs="Tahoma" w:eastAsia="Tahoma" w:hAnsi="Tahoma"/>
              </w:rPr>
            </w:pPr>
            <w:r w:rsidDel="00000000" w:rsidR="00000000" w:rsidRPr="00000000">
              <w:rPr>
                <w:rFonts w:ascii="Tahoma" w:cs="Tahoma" w:eastAsia="Tahoma" w:hAnsi="Tahoma"/>
                <w:rtl w:val="0"/>
              </w:rPr>
              <w:t xml:space="preserve">ServiGo</w:t>
            </w:r>
          </w:p>
        </w:tc>
      </w:tr>
    </w:tbl>
    <w:p w:rsidR="00000000" w:rsidDel="00000000" w:rsidP="00000000" w:rsidRDefault="00000000" w:rsidRPr="00000000" w14:paraId="0000001B">
      <w:pPr>
        <w:tabs>
          <w:tab w:val="center" w:leader="none" w:pos="4320"/>
          <w:tab w:val="right" w:leader="none" w:pos="8640"/>
        </w:tabs>
        <w:rPr>
          <w:rFonts w:ascii="Tahoma" w:cs="Tahoma" w:eastAsia="Tahoma" w:hAnsi="Tahoma"/>
        </w:rPr>
      </w:pPr>
      <w:r w:rsidDel="00000000" w:rsidR="00000000" w:rsidRPr="00000000">
        <w:rPr>
          <w:rtl w:val="0"/>
        </w:rPr>
      </w:r>
    </w:p>
    <w:tbl>
      <w:tblPr>
        <w:tblStyle w:val="Table2"/>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Daniel Abarzúa DA</w:t>
            </w:r>
          </w:p>
          <w:p w:rsidR="00000000" w:rsidDel="00000000" w:rsidP="00000000" w:rsidRDefault="00000000" w:rsidRPr="00000000" w14:paraId="00000025">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Nicole Chavez NC</w:t>
            </w:r>
          </w:p>
          <w:p w:rsidR="00000000" w:rsidDel="00000000" w:rsidP="00000000" w:rsidRDefault="00000000" w:rsidRPr="00000000" w14:paraId="00000026">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Palma CPA</w:t>
            </w:r>
          </w:p>
          <w:p w:rsidR="00000000" w:rsidDel="00000000" w:rsidP="00000000" w:rsidRDefault="00000000" w:rsidRPr="00000000" w14:paraId="00000027">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Sebastián Riquelme SR</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8">
            <w:pPr>
              <w:numPr>
                <w:ilvl w:val="5"/>
                <w:numId w:val="1"/>
              </w:numPr>
              <w:ind w:left="0" w:firstLine="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A">
            <w:pPr>
              <w:spacing w:line="276" w:lineRule="auto"/>
              <w:rPr>
                <w:rFonts w:ascii="Tahoma" w:cs="Tahoma" w:eastAsia="Tahoma" w:hAnsi="Tahoma"/>
                <w:b w:val="1"/>
                <w:bCs w:val="1"/>
              </w:rPr>
            </w:pPr>
            <w:hyperlink r:id="rId7">
              <w:r w:rsidDel="00000000" w:rsidR="00000000" w:rsidRPr="00000000">
                <w:rPr>
                  <w:rFonts w:ascii="Tahoma" w:cs="Tahoma" w:eastAsia="Tahoma" w:hAnsi="Tahoma"/>
                  <w:b w:val="1"/>
                  <w:bCs w:val="1"/>
                  <w:color w:val="1155cc"/>
                  <w:u w:val="single"/>
                  <w:rtl w:val="0"/>
                </w:rPr>
                <w:t xml:space="preserve">Da.abarzua@duocuc.cl</w:t>
              </w:r>
            </w:hyperlink>
            <w:r w:rsidDel="00000000" w:rsidR="00000000" w:rsidRPr="00000000">
              <w:rPr>
                <w:rtl w:val="0"/>
              </w:rPr>
            </w:r>
          </w:p>
          <w:p w:rsidR="00000000" w:rsidDel="00000000" w:rsidP="00000000" w:rsidRDefault="00000000" w:rsidRPr="00000000" w14:paraId="0000002B">
            <w:pPr>
              <w:spacing w:line="276" w:lineRule="auto"/>
              <w:rPr>
                <w:rFonts w:ascii="Tahoma" w:cs="Tahoma" w:eastAsia="Tahoma" w:hAnsi="Tahoma"/>
                <w:b w:val="1"/>
                <w:bCs w:val="1"/>
              </w:rPr>
            </w:pPr>
            <w:hyperlink r:id="rId8">
              <w:r w:rsidDel="00000000" w:rsidR="00000000" w:rsidRPr="00000000">
                <w:rPr>
                  <w:rFonts w:ascii="Tahoma" w:cs="Tahoma" w:eastAsia="Tahoma" w:hAnsi="Tahoma"/>
                  <w:b w:val="1"/>
                  <w:bCs w:val="1"/>
                  <w:color w:val="1155cc"/>
                  <w:u w:val="single"/>
                  <w:rtl w:val="0"/>
                </w:rPr>
                <w:t xml:space="preserve">ni.chavezg@duocuc.cl</w:t>
              </w:r>
            </w:hyperlink>
            <w:r w:rsidDel="00000000" w:rsidR="00000000" w:rsidRPr="00000000">
              <w:rPr>
                <w:rtl w:val="0"/>
              </w:rPr>
            </w:r>
          </w:p>
          <w:p w:rsidR="00000000" w:rsidDel="00000000" w:rsidP="00000000" w:rsidRDefault="00000000" w:rsidRPr="00000000" w14:paraId="0000002C">
            <w:pPr>
              <w:spacing w:line="276" w:lineRule="auto"/>
              <w:rPr>
                <w:rFonts w:ascii="Tahoma" w:cs="Tahoma" w:eastAsia="Tahoma" w:hAnsi="Tahoma"/>
                <w:color w:val="0000ff"/>
                <w:u w:val="single"/>
              </w:rPr>
            </w:pPr>
            <w:hyperlink r:id="rId9">
              <w:r w:rsidDel="00000000" w:rsidR="00000000" w:rsidRPr="00000000">
                <w:rPr>
                  <w:rFonts w:ascii="Tahoma" w:cs="Tahoma" w:eastAsia="Tahoma" w:hAnsi="Tahoma"/>
                  <w:b w:val="1"/>
                  <w:bCs w:val="1"/>
                  <w:color w:val="1155cc"/>
                  <w:u w:val="single"/>
                  <w:rtl w:val="0"/>
                </w:rPr>
                <w:t xml:space="preserve">cata.palmam@duocuc.c</w:t>
              </w:r>
            </w:hyperlink>
            <w:r w:rsidDel="00000000" w:rsidR="00000000" w:rsidRPr="00000000">
              <w:rPr>
                <w:rFonts w:ascii="Tahoma" w:cs="Tahoma" w:eastAsia="Tahoma" w:hAnsi="Tahoma"/>
                <w:color w:val="0000ff"/>
                <w:u w:val="single"/>
                <w:rtl w:val="0"/>
              </w:rPr>
              <w:t xml:space="preserve">l</w:t>
            </w:r>
          </w:p>
          <w:p w:rsidR="00000000" w:rsidDel="00000000" w:rsidP="00000000" w:rsidRDefault="00000000" w:rsidRPr="00000000" w14:paraId="0000002D">
            <w:pPr>
              <w:spacing w:line="276" w:lineRule="auto"/>
              <w:rPr>
                <w:rFonts w:ascii="Tahoma" w:cs="Tahoma" w:eastAsia="Tahoma" w:hAnsi="Tahoma"/>
                <w:b w:val="1"/>
                <w:bCs w:val="1"/>
                <w:color w:val="0000ff"/>
                <w:u w:val="single"/>
              </w:rPr>
            </w:pPr>
            <w:hyperlink r:id="rId10">
              <w:r w:rsidDel="00000000" w:rsidR="00000000" w:rsidRPr="00000000">
                <w:rPr>
                  <w:rFonts w:ascii="Tahoma" w:cs="Tahoma" w:eastAsia="Tahoma" w:hAnsi="Tahoma"/>
                  <w:b w:val="1"/>
                  <w:bCs w:val="1"/>
                  <w:color w:val="1155cc"/>
                  <w:u w:val="single"/>
                  <w:rtl w:val="0"/>
                </w:rPr>
                <w:t xml:space="preserve">seba.riquelmeg@duocuc.cl</w:t>
              </w:r>
            </w:hyperlink>
            <w:r w:rsidDel="00000000" w:rsidR="00000000" w:rsidRPr="00000000">
              <w:rPr>
                <w:rFonts w:ascii="Tahoma" w:cs="Tahoma" w:eastAsia="Tahoma" w:hAnsi="Tahoma"/>
                <w:b w:val="1"/>
                <w:bCs w:val="1"/>
                <w:color w:val="0000ff"/>
                <w:u w:val="single"/>
                <w:rtl w:val="0"/>
              </w:rPr>
              <w:t xml:space="preserve"> </w:t>
            </w:r>
          </w:p>
          <w:p w:rsidR="00000000" w:rsidDel="00000000" w:rsidP="00000000" w:rsidRDefault="00000000" w:rsidRPr="00000000" w14:paraId="0000002E">
            <w:pPr>
              <w:spacing w:line="276" w:lineRule="auto"/>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F">
            <w:p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ind w:left="0" w:firstLine="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1">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33">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4">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5">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6">
            <w:pPr>
              <w:numPr>
                <w:ilvl w:val="5"/>
                <w:numId w:val="1"/>
              </w:numPr>
              <w:ind w:left="0" w:firstLine="0"/>
              <w:rPr>
                <w:rFonts w:ascii="Tahoma" w:cs="Tahoma" w:eastAsia="Tahoma" w:hAnsi="Tahoma"/>
                <w:color w:val="0000ff"/>
                <w:u w:val="singl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7">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8">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9">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A">
            <w:pPr>
              <w:numPr>
                <w:ilvl w:val="5"/>
                <w:numId w:val="1"/>
              </w:numPr>
              <w:ind w:left="0" w:firstLine="0"/>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3B">
      <w:pPr>
        <w:tabs>
          <w:tab w:val="center" w:leader="none" w:pos="4320"/>
          <w:tab w:val="right" w:leader="none" w:pos="8640"/>
        </w:tabs>
        <w:rPr>
          <w:rFonts w:ascii="Tahoma" w:cs="Tahoma" w:eastAsia="Tahoma" w:hAnsi="Tahoma"/>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tl w:val="0"/>
        </w:rPr>
      </w:r>
    </w:p>
    <w:tbl>
      <w:tblPr>
        <w:tblStyle w:val="Table3"/>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El equipo revisó los resultados obtenidos tras las últimas modificaciones realizadas al módulo de validación biométrica.</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NC presentó los cambios implementados para mejorar la captura de imágenes desde el frontend, aumentando la calidad de la cámara utilizada durante el proceso de validación. Paralelamente se ajustaron los parámetros de YuNet y SFace para mejorar la precisión del reconocimiento facial.</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CPa informó la restauración de los modelos ONNX y la corrección de distintos problemas asociados a la validación biométrica detectados durante las pruebas realizadas en días anteriores.</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Después de ejecutar nuevas pruebas funcionales, se observó una mejora considerable en la estabilidad del reconocimiento facial, aunque todavía existían algunos casos donde la resolución de la imagen afectaba el resultado.</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Se acordó continuar ajustando este parámetro antes de realizar el despliegue definitivo.</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4"/>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3">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5">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57">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8">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Cámara Frontend</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9">
            <w:pPr>
              <w:spacing w:after="120" w:lineRule="auto"/>
              <w:rPr>
                <w:rFonts w:ascii="Tahoma" w:cs="Tahoma" w:eastAsia="Tahoma" w:hAnsi="Tahoma"/>
              </w:rPr>
            </w:pPr>
            <w:r w:rsidDel="00000000" w:rsidR="00000000" w:rsidRPr="00000000">
              <w:rPr>
                <w:rFonts w:ascii="Tahoma" w:cs="Tahoma" w:eastAsia="Tahoma" w:hAnsi="Tahoma"/>
                <w:rtl w:val="0"/>
              </w:rPr>
              <w:t xml:space="preserve">Mejorar calidad de captura de imágenes.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A">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Modelos biométricos</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B">
            <w:pPr>
              <w:spacing w:after="120" w:lineRule="auto"/>
              <w:rPr>
                <w:rFonts w:ascii="Tahoma" w:cs="Tahoma" w:eastAsia="Tahoma" w:hAnsi="Tahoma"/>
              </w:rPr>
            </w:pPr>
            <w:r w:rsidDel="00000000" w:rsidR="00000000" w:rsidRPr="00000000">
              <w:rPr>
                <w:rFonts w:ascii="Tahoma" w:cs="Tahoma" w:eastAsia="Tahoma" w:hAnsi="Tahoma"/>
                <w:rtl w:val="0"/>
              </w:rPr>
              <w:t xml:space="preserve">Continuar optimizando YuNet y SFace.</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C">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Validaciones</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D">
            <w:pPr>
              <w:spacing w:after="120" w:lineRule="auto"/>
              <w:rPr>
                <w:rFonts w:ascii="Tahoma" w:cs="Tahoma" w:eastAsia="Tahoma" w:hAnsi="Tahoma"/>
              </w:rPr>
            </w:pPr>
            <w:r w:rsidDel="00000000" w:rsidR="00000000" w:rsidRPr="00000000">
              <w:rPr>
                <w:rFonts w:ascii="Tahoma" w:cs="Tahoma" w:eastAsia="Tahoma" w:hAnsi="Tahoma"/>
                <w:rtl w:val="0"/>
              </w:rPr>
              <w:t xml:space="preserve">Ejecutar nuevas pruebas antes del despliegue.</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F">
            <w:pPr>
              <w:spacing w:after="120" w:lineRule="auto"/>
              <w:rPr>
                <w:rFonts w:ascii="Tahoma" w:cs="Tahoma" w:eastAsia="Tahoma" w:hAnsi="Tahoma"/>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0">
            <w:pPr>
              <w:tabs>
                <w:tab w:val="center" w:leader="none" w:pos="4320"/>
                <w:tab w:val="right" w:leader="none" w:pos="8640"/>
              </w:tabs>
              <w:rPr>
                <w:rFonts w:ascii="Tahoma" w:cs="Tahoma" w:eastAsia="Tahoma" w:hAnsi="Tahoma"/>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1">
            <w:pPr>
              <w:spacing w:after="120" w:lineRule="auto"/>
              <w:rPr>
                <w:rFonts w:ascii="Tahoma" w:cs="Tahoma" w:eastAsia="Tahoma" w:hAnsi="Tahoma"/>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2">
            <w:pPr>
              <w:tabs>
                <w:tab w:val="center" w:leader="none" w:pos="4320"/>
                <w:tab w:val="right" w:leader="none" w:pos="8640"/>
              </w:tabs>
              <w:rPr>
                <w:rFonts w:ascii="Tahoma" w:cs="Tahoma" w:eastAsia="Tahoma" w:hAnsi="Tahoma"/>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3">
            <w:pPr>
              <w:spacing w:after="12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064">
      <w:pPr>
        <w:numPr>
          <w:ilvl w:val="5"/>
          <w:numId w:val="1"/>
        </w:numPr>
        <w:ind w:left="0" w:firstLine="0"/>
        <w:rPr/>
      </w:pPr>
      <w:r w:rsidDel="00000000" w:rsidR="00000000" w:rsidRPr="00000000">
        <w:rPr>
          <w:rtl w:val="0"/>
        </w:rPr>
      </w:r>
    </w:p>
    <w:tbl>
      <w:tblPr>
        <w:tblStyle w:val="Table5"/>
        <w:tblW w:w="10320.0" w:type="dxa"/>
        <w:jc w:val="left"/>
        <w:tblInd w:w="-112.0" w:type="dxa"/>
        <w:tblLayout w:type="fixed"/>
        <w:tblLook w:val="0000"/>
      </w:tblPr>
      <w:tblGrid>
        <w:gridCol w:w="2955"/>
        <w:gridCol w:w="2265"/>
        <w:gridCol w:w="5100"/>
        <w:tblGridChange w:id="0">
          <w:tblGrid>
            <w:gridCol w:w="2955"/>
            <w:gridCol w:w="2265"/>
            <w:gridCol w:w="5100"/>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65">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68">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69">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6A">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399.960937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B">
            <w:pPr>
              <w:numPr>
                <w:ilvl w:val="5"/>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Continuar pruebas biométricas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C">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25/06/2026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D">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NC</w:t>
            </w:r>
            <w:r w:rsidDel="00000000" w:rsidR="00000000" w:rsidRPr="00000000">
              <w:rPr>
                <w:rtl w:val="0"/>
              </w:rPr>
            </w:r>
          </w:p>
          <w:p w:rsidR="00000000" w:rsidDel="00000000" w:rsidP="00000000" w:rsidRDefault="00000000" w:rsidRPr="00000000" w14:paraId="0000006E">
            <w:pPr>
              <w:numPr>
                <w:ilvl w:val="4"/>
                <w:numId w:val="1"/>
              </w:numPr>
              <w:ind w:left="0" w:right="-15" w:firstLine="0"/>
              <w:rPr>
                <w:rFonts w:ascii="Arial" w:cs="Arial" w:eastAsia="Arial" w:hAnsi="Arial"/>
                <w:u w:val="none"/>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F">
            <w:pPr>
              <w:numPr>
                <w:ilvl w:val="5"/>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Ajustar parámetros de reconocimiento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0">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25/06/2026</w:t>
            </w:r>
            <w:r w:rsidDel="00000000" w:rsidR="00000000" w:rsidRPr="00000000">
              <w:rPr>
                <w:rtl w:val="0"/>
              </w:rPr>
            </w:r>
          </w:p>
          <w:p w:rsidR="00000000" w:rsidDel="00000000" w:rsidP="00000000" w:rsidRDefault="00000000" w:rsidRPr="00000000" w14:paraId="00000071">
            <w:pPr>
              <w:numPr>
                <w:ilvl w:val="3"/>
                <w:numId w:val="1"/>
              </w:numPr>
              <w:ind w:left="0" w:right="-15" w:firstLine="0"/>
              <w:rPr>
                <w:rFonts w:ascii="Arial" w:cs="Arial" w:eastAsia="Arial" w:hAnsi="Arial"/>
                <w:u w:val="no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2">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CPA</w:t>
            </w:r>
            <w:r w:rsidDel="00000000" w:rsidR="00000000" w:rsidRPr="00000000">
              <w:rPr>
                <w:rtl w:val="0"/>
              </w:rPr>
            </w:r>
          </w:p>
          <w:p w:rsidR="00000000" w:rsidDel="00000000" w:rsidP="00000000" w:rsidRDefault="00000000" w:rsidRPr="00000000" w14:paraId="00000073">
            <w:pPr>
              <w:numPr>
                <w:ilvl w:val="2"/>
                <w:numId w:val="1"/>
              </w:numPr>
              <w:ind w:left="0" w:right="-15" w:firstLine="0"/>
              <w:rPr>
                <w:rFonts w:ascii="Arial" w:cs="Arial" w:eastAsia="Arial" w:hAnsi="Arial"/>
                <w:u w:val="none"/>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4">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Verificar funcionamiento completo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5">
            <w:pPr>
              <w:numPr>
                <w:ilvl w:val="3"/>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25/06/2026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6">
            <w:pPr>
              <w:numPr>
                <w:ilvl w:val="4"/>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Equipo</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7">
            <w:pPr>
              <w:ind w:left="0" w:right="-15" w:firstLine="0"/>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8">
            <w:pPr>
              <w:ind w:left="0" w:right="-15" w:firstLine="0"/>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9">
            <w:pPr>
              <w:ind w:left="0" w:right="-15"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A">
      <w:pPr>
        <w:numPr>
          <w:ilvl w:val="5"/>
          <w:numId w:val="1"/>
        </w:numPr>
        <w:ind w:left="0" w:firstLine="0"/>
        <w:rPr/>
      </w:pPr>
      <w:r w:rsidDel="00000000" w:rsidR="00000000" w:rsidRPr="00000000">
        <w:rPr>
          <w:rtl w:val="0"/>
        </w:rPr>
      </w:r>
    </w:p>
    <w:tbl>
      <w:tblPr>
        <w:tblStyle w:val="Table6"/>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7B">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7C">
            <w:pPr>
              <w:spacing w:after="120" w:lineRule="auto"/>
              <w:ind w:left="357" w:firstLine="0"/>
              <w:jc w:val="both"/>
              <w:rPr>
                <w:rFonts w:ascii="Tahoma" w:cs="Tahoma" w:eastAsia="Tahoma" w:hAnsi="Tahoma"/>
                <w:b w:val="1"/>
                <w:bCs w:val="1"/>
              </w:rPr>
            </w:pPr>
            <w:r w:rsidDel="00000000" w:rsidR="00000000" w:rsidRPr="00000000">
              <w:rPr>
                <w:rtl w:val="0"/>
              </w:rPr>
            </w:r>
          </w:p>
        </w:tc>
      </w:tr>
    </w:tbl>
    <w:p w:rsidR="00000000" w:rsidDel="00000000" w:rsidP="00000000" w:rsidRDefault="00000000" w:rsidRPr="00000000" w14:paraId="0000007D">
      <w:pPr>
        <w:numPr>
          <w:ilvl w:val="5"/>
          <w:numId w:val="1"/>
        </w:numPr>
        <w:ind w:left="0" w:firstLine="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-37771</wp:posOffset>
              </wp:positionH>
              <wp:positionV relativeFrom="paragraph">
                <wp:posOffset>-48567</wp:posOffset>
              </wp:positionV>
              <wp:extent cx="22225" cy="22225"/>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-37771</wp:posOffset>
              </wp:positionH>
              <wp:positionV relativeFrom="paragraph">
                <wp:posOffset>-48567</wp:posOffset>
              </wp:positionV>
              <wp:extent cx="22225" cy="222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drawing>
        <wp:inline distB="0" distT="0" distL="0" distR="0">
          <wp:extent cx="2428875" cy="7429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7"/>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80">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81">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seba.riquelmeg@duocuc.cl"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ta.palmam@duocuc.cl" TargetMode="External"/><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a.abarzua@duocuc.cl" TargetMode="External"/><Relationship Id="rId8" Type="http://schemas.openxmlformats.org/officeDocument/2006/relationships/hyperlink" Target="mailto:ni.chavezg@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Ji643vI8hPV+qkBXAcGZV/TXOQ==">CgMxLjA4AHIhMTc1SzlGNTF0bEg0dGw0N25ETXRvbUNLN1hyOUtxTklO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