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05665" w14:textId="77777777" w:rsidR="00706D8D" w:rsidRPr="00DD67FC" w:rsidRDefault="00085BE7" w:rsidP="00DD67FC">
      <w:pPr>
        <w:spacing w:after="30"/>
        <w:jc w:val="both"/>
        <w:rPr>
          <w:sz w:val="16"/>
          <w:szCs w:val="16"/>
        </w:rPr>
      </w:pPr>
      <w:r w:rsidRPr="00DD67FC">
        <w:rPr>
          <w:rFonts w:ascii="Calibri" w:eastAsia="Calibri" w:hAnsi="Calibri" w:cs="Calibri"/>
          <w:b/>
          <w:bCs/>
          <w:sz w:val="16"/>
          <w:szCs w:val="16"/>
        </w:rPr>
        <w:t>The Climate Investment Funds — Investment Plans, Delivery and Disbursement</w:t>
      </w:r>
    </w:p>
    <w:p w14:paraId="7FCF1CB5" w14:textId="58CAF1DA" w:rsidR="00706D8D" w:rsidRDefault="00085BE7" w:rsidP="00DD67FC">
      <w:pPr>
        <w:spacing w:after="100"/>
        <w:jc w:val="both"/>
        <w:rPr>
          <w:i/>
          <w:iCs/>
          <w:color w:val="555555"/>
          <w:sz w:val="16"/>
          <w:szCs w:val="16"/>
        </w:rPr>
      </w:pPr>
      <w:r w:rsidRPr="00DD67FC">
        <w:rPr>
          <w:i/>
          <w:iCs/>
          <w:color w:val="555555"/>
          <w:sz w:val="16"/>
          <w:szCs w:val="16"/>
        </w:rPr>
        <w:t>How the pipeline works, where it sticks, and the reforms underway to fix it</w:t>
      </w:r>
      <w:r w:rsidR="00240CCA">
        <w:rPr>
          <w:i/>
          <w:iCs/>
          <w:color w:val="555555"/>
          <w:sz w:val="16"/>
          <w:szCs w:val="16"/>
        </w:rPr>
        <w:t>.</w:t>
      </w:r>
    </w:p>
    <w:p w14:paraId="73D85D4A" w14:textId="77777777" w:rsidR="00240CCA" w:rsidRPr="00D34EBE" w:rsidRDefault="00240CCA" w:rsidP="00240CCA">
      <w:pPr>
        <w:pBdr>
          <w:bottom w:val="single" w:sz="6" w:space="2" w:color="1F5C4E"/>
        </w:pBdr>
        <w:spacing w:before="90" w:after="30"/>
        <w:jc w:val="both"/>
        <w:rPr>
          <w:rFonts w:ascii="Calibri" w:eastAsia="Calibri" w:hAnsi="Calibri" w:cs="Calibri"/>
          <w:b/>
          <w:bCs/>
          <w:color w:val="1F5C4E"/>
          <w:spacing w:val="4"/>
          <w:sz w:val="16"/>
          <w:szCs w:val="16"/>
        </w:rPr>
      </w:pPr>
      <w:r w:rsidRPr="00DD67FC">
        <w:rPr>
          <w:rFonts w:ascii="Calibri" w:eastAsia="Calibri" w:hAnsi="Calibri" w:cs="Calibri"/>
          <w:b/>
          <w:bCs/>
          <w:color w:val="1F5C4E"/>
          <w:spacing w:val="4"/>
          <w:sz w:val="16"/>
          <w:szCs w:val="16"/>
        </w:rPr>
        <w:t>KEY ABBREVIATIONS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240CCA" w:rsidRPr="00DD67FC" w14:paraId="1A48E33A" w14:textId="77777777" w:rsidTr="001919D0">
        <w:tc>
          <w:tcPr>
            <w:tcW w:w="10800" w:type="dxa"/>
            <w:tcBorders>
              <w:top w:val="single" w:sz="4" w:space="0" w:color="C9C6BC"/>
              <w:left w:val="single" w:sz="4" w:space="0" w:color="C9C6BC"/>
              <w:bottom w:val="single" w:sz="4" w:space="0" w:color="C9C6BC"/>
              <w:right w:val="single" w:sz="4" w:space="0" w:color="C9C6BC"/>
            </w:tcBorders>
            <w:shd w:val="clear" w:color="auto" w:fill="FFFFFF"/>
            <w:tcMar>
              <w:top w:w="50" w:type="dxa"/>
              <w:left w:w="90" w:type="dxa"/>
              <w:bottom w:w="50" w:type="dxa"/>
              <w:right w:w="90" w:type="dxa"/>
            </w:tcMar>
          </w:tcPr>
          <w:p w14:paraId="4E7FDCDD" w14:textId="77777777" w:rsidR="00240CCA" w:rsidRPr="00E16246" w:rsidRDefault="00240CCA" w:rsidP="001919D0">
            <w:pPr>
              <w:jc w:val="both"/>
              <w:rPr>
                <w:rFonts w:ascii="Calibri" w:eastAsia="Calibri" w:hAnsi="Calibri" w:cs="Calibri"/>
                <w:sz w:val="12"/>
                <w:szCs w:val="12"/>
              </w:rPr>
            </w:pPr>
            <w:r w:rsidRPr="00E16246">
              <w:rPr>
                <w:rFonts w:ascii="Calibri" w:eastAsia="Calibri" w:hAnsi="Calibri" w:cs="Calibri"/>
                <w:sz w:val="12"/>
                <w:szCs w:val="12"/>
              </w:rPr>
              <w:t>ACT: Accelerating Coal Transition Program</w:t>
            </w:r>
            <w:r w:rsidRPr="00E16246">
              <w:rPr>
                <w:rFonts w:ascii="Calibri" w:eastAsia="Calibri" w:hAnsi="Calibri" w:cs="Calibri"/>
                <w:sz w:val="12"/>
                <w:szCs w:val="12"/>
              </w:rPr>
              <w:tab/>
              <w:t xml:space="preserve">MDB: Multilateral Development Bank, </w:t>
            </w:r>
            <w:proofErr w:type="spellStart"/>
            <w:r w:rsidRPr="00E16246">
              <w:rPr>
                <w:rFonts w:ascii="Calibri" w:eastAsia="Calibri" w:hAnsi="Calibri" w:cs="Calibri"/>
                <w:sz w:val="12"/>
                <w:szCs w:val="12"/>
              </w:rPr>
              <w:t>AMPLIFi</w:t>
            </w:r>
            <w:proofErr w:type="spellEnd"/>
            <w:r w:rsidRPr="00E16246">
              <w:rPr>
                <w:rFonts w:ascii="Calibri" w:eastAsia="Calibri" w:hAnsi="Calibri" w:cs="Calibri"/>
                <w:sz w:val="12"/>
                <w:szCs w:val="12"/>
              </w:rPr>
              <w:t>: New CIF modality to mobilize private capital at scale, NPC: Nature, People and Climate Program, ARISE: Next-generation resilience investment program (2025), PPCR: Pilot Program for Climate Resilience, CCMM: CIF Capital Markets Mechanism, REI: Renewable Energy Integration program, CIF: Climate Investment Funds, SCF: Strategic Climate Fund, CTF: Clean Technology Fund, SREP: Scaling Up Renewable Energy Program (low-income countries), DESNZ: UK Dept. for Energy Security and Net Zero, TFC: Trust Fund Committee, FCDO: UK Foreign, Commonwealth &amp; Development Office, TIP: Transitional Investment Plan (proposed), FIP: Forest Investment Program</w:t>
            </w:r>
            <w:r w:rsidRPr="00E16246">
              <w:rPr>
                <w:rFonts w:ascii="Calibri" w:eastAsia="Calibri" w:hAnsi="Calibri" w:cs="Calibri"/>
                <w:sz w:val="12"/>
                <w:szCs w:val="12"/>
              </w:rPr>
              <w:tab/>
            </w:r>
            <w:r w:rsidRPr="00E16246">
              <w:rPr>
                <w:rFonts w:ascii="Calibri" w:eastAsia="Calibri" w:hAnsi="Calibri" w:cs="Calibri"/>
                <w:sz w:val="12"/>
                <w:szCs w:val="12"/>
              </w:rPr>
              <w:tab/>
            </w:r>
          </w:p>
        </w:tc>
      </w:tr>
    </w:tbl>
    <w:p w14:paraId="478D388D" w14:textId="77777777" w:rsidR="00706D8D" w:rsidRPr="00DD67FC" w:rsidRDefault="00085BE7" w:rsidP="00DD67FC">
      <w:pPr>
        <w:pBdr>
          <w:bottom w:val="single" w:sz="6" w:space="2" w:color="1F5C4E"/>
        </w:pBdr>
        <w:spacing w:before="90" w:after="30"/>
        <w:jc w:val="both"/>
        <w:rPr>
          <w:sz w:val="16"/>
          <w:szCs w:val="16"/>
        </w:rPr>
      </w:pPr>
      <w:r w:rsidRPr="00DD67FC">
        <w:rPr>
          <w:rFonts w:ascii="Calibri" w:eastAsia="Calibri" w:hAnsi="Calibri" w:cs="Calibri"/>
          <w:b/>
          <w:bCs/>
          <w:color w:val="1F5C4E"/>
          <w:spacing w:val="4"/>
          <w:sz w:val="16"/>
          <w:szCs w:val="16"/>
        </w:rPr>
        <w:t>INTRODUCTION</w:t>
      </w:r>
    </w:p>
    <w:p w14:paraId="0FBF492D" w14:textId="77777777" w:rsidR="00706D8D" w:rsidRPr="00DD67FC" w:rsidRDefault="00085BE7" w:rsidP="00DD67FC">
      <w:pPr>
        <w:spacing w:after="80"/>
        <w:jc w:val="both"/>
        <w:rPr>
          <w:sz w:val="16"/>
          <w:szCs w:val="16"/>
        </w:rPr>
      </w:pPr>
      <w:r w:rsidRPr="00DD67FC">
        <w:rPr>
          <w:sz w:val="16"/>
          <w:szCs w:val="16"/>
        </w:rPr>
        <w:t xml:space="preserve">The Climate Investment Funds (CIF) are the largest multilateral climate fund by contributions on record, with </w:t>
      </w:r>
      <w:r w:rsidRPr="00DD67FC">
        <w:rPr>
          <w:b/>
          <w:bCs/>
          <w:sz w:val="16"/>
          <w:szCs w:val="16"/>
        </w:rPr>
        <w:t>$13.2 billion</w:t>
      </w:r>
      <w:r w:rsidRPr="00DD67FC">
        <w:rPr>
          <w:sz w:val="16"/>
          <w:szCs w:val="16"/>
        </w:rPr>
        <w:t xml:space="preserve"> pledged since 2008 and a portfolio now reaching over 80 countries. CIF </w:t>
      </w:r>
      <w:r w:rsidRPr="006714CD">
        <w:rPr>
          <w:b/>
          <w:bCs/>
          <w:sz w:val="16"/>
          <w:szCs w:val="16"/>
        </w:rPr>
        <w:t>has no agency-accreditation gate</w:t>
      </w:r>
      <w:r w:rsidRPr="00DD67FC">
        <w:rPr>
          <w:sz w:val="16"/>
          <w:szCs w:val="16"/>
        </w:rPr>
        <w:t xml:space="preserve"> of the kind that shapes the GEF or GCF — six AAA-rated multilateral development banks (MDBs) are its permanent delivery partners. The comparable bottleneck instead sits in the </w:t>
      </w:r>
      <w:r w:rsidRPr="00DD67FC">
        <w:rPr>
          <w:b/>
          <w:bCs/>
          <w:sz w:val="16"/>
          <w:szCs w:val="16"/>
        </w:rPr>
        <w:t>Investment Plan pipeline</w:t>
      </w:r>
      <w:r w:rsidRPr="00DD67FC">
        <w:rPr>
          <w:sz w:val="16"/>
          <w:szCs w:val="16"/>
        </w:rPr>
        <w:t>: the sequence a country must clear from expression of interest to first disbursement. CIF's headline efficiency — a 1:10 co-financing ratio and a disbursement ratio around 61–66% — compares favourably with the GCF and GEF, but a post-endorsement bottleneck rooted in MDB loan mechanics, and a rising share of delayed projects, mean money still reaches the ground more slowly than the top-line numbers suggest.</w:t>
      </w:r>
    </w:p>
    <w:p w14:paraId="3866EF8E" w14:textId="77777777" w:rsidR="00706D8D" w:rsidRPr="00DD67FC" w:rsidRDefault="00085BE7" w:rsidP="00DD67FC">
      <w:pPr>
        <w:pBdr>
          <w:bottom w:val="single" w:sz="6" w:space="2" w:color="1F5C4E"/>
        </w:pBdr>
        <w:spacing w:before="90" w:after="30"/>
        <w:jc w:val="both"/>
        <w:rPr>
          <w:sz w:val="16"/>
          <w:szCs w:val="16"/>
        </w:rPr>
      </w:pPr>
      <w:r w:rsidRPr="00DD67FC">
        <w:rPr>
          <w:rFonts w:ascii="Calibri" w:eastAsia="Calibri" w:hAnsi="Calibri" w:cs="Calibri"/>
          <w:b/>
          <w:bCs/>
          <w:color w:val="1F5C4E"/>
          <w:spacing w:val="4"/>
          <w:sz w:val="16"/>
          <w:szCs w:val="16"/>
        </w:rPr>
        <w:t>KEY STATISTICS AT A GLANCE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gridCol w:w="1800"/>
      </w:tblGrid>
      <w:tr w:rsidR="00706D8D" w:rsidRPr="00DD67FC" w14:paraId="3529FEEA" w14:textId="77777777">
        <w:tc>
          <w:tcPr>
            <w:tcW w:w="1800" w:type="dxa"/>
            <w:tcBorders>
              <w:top w:val="single" w:sz="4" w:space="0" w:color="C9C6BC"/>
              <w:left w:val="none" w:sz="0" w:space="0" w:color="FFFFFF"/>
              <w:bottom w:val="single" w:sz="4" w:space="0" w:color="C9C6BC"/>
              <w:right w:val="none" w:sz="0" w:space="0" w:color="FFFFFF"/>
            </w:tcBorders>
            <w:shd w:val="clear" w:color="auto" w:fill="F4F3EF"/>
            <w:tcMar>
              <w:top w:w="50" w:type="dxa"/>
              <w:left w:w="90" w:type="dxa"/>
              <w:bottom w:w="50" w:type="dxa"/>
              <w:right w:w="90" w:type="dxa"/>
            </w:tcMar>
          </w:tcPr>
          <w:p w14:paraId="6000FADE" w14:textId="77777777" w:rsidR="00706D8D" w:rsidRPr="00DD67FC" w:rsidRDefault="00085BE7" w:rsidP="00DD67FC">
            <w:pPr>
              <w:spacing w:after="8"/>
              <w:jc w:val="both"/>
              <w:rPr>
                <w:sz w:val="16"/>
                <w:szCs w:val="16"/>
              </w:rPr>
            </w:pPr>
            <w:r w:rsidRPr="00DD67FC">
              <w:rPr>
                <w:rFonts w:ascii="Calibri" w:eastAsia="Calibri" w:hAnsi="Calibri" w:cs="Calibri"/>
                <w:b/>
                <w:bCs/>
                <w:color w:val="1F5C4E"/>
                <w:sz w:val="16"/>
                <w:szCs w:val="16"/>
              </w:rPr>
              <w:t>$13.2B</w:t>
            </w:r>
          </w:p>
          <w:p w14:paraId="20A50026" w14:textId="77777777" w:rsidR="00706D8D" w:rsidRPr="00DD67FC" w:rsidRDefault="00085BE7" w:rsidP="00DD67FC">
            <w:pPr>
              <w:spacing w:after="8"/>
              <w:jc w:val="both"/>
              <w:rPr>
                <w:sz w:val="16"/>
                <w:szCs w:val="16"/>
              </w:rPr>
            </w:pPr>
            <w:r w:rsidRPr="00DD67FC">
              <w:rPr>
                <w:rFonts w:ascii="Calibri" w:eastAsia="Calibri" w:hAnsi="Calibri" w:cs="Calibri"/>
                <w:b/>
                <w:bCs/>
                <w:sz w:val="16"/>
                <w:szCs w:val="16"/>
              </w:rPr>
              <w:t>Total contributions</w:t>
            </w:r>
          </w:p>
          <w:p w14:paraId="7503820D" w14:textId="77777777" w:rsidR="00706D8D" w:rsidRPr="00DD67FC" w:rsidRDefault="00085BE7" w:rsidP="00DD67FC">
            <w:pPr>
              <w:jc w:val="both"/>
              <w:rPr>
                <w:sz w:val="16"/>
                <w:szCs w:val="16"/>
              </w:rPr>
            </w:pPr>
            <w:r w:rsidRPr="00DD67FC">
              <w:rPr>
                <w:rFonts w:ascii="Calibri" w:eastAsia="Calibri" w:hAnsi="Calibri" w:cs="Calibri"/>
                <w:i/>
                <w:iCs/>
                <w:color w:val="666666"/>
                <w:sz w:val="16"/>
                <w:szCs w:val="16"/>
              </w:rPr>
              <w:t>Plus $0.5B in CCMM bond proceeds, Dec 2025</w:t>
            </w:r>
          </w:p>
        </w:tc>
        <w:tc>
          <w:tcPr>
            <w:tcW w:w="1800" w:type="dxa"/>
            <w:tcBorders>
              <w:top w:val="single" w:sz="4" w:space="0" w:color="C9C6BC"/>
              <w:left w:val="none" w:sz="0" w:space="0" w:color="FFFFFF"/>
              <w:bottom w:val="single" w:sz="4" w:space="0" w:color="C9C6BC"/>
              <w:right w:val="none" w:sz="0" w:space="0" w:color="FFFFFF"/>
            </w:tcBorders>
            <w:shd w:val="clear" w:color="auto" w:fill="F4F3EF"/>
            <w:tcMar>
              <w:top w:w="50" w:type="dxa"/>
              <w:left w:w="90" w:type="dxa"/>
              <w:bottom w:w="50" w:type="dxa"/>
              <w:right w:w="90" w:type="dxa"/>
            </w:tcMar>
          </w:tcPr>
          <w:p w14:paraId="22A11B2B" w14:textId="77777777" w:rsidR="00706D8D" w:rsidRPr="00DD67FC" w:rsidRDefault="00085BE7" w:rsidP="00DD67FC">
            <w:pPr>
              <w:spacing w:after="8"/>
              <w:jc w:val="both"/>
              <w:rPr>
                <w:sz w:val="16"/>
                <w:szCs w:val="16"/>
              </w:rPr>
            </w:pPr>
            <w:r w:rsidRPr="00DD67FC">
              <w:rPr>
                <w:rFonts w:ascii="Calibri" w:eastAsia="Calibri" w:hAnsi="Calibri" w:cs="Calibri"/>
                <w:b/>
                <w:bCs/>
                <w:color w:val="1F5C4E"/>
                <w:sz w:val="16"/>
                <w:szCs w:val="16"/>
              </w:rPr>
              <w:t>1:10</w:t>
            </w:r>
          </w:p>
          <w:p w14:paraId="199C1092" w14:textId="77777777" w:rsidR="00706D8D" w:rsidRPr="00DD67FC" w:rsidRDefault="00085BE7" w:rsidP="00DD67FC">
            <w:pPr>
              <w:spacing w:after="8"/>
              <w:jc w:val="both"/>
              <w:rPr>
                <w:sz w:val="16"/>
                <w:szCs w:val="16"/>
              </w:rPr>
            </w:pPr>
            <w:r w:rsidRPr="00DD67FC">
              <w:rPr>
                <w:rFonts w:ascii="Calibri" w:eastAsia="Calibri" w:hAnsi="Calibri" w:cs="Calibri"/>
                <w:b/>
                <w:bCs/>
                <w:sz w:val="16"/>
                <w:szCs w:val="16"/>
              </w:rPr>
              <w:t>Co-financing ratio</w:t>
            </w:r>
          </w:p>
          <w:p w14:paraId="1334839D" w14:textId="77777777" w:rsidR="00706D8D" w:rsidRPr="00DD67FC" w:rsidRDefault="00085BE7" w:rsidP="00DD67FC">
            <w:pPr>
              <w:jc w:val="both"/>
              <w:rPr>
                <w:sz w:val="16"/>
                <w:szCs w:val="16"/>
              </w:rPr>
            </w:pPr>
            <w:r w:rsidRPr="00DD67FC">
              <w:rPr>
                <w:rFonts w:ascii="Calibri" w:eastAsia="Calibri" w:hAnsi="Calibri" w:cs="Calibri"/>
                <w:i/>
                <w:iCs/>
                <w:color w:val="666666"/>
                <w:sz w:val="16"/>
                <w:szCs w:val="16"/>
              </w:rPr>
              <w:t>$9.4B approved → $98.6B expected co-financing</w:t>
            </w:r>
          </w:p>
        </w:tc>
        <w:tc>
          <w:tcPr>
            <w:tcW w:w="1800" w:type="dxa"/>
            <w:tcBorders>
              <w:top w:val="single" w:sz="4" w:space="0" w:color="C9C6BC"/>
              <w:left w:val="none" w:sz="0" w:space="0" w:color="FFFFFF"/>
              <w:bottom w:val="single" w:sz="4" w:space="0" w:color="C9C6BC"/>
              <w:right w:val="none" w:sz="0" w:space="0" w:color="FFFFFF"/>
            </w:tcBorders>
            <w:shd w:val="clear" w:color="auto" w:fill="F4F3EF"/>
            <w:tcMar>
              <w:top w:w="50" w:type="dxa"/>
              <w:left w:w="90" w:type="dxa"/>
              <w:bottom w:w="50" w:type="dxa"/>
              <w:right w:w="90" w:type="dxa"/>
            </w:tcMar>
          </w:tcPr>
          <w:p w14:paraId="60A9D7F4" w14:textId="77777777" w:rsidR="00706D8D" w:rsidRPr="00DD67FC" w:rsidRDefault="00085BE7" w:rsidP="00DD67FC">
            <w:pPr>
              <w:spacing w:after="8"/>
              <w:jc w:val="both"/>
              <w:rPr>
                <w:sz w:val="16"/>
                <w:szCs w:val="16"/>
              </w:rPr>
            </w:pPr>
            <w:r w:rsidRPr="00DD67FC">
              <w:rPr>
                <w:rFonts w:ascii="Calibri" w:eastAsia="Calibri" w:hAnsi="Calibri" w:cs="Calibri"/>
                <w:b/>
                <w:bCs/>
                <w:color w:val="1F5C4E"/>
                <w:sz w:val="16"/>
                <w:szCs w:val="16"/>
              </w:rPr>
              <w:t>61%</w:t>
            </w:r>
          </w:p>
          <w:p w14:paraId="6ECE9523" w14:textId="77777777" w:rsidR="00706D8D" w:rsidRPr="00DD67FC" w:rsidRDefault="00085BE7" w:rsidP="00DD67FC">
            <w:pPr>
              <w:spacing w:after="8"/>
              <w:jc w:val="both"/>
              <w:rPr>
                <w:sz w:val="16"/>
                <w:szCs w:val="16"/>
              </w:rPr>
            </w:pPr>
            <w:r w:rsidRPr="00DD67FC">
              <w:rPr>
                <w:rFonts w:ascii="Calibri" w:eastAsia="Calibri" w:hAnsi="Calibri" w:cs="Calibri"/>
                <w:b/>
                <w:bCs/>
                <w:sz w:val="16"/>
                <w:szCs w:val="16"/>
              </w:rPr>
              <w:t>Disbursement ratio</w:t>
            </w:r>
          </w:p>
          <w:p w14:paraId="063C5655" w14:textId="77777777" w:rsidR="00706D8D" w:rsidRPr="00DD67FC" w:rsidRDefault="00085BE7" w:rsidP="00DD67FC">
            <w:pPr>
              <w:jc w:val="both"/>
              <w:rPr>
                <w:sz w:val="16"/>
                <w:szCs w:val="16"/>
              </w:rPr>
            </w:pPr>
            <w:r w:rsidRPr="00DD67FC">
              <w:rPr>
                <w:rFonts w:ascii="Calibri" w:eastAsia="Calibri" w:hAnsi="Calibri" w:cs="Calibri"/>
                <w:i/>
                <w:iCs/>
                <w:color w:val="666666"/>
                <w:sz w:val="16"/>
                <w:szCs w:val="16"/>
              </w:rPr>
              <w:t>$5.7B disbursed of $9.4B approved, AR2025</w:t>
            </w:r>
          </w:p>
        </w:tc>
        <w:tc>
          <w:tcPr>
            <w:tcW w:w="1800" w:type="dxa"/>
            <w:tcBorders>
              <w:top w:val="single" w:sz="4" w:space="0" w:color="C9C6BC"/>
              <w:left w:val="none" w:sz="0" w:space="0" w:color="FFFFFF"/>
              <w:bottom w:val="single" w:sz="4" w:space="0" w:color="C9C6BC"/>
              <w:right w:val="none" w:sz="0" w:space="0" w:color="FFFFFF"/>
            </w:tcBorders>
            <w:shd w:val="clear" w:color="auto" w:fill="F4F3EF"/>
            <w:tcMar>
              <w:top w:w="50" w:type="dxa"/>
              <w:left w:w="90" w:type="dxa"/>
              <w:bottom w:w="50" w:type="dxa"/>
              <w:right w:w="90" w:type="dxa"/>
            </w:tcMar>
          </w:tcPr>
          <w:p w14:paraId="53C89CAC" w14:textId="77777777" w:rsidR="00706D8D" w:rsidRPr="00DD67FC" w:rsidRDefault="00085BE7" w:rsidP="00DD67FC">
            <w:pPr>
              <w:spacing w:after="8"/>
              <w:jc w:val="both"/>
              <w:rPr>
                <w:sz w:val="16"/>
                <w:szCs w:val="16"/>
              </w:rPr>
            </w:pPr>
            <w:r w:rsidRPr="00DD67FC">
              <w:rPr>
                <w:rFonts w:ascii="Calibri" w:eastAsia="Calibri" w:hAnsi="Calibri" w:cs="Calibri"/>
                <w:b/>
                <w:bCs/>
                <w:color w:val="1F5C4E"/>
                <w:sz w:val="16"/>
                <w:szCs w:val="16"/>
              </w:rPr>
              <w:t>82%</w:t>
            </w:r>
          </w:p>
          <w:p w14:paraId="522F4940" w14:textId="77777777" w:rsidR="00706D8D" w:rsidRPr="00DD67FC" w:rsidRDefault="00085BE7" w:rsidP="00DD67FC">
            <w:pPr>
              <w:spacing w:after="8"/>
              <w:jc w:val="both"/>
              <w:rPr>
                <w:sz w:val="16"/>
                <w:szCs w:val="16"/>
              </w:rPr>
            </w:pPr>
            <w:r w:rsidRPr="00DD67FC">
              <w:rPr>
                <w:rFonts w:ascii="Calibri" w:eastAsia="Calibri" w:hAnsi="Calibri" w:cs="Calibri"/>
                <w:b/>
                <w:bCs/>
                <w:sz w:val="16"/>
                <w:szCs w:val="16"/>
              </w:rPr>
              <w:t>CTF projects on track</w:t>
            </w:r>
          </w:p>
          <w:p w14:paraId="7B1A0320" w14:textId="77777777" w:rsidR="00706D8D" w:rsidRPr="00DD67FC" w:rsidRDefault="00085BE7" w:rsidP="00DD67FC">
            <w:pPr>
              <w:jc w:val="both"/>
              <w:rPr>
                <w:sz w:val="16"/>
                <w:szCs w:val="16"/>
              </w:rPr>
            </w:pPr>
            <w:r w:rsidRPr="00DD67FC">
              <w:rPr>
                <w:rFonts w:ascii="Calibri" w:eastAsia="Calibri" w:hAnsi="Calibri" w:cs="Calibri"/>
                <w:i/>
                <w:iCs/>
                <w:color w:val="666666"/>
                <w:sz w:val="16"/>
                <w:szCs w:val="16"/>
              </w:rPr>
              <w:t>Down from 91% in 2023 — rising delivery risk</w:t>
            </w:r>
          </w:p>
        </w:tc>
        <w:tc>
          <w:tcPr>
            <w:tcW w:w="1800" w:type="dxa"/>
            <w:tcBorders>
              <w:top w:val="single" w:sz="4" w:space="0" w:color="C9C6BC"/>
              <w:left w:val="none" w:sz="0" w:space="0" w:color="FFFFFF"/>
              <w:bottom w:val="single" w:sz="4" w:space="0" w:color="C9C6BC"/>
              <w:right w:val="none" w:sz="0" w:space="0" w:color="FFFFFF"/>
            </w:tcBorders>
            <w:shd w:val="clear" w:color="auto" w:fill="F4F3EF"/>
            <w:tcMar>
              <w:top w:w="50" w:type="dxa"/>
              <w:left w:w="90" w:type="dxa"/>
              <w:bottom w:w="50" w:type="dxa"/>
              <w:right w:w="90" w:type="dxa"/>
            </w:tcMar>
          </w:tcPr>
          <w:p w14:paraId="2FF6CB87" w14:textId="77777777" w:rsidR="00706D8D" w:rsidRPr="00DD67FC" w:rsidRDefault="00085BE7" w:rsidP="00DD67FC">
            <w:pPr>
              <w:spacing w:after="8"/>
              <w:jc w:val="both"/>
              <w:rPr>
                <w:sz w:val="16"/>
                <w:szCs w:val="16"/>
              </w:rPr>
            </w:pPr>
            <w:r w:rsidRPr="00DD67FC">
              <w:rPr>
                <w:rFonts w:ascii="Calibri" w:eastAsia="Calibri" w:hAnsi="Calibri" w:cs="Calibri"/>
                <w:b/>
                <w:bCs/>
                <w:color w:val="1F5C4E"/>
                <w:sz w:val="16"/>
                <w:szCs w:val="16"/>
              </w:rPr>
              <w:t>6</w:t>
            </w:r>
          </w:p>
          <w:p w14:paraId="29EAB8E9" w14:textId="77777777" w:rsidR="00706D8D" w:rsidRPr="00DD67FC" w:rsidRDefault="00085BE7" w:rsidP="00DD67FC">
            <w:pPr>
              <w:spacing w:after="8"/>
              <w:jc w:val="both"/>
              <w:rPr>
                <w:sz w:val="16"/>
                <w:szCs w:val="16"/>
              </w:rPr>
            </w:pPr>
            <w:r w:rsidRPr="00DD67FC">
              <w:rPr>
                <w:rFonts w:ascii="Calibri" w:eastAsia="Calibri" w:hAnsi="Calibri" w:cs="Calibri"/>
                <w:b/>
                <w:bCs/>
                <w:sz w:val="16"/>
                <w:szCs w:val="16"/>
              </w:rPr>
              <w:t>MDB delivery partners</w:t>
            </w:r>
          </w:p>
          <w:p w14:paraId="2CC48555" w14:textId="77777777" w:rsidR="00706D8D" w:rsidRPr="00DD67FC" w:rsidRDefault="00085BE7" w:rsidP="00DD67FC">
            <w:pPr>
              <w:jc w:val="both"/>
              <w:rPr>
                <w:sz w:val="16"/>
                <w:szCs w:val="16"/>
              </w:rPr>
            </w:pPr>
            <w:r w:rsidRPr="00DD67FC">
              <w:rPr>
                <w:rFonts w:ascii="Calibri" w:eastAsia="Calibri" w:hAnsi="Calibri" w:cs="Calibri"/>
                <w:i/>
                <w:iCs/>
                <w:color w:val="666666"/>
                <w:sz w:val="16"/>
                <w:szCs w:val="16"/>
              </w:rPr>
              <w:t>World Bank, IFC, ADB, AfDB, EBRD, IDB Group</w:t>
            </w:r>
          </w:p>
        </w:tc>
        <w:tc>
          <w:tcPr>
            <w:tcW w:w="1800" w:type="dxa"/>
            <w:tcBorders>
              <w:top w:val="single" w:sz="4" w:space="0" w:color="C9C6BC"/>
              <w:left w:val="none" w:sz="0" w:space="0" w:color="FFFFFF"/>
              <w:bottom w:val="single" w:sz="4" w:space="0" w:color="C9C6BC"/>
              <w:right w:val="none" w:sz="0" w:space="0" w:color="FFFFFF"/>
            </w:tcBorders>
            <w:shd w:val="clear" w:color="auto" w:fill="F4F3EF"/>
            <w:tcMar>
              <w:top w:w="50" w:type="dxa"/>
              <w:left w:w="90" w:type="dxa"/>
              <w:bottom w:w="50" w:type="dxa"/>
              <w:right w:w="90" w:type="dxa"/>
            </w:tcMar>
          </w:tcPr>
          <w:p w14:paraId="0A3BDAAF" w14:textId="77777777" w:rsidR="00706D8D" w:rsidRPr="00DD67FC" w:rsidRDefault="00085BE7" w:rsidP="00DD67FC">
            <w:pPr>
              <w:spacing w:after="8"/>
              <w:jc w:val="both"/>
              <w:rPr>
                <w:sz w:val="16"/>
                <w:szCs w:val="16"/>
              </w:rPr>
            </w:pPr>
            <w:r w:rsidRPr="00DD67FC">
              <w:rPr>
                <w:rFonts w:ascii="Calibri" w:eastAsia="Calibri" w:hAnsi="Calibri" w:cs="Calibri"/>
                <w:b/>
                <w:bCs/>
                <w:color w:val="1F5C4E"/>
                <w:sz w:val="16"/>
                <w:szCs w:val="16"/>
              </w:rPr>
              <w:t>$500M</w:t>
            </w:r>
          </w:p>
          <w:p w14:paraId="35412605" w14:textId="77777777" w:rsidR="00706D8D" w:rsidRPr="00DD67FC" w:rsidRDefault="00085BE7" w:rsidP="00DD67FC">
            <w:pPr>
              <w:spacing w:after="8"/>
              <w:jc w:val="both"/>
              <w:rPr>
                <w:sz w:val="16"/>
                <w:szCs w:val="16"/>
              </w:rPr>
            </w:pPr>
            <w:r w:rsidRPr="00DD67FC">
              <w:rPr>
                <w:rFonts w:ascii="Calibri" w:eastAsia="Calibri" w:hAnsi="Calibri" w:cs="Calibri"/>
                <w:b/>
                <w:bCs/>
                <w:sz w:val="16"/>
                <w:szCs w:val="16"/>
              </w:rPr>
              <w:t>CCMM inaugural bond</w:t>
            </w:r>
          </w:p>
          <w:p w14:paraId="1F5C5B5F" w14:textId="77777777" w:rsidR="00706D8D" w:rsidRPr="00DD67FC" w:rsidRDefault="00085BE7" w:rsidP="00DD67FC">
            <w:pPr>
              <w:jc w:val="both"/>
              <w:rPr>
                <w:sz w:val="16"/>
                <w:szCs w:val="16"/>
              </w:rPr>
            </w:pPr>
            <w:r w:rsidRPr="00DD67FC">
              <w:rPr>
                <w:rFonts w:ascii="Calibri" w:eastAsia="Calibri" w:hAnsi="Calibri" w:cs="Calibri"/>
                <w:i/>
                <w:iCs/>
                <w:color w:val="666666"/>
                <w:sz w:val="16"/>
                <w:szCs w:val="16"/>
              </w:rPr>
              <w:t>6x oversubscribed, $3B orderbook, Jan 2025</w:t>
            </w:r>
          </w:p>
        </w:tc>
      </w:tr>
    </w:tbl>
    <w:p w14:paraId="272521B7" w14:textId="77777777" w:rsidR="00706D8D" w:rsidRPr="00DD67FC" w:rsidRDefault="00706D8D" w:rsidP="00DD67FC">
      <w:pPr>
        <w:spacing w:before="60"/>
        <w:jc w:val="both"/>
        <w:rPr>
          <w:sz w:val="16"/>
          <w:szCs w:val="16"/>
        </w:rPr>
      </w:pPr>
    </w:p>
    <w:p w14:paraId="568B20A0" w14:textId="77777777" w:rsidR="00706D8D" w:rsidRPr="00DD67FC" w:rsidRDefault="00085BE7" w:rsidP="00DD67FC">
      <w:pPr>
        <w:pBdr>
          <w:bottom w:val="single" w:sz="6" w:space="2" w:color="1F5C4E"/>
        </w:pBdr>
        <w:spacing w:before="90" w:after="30"/>
        <w:jc w:val="both"/>
        <w:rPr>
          <w:sz w:val="16"/>
          <w:szCs w:val="16"/>
        </w:rPr>
      </w:pPr>
      <w:r w:rsidRPr="00DD67FC">
        <w:rPr>
          <w:rFonts w:ascii="Calibri" w:eastAsia="Calibri" w:hAnsi="Calibri" w:cs="Calibri"/>
          <w:b/>
          <w:bCs/>
          <w:color w:val="1F5C4E"/>
          <w:spacing w:val="4"/>
          <w:sz w:val="16"/>
          <w:szCs w:val="16"/>
        </w:rPr>
        <w:t>THE FUND: STRUCTURE AND RECENT PERFORMANCE</w:t>
      </w:r>
    </w:p>
    <w:p w14:paraId="326F8E57" w14:textId="77777777" w:rsidR="00706D8D" w:rsidRPr="00DD67FC" w:rsidRDefault="00085BE7" w:rsidP="00DD67FC">
      <w:pPr>
        <w:spacing w:after="80"/>
        <w:jc w:val="both"/>
        <w:rPr>
          <w:sz w:val="16"/>
          <w:szCs w:val="16"/>
        </w:rPr>
      </w:pPr>
      <w:r w:rsidRPr="00DD67FC">
        <w:rPr>
          <w:sz w:val="16"/>
          <w:szCs w:val="16"/>
        </w:rPr>
        <w:t xml:space="preserve">CIF operates through two sub-funds: the </w:t>
      </w:r>
      <w:r w:rsidRPr="00DD67FC">
        <w:rPr>
          <w:b/>
          <w:bCs/>
          <w:sz w:val="16"/>
          <w:szCs w:val="16"/>
        </w:rPr>
        <w:t>Clean Technology Fund (CTF)</w:t>
      </w:r>
      <w:r w:rsidRPr="00DD67FC">
        <w:rPr>
          <w:sz w:val="16"/>
          <w:szCs w:val="16"/>
        </w:rPr>
        <w:t xml:space="preserve">, which supports middle-income countries to deploy low-carbon technology at scale, and the </w:t>
      </w:r>
      <w:r w:rsidRPr="00DD67FC">
        <w:rPr>
          <w:b/>
          <w:bCs/>
          <w:sz w:val="16"/>
          <w:szCs w:val="16"/>
        </w:rPr>
        <w:t>Strategic Climate Fund (SCF)</w:t>
      </w:r>
      <w:r w:rsidRPr="00DD67FC">
        <w:rPr>
          <w:sz w:val="16"/>
          <w:szCs w:val="16"/>
        </w:rPr>
        <w:t>, an umbrella for programmes serving mainly lower-income countries — forestry (FIP), renewable energy access (SREP), adaptation (PPCR, now succeeded by ARISE), industrial decarbonisation, and nature (NPC). Of $9.4 billion CIF-approved funding, $6.9 billion sits in CTF and $2.5 billion in SCF. Renewable energy dominates the sector split at $3.9 billion, and Asia and Sub-Saharan Africa together account for roughly half of regional allocation. Administratively, CIF is lean: admin costs run at 2.6% of cumulative funding decisions against 3.4% for the GCF and 3.7% for the GEF, and MDB implementation fees of 0.7–3.9% undercut the GCF (7.95%) and GEF (9.5%) by a wide margin. In January 2025, CIF became the first multilateral climate fund to raise capital directly from bond markets through the CIF Capital Markets Mechanism (CCMM), unlocking reflows from the CTF loan book rather than relying solely on donor replenishment.</w:t>
      </w:r>
    </w:p>
    <w:p w14:paraId="7CB46EE0" w14:textId="77777777" w:rsidR="00706D8D" w:rsidRPr="00DD67FC" w:rsidRDefault="00085BE7" w:rsidP="00DD67FC">
      <w:pPr>
        <w:pBdr>
          <w:bottom w:val="single" w:sz="6" w:space="2" w:color="1F5C4E"/>
        </w:pBdr>
        <w:spacing w:before="90" w:after="30"/>
        <w:rPr>
          <w:sz w:val="16"/>
          <w:szCs w:val="16"/>
        </w:rPr>
      </w:pPr>
      <w:r w:rsidRPr="00DD67FC">
        <w:rPr>
          <w:rFonts w:ascii="Calibri" w:eastAsia="Calibri" w:hAnsi="Calibri" w:cs="Calibri"/>
          <w:b/>
          <w:bCs/>
          <w:color w:val="1F5C4E"/>
          <w:spacing w:val="4"/>
          <w:sz w:val="16"/>
          <w:szCs w:val="16"/>
        </w:rPr>
        <w:t>THE INVESTMENT PLAN PIPELINE: FOUR STAGES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700"/>
        <w:gridCol w:w="2700"/>
      </w:tblGrid>
      <w:tr w:rsidR="00706D8D" w:rsidRPr="00DD67FC" w14:paraId="0934098B" w14:textId="77777777">
        <w:tc>
          <w:tcPr>
            <w:tcW w:w="2700" w:type="dxa"/>
            <w:tcBorders>
              <w:top w:val="single" w:sz="4" w:space="0" w:color="C9C6BC"/>
              <w:left w:val="single" w:sz="4" w:space="0" w:color="C9C6BC"/>
              <w:bottom w:val="single" w:sz="4" w:space="0" w:color="C9C6BC"/>
              <w:right w:val="single" w:sz="4" w:space="0" w:color="C9C6BC"/>
            </w:tcBorders>
            <w:shd w:val="clear" w:color="auto" w:fill="FFFFFF"/>
            <w:tcMar>
              <w:top w:w="50" w:type="dxa"/>
              <w:left w:w="90" w:type="dxa"/>
              <w:bottom w:w="50" w:type="dxa"/>
              <w:right w:w="90" w:type="dxa"/>
            </w:tcMar>
          </w:tcPr>
          <w:p w14:paraId="310E8E52" w14:textId="77777777" w:rsidR="00706D8D" w:rsidRPr="00DD67FC" w:rsidRDefault="00085BE7" w:rsidP="00DD67FC">
            <w:pPr>
              <w:spacing w:after="30"/>
              <w:rPr>
                <w:sz w:val="16"/>
                <w:szCs w:val="16"/>
              </w:rPr>
            </w:pPr>
            <w:r w:rsidRPr="00DD67FC">
              <w:rPr>
                <w:rFonts w:ascii="Calibri" w:eastAsia="Calibri" w:hAnsi="Calibri" w:cs="Calibri"/>
                <w:b/>
                <w:bCs/>
                <w:color w:val="1F5C4E"/>
                <w:sz w:val="16"/>
                <w:szCs w:val="16"/>
              </w:rPr>
              <w:t>Stage 1 — Call &amp; Expression of Interest</w:t>
            </w:r>
          </w:p>
          <w:p w14:paraId="1676BEE0" w14:textId="77777777" w:rsidR="00706D8D" w:rsidRPr="00DD67FC" w:rsidRDefault="00085BE7" w:rsidP="00DD67FC">
            <w:pPr>
              <w:pStyle w:val="ListParagraph"/>
              <w:numPr>
                <w:ilvl w:val="0"/>
                <w:numId w:val="2"/>
              </w:numPr>
              <w:spacing w:after="20"/>
              <w:rPr>
                <w:sz w:val="16"/>
                <w:szCs w:val="16"/>
              </w:rPr>
            </w:pPr>
            <w:r w:rsidRPr="00DD67FC">
              <w:rPr>
                <w:rFonts w:ascii="Calibri" w:eastAsia="Calibri" w:hAnsi="Calibri" w:cs="Calibri"/>
                <w:sz w:val="16"/>
                <w:szCs w:val="16"/>
              </w:rPr>
              <w:t>CIF issues a call (e.g. Industry Decarbonization Program, Oct 2024); countries submit EOIs, often jointly with private-sector partners and an MDB.</w:t>
            </w:r>
          </w:p>
          <w:p w14:paraId="64855E1B" w14:textId="77777777" w:rsidR="00706D8D" w:rsidRPr="00DD67FC" w:rsidRDefault="00085BE7" w:rsidP="00DD67FC">
            <w:pPr>
              <w:pStyle w:val="ListParagraph"/>
              <w:numPr>
                <w:ilvl w:val="0"/>
                <w:numId w:val="2"/>
              </w:numPr>
              <w:spacing w:after="20"/>
              <w:rPr>
                <w:sz w:val="16"/>
                <w:szCs w:val="16"/>
              </w:rPr>
            </w:pPr>
            <w:r w:rsidRPr="00DD67FC">
              <w:rPr>
                <w:rFonts w:ascii="Calibri" w:eastAsia="Calibri" w:hAnsi="Calibri" w:cs="Calibri"/>
                <w:sz w:val="16"/>
                <w:szCs w:val="16"/>
              </w:rPr>
              <w:t>Secretariat and Trust Fund Committee screen for relevance, readiness and geographic balance.</w:t>
            </w:r>
          </w:p>
          <w:p w14:paraId="6B781DA1" w14:textId="77777777" w:rsidR="00706D8D" w:rsidRPr="00DD67FC" w:rsidRDefault="00085BE7" w:rsidP="00DD67FC">
            <w:pPr>
              <w:spacing w:before="30"/>
              <w:rPr>
                <w:sz w:val="16"/>
                <w:szCs w:val="16"/>
              </w:rPr>
            </w:pPr>
            <w:r w:rsidRPr="00DD67FC">
              <w:rPr>
                <w:rFonts w:ascii="Calibri" w:eastAsia="Calibri" w:hAnsi="Calibri" w:cs="Calibri"/>
                <w:i/>
                <w:iCs/>
                <w:color w:val="666666"/>
                <w:sz w:val="16"/>
                <w:szCs w:val="16"/>
              </w:rPr>
              <w:t>24 countries submitted EOIs for Industry Decarbonization by Jan 2025; 7 selected by June 2025.</w:t>
            </w:r>
          </w:p>
        </w:tc>
        <w:tc>
          <w:tcPr>
            <w:tcW w:w="2700" w:type="dxa"/>
            <w:tcBorders>
              <w:top w:val="single" w:sz="4" w:space="0" w:color="C9C6BC"/>
              <w:left w:val="single" w:sz="4" w:space="0" w:color="C9C6BC"/>
              <w:bottom w:val="single" w:sz="4" w:space="0" w:color="C9C6BC"/>
              <w:right w:val="single" w:sz="4" w:space="0" w:color="C9C6BC"/>
            </w:tcBorders>
            <w:shd w:val="clear" w:color="auto" w:fill="FFFFFF"/>
            <w:tcMar>
              <w:top w:w="50" w:type="dxa"/>
              <w:left w:w="90" w:type="dxa"/>
              <w:bottom w:w="50" w:type="dxa"/>
              <w:right w:w="90" w:type="dxa"/>
            </w:tcMar>
          </w:tcPr>
          <w:p w14:paraId="7A1591EF" w14:textId="77777777" w:rsidR="00706D8D" w:rsidRPr="00DD67FC" w:rsidRDefault="00085BE7" w:rsidP="00DD67FC">
            <w:pPr>
              <w:spacing w:after="30"/>
              <w:rPr>
                <w:sz w:val="16"/>
                <w:szCs w:val="16"/>
              </w:rPr>
            </w:pPr>
            <w:r w:rsidRPr="00DD67FC">
              <w:rPr>
                <w:rFonts w:ascii="Calibri" w:eastAsia="Calibri" w:hAnsi="Calibri" w:cs="Calibri"/>
                <w:b/>
                <w:bCs/>
                <w:color w:val="1F5C4E"/>
                <w:sz w:val="16"/>
                <w:szCs w:val="16"/>
              </w:rPr>
              <w:t>Stage 2 — Co-development</w:t>
            </w:r>
          </w:p>
          <w:p w14:paraId="288C861F" w14:textId="77777777" w:rsidR="00706D8D" w:rsidRPr="00DD67FC" w:rsidRDefault="00085BE7" w:rsidP="00DD67FC">
            <w:pPr>
              <w:pStyle w:val="ListParagraph"/>
              <w:numPr>
                <w:ilvl w:val="0"/>
                <w:numId w:val="2"/>
              </w:numPr>
              <w:spacing w:after="20"/>
              <w:rPr>
                <w:sz w:val="16"/>
                <w:szCs w:val="16"/>
              </w:rPr>
            </w:pPr>
            <w:r w:rsidRPr="00DD67FC">
              <w:rPr>
                <w:rFonts w:ascii="Calibri" w:eastAsia="Calibri" w:hAnsi="Calibri" w:cs="Calibri"/>
                <w:sz w:val="16"/>
                <w:szCs w:val="16"/>
              </w:rPr>
              <w:t>CIF, the government and partner MDB run scoping missions, technical workshops and public consultation to draft the Investment Plan.</w:t>
            </w:r>
          </w:p>
          <w:p w14:paraId="32021653" w14:textId="77777777" w:rsidR="00706D8D" w:rsidRPr="00DD67FC" w:rsidRDefault="00085BE7" w:rsidP="00DD67FC">
            <w:pPr>
              <w:pStyle w:val="ListParagraph"/>
              <w:numPr>
                <w:ilvl w:val="0"/>
                <w:numId w:val="2"/>
              </w:numPr>
              <w:spacing w:after="20"/>
              <w:rPr>
                <w:sz w:val="16"/>
                <w:szCs w:val="16"/>
              </w:rPr>
            </w:pPr>
            <w:r w:rsidRPr="00DD67FC">
              <w:rPr>
                <w:rFonts w:ascii="Calibri" w:eastAsia="Calibri" w:hAnsi="Calibri" w:cs="Calibri"/>
                <w:sz w:val="16"/>
                <w:szCs w:val="16"/>
              </w:rPr>
              <w:t>Cross-cutting themes (just transition, gender, Indigenous engagement) are built in at this stage, not bolted on later.</w:t>
            </w:r>
          </w:p>
          <w:p w14:paraId="151F376F" w14:textId="77777777" w:rsidR="00706D8D" w:rsidRPr="00DD67FC" w:rsidRDefault="00085BE7" w:rsidP="00DD67FC">
            <w:pPr>
              <w:spacing w:before="30"/>
              <w:rPr>
                <w:sz w:val="16"/>
                <w:szCs w:val="16"/>
              </w:rPr>
            </w:pPr>
            <w:r w:rsidRPr="00DD67FC">
              <w:rPr>
                <w:rFonts w:ascii="Calibri" w:eastAsia="Calibri" w:hAnsi="Calibri" w:cs="Calibri"/>
                <w:i/>
                <w:iCs/>
                <w:color w:val="666666"/>
                <w:sz w:val="16"/>
                <w:szCs w:val="16"/>
              </w:rPr>
              <w:t>Rwanda's plan involved a two-day field mission plus Kigali workshops before June 2024 endorsement.</w:t>
            </w:r>
          </w:p>
        </w:tc>
        <w:tc>
          <w:tcPr>
            <w:tcW w:w="2700" w:type="dxa"/>
            <w:tcBorders>
              <w:top w:val="single" w:sz="4" w:space="0" w:color="C9C6BC"/>
              <w:left w:val="single" w:sz="4" w:space="0" w:color="C9C6BC"/>
              <w:bottom w:val="single" w:sz="4" w:space="0" w:color="C9C6BC"/>
              <w:right w:val="single" w:sz="4" w:space="0" w:color="C9C6BC"/>
            </w:tcBorders>
            <w:shd w:val="clear" w:color="auto" w:fill="FFFFFF"/>
            <w:tcMar>
              <w:top w:w="50" w:type="dxa"/>
              <w:left w:w="90" w:type="dxa"/>
              <w:bottom w:w="50" w:type="dxa"/>
              <w:right w:w="90" w:type="dxa"/>
            </w:tcMar>
          </w:tcPr>
          <w:p w14:paraId="699E6986" w14:textId="77777777" w:rsidR="00706D8D" w:rsidRPr="00DD67FC" w:rsidRDefault="00085BE7" w:rsidP="00DD67FC">
            <w:pPr>
              <w:spacing w:after="30"/>
              <w:rPr>
                <w:sz w:val="16"/>
                <w:szCs w:val="16"/>
              </w:rPr>
            </w:pPr>
            <w:r w:rsidRPr="00DD67FC">
              <w:rPr>
                <w:rFonts w:ascii="Calibri" w:eastAsia="Calibri" w:hAnsi="Calibri" w:cs="Calibri"/>
                <w:b/>
                <w:bCs/>
                <w:color w:val="1F5C4E"/>
                <w:sz w:val="16"/>
                <w:szCs w:val="16"/>
              </w:rPr>
              <w:t>Stage 3 — Endorsement</w:t>
            </w:r>
          </w:p>
          <w:p w14:paraId="7D432F77" w14:textId="77777777" w:rsidR="00706D8D" w:rsidRPr="00DD67FC" w:rsidRDefault="00085BE7" w:rsidP="00DD67FC">
            <w:pPr>
              <w:pStyle w:val="ListParagraph"/>
              <w:numPr>
                <w:ilvl w:val="0"/>
                <w:numId w:val="2"/>
              </w:numPr>
              <w:spacing w:after="20"/>
              <w:rPr>
                <w:sz w:val="16"/>
                <w:szCs w:val="16"/>
              </w:rPr>
            </w:pPr>
            <w:r w:rsidRPr="00DD67FC">
              <w:rPr>
                <w:rFonts w:ascii="Calibri" w:eastAsia="Calibri" w:hAnsi="Calibri" w:cs="Calibri"/>
                <w:sz w:val="16"/>
                <w:szCs w:val="16"/>
              </w:rPr>
              <w:t>The relevant Trust Fund Committee (CTF or SCF) formally endorses the Investment Plan and its funding envelope.</w:t>
            </w:r>
          </w:p>
          <w:p w14:paraId="1580D6C1" w14:textId="77777777" w:rsidR="00706D8D" w:rsidRPr="00DD67FC" w:rsidRDefault="00085BE7" w:rsidP="00DD67FC">
            <w:pPr>
              <w:pStyle w:val="ListParagraph"/>
              <w:numPr>
                <w:ilvl w:val="0"/>
                <w:numId w:val="2"/>
              </w:numPr>
              <w:spacing w:after="20"/>
              <w:rPr>
                <w:sz w:val="16"/>
                <w:szCs w:val="16"/>
              </w:rPr>
            </w:pPr>
            <w:r w:rsidRPr="00DD67FC">
              <w:rPr>
                <w:rFonts w:ascii="Calibri" w:eastAsia="Calibri" w:hAnsi="Calibri" w:cs="Calibri"/>
                <w:sz w:val="16"/>
                <w:szCs w:val="16"/>
              </w:rPr>
              <w:t>This is the closest CIF equivalent to an accreditation gate — it is programme-level, not institution-level.</w:t>
            </w:r>
          </w:p>
          <w:p w14:paraId="0ABB5A98" w14:textId="77777777" w:rsidR="00706D8D" w:rsidRPr="00DD67FC" w:rsidRDefault="00085BE7" w:rsidP="00DD67FC">
            <w:pPr>
              <w:spacing w:before="30"/>
              <w:rPr>
                <w:sz w:val="16"/>
                <w:szCs w:val="16"/>
              </w:rPr>
            </w:pPr>
            <w:r w:rsidRPr="00DD67FC">
              <w:rPr>
                <w:rFonts w:ascii="Calibri" w:eastAsia="Calibri" w:hAnsi="Calibri" w:cs="Calibri"/>
                <w:i/>
                <w:iCs/>
                <w:color w:val="666666"/>
                <w:sz w:val="16"/>
                <w:szCs w:val="16"/>
              </w:rPr>
              <w:t>$860M endorsed for 8 countries in 2024; $321M endorsed in 2025.</w:t>
            </w:r>
          </w:p>
        </w:tc>
        <w:tc>
          <w:tcPr>
            <w:tcW w:w="2700" w:type="dxa"/>
            <w:tcBorders>
              <w:top w:val="single" w:sz="4" w:space="0" w:color="C9C6BC"/>
              <w:left w:val="single" w:sz="4" w:space="0" w:color="C9C6BC"/>
              <w:bottom w:val="single" w:sz="4" w:space="0" w:color="C9C6BC"/>
              <w:right w:val="single" w:sz="4" w:space="0" w:color="C9C6BC"/>
            </w:tcBorders>
            <w:shd w:val="clear" w:color="auto" w:fill="FFFFFF"/>
            <w:tcMar>
              <w:top w:w="50" w:type="dxa"/>
              <w:left w:w="90" w:type="dxa"/>
              <w:bottom w:w="50" w:type="dxa"/>
              <w:right w:w="90" w:type="dxa"/>
            </w:tcMar>
          </w:tcPr>
          <w:p w14:paraId="508F40B3" w14:textId="77777777" w:rsidR="00706D8D" w:rsidRPr="00DD67FC" w:rsidRDefault="00085BE7" w:rsidP="00DD67FC">
            <w:pPr>
              <w:spacing w:after="30"/>
              <w:rPr>
                <w:sz w:val="16"/>
                <w:szCs w:val="16"/>
              </w:rPr>
            </w:pPr>
            <w:r w:rsidRPr="00DD67FC">
              <w:rPr>
                <w:rFonts w:ascii="Calibri" w:eastAsia="Calibri" w:hAnsi="Calibri" w:cs="Calibri"/>
                <w:b/>
                <w:bCs/>
                <w:color w:val="1F5C4E"/>
                <w:sz w:val="16"/>
                <w:szCs w:val="16"/>
              </w:rPr>
              <w:t>Stage 4 — MDB Approval &amp; Disbursement</w:t>
            </w:r>
          </w:p>
          <w:p w14:paraId="22B1F7CF" w14:textId="77777777" w:rsidR="00706D8D" w:rsidRPr="00DD67FC" w:rsidRDefault="00085BE7" w:rsidP="00DD67FC">
            <w:pPr>
              <w:pStyle w:val="ListParagraph"/>
              <w:numPr>
                <w:ilvl w:val="0"/>
                <w:numId w:val="2"/>
              </w:numPr>
              <w:spacing w:after="20"/>
              <w:rPr>
                <w:sz w:val="16"/>
                <w:szCs w:val="16"/>
              </w:rPr>
            </w:pPr>
            <w:r w:rsidRPr="00DD67FC">
              <w:rPr>
                <w:rFonts w:ascii="Calibri" w:eastAsia="Calibri" w:hAnsi="Calibri" w:cs="Calibri"/>
                <w:sz w:val="16"/>
                <w:szCs w:val="16"/>
              </w:rPr>
              <w:t>Individual projects go through the delivery MDB's own appraisal, procurement and board-approval process.</w:t>
            </w:r>
          </w:p>
          <w:p w14:paraId="207C7F71" w14:textId="77777777" w:rsidR="00706D8D" w:rsidRPr="00DD67FC" w:rsidRDefault="00085BE7" w:rsidP="00DD67FC">
            <w:pPr>
              <w:pStyle w:val="ListParagraph"/>
              <w:numPr>
                <w:ilvl w:val="0"/>
                <w:numId w:val="2"/>
              </w:numPr>
              <w:spacing w:after="20"/>
              <w:rPr>
                <w:sz w:val="16"/>
                <w:szCs w:val="16"/>
              </w:rPr>
            </w:pPr>
            <w:r w:rsidRPr="00DD67FC">
              <w:rPr>
                <w:rFonts w:ascii="Calibri" w:eastAsia="Calibri" w:hAnsi="Calibri" w:cs="Calibri"/>
                <w:sz w:val="16"/>
                <w:szCs w:val="16"/>
              </w:rPr>
              <w:t>Funds disburse against milestones once the MDB's own financing (often a sovereign loan) is signed.</w:t>
            </w:r>
          </w:p>
          <w:p w14:paraId="6331D137" w14:textId="77777777" w:rsidR="00706D8D" w:rsidRPr="00DD67FC" w:rsidRDefault="00085BE7" w:rsidP="00DD67FC">
            <w:pPr>
              <w:spacing w:before="30"/>
              <w:rPr>
                <w:sz w:val="16"/>
                <w:szCs w:val="16"/>
              </w:rPr>
            </w:pPr>
            <w:r w:rsidRPr="00DD67FC">
              <w:rPr>
                <w:rFonts w:ascii="Calibri" w:eastAsia="Calibri" w:hAnsi="Calibri" w:cs="Calibri"/>
                <w:i/>
                <w:iCs/>
                <w:color w:val="666666"/>
                <w:sz w:val="16"/>
                <w:szCs w:val="16"/>
              </w:rPr>
              <w:t>CTF disbursement ratio: 55% (2021) → 66% (2024) — improving, but from a low base.</w:t>
            </w:r>
          </w:p>
        </w:tc>
      </w:tr>
    </w:tbl>
    <w:p w14:paraId="2C5ED5D1" w14:textId="77777777" w:rsidR="00706D8D" w:rsidRPr="00DD67FC" w:rsidRDefault="00706D8D" w:rsidP="00DD67FC">
      <w:pPr>
        <w:spacing w:before="60"/>
        <w:jc w:val="both"/>
        <w:rPr>
          <w:sz w:val="16"/>
          <w:szCs w:val="16"/>
        </w:rPr>
      </w:pPr>
    </w:p>
    <w:p w14:paraId="4D3D6EDE" w14:textId="77777777" w:rsidR="00706D8D" w:rsidRPr="00DD67FC" w:rsidRDefault="00085BE7" w:rsidP="00DD67FC">
      <w:pPr>
        <w:pBdr>
          <w:bottom w:val="single" w:sz="6" w:space="2" w:color="1F5C4E"/>
        </w:pBdr>
        <w:spacing w:before="90" w:after="30"/>
        <w:jc w:val="both"/>
        <w:rPr>
          <w:sz w:val="16"/>
          <w:szCs w:val="16"/>
        </w:rPr>
      </w:pPr>
      <w:r w:rsidRPr="00DD67FC">
        <w:rPr>
          <w:rFonts w:ascii="Calibri" w:eastAsia="Calibri" w:hAnsi="Calibri" w:cs="Calibri"/>
          <w:b/>
          <w:bCs/>
          <w:color w:val="1F5C4E"/>
          <w:spacing w:val="4"/>
          <w:sz w:val="16"/>
          <w:szCs w:val="16"/>
        </w:rPr>
        <w:t>CHALLENGES: APPROVAL MOMENTUM VS. DELIVERY REALITY</w:t>
      </w:r>
    </w:p>
    <w:p w14:paraId="48D3207A" w14:textId="77777777" w:rsidR="00706D8D" w:rsidRPr="00DD67FC" w:rsidRDefault="00085BE7" w:rsidP="00DD67FC">
      <w:pPr>
        <w:spacing w:after="40"/>
        <w:jc w:val="both"/>
        <w:rPr>
          <w:sz w:val="16"/>
          <w:szCs w:val="16"/>
        </w:rPr>
      </w:pPr>
      <w:r w:rsidRPr="00DD67FC">
        <w:rPr>
          <w:rFonts w:ascii="Calibri" w:eastAsia="Calibri" w:hAnsi="Calibri" w:cs="Calibri"/>
          <w:b/>
          <w:bCs/>
          <w:sz w:val="16"/>
          <w:szCs w:val="16"/>
        </w:rPr>
        <w:t>Pre-endorsement performance has genuinely improved — post-endorsement is where delivery now strains:</w:t>
      </w:r>
    </w:p>
    <w:p w14:paraId="6691BC63" w14:textId="77777777" w:rsidR="00706D8D" w:rsidRPr="00DD67FC" w:rsidRDefault="00085BE7" w:rsidP="00DD67FC">
      <w:pPr>
        <w:pStyle w:val="ListParagraph"/>
        <w:numPr>
          <w:ilvl w:val="0"/>
          <w:numId w:val="2"/>
        </w:numPr>
        <w:spacing w:after="30"/>
        <w:jc w:val="both"/>
        <w:rPr>
          <w:sz w:val="16"/>
          <w:szCs w:val="16"/>
        </w:rPr>
      </w:pPr>
      <w:r w:rsidRPr="00DD67FC">
        <w:rPr>
          <w:rFonts w:ascii="Calibri" w:eastAsia="Calibri" w:hAnsi="Calibri" w:cs="Calibri"/>
          <w:sz w:val="16"/>
          <w:szCs w:val="16"/>
        </w:rPr>
        <w:t>MDB loan-linkage bottleneck. CIF grants for MDB-delivered projects are tied to that bank's own sovereign loan and internal board approval. Until the loan is signed, the grant cannot disburse — even if the project is otherwise ready.</w:t>
      </w:r>
    </w:p>
    <w:p w14:paraId="7FF51A85" w14:textId="77777777" w:rsidR="00706D8D" w:rsidRPr="00DD67FC" w:rsidRDefault="00085BE7" w:rsidP="00DD67FC">
      <w:pPr>
        <w:pStyle w:val="ListParagraph"/>
        <w:numPr>
          <w:ilvl w:val="0"/>
          <w:numId w:val="2"/>
        </w:numPr>
        <w:spacing w:after="30"/>
        <w:jc w:val="both"/>
        <w:rPr>
          <w:sz w:val="16"/>
          <w:szCs w:val="16"/>
        </w:rPr>
      </w:pPr>
      <w:r w:rsidRPr="00DD67FC">
        <w:rPr>
          <w:rFonts w:ascii="Calibri" w:eastAsia="Calibri" w:hAnsi="Calibri" w:cs="Calibri"/>
          <w:sz w:val="16"/>
          <w:szCs w:val="16"/>
        </w:rPr>
        <w:t>Co-financing lock-in. Commitment letters are required at endorsement, fixing resources 2–3 years before implementation starts; any change triggers resubmission, adding delay just as a plan nears disbursement.</w:t>
      </w:r>
    </w:p>
    <w:p w14:paraId="79076A7B" w14:textId="77777777" w:rsidR="00706D8D" w:rsidRPr="00DD67FC" w:rsidRDefault="00085BE7" w:rsidP="00DD67FC">
      <w:pPr>
        <w:pStyle w:val="ListParagraph"/>
        <w:numPr>
          <w:ilvl w:val="0"/>
          <w:numId w:val="2"/>
        </w:numPr>
        <w:spacing w:after="30"/>
        <w:jc w:val="both"/>
        <w:rPr>
          <w:sz w:val="16"/>
          <w:szCs w:val="16"/>
        </w:rPr>
      </w:pPr>
      <w:r w:rsidRPr="00DD67FC">
        <w:rPr>
          <w:rFonts w:ascii="Calibri" w:eastAsia="Calibri" w:hAnsi="Calibri" w:cs="Calibri"/>
          <w:sz w:val="16"/>
          <w:szCs w:val="16"/>
        </w:rPr>
        <w:t>Infrastructure-scale lag. Large projects typically take five-plus years to fully disburse. Over 20% of CTF projects approved 2009–2019 needed extensions, mostly for procurement or restructuring.</w:t>
      </w:r>
    </w:p>
    <w:p w14:paraId="2C8CEECA" w14:textId="77777777" w:rsidR="00706D8D" w:rsidRPr="00DD67FC" w:rsidRDefault="00085BE7" w:rsidP="00DD67FC">
      <w:pPr>
        <w:pStyle w:val="ListParagraph"/>
        <w:numPr>
          <w:ilvl w:val="0"/>
          <w:numId w:val="2"/>
        </w:numPr>
        <w:spacing w:after="30"/>
        <w:jc w:val="both"/>
        <w:rPr>
          <w:sz w:val="16"/>
          <w:szCs w:val="16"/>
        </w:rPr>
      </w:pPr>
      <w:r w:rsidRPr="00DD67FC">
        <w:rPr>
          <w:rFonts w:ascii="Calibri" w:eastAsia="Calibri" w:hAnsi="Calibri" w:cs="Calibri"/>
          <w:sz w:val="16"/>
          <w:szCs w:val="16"/>
        </w:rPr>
        <w:t>Rising implementation risk. Projects rated “on track” fell from 91% (2023) to 82% (2024) — 29 flagged delayed — even as the disbursement ratio kept climbing. The two metrics diverge, and on-track share is the leading indicator.</w:t>
      </w:r>
    </w:p>
    <w:p w14:paraId="35B189D5" w14:textId="77777777" w:rsidR="00706D8D" w:rsidRPr="00DD67FC" w:rsidRDefault="00085BE7" w:rsidP="00DD67FC">
      <w:pPr>
        <w:pStyle w:val="ListParagraph"/>
        <w:numPr>
          <w:ilvl w:val="0"/>
          <w:numId w:val="2"/>
        </w:numPr>
        <w:spacing w:after="30"/>
        <w:jc w:val="both"/>
        <w:rPr>
          <w:sz w:val="16"/>
          <w:szCs w:val="16"/>
        </w:rPr>
      </w:pPr>
      <w:r w:rsidRPr="00DD67FC">
        <w:rPr>
          <w:rFonts w:ascii="Calibri" w:eastAsia="Calibri" w:hAnsi="Calibri" w:cs="Calibri"/>
          <w:sz w:val="16"/>
          <w:szCs w:val="16"/>
        </w:rPr>
        <w:t>Long-tail results reporting. Emissions reductions accrue over an asset's lifetime, not the investment period: CTF had reduced only ~11% of its lifetime GHG target cumulatively even where installed capacity tracked much closer to plan.</w:t>
      </w:r>
    </w:p>
    <w:p w14:paraId="77019109" w14:textId="77777777" w:rsidR="00706D8D" w:rsidRPr="00DD67FC" w:rsidRDefault="00085BE7" w:rsidP="00DD67FC">
      <w:pPr>
        <w:pStyle w:val="ListParagraph"/>
        <w:numPr>
          <w:ilvl w:val="0"/>
          <w:numId w:val="2"/>
        </w:numPr>
        <w:spacing w:after="30"/>
        <w:jc w:val="both"/>
        <w:rPr>
          <w:sz w:val="16"/>
          <w:szCs w:val="16"/>
        </w:rPr>
      </w:pPr>
      <w:r w:rsidRPr="00DD67FC">
        <w:rPr>
          <w:rFonts w:ascii="Calibri" w:eastAsia="Calibri" w:hAnsi="Calibri" w:cs="Calibri"/>
          <w:sz w:val="16"/>
          <w:szCs w:val="16"/>
        </w:rPr>
        <w:t>Reallocation friction. When a country steps back — India declined to develop an ACT Investment Plan in late 2024 — the earmarked funds ($500M) need a formal reallocation process that can itself take a year or more.</w:t>
      </w:r>
    </w:p>
    <w:p w14:paraId="1225EC40" w14:textId="77777777" w:rsidR="00706D8D" w:rsidRPr="00DD67FC" w:rsidRDefault="00085BE7" w:rsidP="00DD67FC">
      <w:pPr>
        <w:spacing w:before="60" w:after="30"/>
        <w:jc w:val="both"/>
        <w:rPr>
          <w:sz w:val="16"/>
          <w:szCs w:val="16"/>
        </w:rPr>
      </w:pPr>
      <w:r w:rsidRPr="00DD67FC">
        <w:rPr>
          <w:rFonts w:ascii="Calibri" w:eastAsia="Calibri" w:hAnsi="Calibri" w:cs="Calibri"/>
          <w:b/>
          <w:bCs/>
          <w:color w:val="1F5C4E"/>
          <w:sz w:val="16"/>
          <w:szCs w:val="16"/>
        </w:rPr>
        <w:t>CTF disbursement ratio, by year (portfolio-wide)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gridCol w:w="1800"/>
      </w:tblGrid>
      <w:tr w:rsidR="00706D8D" w:rsidRPr="00DD67FC" w14:paraId="0C346167" w14:textId="77777777">
        <w:tc>
          <w:tcPr>
            <w:tcW w:w="1800" w:type="dxa"/>
            <w:tcBorders>
              <w:top w:val="single" w:sz="4" w:space="0" w:color="C9C6BC"/>
              <w:left w:val="single" w:sz="4" w:space="0" w:color="C9C6BC"/>
              <w:bottom w:val="single" w:sz="4" w:space="0" w:color="C9C6BC"/>
              <w:right w:val="single" w:sz="4" w:space="0" w:color="C9C6BC"/>
            </w:tcBorders>
            <w:shd w:val="clear" w:color="auto" w:fill="1F5C4E"/>
            <w:tcMar>
              <w:top w:w="50" w:type="dxa"/>
              <w:left w:w="90" w:type="dxa"/>
              <w:bottom w:w="50" w:type="dxa"/>
              <w:right w:w="90" w:type="dxa"/>
            </w:tcMar>
          </w:tcPr>
          <w:p w14:paraId="53E50EF8" w14:textId="77777777" w:rsidR="00706D8D" w:rsidRPr="00DD67FC" w:rsidRDefault="00085BE7" w:rsidP="00DD67FC">
            <w:pPr>
              <w:jc w:val="both"/>
              <w:rPr>
                <w:sz w:val="16"/>
                <w:szCs w:val="16"/>
              </w:rPr>
            </w:pPr>
            <w:r w:rsidRPr="00DD67FC">
              <w:rPr>
                <w:rFonts w:ascii="Calibri" w:eastAsia="Calibri" w:hAnsi="Calibri" w:cs="Calibri"/>
                <w:b/>
                <w:bCs/>
                <w:color w:val="FFFFFF"/>
                <w:sz w:val="16"/>
                <w:szCs w:val="16"/>
              </w:rPr>
              <w:t>2020</w:t>
            </w:r>
          </w:p>
        </w:tc>
        <w:tc>
          <w:tcPr>
            <w:tcW w:w="1800" w:type="dxa"/>
            <w:tcBorders>
              <w:top w:val="single" w:sz="4" w:space="0" w:color="C9C6BC"/>
              <w:left w:val="single" w:sz="4" w:space="0" w:color="C9C6BC"/>
              <w:bottom w:val="single" w:sz="4" w:space="0" w:color="C9C6BC"/>
              <w:right w:val="single" w:sz="4" w:space="0" w:color="C9C6BC"/>
            </w:tcBorders>
            <w:shd w:val="clear" w:color="auto" w:fill="1F5C4E"/>
            <w:tcMar>
              <w:top w:w="50" w:type="dxa"/>
              <w:left w:w="90" w:type="dxa"/>
              <w:bottom w:w="50" w:type="dxa"/>
              <w:right w:w="90" w:type="dxa"/>
            </w:tcMar>
          </w:tcPr>
          <w:p w14:paraId="157C1105" w14:textId="77777777" w:rsidR="00706D8D" w:rsidRPr="00DD67FC" w:rsidRDefault="00085BE7" w:rsidP="00DD67FC">
            <w:pPr>
              <w:jc w:val="both"/>
              <w:rPr>
                <w:sz w:val="16"/>
                <w:szCs w:val="16"/>
              </w:rPr>
            </w:pPr>
            <w:r w:rsidRPr="00DD67FC">
              <w:rPr>
                <w:rFonts w:ascii="Calibri" w:eastAsia="Calibri" w:hAnsi="Calibri" w:cs="Calibri"/>
                <w:b/>
                <w:bCs/>
                <w:color w:val="FFFFFF"/>
                <w:sz w:val="16"/>
                <w:szCs w:val="16"/>
              </w:rPr>
              <w:t>2021</w:t>
            </w:r>
          </w:p>
        </w:tc>
        <w:tc>
          <w:tcPr>
            <w:tcW w:w="1800" w:type="dxa"/>
            <w:tcBorders>
              <w:top w:val="single" w:sz="4" w:space="0" w:color="C9C6BC"/>
              <w:left w:val="single" w:sz="4" w:space="0" w:color="C9C6BC"/>
              <w:bottom w:val="single" w:sz="4" w:space="0" w:color="C9C6BC"/>
              <w:right w:val="single" w:sz="4" w:space="0" w:color="C9C6BC"/>
            </w:tcBorders>
            <w:shd w:val="clear" w:color="auto" w:fill="1F5C4E"/>
            <w:tcMar>
              <w:top w:w="50" w:type="dxa"/>
              <w:left w:w="90" w:type="dxa"/>
              <w:bottom w:w="50" w:type="dxa"/>
              <w:right w:w="90" w:type="dxa"/>
            </w:tcMar>
          </w:tcPr>
          <w:p w14:paraId="53A5A6E3" w14:textId="77777777" w:rsidR="00706D8D" w:rsidRPr="00DD67FC" w:rsidRDefault="00085BE7" w:rsidP="00DD67FC">
            <w:pPr>
              <w:jc w:val="both"/>
              <w:rPr>
                <w:sz w:val="16"/>
                <w:szCs w:val="16"/>
              </w:rPr>
            </w:pPr>
            <w:r w:rsidRPr="00DD67FC">
              <w:rPr>
                <w:rFonts w:ascii="Calibri" w:eastAsia="Calibri" w:hAnsi="Calibri" w:cs="Calibri"/>
                <w:b/>
                <w:bCs/>
                <w:color w:val="FFFFFF"/>
                <w:sz w:val="16"/>
                <w:szCs w:val="16"/>
              </w:rPr>
              <w:t>2022</w:t>
            </w:r>
          </w:p>
        </w:tc>
        <w:tc>
          <w:tcPr>
            <w:tcW w:w="1800" w:type="dxa"/>
            <w:tcBorders>
              <w:top w:val="single" w:sz="4" w:space="0" w:color="C9C6BC"/>
              <w:left w:val="single" w:sz="4" w:space="0" w:color="C9C6BC"/>
              <w:bottom w:val="single" w:sz="4" w:space="0" w:color="C9C6BC"/>
              <w:right w:val="single" w:sz="4" w:space="0" w:color="C9C6BC"/>
            </w:tcBorders>
            <w:shd w:val="clear" w:color="auto" w:fill="1F5C4E"/>
            <w:tcMar>
              <w:top w:w="50" w:type="dxa"/>
              <w:left w:w="90" w:type="dxa"/>
              <w:bottom w:w="50" w:type="dxa"/>
              <w:right w:w="90" w:type="dxa"/>
            </w:tcMar>
          </w:tcPr>
          <w:p w14:paraId="1500238A" w14:textId="77777777" w:rsidR="00706D8D" w:rsidRPr="00DD67FC" w:rsidRDefault="00085BE7" w:rsidP="00DD67FC">
            <w:pPr>
              <w:jc w:val="both"/>
              <w:rPr>
                <w:sz w:val="16"/>
                <w:szCs w:val="16"/>
              </w:rPr>
            </w:pPr>
            <w:r w:rsidRPr="00DD67FC">
              <w:rPr>
                <w:rFonts w:ascii="Calibri" w:eastAsia="Calibri" w:hAnsi="Calibri" w:cs="Calibri"/>
                <w:b/>
                <w:bCs/>
                <w:color w:val="FFFFFF"/>
                <w:sz w:val="16"/>
                <w:szCs w:val="16"/>
              </w:rPr>
              <w:t>2023</w:t>
            </w:r>
          </w:p>
        </w:tc>
        <w:tc>
          <w:tcPr>
            <w:tcW w:w="1800" w:type="dxa"/>
            <w:tcBorders>
              <w:top w:val="single" w:sz="4" w:space="0" w:color="C9C6BC"/>
              <w:left w:val="single" w:sz="4" w:space="0" w:color="C9C6BC"/>
              <w:bottom w:val="single" w:sz="4" w:space="0" w:color="C9C6BC"/>
              <w:right w:val="single" w:sz="4" w:space="0" w:color="C9C6BC"/>
            </w:tcBorders>
            <w:shd w:val="clear" w:color="auto" w:fill="1F5C4E"/>
            <w:tcMar>
              <w:top w:w="50" w:type="dxa"/>
              <w:left w:w="90" w:type="dxa"/>
              <w:bottom w:w="50" w:type="dxa"/>
              <w:right w:w="90" w:type="dxa"/>
            </w:tcMar>
          </w:tcPr>
          <w:p w14:paraId="41602D24" w14:textId="77777777" w:rsidR="00706D8D" w:rsidRPr="00DD67FC" w:rsidRDefault="00085BE7" w:rsidP="00DD67FC">
            <w:pPr>
              <w:jc w:val="both"/>
              <w:rPr>
                <w:sz w:val="16"/>
                <w:szCs w:val="16"/>
              </w:rPr>
            </w:pPr>
            <w:r w:rsidRPr="00DD67FC">
              <w:rPr>
                <w:rFonts w:ascii="Calibri" w:eastAsia="Calibri" w:hAnsi="Calibri" w:cs="Calibri"/>
                <w:b/>
                <w:bCs/>
                <w:color w:val="FFFFFF"/>
                <w:sz w:val="16"/>
                <w:szCs w:val="16"/>
              </w:rPr>
              <w:t>2024</w:t>
            </w:r>
          </w:p>
        </w:tc>
        <w:tc>
          <w:tcPr>
            <w:tcW w:w="1800" w:type="dxa"/>
            <w:tcBorders>
              <w:top w:val="single" w:sz="4" w:space="0" w:color="C9C6BC"/>
              <w:left w:val="single" w:sz="4" w:space="0" w:color="C9C6BC"/>
              <w:bottom w:val="single" w:sz="4" w:space="0" w:color="C9C6BC"/>
              <w:right w:val="single" w:sz="4" w:space="0" w:color="C9C6BC"/>
            </w:tcBorders>
            <w:shd w:val="clear" w:color="auto" w:fill="1F5C4E"/>
            <w:tcMar>
              <w:top w:w="50" w:type="dxa"/>
              <w:left w:w="90" w:type="dxa"/>
              <w:bottom w:w="50" w:type="dxa"/>
              <w:right w:w="90" w:type="dxa"/>
            </w:tcMar>
          </w:tcPr>
          <w:p w14:paraId="21B086E9" w14:textId="77777777" w:rsidR="00706D8D" w:rsidRPr="00DD67FC" w:rsidRDefault="00085BE7" w:rsidP="00DD67FC">
            <w:pPr>
              <w:jc w:val="both"/>
              <w:rPr>
                <w:sz w:val="16"/>
                <w:szCs w:val="16"/>
              </w:rPr>
            </w:pPr>
            <w:r w:rsidRPr="00DD67FC">
              <w:rPr>
                <w:rFonts w:ascii="Calibri" w:eastAsia="Calibri" w:hAnsi="Calibri" w:cs="Calibri"/>
                <w:b/>
                <w:bCs/>
                <w:color w:val="FFFFFF"/>
                <w:sz w:val="16"/>
                <w:szCs w:val="16"/>
              </w:rPr>
              <w:t>Target trend</w:t>
            </w:r>
          </w:p>
        </w:tc>
      </w:tr>
      <w:tr w:rsidR="00706D8D" w:rsidRPr="00DD67FC" w14:paraId="49A192ED" w14:textId="77777777">
        <w:tc>
          <w:tcPr>
            <w:tcW w:w="1800" w:type="dxa"/>
            <w:tcBorders>
              <w:top w:val="single" w:sz="4" w:space="0" w:color="C9C6BC"/>
              <w:left w:val="single" w:sz="4" w:space="0" w:color="C9C6BC"/>
              <w:bottom w:val="single" w:sz="4" w:space="0" w:color="C9C6BC"/>
              <w:right w:val="single" w:sz="4" w:space="0" w:color="C9C6BC"/>
            </w:tcBorders>
            <w:shd w:val="clear" w:color="auto" w:fill="FFFFFF"/>
            <w:tcMar>
              <w:top w:w="50" w:type="dxa"/>
              <w:left w:w="90" w:type="dxa"/>
              <w:bottom w:w="50" w:type="dxa"/>
              <w:right w:w="90" w:type="dxa"/>
            </w:tcMar>
          </w:tcPr>
          <w:p w14:paraId="50896E34" w14:textId="77777777" w:rsidR="00706D8D" w:rsidRPr="00DD67FC" w:rsidRDefault="00085BE7" w:rsidP="00DD67FC">
            <w:pPr>
              <w:jc w:val="both"/>
              <w:rPr>
                <w:sz w:val="16"/>
                <w:szCs w:val="16"/>
              </w:rPr>
            </w:pPr>
            <w:r w:rsidRPr="00DD67FC">
              <w:rPr>
                <w:rFonts w:ascii="Calibri" w:eastAsia="Calibri" w:hAnsi="Calibri" w:cs="Calibri"/>
                <w:sz w:val="16"/>
                <w:szCs w:val="16"/>
              </w:rPr>
              <w:t>46%</w:t>
            </w:r>
          </w:p>
        </w:tc>
        <w:tc>
          <w:tcPr>
            <w:tcW w:w="1800" w:type="dxa"/>
            <w:tcBorders>
              <w:top w:val="single" w:sz="4" w:space="0" w:color="C9C6BC"/>
              <w:left w:val="single" w:sz="4" w:space="0" w:color="C9C6BC"/>
              <w:bottom w:val="single" w:sz="4" w:space="0" w:color="C9C6BC"/>
              <w:right w:val="single" w:sz="4" w:space="0" w:color="C9C6BC"/>
            </w:tcBorders>
            <w:shd w:val="clear" w:color="auto" w:fill="FFFFFF"/>
            <w:tcMar>
              <w:top w:w="50" w:type="dxa"/>
              <w:left w:w="90" w:type="dxa"/>
              <w:bottom w:w="50" w:type="dxa"/>
              <w:right w:w="90" w:type="dxa"/>
            </w:tcMar>
          </w:tcPr>
          <w:p w14:paraId="4355AD2A" w14:textId="77777777" w:rsidR="00706D8D" w:rsidRPr="00DD67FC" w:rsidRDefault="00085BE7" w:rsidP="00DD67FC">
            <w:pPr>
              <w:jc w:val="both"/>
              <w:rPr>
                <w:sz w:val="16"/>
                <w:szCs w:val="16"/>
              </w:rPr>
            </w:pPr>
            <w:r w:rsidRPr="00DD67FC">
              <w:rPr>
                <w:rFonts w:ascii="Calibri" w:eastAsia="Calibri" w:hAnsi="Calibri" w:cs="Calibri"/>
                <w:sz w:val="16"/>
                <w:szCs w:val="16"/>
              </w:rPr>
              <w:t>55%</w:t>
            </w:r>
          </w:p>
        </w:tc>
        <w:tc>
          <w:tcPr>
            <w:tcW w:w="1800" w:type="dxa"/>
            <w:tcBorders>
              <w:top w:val="single" w:sz="4" w:space="0" w:color="C9C6BC"/>
              <w:left w:val="single" w:sz="4" w:space="0" w:color="C9C6BC"/>
              <w:bottom w:val="single" w:sz="4" w:space="0" w:color="C9C6BC"/>
              <w:right w:val="single" w:sz="4" w:space="0" w:color="C9C6BC"/>
            </w:tcBorders>
            <w:shd w:val="clear" w:color="auto" w:fill="FFFFFF"/>
            <w:tcMar>
              <w:top w:w="50" w:type="dxa"/>
              <w:left w:w="90" w:type="dxa"/>
              <w:bottom w:w="50" w:type="dxa"/>
              <w:right w:w="90" w:type="dxa"/>
            </w:tcMar>
          </w:tcPr>
          <w:p w14:paraId="48E0E9CB" w14:textId="77777777" w:rsidR="00706D8D" w:rsidRPr="00DD67FC" w:rsidRDefault="00085BE7" w:rsidP="00DD67FC">
            <w:pPr>
              <w:jc w:val="both"/>
              <w:rPr>
                <w:sz w:val="16"/>
                <w:szCs w:val="16"/>
              </w:rPr>
            </w:pPr>
            <w:r w:rsidRPr="00DD67FC">
              <w:rPr>
                <w:rFonts w:ascii="Calibri" w:eastAsia="Calibri" w:hAnsi="Calibri" w:cs="Calibri"/>
                <w:sz w:val="16"/>
                <w:szCs w:val="16"/>
              </w:rPr>
              <w:t>55%</w:t>
            </w:r>
          </w:p>
        </w:tc>
        <w:tc>
          <w:tcPr>
            <w:tcW w:w="1800" w:type="dxa"/>
            <w:tcBorders>
              <w:top w:val="single" w:sz="4" w:space="0" w:color="C9C6BC"/>
              <w:left w:val="single" w:sz="4" w:space="0" w:color="C9C6BC"/>
              <w:bottom w:val="single" w:sz="4" w:space="0" w:color="C9C6BC"/>
              <w:right w:val="single" w:sz="4" w:space="0" w:color="C9C6BC"/>
            </w:tcBorders>
            <w:shd w:val="clear" w:color="auto" w:fill="FFFFFF"/>
            <w:tcMar>
              <w:top w:w="50" w:type="dxa"/>
              <w:left w:w="90" w:type="dxa"/>
              <w:bottom w:w="50" w:type="dxa"/>
              <w:right w:w="90" w:type="dxa"/>
            </w:tcMar>
          </w:tcPr>
          <w:p w14:paraId="7775D9CC" w14:textId="77777777" w:rsidR="00706D8D" w:rsidRPr="00DD67FC" w:rsidRDefault="00085BE7" w:rsidP="00DD67FC">
            <w:pPr>
              <w:jc w:val="both"/>
              <w:rPr>
                <w:sz w:val="16"/>
                <w:szCs w:val="16"/>
              </w:rPr>
            </w:pPr>
            <w:r w:rsidRPr="00DD67FC">
              <w:rPr>
                <w:rFonts w:ascii="Calibri" w:eastAsia="Calibri" w:hAnsi="Calibri" w:cs="Calibri"/>
                <w:sz w:val="16"/>
                <w:szCs w:val="16"/>
              </w:rPr>
              <w:t>61%</w:t>
            </w:r>
          </w:p>
        </w:tc>
        <w:tc>
          <w:tcPr>
            <w:tcW w:w="1800" w:type="dxa"/>
            <w:tcBorders>
              <w:top w:val="single" w:sz="4" w:space="0" w:color="C9C6BC"/>
              <w:left w:val="single" w:sz="4" w:space="0" w:color="C9C6BC"/>
              <w:bottom w:val="single" w:sz="4" w:space="0" w:color="C9C6BC"/>
              <w:right w:val="single" w:sz="4" w:space="0" w:color="C9C6BC"/>
            </w:tcBorders>
            <w:shd w:val="clear" w:color="auto" w:fill="FFFFFF"/>
            <w:tcMar>
              <w:top w:w="50" w:type="dxa"/>
              <w:left w:w="90" w:type="dxa"/>
              <w:bottom w:w="50" w:type="dxa"/>
              <w:right w:w="90" w:type="dxa"/>
            </w:tcMar>
          </w:tcPr>
          <w:p w14:paraId="7F316B21" w14:textId="77777777" w:rsidR="00706D8D" w:rsidRPr="00DD67FC" w:rsidRDefault="00085BE7" w:rsidP="00DD67FC">
            <w:pPr>
              <w:jc w:val="both"/>
              <w:rPr>
                <w:sz w:val="16"/>
                <w:szCs w:val="16"/>
              </w:rPr>
            </w:pPr>
            <w:r w:rsidRPr="00DD67FC">
              <w:rPr>
                <w:rFonts w:ascii="Calibri" w:eastAsia="Calibri" w:hAnsi="Calibri" w:cs="Calibri"/>
                <w:b/>
                <w:bCs/>
                <w:sz w:val="16"/>
                <w:szCs w:val="16"/>
              </w:rPr>
              <w:t>66%</w:t>
            </w:r>
          </w:p>
        </w:tc>
        <w:tc>
          <w:tcPr>
            <w:tcW w:w="1800" w:type="dxa"/>
            <w:tcBorders>
              <w:top w:val="single" w:sz="4" w:space="0" w:color="C9C6BC"/>
              <w:left w:val="single" w:sz="4" w:space="0" w:color="C9C6BC"/>
              <w:bottom w:val="single" w:sz="4" w:space="0" w:color="C9C6BC"/>
              <w:right w:val="single" w:sz="4" w:space="0" w:color="C9C6BC"/>
            </w:tcBorders>
            <w:shd w:val="clear" w:color="auto" w:fill="FFFFFF"/>
            <w:tcMar>
              <w:top w:w="50" w:type="dxa"/>
              <w:left w:w="90" w:type="dxa"/>
              <w:bottom w:w="50" w:type="dxa"/>
              <w:right w:w="90" w:type="dxa"/>
            </w:tcMar>
          </w:tcPr>
          <w:p w14:paraId="25E7D34A" w14:textId="77777777" w:rsidR="00706D8D" w:rsidRPr="00DD67FC" w:rsidRDefault="00085BE7" w:rsidP="00DD67FC">
            <w:pPr>
              <w:jc w:val="both"/>
              <w:rPr>
                <w:sz w:val="16"/>
                <w:szCs w:val="16"/>
              </w:rPr>
            </w:pPr>
            <w:r w:rsidRPr="00DD67FC">
              <w:rPr>
                <w:rFonts w:ascii="Calibri" w:eastAsia="Calibri" w:hAnsi="Calibri" w:cs="Calibri"/>
                <w:sz w:val="16"/>
                <w:szCs w:val="16"/>
              </w:rPr>
              <w:t>Improving, ~5pp/yr</w:t>
            </w:r>
          </w:p>
        </w:tc>
      </w:tr>
    </w:tbl>
    <w:p w14:paraId="568E6E28" w14:textId="77777777" w:rsidR="00706D8D" w:rsidRPr="00DD67FC" w:rsidRDefault="00085BE7" w:rsidP="00DD67FC">
      <w:pPr>
        <w:spacing w:before="30"/>
        <w:jc w:val="both"/>
        <w:rPr>
          <w:sz w:val="16"/>
          <w:szCs w:val="16"/>
        </w:rPr>
      </w:pPr>
      <w:r w:rsidRPr="00DD67FC">
        <w:rPr>
          <w:rFonts w:ascii="Calibri" w:eastAsia="Calibri" w:hAnsi="Calibri" w:cs="Calibri"/>
          <w:i/>
          <w:iCs/>
          <w:color w:val="666666"/>
          <w:sz w:val="16"/>
          <w:szCs w:val="16"/>
        </w:rPr>
        <w:lastRenderedPageBreak/>
        <w:t>Source: UK DESNZ/FCDO CIF Annual Review 2024/25. Disbursement ratio has improved steadily but remains well below full portfolio maturity; 53 of the roughly 154 tracked CTF projects (about $1.76bn in commitments) were fully disbursed as of mid-2024.</w:t>
      </w:r>
    </w:p>
    <w:p w14:paraId="3124C920" w14:textId="77777777" w:rsidR="00706D8D" w:rsidRPr="00DD67FC" w:rsidRDefault="00085BE7" w:rsidP="00DD67FC">
      <w:pPr>
        <w:pBdr>
          <w:bottom w:val="single" w:sz="6" w:space="2" w:color="1F5C4E"/>
        </w:pBdr>
        <w:spacing w:before="90" w:after="30"/>
        <w:jc w:val="both"/>
        <w:rPr>
          <w:sz w:val="16"/>
          <w:szCs w:val="16"/>
        </w:rPr>
      </w:pPr>
      <w:r w:rsidRPr="00DD67FC">
        <w:rPr>
          <w:rFonts w:ascii="Calibri" w:eastAsia="Calibri" w:hAnsi="Calibri" w:cs="Calibri"/>
          <w:b/>
          <w:bCs/>
          <w:color w:val="1F5C4E"/>
          <w:spacing w:val="4"/>
          <w:sz w:val="16"/>
          <w:szCs w:val="16"/>
        </w:rPr>
        <w:t>WHAT REVIEWS HAVE ALREADY IMPROVED</w:t>
      </w:r>
    </w:p>
    <w:p w14:paraId="6B44AD3C" w14:textId="77777777" w:rsidR="00706D8D" w:rsidRPr="00DD67FC" w:rsidRDefault="00085BE7" w:rsidP="00DD67FC">
      <w:pPr>
        <w:pStyle w:val="ListParagraph"/>
        <w:numPr>
          <w:ilvl w:val="0"/>
          <w:numId w:val="2"/>
        </w:numPr>
        <w:spacing w:after="30"/>
        <w:jc w:val="both"/>
        <w:rPr>
          <w:sz w:val="16"/>
          <w:szCs w:val="16"/>
        </w:rPr>
      </w:pPr>
      <w:r w:rsidRPr="00DD67FC">
        <w:rPr>
          <w:rFonts w:ascii="Calibri" w:eastAsia="Calibri" w:hAnsi="Calibri" w:cs="Calibri"/>
          <w:sz w:val="16"/>
          <w:szCs w:val="16"/>
        </w:rPr>
        <w:t>Investment Plan Close-Outs (2024, new practice). Six close-out workshops — PPCR in Zambia and the Caribbean, FIP in Indonesia, Brazil and the DRC, SREP in the Maldives — converted implementation experience into documented lessons rather than letting it disappear at project end. Zambia reached 234% of its resilience target; the Maldives lifted renewable share from 11% to 24%.</w:t>
      </w:r>
    </w:p>
    <w:p w14:paraId="44B6C41E" w14:textId="77777777" w:rsidR="00706D8D" w:rsidRPr="00DD67FC" w:rsidRDefault="00085BE7" w:rsidP="00DD67FC">
      <w:pPr>
        <w:pStyle w:val="ListParagraph"/>
        <w:numPr>
          <w:ilvl w:val="0"/>
          <w:numId w:val="2"/>
        </w:numPr>
        <w:spacing w:after="30"/>
        <w:jc w:val="both"/>
        <w:rPr>
          <w:sz w:val="16"/>
          <w:szCs w:val="16"/>
        </w:rPr>
      </w:pPr>
      <w:r w:rsidRPr="00DD67FC">
        <w:rPr>
          <w:rFonts w:ascii="Calibri" w:eastAsia="Calibri" w:hAnsi="Calibri" w:cs="Calibri"/>
          <w:sz w:val="16"/>
          <w:szCs w:val="16"/>
        </w:rPr>
        <w:t>Independent evaluations. A midterm evaluation of the Forest Investment Program and a 2025 evaluation of the Pilot Program for Climate Resilience (PPCR) directly shaped the design of CIF's successor programmes — the Nature, People and Climate (NPC) programme and ARISE respectively.</w:t>
      </w:r>
    </w:p>
    <w:p w14:paraId="328E8D57" w14:textId="77777777" w:rsidR="00706D8D" w:rsidRPr="00DD67FC" w:rsidRDefault="00085BE7" w:rsidP="00DD67FC">
      <w:pPr>
        <w:pStyle w:val="ListParagraph"/>
        <w:numPr>
          <w:ilvl w:val="0"/>
          <w:numId w:val="2"/>
        </w:numPr>
        <w:spacing w:after="30"/>
        <w:jc w:val="both"/>
        <w:rPr>
          <w:sz w:val="16"/>
          <w:szCs w:val="16"/>
        </w:rPr>
      </w:pPr>
      <w:r w:rsidRPr="00DD67FC">
        <w:rPr>
          <w:rFonts w:ascii="Calibri" w:eastAsia="Calibri" w:hAnsi="Calibri" w:cs="Calibri"/>
          <w:sz w:val="16"/>
          <w:szCs w:val="16"/>
        </w:rPr>
        <w:t>Governance streamlining (2024). CIF collapsed its sub-committee structure into three Trust Fund Committees (Joint, CTF, SCF), reducing duplicated sign-off and speeding decision cycles.</w:t>
      </w:r>
    </w:p>
    <w:p w14:paraId="21D0FF4D" w14:textId="77777777" w:rsidR="00706D8D" w:rsidRPr="00DD67FC" w:rsidRDefault="00085BE7" w:rsidP="00DD67FC">
      <w:pPr>
        <w:pStyle w:val="ListParagraph"/>
        <w:numPr>
          <w:ilvl w:val="0"/>
          <w:numId w:val="2"/>
        </w:numPr>
        <w:spacing w:after="30"/>
        <w:jc w:val="both"/>
        <w:rPr>
          <w:sz w:val="16"/>
          <w:szCs w:val="16"/>
        </w:rPr>
      </w:pPr>
      <w:r w:rsidRPr="00DD67FC">
        <w:rPr>
          <w:rFonts w:ascii="Calibri" w:eastAsia="Calibri" w:hAnsi="Calibri" w:cs="Calibri"/>
          <w:sz w:val="16"/>
          <w:szCs w:val="16"/>
        </w:rPr>
        <w:t>Capital-market diversification. The CCMM bond (Jan 2025) reduces CIF's dependence on donor replenishment cycles by recycling CTF loan reflows into fresh finance — a genuinely new lever, not a tweak to the existing one.</w:t>
      </w:r>
    </w:p>
    <w:p w14:paraId="69DEE564" w14:textId="77777777" w:rsidR="00706D8D" w:rsidRPr="00DD67FC" w:rsidRDefault="00085BE7" w:rsidP="00DD67FC">
      <w:pPr>
        <w:pBdr>
          <w:bottom w:val="single" w:sz="6" w:space="2" w:color="1F5C4E"/>
        </w:pBdr>
        <w:spacing w:before="90" w:after="30"/>
        <w:jc w:val="both"/>
        <w:rPr>
          <w:sz w:val="16"/>
          <w:szCs w:val="16"/>
        </w:rPr>
      </w:pPr>
      <w:r w:rsidRPr="00DD67FC">
        <w:rPr>
          <w:rFonts w:ascii="Calibri" w:eastAsia="Calibri" w:hAnsi="Calibri" w:cs="Calibri"/>
          <w:b/>
          <w:bCs/>
          <w:color w:val="1F5C4E"/>
          <w:spacing w:val="4"/>
          <w:sz w:val="16"/>
          <w:szCs w:val="16"/>
        </w:rPr>
        <w:t>REFORMS AND PROPOSED REFORMS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706D8D" w:rsidRPr="00DD67FC" w14:paraId="4EB40942" w14:textId="77777777">
        <w:tc>
          <w:tcPr>
            <w:tcW w:w="5400" w:type="dxa"/>
            <w:tcBorders>
              <w:top w:val="single" w:sz="4" w:space="0" w:color="C9C6BC"/>
              <w:left w:val="single" w:sz="4" w:space="0" w:color="C9C6BC"/>
              <w:bottom w:val="single" w:sz="4" w:space="0" w:color="C9C6BC"/>
              <w:right w:val="single" w:sz="4" w:space="0" w:color="C9C6BC"/>
            </w:tcBorders>
            <w:shd w:val="clear" w:color="auto" w:fill="F4F3EF"/>
            <w:tcMar>
              <w:top w:w="50" w:type="dxa"/>
              <w:left w:w="90" w:type="dxa"/>
              <w:bottom w:w="50" w:type="dxa"/>
              <w:right w:w="90" w:type="dxa"/>
            </w:tcMar>
          </w:tcPr>
          <w:p w14:paraId="271324EA" w14:textId="77777777" w:rsidR="00706D8D" w:rsidRPr="00DD67FC" w:rsidRDefault="00085BE7" w:rsidP="00DD67FC">
            <w:pPr>
              <w:spacing w:after="30"/>
              <w:jc w:val="both"/>
              <w:rPr>
                <w:sz w:val="16"/>
                <w:szCs w:val="16"/>
              </w:rPr>
            </w:pPr>
            <w:r w:rsidRPr="00DD67FC">
              <w:rPr>
                <w:rFonts w:ascii="Calibri" w:eastAsia="Calibri" w:hAnsi="Calibri" w:cs="Calibri"/>
                <w:b/>
                <w:bCs/>
                <w:color w:val="1F5C4E"/>
                <w:sz w:val="16"/>
                <w:szCs w:val="16"/>
              </w:rPr>
              <w:t>Underway</w:t>
            </w:r>
          </w:p>
          <w:p w14:paraId="247BFAF4" w14:textId="77777777" w:rsidR="00706D8D" w:rsidRPr="00DD67FC" w:rsidRDefault="00085BE7" w:rsidP="00DD67FC">
            <w:pPr>
              <w:pStyle w:val="ListParagraph"/>
              <w:numPr>
                <w:ilvl w:val="0"/>
                <w:numId w:val="2"/>
              </w:numPr>
              <w:spacing w:after="20"/>
              <w:jc w:val="both"/>
              <w:rPr>
                <w:sz w:val="16"/>
                <w:szCs w:val="16"/>
              </w:rPr>
            </w:pPr>
            <w:r w:rsidRPr="00DD67FC">
              <w:rPr>
                <w:rFonts w:ascii="Calibri" w:eastAsia="Calibri" w:hAnsi="Calibri" w:cs="Calibri"/>
                <w:sz w:val="16"/>
                <w:szCs w:val="16"/>
              </w:rPr>
              <w:t>ARISE — next-generation resilience programme building directly on PPCR's evaluated lessons; $100M in early German and Spanish contributions.</w:t>
            </w:r>
          </w:p>
          <w:p w14:paraId="4357233B" w14:textId="77777777" w:rsidR="00706D8D" w:rsidRPr="00DD67FC" w:rsidRDefault="00085BE7" w:rsidP="00DD67FC">
            <w:pPr>
              <w:pStyle w:val="ListParagraph"/>
              <w:numPr>
                <w:ilvl w:val="0"/>
                <w:numId w:val="2"/>
              </w:numPr>
              <w:spacing w:after="20"/>
              <w:jc w:val="both"/>
              <w:rPr>
                <w:sz w:val="16"/>
                <w:szCs w:val="16"/>
              </w:rPr>
            </w:pPr>
            <w:r w:rsidRPr="00DD67FC">
              <w:rPr>
                <w:rFonts w:ascii="Calibri" w:eastAsia="Calibri" w:hAnsi="Calibri" w:cs="Calibri"/>
                <w:sz w:val="16"/>
                <w:szCs w:val="16"/>
              </w:rPr>
              <w:t>Industry Decarbonization Program — up to $250M per country with a mandatory private-sector carve-out, designed to pull in co-investors from the outset rather than after endorsement.</w:t>
            </w:r>
          </w:p>
          <w:p w14:paraId="00EF57F1" w14:textId="77777777" w:rsidR="00706D8D" w:rsidRPr="00DD67FC" w:rsidRDefault="00085BE7" w:rsidP="00DD67FC">
            <w:pPr>
              <w:pStyle w:val="ListParagraph"/>
              <w:numPr>
                <w:ilvl w:val="0"/>
                <w:numId w:val="2"/>
              </w:numPr>
              <w:spacing w:after="20"/>
              <w:jc w:val="both"/>
              <w:rPr>
                <w:sz w:val="16"/>
                <w:szCs w:val="16"/>
              </w:rPr>
            </w:pPr>
            <w:proofErr w:type="spellStart"/>
            <w:r w:rsidRPr="00DD67FC">
              <w:rPr>
                <w:rFonts w:ascii="Calibri" w:eastAsia="Calibri" w:hAnsi="Calibri" w:cs="Calibri"/>
                <w:sz w:val="16"/>
                <w:szCs w:val="16"/>
              </w:rPr>
              <w:t>AMPLIFi</w:t>
            </w:r>
            <w:proofErr w:type="spellEnd"/>
            <w:r w:rsidRPr="00DD67FC">
              <w:rPr>
                <w:rFonts w:ascii="Calibri" w:eastAsia="Calibri" w:hAnsi="Calibri" w:cs="Calibri"/>
                <w:sz w:val="16"/>
                <w:szCs w:val="16"/>
              </w:rPr>
              <w:t xml:space="preserve"> — a new modality announced in 2025 to mobilise private capital at higher leverage ratios than CIF's current 1:10 average.</w:t>
            </w:r>
          </w:p>
        </w:tc>
        <w:tc>
          <w:tcPr>
            <w:tcW w:w="5400" w:type="dxa"/>
            <w:tcBorders>
              <w:top w:val="single" w:sz="4" w:space="0" w:color="C9C6BC"/>
              <w:left w:val="single" w:sz="4" w:space="0" w:color="C9C6BC"/>
              <w:bottom w:val="single" w:sz="4" w:space="0" w:color="C9C6BC"/>
              <w:right w:val="single" w:sz="4" w:space="0" w:color="C9C6BC"/>
            </w:tcBorders>
            <w:shd w:val="clear" w:color="auto" w:fill="F4F3EF"/>
            <w:tcMar>
              <w:top w:w="50" w:type="dxa"/>
              <w:left w:w="90" w:type="dxa"/>
              <w:bottom w:w="50" w:type="dxa"/>
              <w:right w:w="90" w:type="dxa"/>
            </w:tcMar>
          </w:tcPr>
          <w:p w14:paraId="790D734B" w14:textId="77777777" w:rsidR="00706D8D" w:rsidRPr="00DD67FC" w:rsidRDefault="00085BE7" w:rsidP="00DD67FC">
            <w:pPr>
              <w:spacing w:after="30"/>
              <w:jc w:val="both"/>
              <w:rPr>
                <w:sz w:val="16"/>
                <w:szCs w:val="16"/>
              </w:rPr>
            </w:pPr>
            <w:r w:rsidRPr="00DD67FC">
              <w:rPr>
                <w:rFonts w:ascii="Calibri" w:eastAsia="Calibri" w:hAnsi="Calibri" w:cs="Calibri"/>
                <w:b/>
                <w:bCs/>
                <w:color w:val="8A6D3B"/>
                <w:sz w:val="16"/>
                <w:szCs w:val="16"/>
              </w:rPr>
              <w:t>Proposed / recommended by donors</w:t>
            </w:r>
          </w:p>
          <w:p w14:paraId="140CEDAD" w14:textId="77777777" w:rsidR="00706D8D" w:rsidRPr="00DD67FC" w:rsidRDefault="00085BE7" w:rsidP="00DD67FC">
            <w:pPr>
              <w:pStyle w:val="ListParagraph"/>
              <w:numPr>
                <w:ilvl w:val="0"/>
                <w:numId w:val="2"/>
              </w:numPr>
              <w:spacing w:after="20"/>
              <w:jc w:val="both"/>
              <w:rPr>
                <w:sz w:val="16"/>
                <w:szCs w:val="16"/>
              </w:rPr>
            </w:pPr>
            <w:r w:rsidRPr="00DD67FC">
              <w:rPr>
                <w:rFonts w:ascii="Calibri" w:eastAsia="Calibri" w:hAnsi="Calibri" w:cs="Calibri"/>
                <w:sz w:val="16"/>
                <w:szCs w:val="16"/>
              </w:rPr>
              <w:t>Transitional Investment Plans (TIPs) — the next evolution of the country-plan model, designed for multi-government, regional-scale planning.</w:t>
            </w:r>
          </w:p>
          <w:p w14:paraId="4F06B461" w14:textId="77777777" w:rsidR="00706D8D" w:rsidRPr="00DD67FC" w:rsidRDefault="00085BE7" w:rsidP="00DD67FC">
            <w:pPr>
              <w:pStyle w:val="ListParagraph"/>
              <w:numPr>
                <w:ilvl w:val="0"/>
                <w:numId w:val="2"/>
              </w:numPr>
              <w:spacing w:after="20"/>
              <w:jc w:val="both"/>
              <w:rPr>
                <w:sz w:val="16"/>
                <w:szCs w:val="16"/>
              </w:rPr>
            </w:pPr>
            <w:proofErr w:type="gramStart"/>
            <w:r w:rsidRPr="00DD67FC">
              <w:rPr>
                <w:rFonts w:ascii="Calibri" w:eastAsia="Calibri" w:hAnsi="Calibri" w:cs="Calibri"/>
                <w:sz w:val="16"/>
                <w:szCs w:val="16"/>
              </w:rPr>
              <w:t>Formal</w:t>
            </w:r>
            <w:proofErr w:type="gramEnd"/>
            <w:r w:rsidRPr="00DD67FC">
              <w:rPr>
                <w:rFonts w:ascii="Calibri" w:eastAsia="Calibri" w:hAnsi="Calibri" w:cs="Calibri"/>
                <w:sz w:val="16"/>
                <w:szCs w:val="16"/>
              </w:rPr>
              <w:t xml:space="preserve"> fast-track policy for reprogramming cancelled or unallocated funds, rather than case-by-case negotiation.</w:t>
            </w:r>
          </w:p>
          <w:p w14:paraId="4F42BF5C" w14:textId="77777777" w:rsidR="00706D8D" w:rsidRPr="00DD67FC" w:rsidRDefault="00085BE7" w:rsidP="00DD67FC">
            <w:pPr>
              <w:pStyle w:val="ListParagraph"/>
              <w:numPr>
                <w:ilvl w:val="0"/>
                <w:numId w:val="2"/>
              </w:numPr>
              <w:spacing w:after="20"/>
              <w:jc w:val="both"/>
              <w:rPr>
                <w:sz w:val="16"/>
                <w:szCs w:val="16"/>
              </w:rPr>
            </w:pPr>
            <w:r w:rsidRPr="00DD67FC">
              <w:rPr>
                <w:rFonts w:ascii="Calibri" w:eastAsia="Calibri" w:hAnsi="Calibri" w:cs="Calibri"/>
                <w:sz w:val="16"/>
                <w:szCs w:val="16"/>
              </w:rPr>
              <w:t>A refreshed results framework (</w:t>
            </w:r>
            <w:proofErr w:type="spellStart"/>
            <w:r w:rsidRPr="00DD67FC">
              <w:rPr>
                <w:rFonts w:ascii="Calibri" w:eastAsia="Calibri" w:hAnsi="Calibri" w:cs="Calibri"/>
                <w:sz w:val="16"/>
                <w:szCs w:val="16"/>
              </w:rPr>
              <w:t>logframe</w:t>
            </w:r>
            <w:proofErr w:type="spellEnd"/>
            <w:r w:rsidRPr="00DD67FC">
              <w:rPr>
                <w:rFonts w:ascii="Calibri" w:eastAsia="Calibri" w:hAnsi="Calibri" w:cs="Calibri"/>
                <w:sz w:val="16"/>
                <w:szCs w:val="16"/>
              </w:rPr>
              <w:t>) to replace outdated indicators and close the one-year data lag in donor reporting.</w:t>
            </w:r>
          </w:p>
        </w:tc>
      </w:tr>
    </w:tbl>
    <w:p w14:paraId="6BD404D6" w14:textId="77777777" w:rsidR="00706D8D" w:rsidRPr="00DD67FC" w:rsidRDefault="00706D8D" w:rsidP="00DD67FC">
      <w:pPr>
        <w:spacing w:before="60"/>
        <w:jc w:val="both"/>
        <w:rPr>
          <w:sz w:val="16"/>
          <w:szCs w:val="16"/>
        </w:rPr>
      </w:pPr>
    </w:p>
    <w:p w14:paraId="3FCA7A1B" w14:textId="77777777" w:rsidR="00706D8D" w:rsidRPr="00DD67FC" w:rsidRDefault="00085BE7" w:rsidP="00DD67FC">
      <w:pPr>
        <w:pBdr>
          <w:bottom w:val="single" w:sz="6" w:space="2" w:color="1F5C4E"/>
        </w:pBdr>
        <w:spacing w:before="90" w:after="30"/>
        <w:jc w:val="both"/>
        <w:rPr>
          <w:sz w:val="16"/>
          <w:szCs w:val="16"/>
        </w:rPr>
      </w:pPr>
      <w:r w:rsidRPr="00DD67FC">
        <w:rPr>
          <w:rFonts w:ascii="Calibri" w:eastAsia="Calibri" w:hAnsi="Calibri" w:cs="Calibri"/>
          <w:b/>
          <w:bCs/>
          <w:color w:val="1F5C4E"/>
          <w:spacing w:val="4"/>
          <w:sz w:val="16"/>
          <w:szCs w:val="16"/>
        </w:rPr>
        <w:t>RECOMMENDATIONS</w:t>
      </w:r>
    </w:p>
    <w:p w14:paraId="55BB3B18" w14:textId="77777777" w:rsidR="00706D8D" w:rsidRPr="00DD67FC" w:rsidRDefault="00085BE7" w:rsidP="00DD67FC">
      <w:pPr>
        <w:pStyle w:val="ListParagraph"/>
        <w:numPr>
          <w:ilvl w:val="0"/>
          <w:numId w:val="2"/>
        </w:numPr>
        <w:spacing w:after="30"/>
        <w:jc w:val="both"/>
        <w:rPr>
          <w:sz w:val="16"/>
          <w:szCs w:val="16"/>
        </w:rPr>
      </w:pPr>
      <w:r w:rsidRPr="00DD67FC">
        <w:rPr>
          <w:rFonts w:ascii="Calibri" w:eastAsia="Calibri" w:hAnsi="Calibri" w:cs="Calibri"/>
          <w:sz w:val="16"/>
          <w:szCs w:val="16"/>
        </w:rPr>
        <w:t>De-link, where feasible, CIF grant effectiveness from the delivery MDB's sovereign loan signature, so grant components can proceed in parallel rather than waiting on bank-internal timelines.</w:t>
      </w:r>
    </w:p>
    <w:p w14:paraId="0AD6E708" w14:textId="77777777" w:rsidR="00706D8D" w:rsidRPr="00DD67FC" w:rsidRDefault="00085BE7" w:rsidP="00DD67FC">
      <w:pPr>
        <w:pStyle w:val="ListParagraph"/>
        <w:numPr>
          <w:ilvl w:val="0"/>
          <w:numId w:val="2"/>
        </w:numPr>
        <w:spacing w:after="30"/>
        <w:jc w:val="both"/>
        <w:rPr>
          <w:sz w:val="16"/>
          <w:szCs w:val="16"/>
        </w:rPr>
      </w:pPr>
      <w:r w:rsidRPr="00DD67FC">
        <w:rPr>
          <w:rFonts w:ascii="Calibri" w:eastAsia="Calibri" w:hAnsi="Calibri" w:cs="Calibri"/>
          <w:sz w:val="16"/>
          <w:szCs w:val="16"/>
        </w:rPr>
        <w:t>Replace single up-front co-financing lock-in with phased commitment letters tied to implementation milestones, reducing the resubmission risk that currently follows any change in a co-financier's position.</w:t>
      </w:r>
    </w:p>
    <w:p w14:paraId="7169D32D" w14:textId="77777777" w:rsidR="00706D8D" w:rsidRPr="00DD67FC" w:rsidRDefault="00085BE7" w:rsidP="00DD67FC">
      <w:pPr>
        <w:pStyle w:val="ListParagraph"/>
        <w:numPr>
          <w:ilvl w:val="0"/>
          <w:numId w:val="2"/>
        </w:numPr>
        <w:spacing w:after="30"/>
        <w:jc w:val="both"/>
        <w:rPr>
          <w:sz w:val="16"/>
          <w:szCs w:val="16"/>
        </w:rPr>
      </w:pPr>
      <w:r w:rsidRPr="00DD67FC">
        <w:rPr>
          <w:rFonts w:ascii="Calibri" w:eastAsia="Calibri" w:hAnsi="Calibri" w:cs="Calibri"/>
          <w:sz w:val="16"/>
          <w:szCs w:val="16"/>
        </w:rPr>
        <w:t>Make the Investment Plan Close-Out model standard practice across all programmes, not a rolling pilot, so lessons are captured before institutional memory is lost.</w:t>
      </w:r>
    </w:p>
    <w:p w14:paraId="03D76B2C" w14:textId="77777777" w:rsidR="00706D8D" w:rsidRPr="00DD67FC" w:rsidRDefault="00085BE7" w:rsidP="00DD67FC">
      <w:pPr>
        <w:pStyle w:val="ListParagraph"/>
        <w:numPr>
          <w:ilvl w:val="0"/>
          <w:numId w:val="2"/>
        </w:numPr>
        <w:spacing w:after="30"/>
        <w:jc w:val="both"/>
        <w:rPr>
          <w:sz w:val="16"/>
          <w:szCs w:val="16"/>
        </w:rPr>
      </w:pPr>
      <w:r w:rsidRPr="00DD67FC">
        <w:rPr>
          <w:rFonts w:ascii="Calibri" w:eastAsia="Calibri" w:hAnsi="Calibri" w:cs="Calibri"/>
          <w:sz w:val="16"/>
          <w:szCs w:val="16"/>
        </w:rPr>
        <w:t>Track the on-track/at-risk share — not only the disbursement ratio — as the headline delivery indicator, given the two measures diverged sharply between 2023 and 2024.</w:t>
      </w:r>
    </w:p>
    <w:p w14:paraId="7A373A57" w14:textId="77777777" w:rsidR="00706D8D" w:rsidRPr="00DD67FC" w:rsidRDefault="00085BE7" w:rsidP="00DD67FC">
      <w:pPr>
        <w:pStyle w:val="ListParagraph"/>
        <w:numPr>
          <w:ilvl w:val="0"/>
          <w:numId w:val="2"/>
        </w:numPr>
        <w:spacing w:after="30"/>
        <w:jc w:val="both"/>
        <w:rPr>
          <w:sz w:val="16"/>
          <w:szCs w:val="16"/>
        </w:rPr>
      </w:pPr>
      <w:r w:rsidRPr="00DD67FC">
        <w:rPr>
          <w:rFonts w:ascii="Calibri" w:eastAsia="Calibri" w:hAnsi="Calibri" w:cs="Calibri"/>
          <w:sz w:val="16"/>
          <w:szCs w:val="16"/>
        </w:rPr>
        <w:t>Adopt a standing fast-track policy for reallocating cancelled or unallocated country envelopes, cutting the multi-year gap currently seen between a country stepping back and funds being redeployed.</w:t>
      </w:r>
    </w:p>
    <w:p w14:paraId="33C6271F" w14:textId="77777777" w:rsidR="00706D8D" w:rsidRPr="00DD67FC" w:rsidRDefault="00085BE7" w:rsidP="00DD67FC">
      <w:pPr>
        <w:pStyle w:val="ListParagraph"/>
        <w:numPr>
          <w:ilvl w:val="0"/>
          <w:numId w:val="2"/>
        </w:numPr>
        <w:spacing w:after="30"/>
        <w:jc w:val="both"/>
        <w:rPr>
          <w:sz w:val="16"/>
          <w:szCs w:val="16"/>
        </w:rPr>
      </w:pPr>
      <w:r w:rsidRPr="00DD67FC">
        <w:rPr>
          <w:rFonts w:ascii="Calibri" w:eastAsia="Calibri" w:hAnsi="Calibri" w:cs="Calibri"/>
          <w:sz w:val="16"/>
          <w:szCs w:val="16"/>
        </w:rPr>
        <w:t xml:space="preserve">Scale CCMM- and </w:t>
      </w:r>
      <w:proofErr w:type="spellStart"/>
      <w:r w:rsidRPr="00DD67FC">
        <w:rPr>
          <w:rFonts w:ascii="Calibri" w:eastAsia="Calibri" w:hAnsi="Calibri" w:cs="Calibri"/>
          <w:sz w:val="16"/>
          <w:szCs w:val="16"/>
        </w:rPr>
        <w:t>AMPLIFi</w:t>
      </w:r>
      <w:proofErr w:type="spellEnd"/>
      <w:r w:rsidRPr="00DD67FC">
        <w:rPr>
          <w:rFonts w:ascii="Calibri" w:eastAsia="Calibri" w:hAnsi="Calibri" w:cs="Calibri"/>
          <w:sz w:val="16"/>
          <w:szCs w:val="16"/>
        </w:rPr>
        <w:t>-style capital-market mechanisms deliberately, using them to smooth the funding cycle rather than treating them as one-off innovations.</w:t>
      </w:r>
    </w:p>
    <w:p w14:paraId="34F217CA" w14:textId="77777777" w:rsidR="00706D8D" w:rsidRPr="00DD67FC" w:rsidRDefault="00085BE7" w:rsidP="00DD67FC">
      <w:pPr>
        <w:pBdr>
          <w:bottom w:val="single" w:sz="6" w:space="2" w:color="1F5C4E"/>
        </w:pBdr>
        <w:spacing w:before="90" w:after="30"/>
        <w:jc w:val="both"/>
        <w:rPr>
          <w:sz w:val="16"/>
          <w:szCs w:val="16"/>
        </w:rPr>
      </w:pPr>
      <w:r w:rsidRPr="00DD67FC">
        <w:rPr>
          <w:rFonts w:ascii="Calibri" w:eastAsia="Calibri" w:hAnsi="Calibri" w:cs="Calibri"/>
          <w:b/>
          <w:bCs/>
          <w:color w:val="1F5C4E"/>
          <w:spacing w:val="4"/>
          <w:sz w:val="16"/>
          <w:szCs w:val="16"/>
        </w:rPr>
        <w:t>SOURCES</w:t>
      </w:r>
    </w:p>
    <w:p w14:paraId="468764A4" w14:textId="77777777" w:rsidR="00706D8D" w:rsidRPr="00DD67FC" w:rsidRDefault="00085BE7" w:rsidP="00DD67FC">
      <w:pPr>
        <w:spacing w:after="20"/>
        <w:jc w:val="both"/>
        <w:rPr>
          <w:sz w:val="16"/>
          <w:szCs w:val="16"/>
        </w:rPr>
      </w:pPr>
      <w:r w:rsidRPr="00DD67FC">
        <w:rPr>
          <w:rFonts w:ascii="Calibri" w:eastAsia="Calibri" w:hAnsi="Calibri" w:cs="Calibri"/>
          <w:sz w:val="16"/>
          <w:szCs w:val="16"/>
        </w:rPr>
        <w:t>1.  CIF Annual Report 2024, “Shifting Gears” (cif.org).</w:t>
      </w:r>
    </w:p>
    <w:p w14:paraId="532CD3A0" w14:textId="77777777" w:rsidR="00706D8D" w:rsidRPr="00DD67FC" w:rsidRDefault="00085BE7" w:rsidP="00DD67FC">
      <w:pPr>
        <w:spacing w:after="20"/>
        <w:jc w:val="both"/>
        <w:rPr>
          <w:sz w:val="16"/>
          <w:szCs w:val="16"/>
        </w:rPr>
      </w:pPr>
      <w:r w:rsidRPr="00DD67FC">
        <w:rPr>
          <w:rFonts w:ascii="Calibri" w:eastAsia="Calibri" w:hAnsi="Calibri" w:cs="Calibri"/>
          <w:sz w:val="16"/>
          <w:szCs w:val="16"/>
        </w:rPr>
        <w:t>2.  CIF Annual Report 2025, “Roots for Resilience and Ambition” (cif.org).</w:t>
      </w:r>
    </w:p>
    <w:p w14:paraId="79BF781D" w14:textId="77777777" w:rsidR="00706D8D" w:rsidRPr="00DD67FC" w:rsidRDefault="00085BE7" w:rsidP="00DD67FC">
      <w:pPr>
        <w:spacing w:after="20"/>
        <w:jc w:val="both"/>
        <w:rPr>
          <w:sz w:val="16"/>
          <w:szCs w:val="16"/>
        </w:rPr>
      </w:pPr>
      <w:r w:rsidRPr="00DD67FC">
        <w:rPr>
          <w:rFonts w:ascii="Calibri" w:eastAsia="Calibri" w:hAnsi="Calibri" w:cs="Calibri"/>
          <w:sz w:val="16"/>
          <w:szCs w:val="16"/>
        </w:rPr>
        <w:t>3.  UK Department for Energy Security and Net Zero / FCDO, Climate Investment Funds (CIF) Annual Review 2024/25, Programme ID GB-GOV-13-ICF0004-CIF.</w:t>
      </w:r>
    </w:p>
    <w:sectPr w:rsidR="00706D8D" w:rsidRPr="00DD67FC">
      <w:headerReference w:type="default" r:id="rId7"/>
      <w:footerReference w:type="default" r:id="rId8"/>
      <w:pgSz w:w="12240" w:h="15840"/>
      <w:pgMar w:top="500" w:right="560" w:bottom="500" w:left="5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B2B19" w14:textId="77777777" w:rsidR="00095442" w:rsidRDefault="00095442">
      <w:r>
        <w:separator/>
      </w:r>
    </w:p>
  </w:endnote>
  <w:endnote w:type="continuationSeparator" w:id="0">
    <w:p w14:paraId="501D837F" w14:textId="77777777" w:rsidR="00095442" w:rsidRDefault="00095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238B" w14:textId="77777777" w:rsidR="00706D8D" w:rsidRDefault="00085BE7">
    <w:pPr>
      <w:jc w:val="center"/>
    </w:pPr>
    <w:r>
      <w:rPr>
        <w:rFonts w:ascii="Calibri" w:eastAsia="Calibri" w:hAnsi="Calibri" w:cs="Calibri"/>
        <w:color w:val="888888"/>
        <w:sz w:val="10"/>
        <w:szCs w:val="10"/>
      </w:rPr>
      <w:t xml:space="preserve">Climate Investment </w:t>
    </w:r>
    <w:proofErr w:type="gramStart"/>
    <w:r>
      <w:rPr>
        <w:rFonts w:ascii="Calibri" w:eastAsia="Calibri" w:hAnsi="Calibri" w:cs="Calibri"/>
        <w:color w:val="888888"/>
        <w:sz w:val="10"/>
        <w:szCs w:val="10"/>
      </w:rPr>
      <w:t>Funds  •</w:t>
    </w:r>
    <w:proofErr w:type="gramEnd"/>
    <w:r>
      <w:rPr>
        <w:rFonts w:ascii="Calibri" w:eastAsia="Calibri" w:hAnsi="Calibri" w:cs="Calibri"/>
        <w:color w:val="888888"/>
        <w:sz w:val="10"/>
        <w:szCs w:val="10"/>
      </w:rPr>
      <w:t xml:space="preserve">  Page </w:t>
    </w:r>
    <w:r>
      <w:rPr>
        <w:rFonts w:ascii="Calibri" w:eastAsia="Calibri" w:hAnsi="Calibri" w:cs="Calibri"/>
        <w:color w:val="888888"/>
        <w:sz w:val="10"/>
        <w:szCs w:val="10"/>
      </w:rPr>
      <w:fldChar w:fldCharType="begin"/>
    </w:r>
    <w:r>
      <w:rPr>
        <w:rFonts w:ascii="Calibri" w:eastAsia="Calibri" w:hAnsi="Calibri" w:cs="Calibri"/>
        <w:color w:val="888888"/>
        <w:sz w:val="10"/>
        <w:szCs w:val="10"/>
      </w:rPr>
      <w:instrText>PAGE</w:instrText>
    </w:r>
    <w:r>
      <w:rPr>
        <w:rFonts w:ascii="Calibri" w:eastAsia="Calibri" w:hAnsi="Calibri" w:cs="Calibri"/>
        <w:color w:val="888888"/>
        <w:sz w:val="10"/>
        <w:szCs w:val="10"/>
      </w:rPr>
      <w:fldChar w:fldCharType="separate"/>
    </w:r>
    <w:r w:rsidR="000B6151">
      <w:rPr>
        <w:rFonts w:ascii="Calibri" w:eastAsia="Calibri" w:hAnsi="Calibri" w:cs="Calibri"/>
        <w:noProof/>
        <w:color w:val="888888"/>
        <w:sz w:val="10"/>
        <w:szCs w:val="10"/>
      </w:rPr>
      <w:t>1</w:t>
    </w:r>
    <w:r>
      <w:rPr>
        <w:rFonts w:ascii="Calibri" w:eastAsia="Calibri" w:hAnsi="Calibri" w:cs="Calibri"/>
        <w:color w:val="888888"/>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9E699" w14:textId="77777777" w:rsidR="00095442" w:rsidRDefault="00095442">
      <w:r>
        <w:separator/>
      </w:r>
    </w:p>
  </w:footnote>
  <w:footnote w:type="continuationSeparator" w:id="0">
    <w:p w14:paraId="564CC7ED" w14:textId="77777777" w:rsidR="00095442" w:rsidRDefault="000954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77938" w14:textId="47E7E90F" w:rsidR="00706D8D" w:rsidRDefault="00085BE7">
    <w:pPr>
      <w:pBdr>
        <w:bottom w:val="single" w:sz="4" w:space="4" w:color="C9C6BC"/>
      </w:pBdr>
      <w:spacing w:after="40"/>
    </w:pPr>
    <w:r>
      <w:rPr>
        <w:rFonts w:ascii="Calibri" w:eastAsia="Calibri" w:hAnsi="Calibri" w:cs="Calibri"/>
        <w:b/>
        <w:bCs/>
        <w:color w:val="1F5C4E"/>
        <w:spacing w:val="8"/>
        <w:sz w:val="13"/>
        <w:szCs w:val="13"/>
      </w:rPr>
      <w:t>CIF POLICY BRIEF</w:t>
    </w:r>
    <w:r>
      <w:rPr>
        <w:rFonts w:ascii="Calibri" w:eastAsia="Calibri" w:hAnsi="Calibri" w:cs="Calibri"/>
        <w:color w:val="777777"/>
        <w:sz w:val="12"/>
        <w:szCs w:val="12"/>
      </w:rPr>
      <w:t xml:space="preserve">   •   Centre for Sustainable Finance, SOAS University of </w:t>
    </w:r>
    <w:proofErr w:type="gramStart"/>
    <w:r>
      <w:rPr>
        <w:rFonts w:ascii="Calibri" w:eastAsia="Calibri" w:hAnsi="Calibri" w:cs="Calibri"/>
        <w:color w:val="777777"/>
        <w:sz w:val="12"/>
        <w:szCs w:val="12"/>
      </w:rPr>
      <w:t>London  •</w:t>
    </w:r>
    <w:proofErr w:type="gramEnd"/>
    <w:r>
      <w:rPr>
        <w:rFonts w:ascii="Calibri" w:eastAsia="Calibri" w:hAnsi="Calibri" w:cs="Calibri"/>
        <w:color w:val="777777"/>
        <w:sz w:val="12"/>
        <w:szCs w:val="12"/>
      </w:rPr>
      <w:t xml:space="preserve">  July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30E4"/>
    <w:multiLevelType w:val="hybridMultilevel"/>
    <w:tmpl w:val="B55ADCD4"/>
    <w:lvl w:ilvl="0" w:tplc="4440E038">
      <w:start w:val="1"/>
      <w:numFmt w:val="bullet"/>
      <w:lvlText w:val="–"/>
      <w:lvlJc w:val="left"/>
      <w:pPr>
        <w:ind w:left="200" w:hanging="160"/>
      </w:pPr>
    </w:lvl>
    <w:lvl w:ilvl="1" w:tplc="6E9A78B6">
      <w:numFmt w:val="decimal"/>
      <w:lvlText w:val=""/>
      <w:lvlJc w:val="left"/>
    </w:lvl>
    <w:lvl w:ilvl="2" w:tplc="7CF64E76">
      <w:numFmt w:val="decimal"/>
      <w:lvlText w:val=""/>
      <w:lvlJc w:val="left"/>
    </w:lvl>
    <w:lvl w:ilvl="3" w:tplc="7562C1C0">
      <w:numFmt w:val="decimal"/>
      <w:lvlText w:val=""/>
      <w:lvlJc w:val="left"/>
    </w:lvl>
    <w:lvl w:ilvl="4" w:tplc="992A87A8">
      <w:numFmt w:val="decimal"/>
      <w:lvlText w:val=""/>
      <w:lvlJc w:val="left"/>
    </w:lvl>
    <w:lvl w:ilvl="5" w:tplc="DCC2808A">
      <w:numFmt w:val="decimal"/>
      <w:lvlText w:val=""/>
      <w:lvlJc w:val="left"/>
    </w:lvl>
    <w:lvl w:ilvl="6" w:tplc="98CEC5FE">
      <w:numFmt w:val="decimal"/>
      <w:lvlText w:val=""/>
      <w:lvlJc w:val="left"/>
    </w:lvl>
    <w:lvl w:ilvl="7" w:tplc="30EAD7CC">
      <w:numFmt w:val="decimal"/>
      <w:lvlText w:val=""/>
      <w:lvlJc w:val="left"/>
    </w:lvl>
    <w:lvl w:ilvl="8" w:tplc="55EA426E">
      <w:numFmt w:val="decimal"/>
      <w:lvlText w:val=""/>
      <w:lvlJc w:val="left"/>
    </w:lvl>
  </w:abstractNum>
  <w:abstractNum w:abstractNumId="1" w15:restartNumberingAfterBreak="0">
    <w:nsid w:val="08B240CE"/>
    <w:multiLevelType w:val="hybridMultilevel"/>
    <w:tmpl w:val="D060B312"/>
    <w:lvl w:ilvl="0" w:tplc="5BB81096">
      <w:start w:val="1"/>
      <w:numFmt w:val="bullet"/>
      <w:lvlText w:val="●"/>
      <w:lvlJc w:val="left"/>
      <w:pPr>
        <w:ind w:left="720" w:hanging="360"/>
      </w:pPr>
    </w:lvl>
    <w:lvl w:ilvl="1" w:tplc="BD8AC8BE">
      <w:start w:val="1"/>
      <w:numFmt w:val="bullet"/>
      <w:lvlText w:val="○"/>
      <w:lvlJc w:val="left"/>
      <w:pPr>
        <w:ind w:left="1440" w:hanging="360"/>
      </w:pPr>
    </w:lvl>
    <w:lvl w:ilvl="2" w:tplc="C3448C58">
      <w:start w:val="1"/>
      <w:numFmt w:val="bullet"/>
      <w:lvlText w:val="■"/>
      <w:lvlJc w:val="left"/>
      <w:pPr>
        <w:ind w:left="2160" w:hanging="360"/>
      </w:pPr>
    </w:lvl>
    <w:lvl w:ilvl="3" w:tplc="8E501356">
      <w:start w:val="1"/>
      <w:numFmt w:val="bullet"/>
      <w:lvlText w:val="●"/>
      <w:lvlJc w:val="left"/>
      <w:pPr>
        <w:ind w:left="2880" w:hanging="360"/>
      </w:pPr>
    </w:lvl>
    <w:lvl w:ilvl="4" w:tplc="069001E2">
      <w:start w:val="1"/>
      <w:numFmt w:val="bullet"/>
      <w:lvlText w:val="○"/>
      <w:lvlJc w:val="left"/>
      <w:pPr>
        <w:ind w:left="3600" w:hanging="360"/>
      </w:pPr>
    </w:lvl>
    <w:lvl w:ilvl="5" w:tplc="8E8C173C">
      <w:start w:val="1"/>
      <w:numFmt w:val="bullet"/>
      <w:lvlText w:val="■"/>
      <w:lvlJc w:val="left"/>
      <w:pPr>
        <w:ind w:left="4320" w:hanging="360"/>
      </w:pPr>
    </w:lvl>
    <w:lvl w:ilvl="6" w:tplc="C354EEF2">
      <w:start w:val="1"/>
      <w:numFmt w:val="bullet"/>
      <w:lvlText w:val="●"/>
      <w:lvlJc w:val="left"/>
      <w:pPr>
        <w:ind w:left="5040" w:hanging="360"/>
      </w:pPr>
    </w:lvl>
    <w:lvl w:ilvl="7" w:tplc="475E6BB6">
      <w:start w:val="1"/>
      <w:numFmt w:val="bullet"/>
      <w:lvlText w:val="●"/>
      <w:lvlJc w:val="left"/>
      <w:pPr>
        <w:ind w:left="5760" w:hanging="360"/>
      </w:pPr>
    </w:lvl>
    <w:lvl w:ilvl="8" w:tplc="80689BBC">
      <w:start w:val="1"/>
      <w:numFmt w:val="bullet"/>
      <w:lvlText w:val="●"/>
      <w:lvlJc w:val="left"/>
      <w:pPr>
        <w:ind w:left="6480" w:hanging="360"/>
      </w:pPr>
    </w:lvl>
  </w:abstractNum>
  <w:num w:numId="1" w16cid:durableId="1244947018">
    <w:abstractNumId w:val="1"/>
    <w:lvlOverride w:ilvl="0">
      <w:startOverride w:val="1"/>
    </w:lvlOverride>
  </w:num>
  <w:num w:numId="2" w16cid:durableId="713506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D8D"/>
    <w:rsid w:val="00085BE7"/>
    <w:rsid w:val="00095442"/>
    <w:rsid w:val="000B6151"/>
    <w:rsid w:val="00121E54"/>
    <w:rsid w:val="00195315"/>
    <w:rsid w:val="00240CCA"/>
    <w:rsid w:val="006714CD"/>
    <w:rsid w:val="006F251A"/>
    <w:rsid w:val="00706D8D"/>
    <w:rsid w:val="00771336"/>
    <w:rsid w:val="008D60B4"/>
    <w:rsid w:val="00A46491"/>
    <w:rsid w:val="00D34EBE"/>
    <w:rsid w:val="00DD67FC"/>
    <w:rsid w:val="00E16246"/>
    <w:rsid w:val="00F71E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4EF38"/>
  <w15:docId w15:val="{29683711-B852-4E10-BCAA-75CD9B1E9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B2B2B"/>
        <w:sz w:val="17"/>
        <w:szCs w:val="17"/>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71336"/>
    <w:pPr>
      <w:tabs>
        <w:tab w:val="center" w:pos="4513"/>
        <w:tab w:val="right" w:pos="9026"/>
      </w:tabs>
    </w:pPr>
  </w:style>
  <w:style w:type="character" w:customStyle="1" w:styleId="HeaderChar">
    <w:name w:val="Header Char"/>
    <w:basedOn w:val="DefaultParagraphFont"/>
    <w:link w:val="Header"/>
    <w:uiPriority w:val="99"/>
    <w:rsid w:val="00771336"/>
  </w:style>
  <w:style w:type="paragraph" w:styleId="Footer">
    <w:name w:val="footer"/>
    <w:basedOn w:val="Normal"/>
    <w:link w:val="FooterChar"/>
    <w:uiPriority w:val="99"/>
    <w:unhideWhenUsed/>
    <w:rsid w:val="00771336"/>
    <w:pPr>
      <w:tabs>
        <w:tab w:val="center" w:pos="4513"/>
        <w:tab w:val="right" w:pos="9026"/>
      </w:tabs>
    </w:pPr>
  </w:style>
  <w:style w:type="character" w:customStyle="1" w:styleId="FooterChar">
    <w:name w:val="Footer Char"/>
    <w:basedOn w:val="DefaultParagraphFont"/>
    <w:link w:val="Footer"/>
    <w:uiPriority w:val="99"/>
    <w:rsid w:val="00771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1494</Words>
  <Characters>8518</Characters>
  <Application>Microsoft Office Word</Application>
  <DocSecurity>0</DocSecurity>
  <Lines>70</Lines>
  <Paragraphs>19</Paragraphs>
  <ScaleCrop>false</ScaleCrop>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Ayuuya Ayeliga</cp:lastModifiedBy>
  <cp:revision>12</cp:revision>
  <dcterms:created xsi:type="dcterms:W3CDTF">2026-07-03T10:34:00Z</dcterms:created>
  <dcterms:modified xsi:type="dcterms:W3CDTF">2026-07-03T12:10:00Z</dcterms:modified>
</cp:coreProperties>
</file>