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615B" w14:textId="788F753A" w:rsidR="00255495" w:rsidRPr="00A22690" w:rsidRDefault="008905F7" w:rsidP="0023715C">
      <w:pPr>
        <w:spacing w:after="5"/>
        <w:jc w:val="both"/>
        <w:rPr>
          <w:sz w:val="14"/>
          <w:szCs w:val="14"/>
        </w:rPr>
      </w:pPr>
      <w:r w:rsidRPr="00A22690">
        <w:rPr>
          <w:rFonts w:ascii="Arial" w:eastAsia="Arial" w:hAnsi="Arial" w:cs="Arial"/>
          <w:b/>
          <w:bCs/>
          <w:color w:val="3D5C48"/>
          <w:sz w:val="14"/>
          <w:szCs w:val="14"/>
        </w:rPr>
        <w:t xml:space="preserve">GEF </w:t>
      </w:r>
      <w:r w:rsidR="00F9247E">
        <w:rPr>
          <w:rFonts w:ascii="Arial" w:eastAsia="Arial" w:hAnsi="Arial" w:cs="Arial"/>
          <w:b/>
          <w:bCs/>
          <w:color w:val="3D5C48"/>
          <w:sz w:val="14"/>
          <w:szCs w:val="14"/>
        </w:rPr>
        <w:t>Research</w:t>
      </w:r>
      <w:r w:rsidRPr="00A22690">
        <w:rPr>
          <w:rFonts w:ascii="Arial" w:eastAsia="Arial" w:hAnsi="Arial" w:cs="Arial"/>
          <w:b/>
          <w:bCs/>
          <w:color w:val="3D5C48"/>
          <w:sz w:val="14"/>
          <w:szCs w:val="14"/>
        </w:rPr>
        <w:t xml:space="preserve"> </w:t>
      </w:r>
      <w:proofErr w:type="gramStart"/>
      <w:r w:rsidRPr="00A22690">
        <w:rPr>
          <w:rFonts w:ascii="Arial" w:eastAsia="Arial" w:hAnsi="Arial" w:cs="Arial"/>
          <w:b/>
          <w:bCs/>
          <w:color w:val="3D5C48"/>
          <w:sz w:val="14"/>
          <w:szCs w:val="14"/>
        </w:rPr>
        <w:t>BRIEF  —</w:t>
      </w:r>
      <w:proofErr w:type="gramEnd"/>
      <w:r w:rsidRPr="00A22690">
        <w:rPr>
          <w:rFonts w:ascii="Arial" w:eastAsia="Arial" w:hAnsi="Arial" w:cs="Arial"/>
          <w:b/>
          <w:bCs/>
          <w:color w:val="3D5C48"/>
          <w:sz w:val="14"/>
          <w:szCs w:val="14"/>
        </w:rPr>
        <w:t xml:space="preserve">  </w:t>
      </w:r>
      <w:r w:rsidRPr="00A22690">
        <w:rPr>
          <w:rFonts w:ascii="Arial" w:eastAsia="Arial" w:hAnsi="Arial" w:cs="Arial"/>
          <w:color w:val="909090"/>
          <w:sz w:val="14"/>
          <w:szCs w:val="14"/>
        </w:rPr>
        <w:t xml:space="preserve">Centre for Sustainable Finance, SOAS University of </w:t>
      </w:r>
      <w:proofErr w:type="gramStart"/>
      <w:r w:rsidRPr="00A22690">
        <w:rPr>
          <w:rFonts w:ascii="Arial" w:eastAsia="Arial" w:hAnsi="Arial" w:cs="Arial"/>
          <w:color w:val="909090"/>
          <w:sz w:val="14"/>
          <w:szCs w:val="14"/>
        </w:rPr>
        <w:t>London  ·</w:t>
      </w:r>
      <w:proofErr w:type="gramEnd"/>
      <w:r w:rsidRPr="00A22690">
        <w:rPr>
          <w:rFonts w:ascii="Arial" w:eastAsia="Arial" w:hAnsi="Arial" w:cs="Arial"/>
          <w:color w:val="909090"/>
          <w:sz w:val="14"/>
          <w:szCs w:val="14"/>
        </w:rPr>
        <w:t xml:space="preserve">  July 2026</w:t>
      </w:r>
    </w:p>
    <w:p w14:paraId="765AC2BC" w14:textId="77777777" w:rsidR="00255495" w:rsidRPr="00A22690" w:rsidRDefault="008905F7" w:rsidP="0023715C">
      <w:pPr>
        <w:pBdr>
          <w:bottom w:val="single" w:sz="6" w:space="3" w:color="A4BEB2"/>
        </w:pBdr>
        <w:jc w:val="both"/>
        <w:rPr>
          <w:sz w:val="14"/>
          <w:szCs w:val="14"/>
        </w:rPr>
      </w:pPr>
      <w:r w:rsidRPr="00A22690">
        <w:rPr>
          <w:rFonts w:ascii="Georgia" w:eastAsia="Georgia" w:hAnsi="Georgia" w:cs="Georgia"/>
          <w:b/>
          <w:bCs/>
          <w:color w:val="161616"/>
          <w:sz w:val="14"/>
          <w:szCs w:val="14"/>
        </w:rPr>
        <w:t>GEF Accreditation to Disbursement: Barriers, Reforms &amp; the Path Forward</w:t>
      </w:r>
    </w:p>
    <w:p w14:paraId="12EDAEF8" w14:textId="77777777" w:rsidR="00255495" w:rsidRPr="00A22690" w:rsidRDefault="00255495" w:rsidP="0023715C">
      <w:pPr>
        <w:spacing w:before="10"/>
        <w:jc w:val="both"/>
        <w:rPr>
          <w:sz w:val="14"/>
          <w:szCs w:val="14"/>
        </w:rPr>
      </w:pPr>
    </w:p>
    <w:p w14:paraId="435E1F8F" w14:textId="77777777" w:rsidR="00255495" w:rsidRPr="00A22690" w:rsidRDefault="008905F7" w:rsidP="0023715C">
      <w:pPr>
        <w:pBdr>
          <w:bottom w:val="single" w:sz="4" w:space="2" w:color="A4BEB2"/>
        </w:pBdr>
        <w:spacing w:before="10" w:after="8"/>
        <w:jc w:val="both"/>
        <w:rPr>
          <w:sz w:val="14"/>
          <w:szCs w:val="14"/>
        </w:rPr>
      </w:pPr>
      <w:r w:rsidRPr="00A22690">
        <w:rPr>
          <w:rFonts w:ascii="Arial" w:eastAsia="Arial" w:hAnsi="Arial" w:cs="Arial"/>
          <w:b/>
          <w:bCs/>
          <w:caps/>
          <w:color w:val="3D5C48"/>
          <w:sz w:val="14"/>
          <w:szCs w:val="14"/>
        </w:rPr>
        <w:t>Introduction</w:t>
      </w:r>
    </w:p>
    <w:p w14:paraId="0CED8506" w14:textId="77777777" w:rsidR="00255495" w:rsidRPr="00A22690" w:rsidRDefault="008905F7" w:rsidP="0023715C">
      <w:pPr>
        <w:spacing w:before="4" w:after="4"/>
        <w:jc w:val="both"/>
        <w:rPr>
          <w:sz w:val="14"/>
          <w:szCs w:val="14"/>
        </w:rPr>
      </w:pPr>
      <w:r w:rsidRPr="00A22690">
        <w:rPr>
          <w:rFonts w:ascii="Georgia" w:eastAsia="Georgia" w:hAnsi="Georgia" w:cs="Georgia"/>
          <w:color w:val="343434"/>
          <w:sz w:val="14"/>
          <w:szCs w:val="14"/>
        </w:rPr>
        <w:t>The Global Environment Facility (GEF) is the primary financial mechanism for five multilateral environmental agreements (MEAs) — covering biodiversity, climate change, land degradation, persistent organic pollutants, and mercury. Established as a World Bank pilot in 1991, it has evolved from a three-agency structure into a network of eighteen accredited agencies that has disbursed over $27 billion in grants across 170 countries, leveraging a further $155 billion in co-financing. Its 76% disbursement-to-approval ratio compares favourably with peer funds like the GCF (31%), yet the system has deep structural problems: accreditation costs that most developing-country national institutions simply cannot afford, disbursement timelines that have deteriorated sharply since GEF-7, and an institutional architecture that continues to concentrate resources in a handful of large multilaterals rather than the national agencies closest to project communities. GEF-9 (2026–2030) introduces the most substantive reform package in the facility’s history.</w:t>
      </w:r>
    </w:p>
    <w:p w14:paraId="0F14E304" w14:textId="77777777" w:rsidR="00255495" w:rsidRPr="00A22690" w:rsidRDefault="00255495" w:rsidP="0023715C">
      <w:pPr>
        <w:spacing w:before="10"/>
        <w:jc w:val="both"/>
        <w:rPr>
          <w:sz w:val="14"/>
          <w:szCs w:val="14"/>
        </w:rPr>
      </w:pPr>
    </w:p>
    <w:p w14:paraId="2F55CDE5" w14:textId="77777777" w:rsidR="00255495" w:rsidRPr="00A22690" w:rsidRDefault="008905F7" w:rsidP="0023715C">
      <w:pPr>
        <w:pBdr>
          <w:bottom w:val="single" w:sz="4" w:space="2" w:color="A4BEB2"/>
        </w:pBdr>
        <w:spacing w:before="10" w:after="8"/>
        <w:jc w:val="both"/>
        <w:rPr>
          <w:sz w:val="14"/>
          <w:szCs w:val="14"/>
        </w:rPr>
      </w:pPr>
      <w:r w:rsidRPr="00A22690">
        <w:rPr>
          <w:rFonts w:ascii="Arial" w:eastAsia="Arial" w:hAnsi="Arial" w:cs="Arial"/>
          <w:b/>
          <w:bCs/>
          <w:caps/>
          <w:color w:val="3D5C48"/>
          <w:sz w:val="14"/>
          <w:szCs w:val="14"/>
        </w:rPr>
        <w:t>Key Statistics at a Glance</w:t>
      </w:r>
    </w:p>
    <w:p w14:paraId="09C8A1F0" w14:textId="77777777" w:rsidR="00255495" w:rsidRPr="00A22690" w:rsidRDefault="00255495" w:rsidP="0023715C">
      <w:pPr>
        <w:spacing w:before="5"/>
        <w:jc w:val="both"/>
        <w:rPr>
          <w:sz w:val="14"/>
          <w:szCs w:val="14"/>
        </w:rPr>
      </w:pPr>
    </w:p>
    <w:tbl>
      <w:tblPr>
        <w:tblW w:w="11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051"/>
        <w:gridCol w:w="1730"/>
        <w:gridCol w:w="2130"/>
        <w:gridCol w:w="1903"/>
        <w:gridCol w:w="2126"/>
      </w:tblGrid>
      <w:tr w:rsidR="00255495" w:rsidRPr="00A22690" w14:paraId="529B18B2" w14:textId="77777777" w:rsidTr="00DA6F4A">
        <w:tc>
          <w:tcPr>
            <w:tcW w:w="0" w:type="auto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E8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70F91C32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D5C48"/>
                <w:sz w:val="14"/>
                <w:szCs w:val="14"/>
              </w:rPr>
              <w:t>$27B+</w:t>
            </w:r>
          </w:p>
          <w:p w14:paraId="1FBBAA38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Total grants disbursed</w:t>
            </w:r>
          </w:p>
          <w:p w14:paraId="7D7DEA27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Across nine replenishment cycles</w:t>
            </w:r>
          </w:p>
        </w:tc>
        <w:tc>
          <w:tcPr>
            <w:tcW w:w="0" w:type="auto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E8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628CC2C4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D5C48"/>
                <w:sz w:val="14"/>
                <w:szCs w:val="14"/>
              </w:rPr>
              <w:t>$155B+</w:t>
            </w:r>
          </w:p>
          <w:p w14:paraId="4D18C8EC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Co-financing leveraged</w:t>
            </w:r>
          </w:p>
          <w:p w14:paraId="4AE0D8E8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From governments, MDBs &amp; private sector</w:t>
            </w:r>
          </w:p>
        </w:tc>
        <w:tc>
          <w:tcPr>
            <w:tcW w:w="0" w:type="auto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E8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2EEE0796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D5C48"/>
                <w:sz w:val="14"/>
                <w:szCs w:val="14"/>
              </w:rPr>
              <w:t>76%</w:t>
            </w:r>
          </w:p>
          <w:p w14:paraId="7CA5CE05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Disbursement ratio</w:t>
            </w:r>
          </w:p>
          <w:p w14:paraId="7FDD8F6C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vs. GCF’s 31% — but deteriorating</w:t>
            </w:r>
          </w:p>
        </w:tc>
        <w:tc>
          <w:tcPr>
            <w:tcW w:w="0" w:type="auto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F4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71D41AF1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5C3820"/>
                <w:sz w:val="14"/>
                <w:szCs w:val="14"/>
              </w:rPr>
              <w:t>20 months</w:t>
            </w:r>
          </w:p>
          <w:p w14:paraId="711A815D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Post-endorsement delay</w:t>
            </w:r>
          </w:p>
          <w:p w14:paraId="20E1C9B1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GEF-8 median — up from 9 months in GEF-7</w:t>
            </w:r>
          </w:p>
        </w:tc>
        <w:tc>
          <w:tcPr>
            <w:tcW w:w="1903" w:type="dxa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E8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11035D5A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D5C48"/>
                <w:sz w:val="14"/>
                <w:szCs w:val="14"/>
              </w:rPr>
              <w:t>18</w:t>
            </w:r>
          </w:p>
          <w:p w14:paraId="4920F533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Accredited agencies</w:t>
            </w:r>
          </w:p>
          <w:p w14:paraId="106B8584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Up from 3 at founding in 1991</w:t>
            </w:r>
          </w:p>
        </w:tc>
        <w:tc>
          <w:tcPr>
            <w:tcW w:w="2126" w:type="dxa"/>
            <w:tcBorders>
              <w:top w:val="single" w:sz="3" w:space="0" w:color="DEDEDE"/>
              <w:left w:val="single" w:sz="3" w:space="0" w:color="DEDEDE"/>
              <w:bottom w:val="single" w:sz="3" w:space="0" w:color="DEDEDE"/>
              <w:right w:val="single" w:sz="3" w:space="0" w:color="DEDEDE"/>
            </w:tcBorders>
            <w:shd w:val="clear" w:color="auto" w:fill="E8EDEA"/>
            <w:tcMar>
              <w:top w:w="22" w:type="dxa"/>
              <w:left w:w="36" w:type="dxa"/>
              <w:bottom w:w="22" w:type="dxa"/>
              <w:right w:w="36" w:type="dxa"/>
            </w:tcMar>
          </w:tcPr>
          <w:p w14:paraId="07EDC038" w14:textId="77777777" w:rsidR="00255495" w:rsidRPr="00A22690" w:rsidRDefault="008905F7" w:rsidP="0023715C">
            <w:pPr>
              <w:spacing w:after="3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D5C48"/>
                <w:sz w:val="14"/>
                <w:szCs w:val="14"/>
              </w:rPr>
              <w:t>35%</w:t>
            </w:r>
          </w:p>
          <w:p w14:paraId="46F3DEB6" w14:textId="77777777" w:rsidR="00255495" w:rsidRPr="00A22690" w:rsidRDefault="008905F7" w:rsidP="0023715C">
            <w:pPr>
              <w:spacing w:after="2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LDC/SIDS resource target</w:t>
            </w:r>
          </w:p>
          <w:p w14:paraId="14B3D911" w14:textId="77777777" w:rsidR="00255495" w:rsidRPr="00A22690" w:rsidRDefault="008905F7" w:rsidP="0023715C">
            <w:pPr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GEF-9 commitment — highest ever</w:t>
            </w:r>
          </w:p>
        </w:tc>
      </w:tr>
    </w:tbl>
    <w:p w14:paraId="230F555C" w14:textId="77777777" w:rsidR="00255495" w:rsidRPr="00A22690" w:rsidRDefault="00255495" w:rsidP="0023715C">
      <w:pPr>
        <w:spacing w:before="10"/>
        <w:jc w:val="both"/>
        <w:rPr>
          <w:sz w:val="14"/>
          <w:szCs w:val="14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0"/>
        <w:gridCol w:w="6"/>
        <w:gridCol w:w="6444"/>
      </w:tblGrid>
      <w:tr w:rsidR="00255495" w:rsidRPr="00A22690" w14:paraId="6045CB3A" w14:textId="77777777">
        <w:tc>
          <w:tcPr>
            <w:tcW w:w="5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4" w:type="dxa"/>
              <w:left w:w="60" w:type="dxa"/>
              <w:bottom w:w="44" w:type="dxa"/>
              <w:right w:w="60" w:type="dxa"/>
            </w:tcMar>
          </w:tcPr>
          <w:p w14:paraId="1E4A6518" w14:textId="77777777" w:rsidR="00255495" w:rsidRPr="00A22690" w:rsidRDefault="008905F7" w:rsidP="0023715C">
            <w:pPr>
              <w:pBdr>
                <w:bottom w:val="single" w:sz="4" w:space="2" w:color="A4BEB2"/>
              </w:pBdr>
              <w:spacing w:before="10" w:after="8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aps/>
                <w:color w:val="3D5C48"/>
                <w:sz w:val="14"/>
                <w:szCs w:val="14"/>
              </w:rPr>
              <w:t>Replenishment Phases: GEF-1 to GEF-9</w:t>
            </w:r>
          </w:p>
          <w:p w14:paraId="271505D0" w14:textId="77777777" w:rsidR="00255495" w:rsidRPr="00A22690" w:rsidRDefault="00255495" w:rsidP="0023715C">
            <w:pPr>
              <w:spacing w:before="4"/>
              <w:jc w:val="both"/>
              <w:rPr>
                <w:sz w:val="14"/>
                <w:szCs w:val="14"/>
              </w:rPr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654"/>
              <w:gridCol w:w="4346"/>
            </w:tblGrid>
            <w:tr w:rsidR="00255495" w:rsidRPr="00A22690" w14:paraId="02E344E6" w14:textId="77777777">
              <w:tc>
                <w:tcPr>
                  <w:tcW w:w="820" w:type="dxa"/>
                  <w:tcBorders>
                    <w:top w:val="single" w:sz="3" w:space="0" w:color="9A9A9A"/>
                    <w:left w:val="single" w:sz="3" w:space="0" w:color="9A9A9A"/>
                    <w:bottom w:val="single" w:sz="3" w:space="0" w:color="9A9A9A"/>
                    <w:right w:val="single" w:sz="3" w:space="0" w:color="9A9A9A"/>
                  </w:tcBorders>
                  <w:shd w:val="clear" w:color="auto" w:fill="525252"/>
                  <w:tcMar>
                    <w:top w:w="10" w:type="dxa"/>
                    <w:left w:w="14" w:type="dxa"/>
                    <w:bottom w:w="10" w:type="dxa"/>
                    <w:right w:w="14" w:type="dxa"/>
                  </w:tcMar>
                </w:tcPr>
                <w:p w14:paraId="6C8CC9F6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Phase</w:t>
                  </w:r>
                </w:p>
              </w:tc>
              <w:tc>
                <w:tcPr>
                  <w:tcW w:w="9980" w:type="dxa"/>
                  <w:tcBorders>
                    <w:top w:val="single" w:sz="3" w:space="0" w:color="9A9A9A"/>
                    <w:left w:val="single" w:sz="3" w:space="0" w:color="9A9A9A"/>
                    <w:bottom w:val="single" w:sz="3" w:space="0" w:color="9A9A9A"/>
                    <w:right w:val="single" w:sz="3" w:space="0" w:color="9A9A9A"/>
                  </w:tcBorders>
                  <w:shd w:val="clear" w:color="auto" w:fill="525252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702CD48E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Key Change &amp; Who Felt It</w:t>
                  </w:r>
                </w:p>
              </w:tc>
            </w:tr>
            <w:tr w:rsidR="00255495" w:rsidRPr="00A22690" w14:paraId="6294D72A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63D6E207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Pilot–GEF-2 1991–2002</w:t>
                  </w:r>
                </w:p>
                <w:p w14:paraId="45AA0268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~$6.75B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262B34C9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Started as a World Bank pilot with only 3 agencies (World Bank, UNDP, UNEP) and entirely donor-directed programming. Restructured in 1994 as an independent fund with a governing Council and OFP system. Seven new Executing Agencies joined in GEF-2 (including AfDB), giving Sub-Saharan Africa its first direct MDB channel into the facility.</w:t>
                  </w:r>
                </w:p>
              </w:tc>
            </w:tr>
            <w:tr w:rsidR="00255495" w:rsidRPr="00A22690" w14:paraId="32794958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030F3F6D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GEF-3/4 2003–2010</w:t>
                  </w:r>
                </w:p>
                <w:p w14:paraId="7B00F1EA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$6.26B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6E4D9C7D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IEO established (2003). Project approval backlog peaked at 4+ years under first-come queuing. The Resource Allocation Framework (RAF) was introduced in GEF-4 to assign country-specific envelopes — a structural improvement, but the bottleneck simply shifted upstream to the national level rather than being resolved.</w:t>
                  </w:r>
                </w:p>
              </w:tc>
            </w:tr>
            <w:tr w:rsidR="00255495" w:rsidRPr="00A22690" w14:paraId="35C03FD2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71FF7807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GEF-5 2010–2014</w:t>
                  </w:r>
                </w:p>
                <w:p w14:paraId="70AC942F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$4.34B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27BDC1CB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STAR replaced RAF, giving countries full flexibility over focal area allocations. A pilot accreditation programme launched: up to 10 new Project Agencies allowed. Only 8 of 11 applicants succeeded. DBSA (South Africa) became the first national developing-country institution to be accredited — 20 years after GEF’s founding.</w:t>
                  </w:r>
                </w:p>
              </w:tc>
            </w:tr>
            <w:tr w:rsidR="00255495" w:rsidRPr="00A22690" w14:paraId="1448C9F3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2B5D222C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GEF-6/7 2014–2022</w:t>
                  </w:r>
                </w:p>
                <w:p w14:paraId="2EF4C562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$8.53B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7F44FA71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18 agencies fully operational; new agencies captured 8% of the GEF-6 portfolio. Agency expansion paused in GEF-7. Thematic shift toward integrated multi-focal programmes. GBFF established. UNDP’s share rose to 33.4% of GEF-8 resources while all regional agencies combined fell to just 3.2%.</w:t>
                  </w:r>
                </w:p>
              </w:tc>
            </w:tr>
            <w:tr w:rsidR="00255495" w:rsidRPr="00A22690" w14:paraId="5A4922C5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47781D5C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GEF-8 2022–2026</w:t>
                  </w:r>
                </w:p>
                <w:p w14:paraId="660B2118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$5.30B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54018B48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A genuine improvement in pre-endorsement efficiency: CEO endorsement reached an 18-month median (73% on-time, up from 14% in GEF-7). But this was undermined by a sharp post-endorsement slowdown: median first disbursement took 20 months — more than double the 9 months recorded in GEF-7. GBFF operationalised.</w:t>
                  </w:r>
                </w:p>
              </w:tc>
            </w:tr>
            <w:tr w:rsidR="00255495" w:rsidRPr="00A22690" w14:paraId="769BF3C5" w14:textId="77777777">
              <w:tc>
                <w:tcPr>
                  <w:tcW w:w="82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E8EDEA"/>
                  <w:tcMar>
                    <w:top w:w="8" w:type="dxa"/>
                    <w:left w:w="12" w:type="dxa"/>
                    <w:bottom w:w="8" w:type="dxa"/>
                    <w:right w:w="12" w:type="dxa"/>
                  </w:tcMar>
                  <w:vAlign w:val="center"/>
                </w:tcPr>
                <w:p w14:paraId="42C7C2B2" w14:textId="77777777" w:rsidR="00255495" w:rsidRPr="00A22690" w:rsidRDefault="008905F7" w:rsidP="0023715C">
                  <w:pPr>
                    <w:shd w:val="clear" w:color="auto" w:fill="3D5C48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GEF-9 2026–2030</w:t>
                  </w:r>
                </w:p>
                <w:p w14:paraId="04850C6C" w14:textId="77777777" w:rsidR="00255495" w:rsidRPr="00A22690" w:rsidRDefault="008905F7" w:rsidP="0023715C">
                  <w:pPr>
                    <w:spacing w:before="2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$3.9B*</w:t>
                  </w:r>
                </w:p>
              </w:tc>
              <w:tc>
                <w:tcPr>
                  <w:tcW w:w="998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36" w:type="dxa"/>
                    <w:bottom w:w="8" w:type="dxa"/>
                    <w:right w:w="36" w:type="dxa"/>
                  </w:tcMar>
                </w:tcPr>
                <w:p w14:paraId="7F3A31F8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Most reform-intensive cycle: fast-track accreditation for GCF/AF-accredited entities; 30-month disbursement cancellation rule; 25% portfolio cap per agency; 35% LDC/SIDS allocation; 43% of STAR ring-fenced; new disbursement efficiency sub-index; BBNJ Agreement integrated. Initial pledges lower than GEF-8 peak, but more pledges expected.</w:t>
                  </w:r>
                </w:p>
              </w:tc>
            </w:tr>
          </w:tbl>
          <w:p w14:paraId="57E3D65C" w14:textId="77777777" w:rsidR="00255495" w:rsidRPr="00A22690" w:rsidRDefault="008905F7" w:rsidP="0023715C">
            <w:pPr>
              <w:spacing w:before="4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i/>
                <w:iCs/>
                <w:color w:val="909090"/>
                <w:sz w:val="14"/>
                <w:szCs w:val="14"/>
              </w:rPr>
              <w:t>*Initial pledges as of July 2026; additional contributions expected at 2026 COP processes.</w:t>
            </w:r>
          </w:p>
          <w:p w14:paraId="5AA362C2" w14:textId="77777777" w:rsidR="00255495" w:rsidRPr="00A22690" w:rsidRDefault="00255495" w:rsidP="0023715C">
            <w:pPr>
              <w:spacing w:before="8"/>
              <w:jc w:val="both"/>
              <w:rPr>
                <w:sz w:val="14"/>
                <w:szCs w:val="14"/>
              </w:rPr>
            </w:pPr>
          </w:p>
          <w:p w14:paraId="4910966D" w14:textId="77777777" w:rsidR="00255495" w:rsidRPr="00A22690" w:rsidRDefault="008905F7" w:rsidP="0023715C">
            <w:pPr>
              <w:pBdr>
                <w:bottom w:val="single" w:sz="4" w:space="2" w:color="A4BEB2"/>
              </w:pBdr>
              <w:spacing w:before="10" w:after="8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aps/>
                <w:color w:val="3D5C48"/>
                <w:sz w:val="14"/>
                <w:szCs w:val="14"/>
              </w:rPr>
              <w:t>GEF-9 Reforms &amp; Recommendations</w:t>
            </w:r>
          </w:p>
          <w:p w14:paraId="1C67A74C" w14:textId="77777777" w:rsidR="00255495" w:rsidRPr="00A22690" w:rsidRDefault="00255495" w:rsidP="0023715C">
            <w:pPr>
              <w:spacing w:before="4"/>
              <w:jc w:val="both"/>
              <w:rPr>
                <w:sz w:val="14"/>
                <w:szCs w:val="14"/>
              </w:rPr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469"/>
              <w:gridCol w:w="61"/>
              <w:gridCol w:w="2470"/>
            </w:tblGrid>
            <w:tr w:rsidR="00255495" w:rsidRPr="00A22690" w14:paraId="509475AC" w14:textId="77777777">
              <w:tc>
                <w:tcPr>
                  <w:tcW w:w="244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4F89BDF7" w14:textId="09C07DDF" w:rsidR="00255495" w:rsidRPr="00A22690" w:rsidRDefault="008905F7" w:rsidP="0023715C">
                  <w:pPr>
                    <w:spacing w:after="5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43434"/>
                      <w:sz w:val="14"/>
                      <w:szCs w:val="14"/>
                    </w:rPr>
                    <w:t xml:space="preserve">  GEF Fund</w:t>
                  </w:r>
                </w:p>
                <w:p w14:paraId="72497EC6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GEF-9 fast-tracks GCF and Adaptation Fund-accredited entities past Stage 2, bypassing full fiduciary re-review. An independent panel will target institutions in LDC/SIDS coverage gaps, with recommendations due June 2027.</w:t>
                  </w:r>
                </w:p>
                <w:p w14:paraId="08916E2A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The 30-month cancellation rule automatically returns inactive project resources to the country’s programming envelope — addressing the post-endorsement paralysis problem directly.</w:t>
                  </w:r>
                </w:p>
                <w:p w14:paraId="4E3BFB07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To go further: cap the true accreditation cost at $50K via a Secretariat-funded TA package. Introduce regional cluster applications for sub-regional groups of NDBs. Issue all GEF Portal templates and Terminal Evaluation forms in French, Portuguese, and Spanish as standard.</w:t>
                  </w:r>
                </w:p>
              </w:tc>
              <w:tc>
                <w:tcPr>
                  <w:tcW w:w="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1A171A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44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79F53F4C" w14:textId="58473488" w:rsidR="00255495" w:rsidRPr="00A22690" w:rsidRDefault="008905F7" w:rsidP="0023715C">
                  <w:pPr>
                    <w:spacing w:after="5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43434"/>
                      <w:sz w:val="14"/>
                      <w:szCs w:val="14"/>
                    </w:rPr>
                    <w:t xml:space="preserve"> Agencies &amp; National Institutions</w:t>
                  </w:r>
                </w:p>
                <w:p w14:paraId="508A3461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De-link GEF grants from MDB sovereign loan timelines. Grants should become legally effective independently of loan signing, with disbursement held pending a lightweight parallel readiness confirmation.</w:t>
                  </w:r>
                </w:p>
                <w:p w14:paraId="61084B1F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Accept board-approved MDB programming decisions (not signed loan agreements) as co-financing at CEO Endorsement — this closes the gap between commitment and actual execution.</w:t>
                  </w:r>
                </w:p>
                <w:p w14:paraId="1636D4F5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Require the original three agencies to formally partner with a national or regional LDC/SIDS institution on every project above $5M, building the track record the Panel weights most. National institutions: seek SGP executing agency status before applying for full accreditation.</w:t>
                  </w:r>
                </w:p>
              </w:tc>
            </w:tr>
          </w:tbl>
          <w:p w14:paraId="6A7329F0" w14:textId="77777777" w:rsidR="00255495" w:rsidRPr="00A22690" w:rsidRDefault="00255495" w:rsidP="0023715C">
            <w:pPr>
              <w:spacing w:before="10"/>
              <w:jc w:val="both"/>
              <w:rPr>
                <w:sz w:val="14"/>
                <w:szCs w:val="14"/>
              </w:rPr>
            </w:pPr>
          </w:p>
          <w:p w14:paraId="5F1CCFF3" w14:textId="77777777" w:rsidR="00255495" w:rsidRPr="00DA6F4A" w:rsidRDefault="008905F7" w:rsidP="00DA6F4A">
            <w:pPr>
              <w:pBdr>
                <w:bottom w:val="single" w:sz="4" w:space="2" w:color="A4BEB2"/>
              </w:pBdr>
              <w:spacing w:before="10" w:after="8"/>
              <w:rPr>
                <w:sz w:val="10"/>
                <w:szCs w:val="10"/>
              </w:rPr>
            </w:pPr>
            <w:r w:rsidRPr="00DA6F4A">
              <w:rPr>
                <w:rFonts w:ascii="Arial" w:eastAsia="Arial" w:hAnsi="Arial" w:cs="Arial"/>
                <w:b/>
                <w:bCs/>
                <w:caps/>
                <w:color w:val="3D5C48"/>
                <w:sz w:val="10"/>
                <w:szCs w:val="10"/>
              </w:rPr>
              <w:t>Key Abbreviations</w:t>
            </w:r>
          </w:p>
          <w:p w14:paraId="6F628F77" w14:textId="77777777" w:rsidR="00255495" w:rsidRPr="00DA6F4A" w:rsidRDefault="00255495" w:rsidP="00DA6F4A">
            <w:pPr>
              <w:spacing w:before="4"/>
              <w:rPr>
                <w:sz w:val="10"/>
                <w:szCs w:val="10"/>
              </w:rPr>
            </w:pP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233"/>
              <w:gridCol w:w="21"/>
              <w:gridCol w:w="1232"/>
              <w:gridCol w:w="20"/>
              <w:gridCol w:w="1232"/>
              <w:gridCol w:w="20"/>
              <w:gridCol w:w="1242"/>
            </w:tblGrid>
            <w:tr w:rsidR="00255495" w:rsidRPr="00DA6F4A" w14:paraId="112D297B" w14:textId="77777777" w:rsidTr="00C248E0">
              <w:tc>
                <w:tcPr>
                  <w:tcW w:w="12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3326C18A" w14:textId="33B9B962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ADB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Asian Development Bank</w:t>
                  </w:r>
                </w:p>
              </w:tc>
              <w:tc>
                <w:tcPr>
                  <w:tcW w:w="2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DBA7F7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35C7B0F5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AfDB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African Development Bank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DC7527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4C874451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CBD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Convention on Biological Diversity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54A785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4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56ABA030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CEO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GEF Chief Executive Officer</w:t>
                  </w:r>
                </w:p>
              </w:tc>
            </w:tr>
            <w:tr w:rsidR="00255495" w:rsidRPr="00DA6F4A" w14:paraId="370F3B1C" w14:textId="77777777" w:rsidTr="00C248E0">
              <w:tc>
                <w:tcPr>
                  <w:tcW w:w="12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0C9D1792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DBSA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Development Bank of Southern Africa</w:t>
                  </w:r>
                </w:p>
              </w:tc>
              <w:tc>
                <w:tcPr>
                  <w:tcW w:w="2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9E0540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263C071F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ESS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Environmental &amp; Social Safeguards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EA03CE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17A0EF7C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FAO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Food &amp; Agriculture Organization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02A96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4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4B3E7B5B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FPIC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Free, Prior and Informed Consent</w:t>
                  </w:r>
                </w:p>
              </w:tc>
            </w:tr>
            <w:tr w:rsidR="00255495" w:rsidRPr="00DA6F4A" w14:paraId="2D6D5455" w14:textId="77777777" w:rsidTr="00C248E0">
              <w:tc>
                <w:tcPr>
                  <w:tcW w:w="12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5E5B6DF9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GBFF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Global Biodiversity Framework Fund</w:t>
                  </w:r>
                </w:p>
              </w:tc>
              <w:tc>
                <w:tcPr>
                  <w:tcW w:w="2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96CA43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57DA6041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GCF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Green Climate Fund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AB7773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3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20126ED1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GEF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Global Environment Facility</w:t>
                  </w:r>
                </w:p>
              </w:tc>
              <w:tc>
                <w:tcPr>
                  <w:tcW w:w="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31FB19" w14:textId="77777777" w:rsidR="00255495" w:rsidRPr="00DA6F4A" w:rsidRDefault="00255495" w:rsidP="00DA6F4A">
                  <w:pPr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24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1" w:type="dxa"/>
                    <w:left w:w="60" w:type="dxa"/>
                    <w:bottom w:w="1" w:type="dxa"/>
                    <w:right w:w="6" w:type="dxa"/>
                  </w:tcMar>
                </w:tcPr>
                <w:p w14:paraId="5E7AF09B" w14:textId="77777777" w:rsidR="00255495" w:rsidRPr="00DA6F4A" w:rsidRDefault="008905F7" w:rsidP="00DA6F4A">
                  <w:pPr>
                    <w:rPr>
                      <w:sz w:val="10"/>
                      <w:szCs w:val="10"/>
                    </w:rPr>
                  </w:pPr>
                  <w:r w:rsidRPr="00DA6F4A">
                    <w:rPr>
                      <w:rFonts w:ascii="Arial" w:eastAsia="Arial" w:hAnsi="Arial" w:cs="Arial"/>
                      <w:b/>
                      <w:bCs/>
                      <w:color w:val="3D5C48"/>
                      <w:sz w:val="10"/>
                      <w:szCs w:val="10"/>
                    </w:rPr>
                    <w:t>IADB</w:t>
                  </w:r>
                  <w:r w:rsidRPr="00DA6F4A">
                    <w:rPr>
                      <w:rFonts w:ascii="Arial" w:eastAsia="Arial" w:hAnsi="Arial" w:cs="Arial"/>
                      <w:color w:val="343434"/>
                      <w:sz w:val="10"/>
                      <w:szCs w:val="10"/>
                    </w:rPr>
                    <w:t xml:space="preserve"> — Inter-American Development Bank</w:t>
                  </w:r>
                </w:p>
              </w:tc>
            </w:tr>
          </w:tbl>
          <w:p w14:paraId="3B27194C" w14:textId="77777777" w:rsidR="00255495" w:rsidRPr="00A22690" w:rsidRDefault="00255495" w:rsidP="0023715C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2403D" w14:textId="77777777" w:rsidR="00255495" w:rsidRPr="00A22690" w:rsidRDefault="00255495" w:rsidP="0023715C">
            <w:pPr>
              <w:jc w:val="both"/>
              <w:rPr>
                <w:sz w:val="14"/>
                <w:szCs w:val="14"/>
              </w:rPr>
            </w:pPr>
          </w:p>
        </w:tc>
        <w:tc>
          <w:tcPr>
            <w:tcW w:w="5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4" w:type="dxa"/>
              <w:left w:w="60" w:type="dxa"/>
              <w:bottom w:w="44" w:type="dxa"/>
              <w:right w:w="60" w:type="dxa"/>
            </w:tcMar>
          </w:tcPr>
          <w:p w14:paraId="7F6756DF" w14:textId="77777777" w:rsidR="00255495" w:rsidRPr="00A22690" w:rsidRDefault="008905F7" w:rsidP="0023715C">
            <w:pPr>
              <w:pBdr>
                <w:bottom w:val="single" w:sz="4" w:space="2" w:color="A4BEB2"/>
              </w:pBdr>
              <w:spacing w:before="10" w:after="8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aps/>
                <w:color w:val="3D5C48"/>
                <w:sz w:val="14"/>
                <w:szCs w:val="14"/>
              </w:rPr>
              <w:t>The Accreditation Process: Three Stages</w:t>
            </w:r>
          </w:p>
          <w:p w14:paraId="3A7CACBD" w14:textId="77777777" w:rsidR="00255495" w:rsidRPr="00A22690" w:rsidRDefault="00255495" w:rsidP="0023715C">
            <w:pPr>
              <w:spacing w:before="4"/>
              <w:jc w:val="both"/>
              <w:rPr>
                <w:sz w:val="14"/>
                <w:szCs w:val="14"/>
              </w:rPr>
            </w:pPr>
          </w:p>
          <w:tbl>
            <w:tblPr>
              <w:tblW w:w="6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92"/>
              <w:gridCol w:w="31"/>
              <w:gridCol w:w="1693"/>
              <w:gridCol w:w="31"/>
              <w:gridCol w:w="2893"/>
            </w:tblGrid>
            <w:tr w:rsidR="00255495" w:rsidRPr="00A22690" w14:paraId="04D500A9" w14:textId="77777777" w:rsidTr="00DA6F4A">
              <w:tc>
                <w:tcPr>
                  <w:tcW w:w="1692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22" w:type="dxa"/>
                    <w:bottom w:w="8" w:type="dxa"/>
                    <w:right w:w="22" w:type="dxa"/>
                  </w:tcMar>
                </w:tcPr>
                <w:p w14:paraId="5BFB8EB9" w14:textId="77777777" w:rsidR="00255495" w:rsidRPr="00A22690" w:rsidRDefault="008905F7" w:rsidP="0023715C">
                  <w:pPr>
                    <w:spacing w:after="6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43434"/>
                      <w:sz w:val="14"/>
                      <w:szCs w:val="14"/>
                    </w:rPr>
                    <w:t>Stage 1 — Strategic Review</w:t>
                  </w:r>
                </w:p>
                <w:p w14:paraId="5C9F34A9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Operational Focal Point (OFP) endorses the institution. Secretariat assesses relevance, track record, geographic reach, and co-financing capacity. Council formally approves the shortlist.</w:t>
                  </w:r>
                </w:p>
                <w:p w14:paraId="62B40EFC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Country can nominate one to two institutions per replenishment cycle. Stage 1 is relatively accessible — the harder gates come later.</w:t>
                  </w:r>
                </w:p>
                <w:p w14:paraId="30AFC05A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  <w:p w14:paraId="6172F843" w14:textId="77777777" w:rsidR="00255495" w:rsidRPr="00A22690" w:rsidRDefault="008905F7" w:rsidP="0023715C">
                  <w:pPr>
                    <w:spacing w:before="3" w:after="3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i/>
                      <w:iCs/>
                      <w:color w:val="565656"/>
                      <w:sz w:val="14"/>
                      <w:szCs w:val="14"/>
                    </w:rPr>
                    <w:t>GEF-5 pilot: 11 applicants submitted → 8 passed Stage 1.</w:t>
                  </w:r>
                </w:p>
              </w:tc>
              <w:tc>
                <w:tcPr>
                  <w:tcW w:w="3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AB0BB1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1693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22" w:type="dxa"/>
                    <w:bottom w:w="8" w:type="dxa"/>
                    <w:right w:w="22" w:type="dxa"/>
                  </w:tcMar>
                </w:tcPr>
                <w:p w14:paraId="46EC479D" w14:textId="77777777" w:rsidR="00255495" w:rsidRPr="00A22690" w:rsidRDefault="008905F7" w:rsidP="0023715C">
                  <w:pPr>
                    <w:spacing w:after="6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43434"/>
                      <w:sz w:val="14"/>
                      <w:szCs w:val="14"/>
                    </w:rPr>
                    <w:t>Stage 2 — Fiduciary Review</w:t>
                  </w:r>
                </w:p>
                <w:p w14:paraId="7184225B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Non-refundable $25,000 application fee — but actual institutional cost runs $200K–$500K once legal, advisory, and systems upgrade costs are counted. An independent 3-member Accreditation Panel reviews audit integrity, internal controls, procurement systems, and whistleblower protections.</w:t>
                  </w:r>
                </w:p>
                <w:p w14:paraId="7526F278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Average review time: 7 months against a policy target of 2–3 months.</w:t>
                  </w:r>
                </w:p>
                <w:p w14:paraId="7230D7B5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  <w:p w14:paraId="56D02D2B" w14:textId="77777777" w:rsidR="00255495" w:rsidRPr="00A22690" w:rsidRDefault="008905F7" w:rsidP="0023715C">
                  <w:pPr>
                    <w:spacing w:before="3" w:after="3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i/>
                      <w:iCs/>
                      <w:color w:val="565656"/>
                      <w:sz w:val="14"/>
                      <w:szCs w:val="14"/>
                    </w:rPr>
                    <w:t>First 5 accredited agencies spent ~$2.3M combined; only 15% was recovered through fees.</w:t>
                  </w:r>
                </w:p>
              </w:tc>
              <w:tc>
                <w:tcPr>
                  <w:tcW w:w="31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61B28D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2893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8" w:type="dxa"/>
                    <w:left w:w="22" w:type="dxa"/>
                    <w:bottom w:w="8" w:type="dxa"/>
                    <w:right w:w="22" w:type="dxa"/>
                  </w:tcMar>
                </w:tcPr>
                <w:p w14:paraId="3E0B7C3A" w14:textId="77777777" w:rsidR="00255495" w:rsidRPr="00A22690" w:rsidRDefault="008905F7" w:rsidP="0023715C">
                  <w:pPr>
                    <w:spacing w:after="6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43434"/>
                      <w:sz w:val="14"/>
                      <w:szCs w:val="14"/>
                    </w:rPr>
                    <w:t>Stage 3 — Safeguards &amp; Formalisation</w:t>
                  </w:r>
                </w:p>
                <w:p w14:paraId="59A98EF7" w14:textId="77777777" w:rsidR="00255495" w:rsidRPr="00A22690" w:rsidRDefault="008905F7" w:rsidP="0023715C">
                  <w:pPr>
                    <w:pStyle w:val="ListParagraph"/>
                    <w:numPr>
                      <w:ilvl w:val="0"/>
                      <w:numId w:val="2"/>
                    </w:numPr>
                    <w:spacing w:before="1" w:after="1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Compliance review covering Environmental &amp; Social Safeguards (ESS), gender mainstreaming policies, and stakeholder engagement including Free, Prior and Informed Consent (FPIC). Completed by an MoU with the Secretariat and a Financial Procedures Agreement with the World Bank Trustee to activate direct fund transfers.</w:t>
                  </w:r>
                </w:p>
                <w:p w14:paraId="58DE8806" w14:textId="77777777" w:rsidR="00255495" w:rsidRPr="00A22690" w:rsidRDefault="00255495" w:rsidP="0023715C">
                  <w:pPr>
                    <w:jc w:val="both"/>
                    <w:rPr>
                      <w:sz w:val="14"/>
                      <w:szCs w:val="14"/>
                    </w:rPr>
                  </w:pPr>
                </w:p>
                <w:p w14:paraId="6C153667" w14:textId="77777777" w:rsidR="00255495" w:rsidRPr="00A22690" w:rsidRDefault="008905F7" w:rsidP="0023715C">
                  <w:pPr>
                    <w:spacing w:before="3" w:after="3"/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i/>
                      <w:iCs/>
                      <w:color w:val="565656"/>
                      <w:sz w:val="14"/>
                      <w:szCs w:val="14"/>
                    </w:rPr>
                    <w:t>2016 evaluation: GEF ESS lacked human rights and FPIC coverage, creating friction with GCF’s IFC Performance Standards — applicants serving both funds faced contradictory requirements.</w:t>
                  </w:r>
                </w:p>
              </w:tc>
            </w:tr>
          </w:tbl>
          <w:p w14:paraId="7A8714F4" w14:textId="77777777" w:rsidR="00255495" w:rsidRPr="00A22690" w:rsidRDefault="00255495" w:rsidP="0023715C">
            <w:pPr>
              <w:spacing w:before="8"/>
              <w:jc w:val="both"/>
              <w:rPr>
                <w:sz w:val="14"/>
                <w:szCs w:val="14"/>
              </w:rPr>
            </w:pPr>
          </w:p>
          <w:p w14:paraId="2B3BD25F" w14:textId="77777777" w:rsidR="00255495" w:rsidRPr="00A22690" w:rsidRDefault="008905F7" w:rsidP="0023715C">
            <w:pPr>
              <w:pBdr>
                <w:bottom w:val="single" w:sz="4" w:space="2" w:color="A4BEB2"/>
              </w:pBdr>
              <w:spacing w:before="10" w:after="8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aps/>
                <w:color w:val="3D5C48"/>
                <w:sz w:val="14"/>
                <w:szCs w:val="14"/>
              </w:rPr>
              <w:t>Challenges: Accreditation, Disbursement &amp; Who Bears the Burden</w:t>
            </w:r>
          </w:p>
          <w:p w14:paraId="3102588F" w14:textId="77777777" w:rsidR="00255495" w:rsidRPr="00A22690" w:rsidRDefault="00255495" w:rsidP="0023715C">
            <w:pPr>
              <w:spacing w:before="4"/>
              <w:jc w:val="both"/>
              <w:rPr>
                <w:sz w:val="14"/>
                <w:szCs w:val="14"/>
              </w:rPr>
            </w:pPr>
          </w:p>
          <w:p w14:paraId="420C3BD1" w14:textId="77777777" w:rsidR="00255495" w:rsidRPr="00A22690" w:rsidRDefault="008905F7" w:rsidP="0023715C">
            <w:pPr>
              <w:spacing w:after="5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Accreditation barriers</w:t>
            </w:r>
          </w:p>
          <w:p w14:paraId="6A5FA0E8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Access paradox: national institutions in LDCs and SIDS cannot demonstrate compliance with fiduciary standards without prior experience managing large international funds — but getting that experience requires accreditation in the first place. The catch-22 has locked out national agencies for 35 years.</w:t>
            </w:r>
          </w:p>
          <w:p w14:paraId="71ACD844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True cost ($200K–$500K) is prohibitive for most national institutions. In GEF-5, only 2 of 10 targeted agencies completed accreditation; the 10 projects they collectively implemented totalled $47M — less than 2% of the cycle’s portfolio.</w:t>
            </w:r>
          </w:p>
          <w:p w14:paraId="0EF1AFCD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Portfolio concentration: UNDP held 33.4% of GEF-8 resources; all regional agencies combined held 3.2%, down from 5.6% in GEF-7. Despite the GEF’s stated diversification objective, the gap widened. GEF-9 introduces a 25% per-agency portfolio cap to address this.</w:t>
            </w:r>
          </w:p>
          <w:p w14:paraId="68F21221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Standard misalignment: GEF ESS diverges from GCF’s IFC Performance Standards, creating duplicative and sometimes contradictory compliance requirements for institutions seeking access to both funds. Language barriers also persist: English-only documentation excludes many Francophone and Lusophone national institutions.</w:t>
            </w:r>
          </w:p>
          <w:p w14:paraId="29AE60D8" w14:textId="77777777" w:rsidR="00255495" w:rsidRPr="00A22690" w:rsidRDefault="00255495" w:rsidP="0023715C">
            <w:pPr>
              <w:spacing w:before="8"/>
              <w:jc w:val="both"/>
              <w:rPr>
                <w:sz w:val="14"/>
                <w:szCs w:val="14"/>
              </w:rPr>
            </w:pPr>
          </w:p>
          <w:p w14:paraId="21C604AE" w14:textId="77777777" w:rsidR="00255495" w:rsidRPr="00A22690" w:rsidRDefault="008905F7" w:rsidP="0023715C">
            <w:pPr>
              <w:spacing w:after="5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Disbursement delays by agency — GEF-5 cohort (579 projects endorsed)</w:t>
            </w:r>
          </w:p>
          <w:tbl>
            <w:tblPr>
              <w:tblW w:w="5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97"/>
              <w:gridCol w:w="1021"/>
              <w:gridCol w:w="1021"/>
              <w:gridCol w:w="1021"/>
            </w:tblGrid>
            <w:tr w:rsidR="00255495" w:rsidRPr="00A22690" w14:paraId="17A9C066" w14:textId="77777777">
              <w:tc>
                <w:tcPr>
                  <w:tcW w:w="1560" w:type="dxa"/>
                  <w:tcBorders>
                    <w:top w:val="single" w:sz="3" w:space="0" w:color="525252"/>
                    <w:left w:val="single" w:sz="3" w:space="0" w:color="525252"/>
                    <w:bottom w:val="single" w:sz="3" w:space="0" w:color="525252"/>
                    <w:right w:val="single" w:sz="3" w:space="0" w:color="525252"/>
                  </w:tcBorders>
                  <w:shd w:val="clear" w:color="auto" w:fill="525252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44AE4241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Agency</w:t>
                  </w:r>
                </w:p>
              </w:tc>
              <w:tc>
                <w:tcPr>
                  <w:tcW w:w="760" w:type="dxa"/>
                  <w:tcBorders>
                    <w:top w:val="single" w:sz="3" w:space="0" w:color="525252"/>
                    <w:left w:val="single" w:sz="3" w:space="0" w:color="525252"/>
                    <w:bottom w:val="single" w:sz="3" w:space="0" w:color="525252"/>
                    <w:right w:val="single" w:sz="3" w:space="0" w:color="525252"/>
                  </w:tcBorders>
                  <w:shd w:val="clear" w:color="auto" w:fill="525252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6C30968C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Year 1</w:t>
                  </w:r>
                </w:p>
              </w:tc>
              <w:tc>
                <w:tcPr>
                  <w:tcW w:w="760" w:type="dxa"/>
                  <w:tcBorders>
                    <w:top w:val="single" w:sz="3" w:space="0" w:color="525252"/>
                    <w:left w:val="single" w:sz="3" w:space="0" w:color="525252"/>
                    <w:bottom w:val="single" w:sz="3" w:space="0" w:color="525252"/>
                    <w:right w:val="single" w:sz="3" w:space="0" w:color="525252"/>
                  </w:tcBorders>
                  <w:shd w:val="clear" w:color="auto" w:fill="525252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1F0C5805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Year 2</w:t>
                  </w:r>
                </w:p>
              </w:tc>
              <w:tc>
                <w:tcPr>
                  <w:tcW w:w="760" w:type="dxa"/>
                  <w:tcBorders>
                    <w:top w:val="single" w:sz="3" w:space="0" w:color="525252"/>
                    <w:left w:val="single" w:sz="3" w:space="0" w:color="525252"/>
                    <w:bottom w:val="single" w:sz="3" w:space="0" w:color="525252"/>
                    <w:right w:val="single" w:sz="3" w:space="0" w:color="525252"/>
                  </w:tcBorders>
                  <w:shd w:val="clear" w:color="auto" w:fill="525252"/>
                  <w:tcMar>
                    <w:top w:w="10" w:type="dxa"/>
                    <w:left w:w="28" w:type="dxa"/>
                    <w:bottom w:w="10" w:type="dxa"/>
                    <w:right w:w="28" w:type="dxa"/>
                  </w:tcMar>
                </w:tcPr>
                <w:p w14:paraId="379985AB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FFFFFF"/>
                      <w:sz w:val="14"/>
                      <w:szCs w:val="14"/>
                    </w:rPr>
                    <w:t>Year 3</w:t>
                  </w:r>
                </w:p>
              </w:tc>
            </w:tr>
            <w:tr w:rsidR="00255495" w:rsidRPr="00A22690" w14:paraId="7F7AA916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646C346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UNIDO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43BE337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100%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72C835D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100%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05C55C82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100%</w:t>
                  </w:r>
                </w:p>
              </w:tc>
            </w:tr>
            <w:tr w:rsidR="00255495" w:rsidRPr="00A22690" w14:paraId="191C2C17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FB5A43C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UNEP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66A535D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86%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080CC7CB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92%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D596247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95%</w:t>
                  </w:r>
                </w:p>
              </w:tc>
            </w:tr>
            <w:tr w:rsidR="00255495" w:rsidRPr="00A22690" w14:paraId="24E22771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8D43037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FAO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2F4AA139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71%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5D17C91E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90%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748B73B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90%</w:t>
                  </w:r>
                </w:p>
              </w:tc>
            </w:tr>
            <w:tr w:rsidR="00255495" w:rsidRPr="00A22690" w14:paraId="7E2A8453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30FE15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World Bank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3436392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55%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2B4FCA02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89%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2F056CC5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3D5C48"/>
                      <w:sz w:val="14"/>
                      <w:szCs w:val="14"/>
                    </w:rPr>
                    <w:t>93%</w:t>
                  </w:r>
                </w:p>
              </w:tc>
            </w:tr>
            <w:tr w:rsidR="00255495" w:rsidRPr="00A22690" w14:paraId="692E5581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40235E49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AfDB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27E4F35C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C3820"/>
                      <w:sz w:val="14"/>
                      <w:szCs w:val="14"/>
                    </w:rPr>
                    <w:t>0%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558C5EC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50%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09ADBCBD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50%</w:t>
                  </w:r>
                </w:p>
              </w:tc>
            </w:tr>
            <w:tr w:rsidR="00255495" w:rsidRPr="00A22690" w14:paraId="32565625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31933491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IADB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77547E6E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C3820"/>
                      <w:sz w:val="14"/>
                      <w:szCs w:val="14"/>
                    </w:rPr>
                    <w:t>26%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7F834768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79%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A574DF3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79%</w:t>
                  </w:r>
                </w:p>
              </w:tc>
            </w:tr>
            <w:tr w:rsidR="00255495" w:rsidRPr="00A22690" w14:paraId="69E3DC87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35338E6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ADB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5E9D6EA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C3820"/>
                      <w:sz w:val="14"/>
                      <w:szCs w:val="14"/>
                    </w:rPr>
                    <w:t>33%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46E680E9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52%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FFFFF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13EC4370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62%</w:t>
                  </w:r>
                </w:p>
              </w:tc>
            </w:tr>
            <w:tr w:rsidR="00255495" w:rsidRPr="00A22690" w14:paraId="3ED3F631" w14:textId="77777777">
              <w:tc>
                <w:tcPr>
                  <w:tcW w:w="15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59013C3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Georgia" w:eastAsia="Georgia" w:hAnsi="Georgia" w:cs="Georgia"/>
                      <w:color w:val="343434"/>
                      <w:sz w:val="14"/>
                      <w:szCs w:val="14"/>
                    </w:rPr>
                    <w:t>IFAD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3530F2E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C3820"/>
                      <w:sz w:val="14"/>
                      <w:szCs w:val="14"/>
                    </w:rPr>
                    <w:t>22%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047A54C5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C3820"/>
                      <w:sz w:val="14"/>
                      <w:szCs w:val="14"/>
                    </w:rPr>
                    <w:t>44%</w:t>
                  </w:r>
                </w:p>
              </w:tc>
              <w:tc>
                <w:tcPr>
                  <w:tcW w:w="760" w:type="dxa"/>
                  <w:tcBorders>
                    <w:top w:val="single" w:sz="3" w:space="0" w:color="DEDEDE"/>
                    <w:left w:val="single" w:sz="3" w:space="0" w:color="DEDEDE"/>
                    <w:bottom w:val="single" w:sz="3" w:space="0" w:color="DEDEDE"/>
                    <w:right w:val="single" w:sz="3" w:space="0" w:color="DEDEDE"/>
                  </w:tcBorders>
                  <w:shd w:val="clear" w:color="auto" w:fill="F7F7F7"/>
                  <w:tcMar>
                    <w:top w:w="9" w:type="dxa"/>
                    <w:left w:w="32" w:type="dxa"/>
                    <w:bottom w:w="9" w:type="dxa"/>
                    <w:right w:w="32" w:type="dxa"/>
                  </w:tcMar>
                </w:tcPr>
                <w:p w14:paraId="6412C31C" w14:textId="77777777" w:rsidR="00255495" w:rsidRPr="00A22690" w:rsidRDefault="008905F7" w:rsidP="0023715C">
                  <w:pPr>
                    <w:jc w:val="both"/>
                    <w:rPr>
                      <w:sz w:val="14"/>
                      <w:szCs w:val="14"/>
                    </w:rPr>
                  </w:pPr>
                  <w:r w:rsidRPr="00A22690">
                    <w:rPr>
                      <w:rFonts w:ascii="Arial" w:eastAsia="Arial" w:hAnsi="Arial" w:cs="Arial"/>
                      <w:b/>
                      <w:bCs/>
                      <w:color w:val="525252"/>
                      <w:sz w:val="14"/>
                      <w:szCs w:val="14"/>
                    </w:rPr>
                    <w:t>78%</w:t>
                  </w:r>
                </w:p>
              </w:tc>
            </w:tr>
          </w:tbl>
          <w:p w14:paraId="64989AA7" w14:textId="77777777" w:rsidR="00255495" w:rsidRPr="00A22690" w:rsidRDefault="00255495" w:rsidP="0023715C">
            <w:pPr>
              <w:spacing w:before="6"/>
              <w:jc w:val="both"/>
              <w:rPr>
                <w:sz w:val="14"/>
                <w:szCs w:val="14"/>
              </w:rPr>
            </w:pPr>
          </w:p>
          <w:p w14:paraId="4D71E53D" w14:textId="77777777" w:rsidR="00255495" w:rsidRPr="00A22690" w:rsidRDefault="008905F7" w:rsidP="0023715C">
            <w:pPr>
              <w:spacing w:after="4"/>
              <w:jc w:val="both"/>
              <w:rPr>
                <w:sz w:val="14"/>
                <w:szCs w:val="14"/>
              </w:rPr>
            </w:pPr>
            <w:r w:rsidRPr="00A22690">
              <w:rPr>
                <w:rFonts w:ascii="Arial" w:eastAsia="Arial" w:hAnsi="Arial" w:cs="Arial"/>
                <w:b/>
                <w:bCs/>
                <w:color w:val="343434"/>
                <w:sz w:val="14"/>
                <w:szCs w:val="14"/>
              </w:rPr>
              <w:t>Root causes of post-endorsement delay:</w:t>
            </w:r>
          </w:p>
          <w:p w14:paraId="25743692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MDB grants are legally tied to sovereign loan negotiations and internal board approvals. Until the bank’s loan is signed, the GEF grant cannot disburse — even if the project is technically ready.</w:t>
            </w:r>
          </w:p>
          <w:p w14:paraId="765E379B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 xml:space="preserve">Co-financing commitment letters are required at CEO Endorsement, forcing governments and MDBs to lock in resources 2–3 years before implementation </w:t>
            </w:r>
            <w:proofErr w:type="gramStart"/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actually starts</w:t>
            </w:r>
            <w:proofErr w:type="gramEnd"/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. Any change triggers resubmission.</w:t>
            </w:r>
          </w:p>
          <w:p w14:paraId="17883AD5" w14:textId="77777777" w:rsidR="00255495" w:rsidRPr="00A22690" w:rsidRDefault="008905F7" w:rsidP="0023715C">
            <w:pPr>
              <w:pStyle w:val="ListParagraph"/>
              <w:numPr>
                <w:ilvl w:val="0"/>
                <w:numId w:val="2"/>
              </w:numPr>
              <w:spacing w:before="1" w:after="1"/>
              <w:jc w:val="both"/>
              <w:rPr>
                <w:sz w:val="14"/>
                <w:szCs w:val="14"/>
              </w:rPr>
            </w:pPr>
            <w:r w:rsidRPr="00A22690">
              <w:rPr>
                <w:rFonts w:ascii="Georgia" w:eastAsia="Georgia" w:hAnsi="Georgia" w:cs="Georgia"/>
                <w:color w:val="343434"/>
                <w:sz w:val="14"/>
                <w:szCs w:val="14"/>
              </w:rPr>
              <w:t>GEF-8 median first disbursement: 20 months — up from 9 months in GEF-7 and 11 months in GEF-6. Child projects under Integrated Programs face the longest delays due to multi-stakeholder governance setup requirements.</w:t>
            </w:r>
          </w:p>
        </w:tc>
      </w:tr>
    </w:tbl>
    <w:p w14:paraId="709265B5" w14:textId="77777777" w:rsidR="008905F7" w:rsidRPr="00A22690" w:rsidRDefault="008905F7" w:rsidP="0023715C">
      <w:pPr>
        <w:jc w:val="both"/>
        <w:rPr>
          <w:sz w:val="14"/>
          <w:szCs w:val="14"/>
        </w:rPr>
      </w:pPr>
    </w:p>
    <w:sectPr w:rsidR="008905F7" w:rsidRPr="00A22690" w:rsidSect="00DA6F4A">
      <w:pgSz w:w="12240" w:h="15840"/>
      <w:pgMar w:top="198" w:right="340" w:bottom="198" w:left="3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73944"/>
    <w:multiLevelType w:val="hybridMultilevel"/>
    <w:tmpl w:val="341EEC62"/>
    <w:lvl w:ilvl="0" w:tplc="2724FAF6">
      <w:start w:val="1"/>
      <w:numFmt w:val="bullet"/>
      <w:lvlText w:val="●"/>
      <w:lvlJc w:val="left"/>
      <w:pPr>
        <w:ind w:left="720" w:hanging="360"/>
      </w:pPr>
    </w:lvl>
    <w:lvl w:ilvl="1" w:tplc="3FAAE04C">
      <w:start w:val="1"/>
      <w:numFmt w:val="bullet"/>
      <w:lvlText w:val="○"/>
      <w:lvlJc w:val="left"/>
      <w:pPr>
        <w:ind w:left="1440" w:hanging="360"/>
      </w:pPr>
    </w:lvl>
    <w:lvl w:ilvl="2" w:tplc="50647040">
      <w:start w:val="1"/>
      <w:numFmt w:val="bullet"/>
      <w:lvlText w:val="■"/>
      <w:lvlJc w:val="left"/>
      <w:pPr>
        <w:ind w:left="2160" w:hanging="360"/>
      </w:pPr>
    </w:lvl>
    <w:lvl w:ilvl="3" w:tplc="E048A734">
      <w:start w:val="1"/>
      <w:numFmt w:val="bullet"/>
      <w:lvlText w:val="●"/>
      <w:lvlJc w:val="left"/>
      <w:pPr>
        <w:ind w:left="2880" w:hanging="360"/>
      </w:pPr>
    </w:lvl>
    <w:lvl w:ilvl="4" w:tplc="EE34F282">
      <w:start w:val="1"/>
      <w:numFmt w:val="bullet"/>
      <w:lvlText w:val="○"/>
      <w:lvlJc w:val="left"/>
      <w:pPr>
        <w:ind w:left="3600" w:hanging="360"/>
      </w:pPr>
    </w:lvl>
    <w:lvl w:ilvl="5" w:tplc="236A17C4">
      <w:start w:val="1"/>
      <w:numFmt w:val="bullet"/>
      <w:lvlText w:val="■"/>
      <w:lvlJc w:val="left"/>
      <w:pPr>
        <w:ind w:left="4320" w:hanging="360"/>
      </w:pPr>
    </w:lvl>
    <w:lvl w:ilvl="6" w:tplc="0D445318">
      <w:start w:val="1"/>
      <w:numFmt w:val="bullet"/>
      <w:lvlText w:val="●"/>
      <w:lvlJc w:val="left"/>
      <w:pPr>
        <w:ind w:left="5040" w:hanging="360"/>
      </w:pPr>
    </w:lvl>
    <w:lvl w:ilvl="7" w:tplc="34AE69E0">
      <w:start w:val="1"/>
      <w:numFmt w:val="bullet"/>
      <w:lvlText w:val="●"/>
      <w:lvlJc w:val="left"/>
      <w:pPr>
        <w:ind w:left="5760" w:hanging="360"/>
      </w:pPr>
    </w:lvl>
    <w:lvl w:ilvl="8" w:tplc="4DAE8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83B46"/>
    <w:multiLevelType w:val="hybridMultilevel"/>
    <w:tmpl w:val="524A41FC"/>
    <w:lvl w:ilvl="0" w:tplc="AB322B4A">
      <w:start w:val="1"/>
      <w:numFmt w:val="bullet"/>
      <w:lvlText w:val="–"/>
      <w:lvlJc w:val="left"/>
      <w:pPr>
        <w:ind w:left="260" w:hanging="180"/>
      </w:pPr>
    </w:lvl>
    <w:lvl w:ilvl="1" w:tplc="00507F36">
      <w:numFmt w:val="decimal"/>
      <w:lvlText w:val=""/>
      <w:lvlJc w:val="left"/>
    </w:lvl>
    <w:lvl w:ilvl="2" w:tplc="9FB0ACDE">
      <w:numFmt w:val="decimal"/>
      <w:lvlText w:val=""/>
      <w:lvlJc w:val="left"/>
    </w:lvl>
    <w:lvl w:ilvl="3" w:tplc="7172A8E8">
      <w:numFmt w:val="decimal"/>
      <w:lvlText w:val=""/>
      <w:lvlJc w:val="left"/>
    </w:lvl>
    <w:lvl w:ilvl="4" w:tplc="65F4B1BE">
      <w:numFmt w:val="decimal"/>
      <w:lvlText w:val=""/>
      <w:lvlJc w:val="left"/>
    </w:lvl>
    <w:lvl w:ilvl="5" w:tplc="6F06B18C">
      <w:numFmt w:val="decimal"/>
      <w:lvlText w:val=""/>
      <w:lvlJc w:val="left"/>
    </w:lvl>
    <w:lvl w:ilvl="6" w:tplc="FD3A2EBC">
      <w:numFmt w:val="decimal"/>
      <w:lvlText w:val=""/>
      <w:lvlJc w:val="left"/>
    </w:lvl>
    <w:lvl w:ilvl="7" w:tplc="40705CBC">
      <w:numFmt w:val="decimal"/>
      <w:lvlText w:val=""/>
      <w:lvlJc w:val="left"/>
    </w:lvl>
    <w:lvl w:ilvl="8" w:tplc="2B78EFB0">
      <w:numFmt w:val="decimal"/>
      <w:lvlText w:val=""/>
      <w:lvlJc w:val="left"/>
    </w:lvl>
  </w:abstractNum>
  <w:num w:numId="1" w16cid:durableId="1190677525">
    <w:abstractNumId w:val="0"/>
    <w:lvlOverride w:ilvl="0">
      <w:startOverride w:val="1"/>
    </w:lvlOverride>
  </w:num>
  <w:num w:numId="2" w16cid:durableId="863323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495"/>
    <w:rsid w:val="00121E54"/>
    <w:rsid w:val="0023715C"/>
    <w:rsid w:val="00255495"/>
    <w:rsid w:val="0028459A"/>
    <w:rsid w:val="008905F7"/>
    <w:rsid w:val="00A22690"/>
    <w:rsid w:val="00C248E0"/>
    <w:rsid w:val="00C472D1"/>
    <w:rsid w:val="00DA6F4A"/>
    <w:rsid w:val="00DE0A6C"/>
    <w:rsid w:val="00E1585E"/>
    <w:rsid w:val="00E34E2C"/>
    <w:rsid w:val="00F9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DECB5"/>
  <w15:docId w15:val="{29683711-B852-4E10-BCAA-75CD9B1E9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Ayuuya Ayeliga</cp:lastModifiedBy>
  <cp:revision>11</cp:revision>
  <dcterms:created xsi:type="dcterms:W3CDTF">2026-07-03T05:40:00Z</dcterms:created>
  <dcterms:modified xsi:type="dcterms:W3CDTF">2026-07-03T11:56:00Z</dcterms:modified>
</cp:coreProperties>
</file>