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397A5A92" w14:paraId="01B83582" wp14:textId="7C51CD85">
      <w:pPr>
        <w:spacing w:before="0" w:after="80"/>
        <w:jc w:val="left"/>
      </w:pPr>
      <w:r w:rsidRPr="397A5A92" w:rsidR="397A5A92">
        <w:rPr>
          <w:rFonts w:ascii="Times New Roman" w:hAnsi="Times New Roman" w:eastAsia="Times New Roman" w:cs="Times New Roman"/>
          <w:b w:val="1"/>
          <w:bCs w:val="1"/>
          <w:sz w:val="30"/>
          <w:szCs w:val="30"/>
        </w:rPr>
        <w:t xml:space="preserve">Part B – Discussion of Model Scenarios. </w:t>
      </w:r>
    </w:p>
    <w:p xmlns:wp14="http://schemas.microsoft.com/office/word/2010/wordml" w14:paraId="24D8E44C" wp14:textId="77777777">
      <w:pPr>
        <w:pStyle w:val="Heading1"/>
        <w:spacing w:before="280" w:after="120"/>
      </w:pPr>
      <w:r>
        <w:rPr>
          <w:rFonts w:ascii="Times New Roman" w:hAnsi="Times New Roman" w:eastAsia="Times New Roman" w:cs="Times New Roman"/>
          <w:b/>
          <w:bCs/>
          <w:sz w:val="26"/>
          <w:szCs w:val="26"/>
        </w:rPr>
        <w:t xml:space="preserve">Task 1: Scenario Analysis – Economic Rationale</w:t>
      </w:r>
    </w:p>
    <w:p xmlns:wp14="http://schemas.microsoft.com/office/word/2010/wordml" w14:paraId="3D35AD4C" wp14:textId="77777777">
      <w:pPr>
        <w:spacing w:before="0" w:after="160"/>
        <w:jc w:val="both"/>
      </w:pPr>
      <w:r w:rsidRPr="56BFB3C3" w:rsidR="5379960B">
        <w:rPr>
          <w:rFonts w:ascii="Times New Roman" w:hAnsi="Times New Roman" w:eastAsia="Times New Roman" w:cs="Times New Roman"/>
          <w:sz w:val="22"/>
          <w:szCs w:val="22"/>
          <w:lang w:val="en-US"/>
        </w:rPr>
        <w:t>The DEFINE-SIMPLE-MODIFIED model simulates three scenarios across macroeconomic, financial and environmental dimensions. The baseline represents a business-as-usual trajectory. Scenario 2 (Task 1) raises the carbon tax to 0.08 trillion USD per Gt of CO₂ (80 USD per tonne). Scenario 3 (Task 1) introduces degrowth by reducing the propensity to consume to c₁ = 0.8 and autonomous investment to α₀ = 0.02.</w:t>
      </w:r>
    </w:p>
    <w:p xmlns:wp14="http://schemas.microsoft.com/office/word/2010/wordml" w:rsidP="56BFB3C3" w14:paraId="651F5011" wp14:textId="1F54584C">
      <w:pPr>
        <w:pStyle w:val="Normal"/>
        <w:spacing w:before="0" w:after="160"/>
        <w:jc w:val="both"/>
      </w:pPr>
      <w:r w:rsidRPr="56BFB3C3" w:rsidR="62C5E6B0">
        <w:rPr>
          <w:rFonts w:ascii="Times New Roman" w:hAnsi="Times New Roman" w:eastAsia="Times New Roman" w:cs="Times New Roman"/>
          <w:b w:val="1"/>
          <w:bCs w:val="1"/>
          <w:sz w:val="24"/>
          <w:szCs w:val="24"/>
        </w:rPr>
        <w:t xml:space="preserve">1.1 Environmental Variables: Temperature, Depreciation and Damage Rate. </w:t>
      </w:r>
    </w:p>
    <w:p xmlns:wp14="http://schemas.microsoft.com/office/word/2010/wordml" w:rsidP="56BFB3C3" w14:paraId="43E36A00" wp14:textId="0E22DCB9">
      <w:pPr>
        <w:spacing w:before="0" w:after="160"/>
        <w:jc w:val="both"/>
        <w:rPr>
          <w:rFonts w:ascii="Times New Roman" w:hAnsi="Times New Roman" w:eastAsia="Times New Roman" w:cs="Times New Roman"/>
          <w:b w:val="0"/>
          <w:bCs w:val="0"/>
          <w:i w:val="0"/>
          <w:iCs w:val="0"/>
          <w:caps w:val="0"/>
          <w:smallCaps w:val="0"/>
          <w:noProof w:val="0"/>
          <w:color w:val="000000"/>
          <w:sz w:val="22"/>
          <w:szCs w:val="22"/>
          <w:lang w:val="en-US"/>
        </w:rPr>
      </w:pPr>
      <w:r w:rsidR="62C5E6B0">
        <w:drawing>
          <wp:inline xmlns:wp14="http://schemas.microsoft.com/office/word/2010/wordprocessingDrawing" wp14:editId="152BC7F4" wp14:anchorId="76D2D525">
            <wp:extent cx="1828800" cy="1533525"/>
            <wp:effectExtent l="0" t="0" r="0" b="0"/>
            <wp:docPr id="1249000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9000701" name="Picture 1249000701"/>
                    <pic:cNvPicPr/>
                  </pic:nvPicPr>
                  <pic:blipFill>
                    <a:blip xmlns:r="http://schemas.openxmlformats.org/officeDocument/2006/relationships" r:embed="rId348643190">
                      <a:extLst>
                        <a:ext uri="{28A0092B-C50C-407E-A947-70E740481C1C}">
                          <a14:useLocalDpi xmlns:a14="http://schemas.microsoft.com/office/drawing/2010/main"/>
                        </a:ext>
                      </a:extLst>
                    </a:blip>
                    <a:stretch>
                      <a:fillRect/>
                    </a:stretch>
                  </pic:blipFill>
                  <pic:spPr>
                    <a:xfrm>
                      <a:off x="0" y="0"/>
                      <a:ext cx="1828800" cy="1533525"/>
                    </a:xfrm>
                    <a:prstGeom prst="rect">
                      <a:avLst/>
                    </a:prstGeom>
                  </pic:spPr>
                </pic:pic>
              </a:graphicData>
            </a:graphic>
          </wp:inline>
        </w:drawing>
      </w:r>
      <w:r w:rsidR="62C5E6B0">
        <w:drawing>
          <wp:inline xmlns:wp14="http://schemas.microsoft.com/office/word/2010/wordprocessingDrawing" wp14:editId="5845D365" wp14:anchorId="65862DB9">
            <wp:extent cx="1714500" cy="1504950"/>
            <wp:effectExtent l="0" t="0" r="0" b="0"/>
            <wp:docPr id="91149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49647" name="Picture 91149647"/>
                    <pic:cNvPicPr/>
                  </pic:nvPicPr>
                  <pic:blipFill>
                    <a:blip xmlns:r="http://schemas.openxmlformats.org/officeDocument/2006/relationships" r:embed="rId1660331995">
                      <a:extLst>
                        <a:ext uri="{28A0092B-C50C-407E-A947-70E740481C1C}">
                          <a14:useLocalDpi xmlns:a14="http://schemas.microsoft.com/office/drawing/2010/main"/>
                        </a:ext>
                      </a:extLst>
                    </a:blip>
                    <a:stretch>
                      <a:fillRect/>
                    </a:stretch>
                  </pic:blipFill>
                  <pic:spPr>
                    <a:xfrm>
                      <a:off x="0" y="0"/>
                      <a:ext cx="1714500" cy="1504950"/>
                    </a:xfrm>
                    <a:prstGeom prst="rect">
                      <a:avLst/>
                    </a:prstGeom>
                  </pic:spPr>
                </pic:pic>
              </a:graphicData>
            </a:graphic>
          </wp:inline>
        </w:drawing>
      </w:r>
      <w:r w:rsidR="62C5E6B0">
        <w:drawing>
          <wp:inline xmlns:wp14="http://schemas.microsoft.com/office/word/2010/wordprocessingDrawing" wp14:editId="3F9BE19B" wp14:anchorId="6F015682">
            <wp:extent cx="1914525" cy="1447800"/>
            <wp:effectExtent l="0" t="0" r="0" b="0"/>
            <wp:docPr id="1181033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1033089" name="Picture 1181033089"/>
                    <pic:cNvPicPr/>
                  </pic:nvPicPr>
                  <pic:blipFill>
                    <a:blip xmlns:r="http://schemas.openxmlformats.org/officeDocument/2006/relationships" r:embed="rId722948515">
                      <a:extLst>
                        <a:ext uri="{28A0092B-C50C-407E-A947-70E740481C1C}">
                          <a14:useLocalDpi xmlns:a14="http://schemas.microsoft.com/office/drawing/2010/main"/>
                        </a:ext>
                      </a:extLst>
                    </a:blip>
                    <a:stretch>
                      <a:fillRect/>
                    </a:stretch>
                  </pic:blipFill>
                  <pic:spPr>
                    <a:xfrm>
                      <a:off x="0" y="0"/>
                      <a:ext cx="1914525" cy="1447800"/>
                    </a:xfrm>
                    <a:prstGeom prst="rect">
                      <a:avLst/>
                    </a:prstGeom>
                  </pic:spPr>
                </pic:pic>
              </a:graphicData>
            </a:graphic>
          </wp:inline>
        </w:drawing>
      </w:r>
    </w:p>
    <w:p xmlns:wp14="http://schemas.microsoft.com/office/word/2010/wordml" w:rsidP="56BFB3C3" w14:paraId="5A0E42B6" wp14:textId="5136842F">
      <w:pPr>
        <w:pStyle w:val="Normal"/>
        <w:spacing w:before="0" w:after="160"/>
        <w:jc w:val="both"/>
        <w:rPr>
          <w:rFonts w:ascii="Times New Roman" w:hAnsi="Times New Roman" w:eastAsia="Times New Roman" w:cs="Times New Roman"/>
          <w:b w:val="0"/>
          <w:bCs w:val="0"/>
          <w:i w:val="0"/>
          <w:iCs w:val="0"/>
          <w:caps w:val="0"/>
          <w:smallCaps w:val="0"/>
          <w:noProof w:val="0"/>
          <w:color w:val="000000"/>
          <w:sz w:val="22"/>
          <w:szCs w:val="22"/>
          <w:lang w:val="en-US"/>
        </w:rPr>
      </w:pPr>
      <w:r w:rsidRPr="56BFB3C3" w:rsidR="62C5E6B0">
        <w:rPr>
          <w:rFonts w:ascii="Times New Roman" w:hAnsi="Times New Roman" w:eastAsia="Times New Roman" w:cs="Times New Roman"/>
          <w:b w:val="0"/>
          <w:bCs w:val="0"/>
          <w:i w:val="0"/>
          <w:iCs w:val="0"/>
          <w:caps w:val="0"/>
          <w:smallCaps w:val="0"/>
          <w:noProof w:val="0"/>
          <w:color w:val="000000"/>
          <w:sz w:val="18"/>
          <w:szCs w:val="18"/>
          <w:lang w:val="en-US"/>
        </w:rPr>
        <w:t xml:space="preserve">Figure 1: Atmospheric Temperature (C)   Figure 2, Capital Depreciation Rate.  Figure 3, Climate Damage Rate </w:t>
      </w:r>
      <w:r w:rsidRPr="56BFB3C3" w:rsidR="62C5E6B0">
        <w:rPr>
          <w:rFonts w:ascii="Times New Roman" w:hAnsi="Times New Roman" w:eastAsia="Times New Roman" w:cs="Times New Roman"/>
          <w:b w:val="0"/>
          <w:bCs w:val="0"/>
          <w:i w:val="0"/>
          <w:iCs w:val="0"/>
          <w:caps w:val="0"/>
          <w:smallCaps w:val="0"/>
          <w:noProof w:val="0"/>
          <w:color w:val="000000"/>
          <w:sz w:val="22"/>
          <w:szCs w:val="22"/>
          <w:lang w:val="en-US"/>
        </w:rPr>
        <w:t xml:space="preserve"> </w:t>
      </w:r>
    </w:p>
    <w:p xmlns:wp14="http://schemas.microsoft.com/office/word/2010/wordml" w:rsidP="397A5A92" w14:paraId="6838815E" wp14:textId="0D9E9A41">
      <w:pPr>
        <w:spacing w:before="0" w:after="160"/>
        <w:jc w:val="both"/>
      </w:pPr>
      <w:r w:rsidRPr="397A5A92" w:rsidR="62C5E6B0">
        <w:rPr>
          <w:rFonts w:ascii="Times New Roman" w:hAnsi="Times New Roman" w:eastAsia="Times New Roman" w:cs="Times New Roman"/>
          <w:sz w:val="22"/>
          <w:szCs w:val="22"/>
          <w:lang w:val="en-US"/>
        </w:rPr>
        <w:t>Figure 1 shows that the baseline produces the steepest temperature rise, reaching approximately 3.3°C by 2070 – consistent with the NGFS Current Policies scenario trajectory (NGFS, 2024). The higher carbon tax (Scenario 2, Task 1) moderates warming to around 2.9°C, as rising fossil energy costs raise the total unit cost of production (</w:t>
      </w:r>
      <w:r w:rsidRPr="397A5A92" w:rsidR="62C5E6B0">
        <w:rPr>
          <w:rFonts w:ascii="Times New Roman" w:hAnsi="Times New Roman" w:eastAsia="Times New Roman" w:cs="Times New Roman"/>
          <w:sz w:val="22"/>
          <w:szCs w:val="22"/>
          <w:lang w:val="en-US"/>
        </w:rPr>
        <w:t>tucf</w:t>
      </w:r>
      <w:r w:rsidRPr="397A5A92" w:rsidR="62C5E6B0">
        <w:rPr>
          <w:rFonts w:ascii="Times New Roman" w:hAnsi="Times New Roman" w:eastAsia="Times New Roman" w:cs="Times New Roman"/>
          <w:sz w:val="22"/>
          <w:szCs w:val="22"/>
          <w:lang w:val="en-US"/>
        </w:rPr>
        <w:t xml:space="preserve">ₜ), inducing a shift towards green investment per equation (11). Scenario 3 (degrowth) achieves the lowest temperature of approximately 2.5°C by 2070 because demand compression directly reduces fossil energy use and cumulative CO₂ emissions, in line with the TCRE framework of Matthews et al. (2021). Figure 2 confirms that the depreciation rate rises non-linearly with temperature in all scenarios. In the baseline, it approaches 0.085 by 2070 as climate damages accumulate, consistent with equation (20), which links depreciation to the damage rate. The carbon tax and degrowth scenarios both suppress depreciation – to approximately 0.070 and 0.062 respectively – by limiting temperature rise. A lower depreciation rate protects productive capital, moderating the damage channel </w:t>
      </w:r>
      <w:r w:rsidRPr="397A5A92" w:rsidR="62C5E6B0">
        <w:rPr>
          <w:rFonts w:ascii="Times New Roman" w:hAnsi="Times New Roman" w:eastAsia="Times New Roman" w:cs="Times New Roman"/>
          <w:sz w:val="22"/>
          <w:szCs w:val="22"/>
          <w:lang w:val="en-US"/>
        </w:rPr>
        <w:t>identified</w:t>
      </w:r>
      <w:r w:rsidRPr="397A5A92" w:rsidR="62C5E6B0">
        <w:rPr>
          <w:rFonts w:ascii="Times New Roman" w:hAnsi="Times New Roman" w:eastAsia="Times New Roman" w:cs="Times New Roman"/>
          <w:sz w:val="22"/>
          <w:szCs w:val="22"/>
          <w:lang w:val="en-US"/>
        </w:rPr>
        <w:t xml:space="preserve"> by </w:t>
      </w:r>
      <w:r w:rsidRPr="397A5A92" w:rsidR="62C5E6B0">
        <w:rPr>
          <w:rFonts w:ascii="Times New Roman" w:hAnsi="Times New Roman" w:eastAsia="Times New Roman" w:cs="Times New Roman"/>
          <w:sz w:val="22"/>
          <w:szCs w:val="22"/>
          <w:lang w:val="en-US"/>
        </w:rPr>
        <w:t>Dafermos</w:t>
      </w:r>
      <w:r w:rsidRPr="397A5A92" w:rsidR="62C5E6B0">
        <w:rPr>
          <w:rFonts w:ascii="Times New Roman" w:hAnsi="Times New Roman" w:eastAsia="Times New Roman" w:cs="Times New Roman"/>
          <w:sz w:val="22"/>
          <w:szCs w:val="22"/>
          <w:lang w:val="en-US"/>
        </w:rPr>
        <w:t xml:space="preserve"> et al. (2017). Figure 3 shows the climate damage rate accelerating sharply in the baseline from 2050 onwards, reaching 0.20 by 2070, reflecting the Weitzman (2012) non-linear damage specification embedded in the model. Both interventions significantly suppress damages: the carbon tax reduces the rate to approximately 0.125, and degrowth-plus-carbon-tax to approximately 0.065. This confirms that policies reducing cumulative emissions generate compounding benefits by </w:t>
      </w:r>
      <w:r w:rsidRPr="397A5A92" w:rsidR="62C5E6B0">
        <w:rPr>
          <w:rFonts w:ascii="Times New Roman" w:hAnsi="Times New Roman" w:eastAsia="Times New Roman" w:cs="Times New Roman"/>
          <w:sz w:val="22"/>
          <w:szCs w:val="22"/>
          <w:lang w:val="en-US"/>
        </w:rPr>
        <w:t>s</w:t>
      </w:r>
      <w:r w:rsidRPr="397A5A92" w:rsidR="62C5E6B0">
        <w:rPr>
          <w:rFonts w:ascii="Times New Roman" w:hAnsi="Times New Roman" w:eastAsia="Times New Roman" w:cs="Times New Roman"/>
          <w:sz w:val="22"/>
          <w:szCs w:val="22"/>
          <w:lang w:val="en-US"/>
        </w:rPr>
        <w:t>lowing</w:t>
      </w:r>
      <w:r w:rsidRPr="397A5A92" w:rsidR="62C5E6B0">
        <w:rPr>
          <w:rFonts w:ascii="Times New Roman" w:hAnsi="Times New Roman" w:eastAsia="Times New Roman" w:cs="Times New Roman"/>
          <w:sz w:val="22"/>
          <w:szCs w:val="22"/>
          <w:lang w:val="en-US"/>
        </w:rPr>
        <w:t xml:space="preserve"> </w:t>
      </w:r>
      <w:r w:rsidRPr="397A5A92" w:rsidR="62C5E6B0">
        <w:rPr>
          <w:rFonts w:ascii="Times New Roman" w:hAnsi="Times New Roman" w:eastAsia="Times New Roman" w:cs="Times New Roman"/>
          <w:sz w:val="22"/>
          <w:szCs w:val="22"/>
          <w:lang w:val="en-US"/>
        </w:rPr>
        <w:t>the damage feedback loop.</w:t>
      </w:r>
    </w:p>
    <w:p xmlns:wp14="http://schemas.microsoft.com/office/word/2010/wordml" w:rsidP="397A5A92" w14:paraId="5BCACEBE" wp14:textId="3227C23B">
      <w:pPr>
        <w:pStyle w:val="Normal"/>
        <w:spacing w:before="0" w:after="160"/>
        <w:jc w:val="both"/>
        <w:rPr>
          <w:rFonts w:ascii="Times New Roman" w:hAnsi="Times New Roman" w:eastAsia="Times New Roman" w:cs="Times New Roman"/>
          <w:b w:val="1"/>
          <w:bCs w:val="1"/>
          <w:i w:val="1"/>
          <w:iCs w:val="1"/>
          <w:sz w:val="20"/>
          <w:szCs w:val="20"/>
          <w:lang w:val="en-US"/>
        </w:rPr>
      </w:pPr>
      <w:r w:rsidRPr="397A5A92" w:rsidR="4CCF0791">
        <w:rPr>
          <w:rFonts w:ascii="Times New Roman" w:hAnsi="Times New Roman" w:eastAsia="Times New Roman" w:cs="Times New Roman"/>
          <w:b w:val="1"/>
          <w:bCs w:val="1"/>
          <w:sz w:val="24"/>
          <w:szCs w:val="24"/>
          <w:lang w:val="en-US"/>
        </w:rPr>
        <w:t>1.2 Macroeconomic Variables: Output and Growth</w:t>
      </w:r>
      <w:r w:rsidRPr="397A5A92" w:rsidR="4CCF0791">
        <w:rPr>
          <w:rFonts w:ascii="Times New Roman" w:hAnsi="Times New Roman" w:eastAsia="Times New Roman" w:cs="Times New Roman"/>
          <w:b w:val="1"/>
          <w:bCs w:val="1"/>
          <w:i w:val="1"/>
          <w:iCs w:val="1"/>
          <w:sz w:val="20"/>
          <w:szCs w:val="20"/>
          <w:lang w:val="en-US"/>
        </w:rPr>
        <w:t xml:space="preserve"> </w:t>
      </w:r>
      <w:r w:rsidRPr="397A5A92" w:rsidR="05AF2624">
        <w:rPr>
          <w:rFonts w:ascii="Times New Roman" w:hAnsi="Times New Roman" w:eastAsia="Times New Roman" w:cs="Times New Roman"/>
          <w:b w:val="1"/>
          <w:bCs w:val="1"/>
          <w:i w:val="1"/>
          <w:iCs w:val="1"/>
          <w:sz w:val="20"/>
          <w:szCs w:val="20"/>
          <w:lang w:val="en-US"/>
        </w:rPr>
        <w:t xml:space="preserve">. </w:t>
      </w:r>
    </w:p>
    <w:p xmlns:wp14="http://schemas.microsoft.com/office/word/2010/wordml" w:rsidP="397A5A92" w14:paraId="18263E20" wp14:textId="2B61DAA2">
      <w:pPr>
        <w:pStyle w:val="Heading2"/>
        <w:spacing w:before="0" w:after="160"/>
        <w:jc w:val="both"/>
        <w:rPr>
          <w:rFonts w:ascii="Times New Roman" w:hAnsi="Times New Roman" w:eastAsia="Times New Roman" w:cs="Times New Roman"/>
          <w:b w:val="1"/>
          <w:bCs w:val="1"/>
          <w:i w:val="1"/>
          <w:iCs w:val="1"/>
          <w:sz w:val="20"/>
          <w:szCs w:val="20"/>
          <w:lang w:val="en-US"/>
        </w:rPr>
      </w:pPr>
      <w:r w:rsidR="56BFB3C3">
        <w:drawing>
          <wp:anchor xmlns:wp14="http://schemas.microsoft.com/office/word/2010/wordprocessingDrawing" distT="0" distB="0" distL="114300" distR="114300" simplePos="0" relativeHeight="251658240" behindDoc="0" locked="0" layoutInCell="1" allowOverlap="1" wp14:anchorId="379E6BE1" wp14:editId="6588AFFA">
            <wp:simplePos x="0" y="0"/>
            <wp:positionH relativeFrom="column">
              <wp:align>left</wp:align>
            </wp:positionH>
            <wp:positionV relativeFrom="paragraph">
              <wp:posOffset>0</wp:posOffset>
            </wp:positionV>
            <wp:extent cx="2492931" cy="1409700"/>
            <wp:effectExtent l="0" t="0" r="0" b="0"/>
            <wp:wrapSquare wrapText="bothSides"/>
            <wp:docPr id="1563855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0" cstate="none"/>
                    <a:srcRect/>
                    <a:stretch>
                      <a:fillRect/>
                    </a:stretch>
                  </pic:blipFill>
                  <pic:spPr bwMode="auto">
                    <a:xfrm rot="0">
                      <a:off x="0" y="0"/>
                      <a:ext cx="2492931" cy="1409700"/>
                    </a:xfrm>
                    <a:prstGeom prst="rect">
                      <a:avLst/>
                    </a:prstGeom>
                  </pic:spPr>
                </pic:pic>
              </a:graphicData>
            </a:graphic>
            <wp14:sizeRelH relativeFrom="page">
              <wp14:pctWidth>0</wp14:pctWidth>
            </wp14:sizeRelH>
            <wp14:sizeRelV relativeFrom="page">
              <wp14:pctHeight>0</wp14:pctHeight>
            </wp14:sizeRelV>
          </wp:anchor>
        </w:drawing>
      </w:r>
      <w:r w:rsidRPr="397A5A92" w:rsidR="48BE4DA1">
        <w:rPr>
          <w:lang w:val="en-US"/>
        </w:rPr>
        <w:t xml:space="preserve">                 </w:t>
      </w:r>
      <w:r w:rsidR="410B9DE9">
        <w:drawing>
          <wp:inline xmlns:wp14="http://schemas.microsoft.com/office/word/2010/wordprocessingDrawing" wp14:editId="57E304C8" wp14:anchorId="18A755FC">
            <wp:extent cx="3161178" cy="1513107"/>
            <wp:effectExtent l="0" t="0" r="0" b="0"/>
            <wp:docPr id="223499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1" cstate="none"/>
                    <a:srcRect/>
                    <a:stretch>
                      <a:fillRect/>
                    </a:stretch>
                  </pic:blipFill>
                  <pic:spPr bwMode="auto">
                    <a:xfrm rot="0">
                      <a:off x="0" y="0"/>
                      <a:ext cx="3161178" cy="1513107"/>
                    </a:xfrm>
                    <a:prstGeom prst="rect">
                      <a:avLst/>
                    </a:prstGeom>
                  </pic:spPr>
                </pic:pic>
              </a:graphicData>
            </a:graphic>
          </wp:inline>
        </w:drawing>
      </w:r>
      <w:r w:rsidRPr="397A5A92" w:rsidR="7C961B8B">
        <w:rPr>
          <w:rFonts w:ascii="Times New Roman" w:hAnsi="Times New Roman" w:eastAsia="Times New Roman" w:cs="Times New Roman"/>
          <w:b w:val="1"/>
          <w:bCs w:val="1"/>
          <w:i w:val="1"/>
          <w:iCs w:val="1"/>
          <w:sz w:val="20"/>
          <w:szCs w:val="20"/>
          <w:lang w:val="en-US"/>
        </w:rPr>
        <w:t xml:space="preserve">Figure </w:t>
      </w:r>
      <w:r w:rsidRPr="397A5A92" w:rsidR="1B475687">
        <w:rPr>
          <w:rFonts w:ascii="Times New Roman" w:hAnsi="Times New Roman" w:eastAsia="Times New Roman" w:cs="Times New Roman"/>
          <w:b w:val="1"/>
          <w:bCs w:val="1"/>
          <w:i w:val="1"/>
          <w:iCs w:val="1"/>
          <w:sz w:val="20"/>
          <w:szCs w:val="20"/>
          <w:lang w:val="en-US"/>
        </w:rPr>
        <w:t>4</w:t>
      </w:r>
      <w:r w:rsidRPr="397A5A92" w:rsidR="7C961B8B">
        <w:rPr>
          <w:rFonts w:ascii="Times New Roman" w:hAnsi="Times New Roman" w:eastAsia="Times New Roman" w:cs="Times New Roman"/>
          <w:b w:val="1"/>
          <w:bCs w:val="1"/>
          <w:i w:val="1"/>
          <w:iCs w:val="1"/>
          <w:sz w:val="20"/>
          <w:szCs w:val="20"/>
          <w:lang w:val="en-US"/>
        </w:rPr>
        <w:t>: Output</w:t>
      </w:r>
      <w:r w:rsidRPr="397A5A92" w:rsidR="0F616374">
        <w:rPr>
          <w:rFonts w:ascii="Times New Roman" w:hAnsi="Times New Roman" w:eastAsia="Times New Roman" w:cs="Times New Roman"/>
          <w:b w:val="1"/>
          <w:bCs w:val="1"/>
          <w:i w:val="1"/>
          <w:iCs w:val="1"/>
          <w:sz w:val="20"/>
          <w:szCs w:val="20"/>
          <w:lang w:val="en-US"/>
        </w:rPr>
        <w:t xml:space="preserve"> levels.</w:t>
      </w:r>
      <w:r w:rsidRPr="397A5A92" w:rsidR="7C961B8B">
        <w:rPr>
          <w:rFonts w:ascii="Times New Roman" w:hAnsi="Times New Roman" w:eastAsia="Times New Roman" w:cs="Times New Roman"/>
          <w:b w:val="1"/>
          <w:bCs w:val="1"/>
          <w:i w:val="1"/>
          <w:iCs w:val="1"/>
          <w:sz w:val="20"/>
          <w:szCs w:val="20"/>
          <w:lang w:val="en-US"/>
        </w:rPr>
        <w:t xml:space="preserve">                     </w:t>
      </w:r>
      <w:r w:rsidRPr="397A5A92" w:rsidR="3986D3C6">
        <w:rPr>
          <w:rFonts w:ascii="Times New Roman" w:hAnsi="Times New Roman" w:eastAsia="Times New Roman" w:cs="Times New Roman"/>
          <w:b w:val="1"/>
          <w:bCs w:val="1"/>
          <w:i w:val="1"/>
          <w:iCs w:val="1"/>
          <w:sz w:val="20"/>
          <w:szCs w:val="20"/>
          <w:lang w:val="en-US"/>
        </w:rPr>
        <w:t xml:space="preserve">                          </w:t>
      </w:r>
      <w:r w:rsidRPr="397A5A92" w:rsidR="7C961B8B">
        <w:rPr>
          <w:rFonts w:ascii="Times New Roman" w:hAnsi="Times New Roman" w:eastAsia="Times New Roman" w:cs="Times New Roman"/>
          <w:b w:val="1"/>
          <w:bCs w:val="1"/>
          <w:i w:val="1"/>
          <w:iCs w:val="1"/>
          <w:sz w:val="20"/>
          <w:szCs w:val="20"/>
          <w:lang w:val="en-US"/>
        </w:rPr>
        <w:t xml:space="preserve">Figure </w:t>
      </w:r>
      <w:r w:rsidRPr="397A5A92" w:rsidR="2431A75A">
        <w:rPr>
          <w:rFonts w:ascii="Times New Roman" w:hAnsi="Times New Roman" w:eastAsia="Times New Roman" w:cs="Times New Roman"/>
          <w:b w:val="1"/>
          <w:bCs w:val="1"/>
          <w:i w:val="1"/>
          <w:iCs w:val="1"/>
          <w:sz w:val="20"/>
          <w:szCs w:val="20"/>
          <w:lang w:val="en-US"/>
        </w:rPr>
        <w:t>5</w:t>
      </w:r>
      <w:r w:rsidRPr="397A5A92" w:rsidR="7C961B8B">
        <w:rPr>
          <w:rFonts w:ascii="Times New Roman" w:hAnsi="Times New Roman" w:eastAsia="Times New Roman" w:cs="Times New Roman"/>
          <w:b w:val="1"/>
          <w:bCs w:val="1"/>
          <w:i w:val="1"/>
          <w:iCs w:val="1"/>
          <w:sz w:val="20"/>
          <w:szCs w:val="20"/>
          <w:lang w:val="en-US"/>
        </w:rPr>
        <w:t xml:space="preserve">: Growth Rate of </w:t>
      </w:r>
      <w:r w:rsidRPr="397A5A92" w:rsidR="641B441C">
        <w:rPr>
          <w:rFonts w:ascii="Times New Roman" w:hAnsi="Times New Roman" w:eastAsia="Times New Roman" w:cs="Times New Roman"/>
          <w:b w:val="1"/>
          <w:bCs w:val="1"/>
          <w:i w:val="1"/>
          <w:iCs w:val="1"/>
          <w:sz w:val="20"/>
          <w:szCs w:val="20"/>
          <w:lang w:val="en-US"/>
        </w:rPr>
        <w:t>Output</w:t>
      </w:r>
    </w:p>
    <w:p xmlns:wp14="http://schemas.microsoft.com/office/word/2010/wordml" w:rsidP="397A5A92" w14:paraId="5192EA14" wp14:textId="64EC59CD">
      <w:pPr>
        <w:spacing w:before="0" w:after="160"/>
        <w:jc w:val="both"/>
        <w:rPr>
          <w:rFonts w:ascii="Times New Roman" w:hAnsi="Times New Roman" w:eastAsia="Times New Roman" w:cs="Times New Roman"/>
          <w:sz w:val="22"/>
          <w:szCs w:val="22"/>
          <w:lang w:val="en-US"/>
        </w:rPr>
      </w:pPr>
    </w:p>
    <w:p xmlns:wp14="http://schemas.microsoft.com/office/word/2010/wordml" w14:paraId="02C814C1" wp14:textId="1227D8A9">
      <w:pPr>
        <w:spacing w:before="0" w:after="160"/>
        <w:jc w:val="both"/>
      </w:pPr>
      <w:r w:rsidRPr="397A5A92" w:rsidR="5379960B">
        <w:rPr>
          <w:rFonts w:ascii="Times New Roman" w:hAnsi="Times New Roman" w:eastAsia="Times New Roman" w:cs="Times New Roman"/>
          <w:sz w:val="22"/>
          <w:szCs w:val="22"/>
          <w:lang w:val="en-US"/>
        </w:rPr>
        <w:t xml:space="preserve">Figure </w:t>
      </w:r>
      <w:r w:rsidRPr="397A5A92" w:rsidR="315303E9">
        <w:rPr>
          <w:rFonts w:ascii="Times New Roman" w:hAnsi="Times New Roman" w:eastAsia="Times New Roman" w:cs="Times New Roman"/>
          <w:sz w:val="22"/>
          <w:szCs w:val="22"/>
          <w:lang w:val="en-US"/>
        </w:rPr>
        <w:t>4</w:t>
      </w:r>
      <w:r w:rsidRPr="397A5A92" w:rsidR="5379960B">
        <w:rPr>
          <w:rFonts w:ascii="Times New Roman" w:hAnsi="Times New Roman" w:eastAsia="Times New Roman" w:cs="Times New Roman"/>
          <w:sz w:val="22"/>
          <w:szCs w:val="22"/>
          <w:lang w:val="en-US"/>
        </w:rPr>
        <w:t xml:space="preserve"> sh</w:t>
      </w:r>
      <w:r w:rsidRPr="397A5A92" w:rsidR="5379960B">
        <w:rPr>
          <w:rFonts w:ascii="Times New Roman" w:hAnsi="Times New Roman" w:eastAsia="Times New Roman" w:cs="Times New Roman"/>
          <w:sz w:val="22"/>
          <w:szCs w:val="22"/>
          <w:lang w:val="en-US"/>
        </w:rPr>
        <w:t>ows that t</w:t>
      </w:r>
      <w:r w:rsidRPr="397A5A92" w:rsidR="5379960B">
        <w:rPr>
          <w:rFonts w:ascii="Times New Roman" w:hAnsi="Times New Roman" w:eastAsia="Times New Roman" w:cs="Times New Roman"/>
          <w:sz w:val="22"/>
          <w:szCs w:val="22"/>
          <w:lang w:val="en-US"/>
        </w:rPr>
        <w:t xml:space="preserve">he baseline and Scenario 2 (carbon tax) track closely in output levels through to 2070, with Scenario 2 </w:t>
      </w:r>
      <w:r w:rsidRPr="397A5A92" w:rsidR="5379960B">
        <w:rPr>
          <w:rFonts w:ascii="Times New Roman" w:hAnsi="Times New Roman" w:eastAsia="Times New Roman" w:cs="Times New Roman"/>
          <w:sz w:val="22"/>
          <w:szCs w:val="22"/>
          <w:lang w:val="en-US"/>
        </w:rPr>
        <w:t>ultimatel</w:t>
      </w:r>
      <w:r w:rsidRPr="397A5A92" w:rsidR="5379960B">
        <w:rPr>
          <w:rFonts w:ascii="Times New Roman" w:hAnsi="Times New Roman" w:eastAsia="Times New Roman" w:cs="Times New Roman"/>
          <w:sz w:val="22"/>
          <w:szCs w:val="22"/>
          <w:lang w:val="en-US"/>
        </w:rPr>
        <w:t>y surpassi</w:t>
      </w:r>
      <w:r w:rsidRPr="397A5A92" w:rsidR="5379960B">
        <w:rPr>
          <w:rFonts w:ascii="Times New Roman" w:hAnsi="Times New Roman" w:eastAsia="Times New Roman" w:cs="Times New Roman"/>
          <w:sz w:val="22"/>
          <w:szCs w:val="22"/>
          <w:lang w:val="en-US"/>
        </w:rPr>
        <w:t>ng</w:t>
      </w:r>
      <w:r w:rsidRPr="397A5A92" w:rsidR="5379960B">
        <w:rPr>
          <w:rFonts w:ascii="Times New Roman" w:hAnsi="Times New Roman" w:eastAsia="Times New Roman" w:cs="Times New Roman"/>
          <w:sz w:val="22"/>
          <w:szCs w:val="22"/>
          <w:lang w:val="en-US"/>
        </w:rPr>
        <w:t xml:space="preserve"> the baseline as reduced climate damages protect the capital stock and sustain investment. Scenario 3 (degrowth) produce</w:t>
      </w:r>
      <w:r w:rsidRPr="397A5A92" w:rsidR="5379960B">
        <w:rPr>
          <w:rFonts w:ascii="Times New Roman" w:hAnsi="Times New Roman" w:eastAsia="Times New Roman" w:cs="Times New Roman"/>
          <w:sz w:val="22"/>
          <w:szCs w:val="22"/>
          <w:lang w:val="en-US"/>
        </w:rPr>
        <w:t xml:space="preserve">s </w:t>
      </w:r>
      <w:r w:rsidRPr="397A5A92" w:rsidR="5379960B">
        <w:rPr>
          <w:rFonts w:ascii="Times New Roman" w:hAnsi="Times New Roman" w:eastAsia="Times New Roman" w:cs="Times New Roman"/>
          <w:sz w:val="22"/>
          <w:szCs w:val="22"/>
          <w:lang w:val="en-US"/>
        </w:rPr>
        <w:t>sub</w:t>
      </w:r>
      <w:r w:rsidRPr="397A5A92" w:rsidR="5379960B">
        <w:rPr>
          <w:rFonts w:ascii="Times New Roman" w:hAnsi="Times New Roman" w:eastAsia="Times New Roman" w:cs="Times New Roman"/>
          <w:sz w:val="22"/>
          <w:szCs w:val="22"/>
          <w:lang w:val="en-US"/>
        </w:rPr>
        <w:t>stantially lower</w:t>
      </w:r>
      <w:r w:rsidRPr="397A5A92" w:rsidR="5379960B">
        <w:rPr>
          <w:rFonts w:ascii="Times New Roman" w:hAnsi="Times New Roman" w:eastAsia="Times New Roman" w:cs="Times New Roman"/>
          <w:sz w:val="22"/>
          <w:szCs w:val="22"/>
          <w:lang w:val="en-US"/>
        </w:rPr>
        <w:t xml:space="preserve"> output</w:t>
      </w:r>
      <w:r w:rsidRPr="397A5A92" w:rsidR="64122532">
        <w:rPr>
          <w:rFonts w:ascii="Times New Roman" w:hAnsi="Times New Roman" w:eastAsia="Times New Roman" w:cs="Times New Roman"/>
          <w:sz w:val="22"/>
          <w:szCs w:val="22"/>
          <w:lang w:val="en-US"/>
        </w:rPr>
        <w:t xml:space="preserve">, </w:t>
      </w:r>
      <w:r w:rsidRPr="397A5A92" w:rsidR="5379960B">
        <w:rPr>
          <w:rFonts w:ascii="Times New Roman" w:hAnsi="Times New Roman" w:eastAsia="Times New Roman" w:cs="Times New Roman"/>
          <w:sz w:val="22"/>
          <w:szCs w:val="22"/>
          <w:lang w:val="en-US"/>
        </w:rPr>
        <w:t>approximately 245 trillion USD by 2070 v</w:t>
      </w:r>
      <w:r w:rsidRPr="397A5A92" w:rsidR="5379960B">
        <w:rPr>
          <w:rFonts w:ascii="Times New Roman" w:hAnsi="Times New Roman" w:eastAsia="Times New Roman" w:cs="Times New Roman"/>
          <w:sz w:val="22"/>
          <w:szCs w:val="22"/>
          <w:lang w:val="en-US"/>
        </w:rPr>
        <w:t>ersu</w:t>
      </w:r>
      <w:r w:rsidRPr="397A5A92" w:rsidR="5379960B">
        <w:rPr>
          <w:rFonts w:ascii="Times New Roman" w:hAnsi="Times New Roman" w:eastAsia="Times New Roman" w:cs="Times New Roman"/>
          <w:sz w:val="22"/>
          <w:szCs w:val="22"/>
          <w:lang w:val="en-US"/>
        </w:rPr>
        <w:t xml:space="preserve">s 340 trillion in the baseline because reduced autonomous investment (α₀ = 0.02) and lower consumption propensity (c₁ = 0.8) compress aggregate demand. Figure </w:t>
      </w:r>
      <w:r w:rsidRPr="397A5A92" w:rsidR="31348CC2">
        <w:rPr>
          <w:rFonts w:ascii="Times New Roman" w:hAnsi="Times New Roman" w:eastAsia="Times New Roman" w:cs="Times New Roman"/>
          <w:sz w:val="22"/>
          <w:szCs w:val="22"/>
          <w:lang w:val="en-US"/>
        </w:rPr>
        <w:t>5</w:t>
      </w:r>
      <w:r w:rsidRPr="397A5A92" w:rsidR="5379960B">
        <w:rPr>
          <w:rFonts w:ascii="Times New Roman" w:hAnsi="Times New Roman" w:eastAsia="Times New Roman" w:cs="Times New Roman"/>
          <w:sz w:val="22"/>
          <w:szCs w:val="22"/>
          <w:lang w:val="en-US"/>
        </w:rPr>
        <w:t xml:space="preserve"> illustrates this starkly: degrowth generates a sharp output contraction of </w:t>
      </w:r>
      <w:r w:rsidRPr="397A5A92" w:rsidR="5379960B">
        <w:rPr>
          <w:rFonts w:ascii="Times New Roman" w:hAnsi="Times New Roman" w:eastAsia="Times New Roman" w:cs="Times New Roman"/>
          <w:sz w:val="22"/>
          <w:szCs w:val="22"/>
          <w:lang w:val="en-US"/>
        </w:rPr>
        <w:t>nearly -2</w:t>
      </w:r>
      <w:r w:rsidRPr="397A5A92" w:rsidR="5379960B">
        <w:rPr>
          <w:rFonts w:ascii="Times New Roman" w:hAnsi="Times New Roman" w:eastAsia="Times New Roman" w:cs="Times New Roman"/>
          <w:sz w:val="22"/>
          <w:szCs w:val="22"/>
          <w:lang w:val="en-US"/>
        </w:rPr>
        <w:t xml:space="preserve">% around 2027, before gradually recovering to around 2%. The higher carbon tax scenario initially produces a brief growth spike (teal line, Figure </w:t>
      </w:r>
      <w:r w:rsidRPr="397A5A92" w:rsidR="1EBE61E8">
        <w:rPr>
          <w:rFonts w:ascii="Times New Roman" w:hAnsi="Times New Roman" w:eastAsia="Times New Roman" w:cs="Times New Roman"/>
          <w:sz w:val="22"/>
          <w:szCs w:val="22"/>
          <w:lang w:val="en-US"/>
        </w:rPr>
        <w:t>4</w:t>
      </w:r>
      <w:r w:rsidRPr="397A5A92" w:rsidR="5379960B">
        <w:rPr>
          <w:rFonts w:ascii="Times New Roman" w:hAnsi="Times New Roman" w:eastAsia="Times New Roman" w:cs="Times New Roman"/>
          <w:sz w:val="22"/>
          <w:szCs w:val="22"/>
          <w:lang w:val="en-US"/>
        </w:rPr>
        <w:t xml:space="preserve">) reflecting the investment stimulus from green capital accumulation, before settling slightly below the baseline as carbon tax costs </w:t>
      </w:r>
      <w:r w:rsidRPr="397A5A92" w:rsidR="5379960B">
        <w:rPr>
          <w:rFonts w:ascii="Times New Roman" w:hAnsi="Times New Roman" w:eastAsia="Times New Roman" w:cs="Times New Roman"/>
          <w:sz w:val="22"/>
          <w:szCs w:val="22"/>
          <w:lang w:val="en-US"/>
        </w:rPr>
        <w:t>weigh on</w:t>
      </w:r>
      <w:r w:rsidRPr="397A5A92" w:rsidR="5379960B">
        <w:rPr>
          <w:rFonts w:ascii="Times New Roman" w:hAnsi="Times New Roman" w:eastAsia="Times New Roman" w:cs="Times New Roman"/>
          <w:sz w:val="22"/>
          <w:szCs w:val="22"/>
          <w:lang w:val="en-US"/>
        </w:rPr>
        <w:t xml:space="preserve"> net profits.</w:t>
      </w:r>
    </w:p>
    <w:p xmlns:wp14="http://schemas.microsoft.com/office/word/2010/wordml" w:rsidP="397A5A92" w14:paraId="6BFB67A2" wp14:textId="4B6BFFB2">
      <w:pPr>
        <w:pStyle w:val="Heading2"/>
        <w:spacing w:before="220" w:after="100"/>
      </w:pPr>
      <w:r w:rsidRPr="397A5A92" w:rsidR="397A5A92">
        <w:rPr>
          <w:rFonts w:ascii="Times New Roman" w:hAnsi="Times New Roman" w:eastAsia="Times New Roman" w:cs="Times New Roman"/>
          <w:b w:val="1"/>
          <w:bCs w:val="1"/>
          <w:sz w:val="24"/>
          <w:szCs w:val="24"/>
        </w:rPr>
        <w:t>1.3 Financial Variables: Profit Rate and Firm Leverage</w:t>
      </w:r>
    </w:p>
    <w:p xmlns:wp14="http://schemas.microsoft.com/office/word/2010/wordml" w:rsidP="397A5A92" w14:paraId="780654BA" wp14:textId="74790BDC">
      <w:pPr>
        <w:pStyle w:val="Normal"/>
        <w:spacing w:before="200" w:after="60"/>
      </w:pPr>
      <w:r w:rsidR="397A5A92">
        <w:drawing>
          <wp:inline xmlns:wp14="http://schemas.microsoft.com/office/word/2010/wordprocessingDrawing" wp14:editId="1DDACBA4" wp14:anchorId="2C806F0A">
            <wp:extent cx="2516187" cy="1400175"/>
            <wp:effectExtent l="0" t="0" r="0" b="0"/>
            <wp:docPr id="432837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2" cstate="none"/>
                    <a:srcRect/>
                    <a:stretch>
                      <a:fillRect/>
                    </a:stretch>
                  </pic:blipFill>
                  <pic:spPr bwMode="auto">
                    <a:xfrm rot="0">
                      <a:off x="0" y="0"/>
                      <a:ext cx="2516187" cy="1400175"/>
                    </a:xfrm>
                    <a:prstGeom prst="rect">
                      <a:avLst/>
                    </a:prstGeom>
                  </pic:spPr>
                </pic:pic>
              </a:graphicData>
            </a:graphic>
          </wp:inline>
        </w:drawing>
      </w:r>
      <w:r w:rsidR="4F980530">
        <w:drawing>
          <wp:inline xmlns:wp14="http://schemas.microsoft.com/office/word/2010/wordprocessingDrawing" wp14:editId="60C7AD6C" wp14:anchorId="097D69D5">
            <wp:extent cx="2445468" cy="1357867"/>
            <wp:effectExtent l="0" t="0" r="0" b="0"/>
            <wp:docPr id="1328222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3" cstate="none"/>
                    <a:srcRect/>
                    <a:stretch>
                      <a:fillRect/>
                    </a:stretch>
                  </pic:blipFill>
                  <pic:spPr bwMode="auto">
                    <a:xfrm rot="0">
                      <a:off x="0" y="0"/>
                      <a:ext cx="2445468" cy="1357867"/>
                    </a:xfrm>
                    <a:prstGeom prst="rect">
                      <a:avLst/>
                    </a:prstGeom>
                  </pic:spPr>
                </pic:pic>
              </a:graphicData>
            </a:graphic>
          </wp:inline>
        </w:drawing>
      </w:r>
    </w:p>
    <w:p xmlns:wp14="http://schemas.microsoft.com/office/word/2010/wordml" w:rsidP="397A5A92" w14:paraId="2FA78B2B" wp14:textId="7FE1A338">
      <w:pPr>
        <w:pStyle w:val="Normal"/>
        <w:spacing w:before="200" w:after="60"/>
      </w:pPr>
      <w:r w:rsidRPr="397A5A92" w:rsidR="397A5A92">
        <w:rPr>
          <w:rFonts w:ascii="Times New Roman" w:hAnsi="Times New Roman" w:eastAsia="Times New Roman" w:cs="Times New Roman"/>
          <w:b w:val="1"/>
          <w:bCs w:val="1"/>
          <w:i w:val="1"/>
          <w:iCs w:val="1"/>
          <w:sz w:val="20"/>
          <w:szCs w:val="20"/>
        </w:rPr>
        <w:t xml:space="preserve">Figure </w:t>
      </w:r>
      <w:r w:rsidRPr="397A5A92" w:rsidR="5ADDD400">
        <w:rPr>
          <w:rFonts w:ascii="Times New Roman" w:hAnsi="Times New Roman" w:eastAsia="Times New Roman" w:cs="Times New Roman"/>
          <w:b w:val="1"/>
          <w:bCs w:val="1"/>
          <w:i w:val="1"/>
          <w:iCs w:val="1"/>
          <w:sz w:val="20"/>
          <w:szCs w:val="20"/>
        </w:rPr>
        <w:t>6</w:t>
      </w:r>
      <w:r w:rsidRPr="397A5A92" w:rsidR="397A5A92">
        <w:rPr>
          <w:rFonts w:ascii="Times New Roman" w:hAnsi="Times New Roman" w:eastAsia="Times New Roman" w:cs="Times New Roman"/>
          <w:b w:val="1"/>
          <w:bCs w:val="1"/>
          <w:i w:val="1"/>
          <w:iCs w:val="1"/>
          <w:sz w:val="20"/>
          <w:szCs w:val="20"/>
        </w:rPr>
        <w:t>: Rate of Profit</w:t>
      </w:r>
      <w:r w:rsidRPr="397A5A92" w:rsidR="70BC5E23">
        <w:rPr>
          <w:rFonts w:ascii="Times New Roman" w:hAnsi="Times New Roman" w:eastAsia="Times New Roman" w:cs="Times New Roman"/>
          <w:b w:val="1"/>
          <w:bCs w:val="1"/>
          <w:i w:val="1"/>
          <w:iCs w:val="1"/>
          <w:sz w:val="20"/>
          <w:szCs w:val="20"/>
        </w:rPr>
        <w:t xml:space="preserve">                                               Figure </w:t>
      </w:r>
      <w:r w:rsidRPr="397A5A92" w:rsidR="2932731C">
        <w:rPr>
          <w:rFonts w:ascii="Times New Roman" w:hAnsi="Times New Roman" w:eastAsia="Times New Roman" w:cs="Times New Roman"/>
          <w:b w:val="1"/>
          <w:bCs w:val="1"/>
          <w:i w:val="1"/>
          <w:iCs w:val="1"/>
          <w:sz w:val="20"/>
          <w:szCs w:val="20"/>
        </w:rPr>
        <w:t>7</w:t>
      </w:r>
      <w:r w:rsidRPr="397A5A92" w:rsidR="70BC5E23">
        <w:rPr>
          <w:rFonts w:ascii="Times New Roman" w:hAnsi="Times New Roman" w:eastAsia="Times New Roman" w:cs="Times New Roman"/>
          <w:b w:val="1"/>
          <w:bCs w:val="1"/>
          <w:i w:val="1"/>
          <w:iCs w:val="1"/>
          <w:sz w:val="20"/>
          <w:szCs w:val="20"/>
        </w:rPr>
        <w:t>: Firm Leverage</w:t>
      </w:r>
    </w:p>
    <w:p xmlns:wp14="http://schemas.microsoft.com/office/word/2010/wordml" w:rsidP="397A5A92" w14:paraId="41C8F396" wp14:textId="3A5004A8">
      <w:pPr>
        <w:pStyle w:val="Normal"/>
      </w:pPr>
      <w:r w:rsidR="70BC5E23">
        <w:rPr/>
        <w:t xml:space="preserve"> </w:t>
      </w:r>
    </w:p>
    <w:p xmlns:wp14="http://schemas.microsoft.com/office/word/2010/wordml" w14:paraId="3DD224F0" wp14:textId="0B2FA254">
      <w:pPr>
        <w:spacing w:before="0" w:after="160"/>
        <w:jc w:val="both"/>
      </w:pPr>
      <w:r w:rsidRPr="397A5A92" w:rsidR="5379960B">
        <w:rPr>
          <w:rFonts w:ascii="Times New Roman" w:hAnsi="Times New Roman" w:eastAsia="Times New Roman" w:cs="Times New Roman"/>
          <w:sz w:val="22"/>
          <w:szCs w:val="22"/>
          <w:lang w:val="en-US"/>
        </w:rPr>
        <w:t xml:space="preserve">Figure </w:t>
      </w:r>
      <w:r w:rsidRPr="397A5A92" w:rsidR="1F3D0E3B">
        <w:rPr>
          <w:rFonts w:ascii="Times New Roman" w:hAnsi="Times New Roman" w:eastAsia="Times New Roman" w:cs="Times New Roman"/>
          <w:sz w:val="22"/>
          <w:szCs w:val="22"/>
          <w:lang w:val="en-US"/>
        </w:rPr>
        <w:t>6</w:t>
      </w:r>
      <w:r w:rsidRPr="397A5A92" w:rsidR="5379960B">
        <w:rPr>
          <w:rFonts w:ascii="Times New Roman" w:hAnsi="Times New Roman" w:eastAsia="Times New Roman" w:cs="Times New Roman"/>
          <w:sz w:val="22"/>
          <w:szCs w:val="22"/>
          <w:lang w:val="en-US"/>
        </w:rPr>
        <w:t xml:space="preserve"> </w:t>
      </w:r>
      <w:r w:rsidRPr="397A5A92" w:rsidR="5379960B">
        <w:rPr>
          <w:rFonts w:ascii="Times New Roman" w:hAnsi="Times New Roman" w:eastAsia="Times New Roman" w:cs="Times New Roman"/>
          <w:sz w:val="22"/>
          <w:szCs w:val="22"/>
          <w:lang w:val="en-US"/>
        </w:rPr>
        <w:t xml:space="preserve">shows that the carbon tax (Scenario 2, Task 1) </w:t>
      </w:r>
      <w:r w:rsidRPr="397A5A92" w:rsidR="5379960B">
        <w:rPr>
          <w:rFonts w:ascii="Times New Roman" w:hAnsi="Times New Roman" w:eastAsia="Times New Roman" w:cs="Times New Roman"/>
          <w:sz w:val="22"/>
          <w:szCs w:val="22"/>
          <w:lang w:val="en-US"/>
        </w:rPr>
        <w:t>immediately</w:t>
      </w:r>
      <w:r w:rsidRPr="397A5A92" w:rsidR="5379960B">
        <w:rPr>
          <w:rFonts w:ascii="Times New Roman" w:hAnsi="Times New Roman" w:eastAsia="Times New Roman" w:cs="Times New Roman"/>
          <w:sz w:val="22"/>
          <w:szCs w:val="22"/>
          <w:lang w:val="en-US"/>
        </w:rPr>
        <w:t xml:space="preserve"> depresses the profit rate </w:t>
      </w:r>
      <w:r w:rsidRPr="397A5A92" w:rsidR="5379960B">
        <w:rPr>
          <w:rFonts w:ascii="Times New Roman" w:hAnsi="Times New Roman" w:eastAsia="Times New Roman" w:cs="Times New Roman"/>
          <w:sz w:val="22"/>
          <w:szCs w:val="22"/>
          <w:lang w:val="en-US"/>
        </w:rPr>
        <w:t>relative</w:t>
      </w:r>
      <w:r w:rsidRPr="397A5A92" w:rsidR="5379960B">
        <w:rPr>
          <w:rFonts w:ascii="Times New Roman" w:hAnsi="Times New Roman" w:eastAsia="Times New Roman" w:cs="Times New Roman"/>
          <w:sz w:val="22"/>
          <w:szCs w:val="22"/>
          <w:lang w:val="en-US"/>
        </w:rPr>
        <w:t xml:space="preserve"> to the baseline, as firms face higher costs from carbon taxation</w:t>
      </w:r>
      <w:r w:rsidRPr="397A5A92" w:rsidR="7DB18D52">
        <w:rPr>
          <w:rFonts w:ascii="Times New Roman" w:hAnsi="Times New Roman" w:eastAsia="Times New Roman" w:cs="Times New Roman"/>
          <w:sz w:val="22"/>
          <w:szCs w:val="22"/>
          <w:lang w:val="en-US"/>
        </w:rPr>
        <w:t xml:space="preserve">, </w:t>
      </w:r>
      <w:r w:rsidRPr="397A5A92" w:rsidR="5379960B">
        <w:rPr>
          <w:rFonts w:ascii="Times New Roman" w:hAnsi="Times New Roman" w:eastAsia="Times New Roman" w:cs="Times New Roman"/>
          <w:sz w:val="22"/>
          <w:szCs w:val="22"/>
          <w:lang w:val="en-US"/>
        </w:rPr>
        <w:t xml:space="preserve">net profits (TPₜ) fall because carbon taxes are deducted from gross profits. Degrowth produces an extreme profit collapse, falling towards zero by 2070, as the double squeeze of reduced revenues (lower output) and higher carbon costs </w:t>
      </w:r>
      <w:r w:rsidRPr="397A5A92" w:rsidR="5379960B">
        <w:rPr>
          <w:rFonts w:ascii="Times New Roman" w:hAnsi="Times New Roman" w:eastAsia="Times New Roman" w:cs="Times New Roman"/>
          <w:sz w:val="22"/>
          <w:szCs w:val="22"/>
          <w:lang w:val="en-US"/>
        </w:rPr>
        <w:t>eliminates</w:t>
      </w:r>
      <w:r w:rsidRPr="397A5A92" w:rsidR="5379960B">
        <w:rPr>
          <w:rFonts w:ascii="Times New Roman" w:hAnsi="Times New Roman" w:eastAsia="Times New Roman" w:cs="Times New Roman"/>
          <w:sz w:val="22"/>
          <w:szCs w:val="22"/>
          <w:lang w:val="en-US"/>
        </w:rPr>
        <w:t xml:space="preserve"> retained profits, undermining future investment ca</w:t>
      </w:r>
      <w:r w:rsidRPr="397A5A92" w:rsidR="5379960B">
        <w:rPr>
          <w:rFonts w:ascii="Times New Roman" w:hAnsi="Times New Roman" w:eastAsia="Times New Roman" w:cs="Times New Roman"/>
          <w:sz w:val="22"/>
          <w:szCs w:val="22"/>
          <w:lang w:val="en-US"/>
        </w:rPr>
        <w:t>pacity. Fi</w:t>
      </w:r>
      <w:r w:rsidRPr="397A5A92" w:rsidR="5379960B">
        <w:rPr>
          <w:rFonts w:ascii="Times New Roman" w:hAnsi="Times New Roman" w:eastAsia="Times New Roman" w:cs="Times New Roman"/>
          <w:sz w:val="22"/>
          <w:szCs w:val="22"/>
          <w:lang w:val="en-US"/>
        </w:rPr>
        <w:t xml:space="preserve">gure </w:t>
      </w:r>
      <w:r w:rsidRPr="397A5A92" w:rsidR="5D57DF66">
        <w:rPr>
          <w:rFonts w:ascii="Times New Roman" w:hAnsi="Times New Roman" w:eastAsia="Times New Roman" w:cs="Times New Roman"/>
          <w:sz w:val="22"/>
          <w:szCs w:val="22"/>
          <w:lang w:val="en-US"/>
        </w:rPr>
        <w:t>7</w:t>
      </w:r>
      <w:r w:rsidRPr="397A5A92" w:rsidR="5379960B">
        <w:rPr>
          <w:rFonts w:ascii="Times New Roman" w:hAnsi="Times New Roman" w:eastAsia="Times New Roman" w:cs="Times New Roman"/>
          <w:sz w:val="22"/>
          <w:szCs w:val="22"/>
          <w:lang w:val="en-US"/>
        </w:rPr>
        <w:t xml:space="preserve"> (firm leverage) shows that the baseline </w:t>
      </w:r>
      <w:r w:rsidRPr="397A5A92" w:rsidR="5379960B">
        <w:rPr>
          <w:rFonts w:ascii="Times New Roman" w:hAnsi="Times New Roman" w:eastAsia="Times New Roman" w:cs="Times New Roman"/>
          <w:sz w:val="22"/>
          <w:szCs w:val="22"/>
          <w:lang w:val="en-US"/>
        </w:rPr>
        <w:t>exhibits</w:t>
      </w:r>
      <w:r w:rsidRPr="397A5A92" w:rsidR="5379960B">
        <w:rPr>
          <w:rFonts w:ascii="Times New Roman" w:hAnsi="Times New Roman" w:eastAsia="Times New Roman" w:cs="Times New Roman"/>
          <w:sz w:val="22"/>
          <w:szCs w:val="22"/>
          <w:lang w:val="en-US"/>
        </w:rPr>
        <w:t xml:space="preserve"> declining leverage over time, reflecting healthy capital accumulation </w:t>
      </w:r>
      <w:r w:rsidRPr="397A5A92" w:rsidR="5379960B">
        <w:rPr>
          <w:rFonts w:ascii="Times New Roman" w:hAnsi="Times New Roman" w:eastAsia="Times New Roman" w:cs="Times New Roman"/>
          <w:sz w:val="22"/>
          <w:szCs w:val="22"/>
          <w:lang w:val="en-US"/>
        </w:rPr>
        <w:t>relative</w:t>
      </w:r>
      <w:r w:rsidRPr="397A5A92" w:rsidR="5379960B">
        <w:rPr>
          <w:rFonts w:ascii="Times New Roman" w:hAnsi="Times New Roman" w:eastAsia="Times New Roman" w:cs="Times New Roman"/>
          <w:sz w:val="22"/>
          <w:szCs w:val="22"/>
          <w:lang w:val="en-US"/>
        </w:rPr>
        <w:t xml:space="preserve"> to debt. The carbon tax raises leverage (teal) as firms borrow more relative to their eroding capital base. Degrowth generates the most severe leverage escalation (orange), driven by falling output, collapsing profitability, and continued debt service requirements. This financial fragility echoes the instability channel of </w:t>
      </w:r>
      <w:r w:rsidRPr="397A5A92" w:rsidR="5379960B">
        <w:rPr>
          <w:rFonts w:ascii="Times New Roman" w:hAnsi="Times New Roman" w:eastAsia="Times New Roman" w:cs="Times New Roman"/>
          <w:sz w:val="22"/>
          <w:szCs w:val="22"/>
          <w:lang w:val="en-US"/>
        </w:rPr>
        <w:t>Dafermos</w:t>
      </w:r>
      <w:r w:rsidRPr="397A5A92" w:rsidR="5379960B">
        <w:rPr>
          <w:rFonts w:ascii="Times New Roman" w:hAnsi="Times New Roman" w:eastAsia="Times New Roman" w:cs="Times New Roman"/>
          <w:sz w:val="22"/>
          <w:szCs w:val="22"/>
          <w:lang w:val="en-US"/>
        </w:rPr>
        <w:t xml:space="preserve"> et al. (2017).</w:t>
      </w:r>
    </w:p>
    <w:p xmlns:wp14="http://schemas.microsoft.com/office/word/2010/wordml" w:rsidP="397A5A92" w14:paraId="12695696" wp14:textId="465C58BB">
      <w:pPr>
        <w:pStyle w:val="Heading2"/>
        <w:spacing w:before="220" w:after="100"/>
      </w:pPr>
      <w:r w:rsidRPr="397A5A92" w:rsidR="397A5A92">
        <w:rPr>
          <w:rFonts w:ascii="Times New Roman" w:hAnsi="Times New Roman" w:eastAsia="Times New Roman" w:cs="Times New Roman"/>
          <w:b w:val="1"/>
          <w:bCs w:val="1"/>
          <w:sz w:val="24"/>
          <w:szCs w:val="24"/>
        </w:rPr>
        <w:t>1.4 Green Investment and Emission</w:t>
      </w:r>
    </w:p>
    <w:p xmlns:wp14="http://schemas.microsoft.com/office/word/2010/wordml" w:rsidP="397A5A92" w14:paraId="6FF3C5B4" wp14:textId="4751A6B0">
      <w:pPr>
        <w:pStyle w:val="Heading2"/>
        <w:spacing w:before="220" w:after="100"/>
      </w:pPr>
      <w:r w:rsidR="397A5A92">
        <w:drawing>
          <wp:inline xmlns:wp14="http://schemas.microsoft.com/office/word/2010/wordprocessingDrawing" wp14:editId="77DB81A0" wp14:anchorId="358B4E8B">
            <wp:extent cx="1863693" cy="1376370"/>
            <wp:effectExtent l="0" t="0" r="0" b="0"/>
            <wp:docPr id="282289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4" cstate="none"/>
                    <a:srcRect/>
                    <a:stretch>
                      <a:fillRect/>
                    </a:stretch>
                  </pic:blipFill>
                  <pic:spPr bwMode="auto">
                    <a:xfrm rot="0">
                      <a:off x="0" y="0"/>
                      <a:ext cx="1863693" cy="1376370"/>
                    </a:xfrm>
                    <a:prstGeom prst="rect">
                      <a:avLst/>
                    </a:prstGeom>
                  </pic:spPr>
                </pic:pic>
              </a:graphicData>
            </a:graphic>
          </wp:inline>
        </w:drawing>
      </w:r>
      <w:r w:rsidR="7B430C51">
        <w:drawing>
          <wp:inline xmlns:wp14="http://schemas.microsoft.com/office/word/2010/wordprocessingDrawing" wp14:editId="0A4AB608" wp14:anchorId="0C161CF6">
            <wp:extent cx="1988891" cy="1263877"/>
            <wp:effectExtent l="0" t="0" r="0" b="0"/>
            <wp:docPr id="18843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5" cstate="none"/>
                    <a:srcRect/>
                    <a:stretch>
                      <a:fillRect/>
                    </a:stretch>
                  </pic:blipFill>
                  <pic:spPr bwMode="auto">
                    <a:xfrm rot="0">
                      <a:off x="0" y="0"/>
                      <a:ext cx="1988891" cy="1263877"/>
                    </a:xfrm>
                    <a:prstGeom prst="rect">
                      <a:avLst/>
                    </a:prstGeom>
                  </pic:spPr>
                </pic:pic>
              </a:graphicData>
            </a:graphic>
          </wp:inline>
        </w:drawing>
      </w:r>
      <w:r w:rsidR="055320A9">
        <w:drawing>
          <wp:inline xmlns:wp14="http://schemas.microsoft.com/office/word/2010/wordprocessingDrawing" wp14:editId="01D42B64" wp14:anchorId="5AEC666A">
            <wp:extent cx="1753362" cy="1225550"/>
            <wp:effectExtent l="0" t="0" r="0" b="0"/>
            <wp:docPr id="893667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6" cstate="none"/>
                    <a:srcRect/>
                    <a:stretch>
                      <a:fillRect/>
                    </a:stretch>
                  </pic:blipFill>
                  <pic:spPr bwMode="auto">
                    <a:xfrm rot="0">
                      <a:off x="0" y="0"/>
                      <a:ext cx="1753362" cy="1225550"/>
                    </a:xfrm>
                    <a:prstGeom prst="rect">
                      <a:avLst/>
                    </a:prstGeom>
                  </pic:spPr>
                </pic:pic>
              </a:graphicData>
            </a:graphic>
          </wp:inline>
        </w:drawing>
      </w:r>
      <w:r w:rsidRPr="397A5A92" w:rsidR="397A5A92">
        <w:rPr>
          <w:rFonts w:ascii="Times New Roman" w:hAnsi="Times New Roman" w:eastAsia="Times New Roman" w:cs="Times New Roman"/>
          <w:b w:val="1"/>
          <w:bCs w:val="1"/>
          <w:i w:val="1"/>
          <w:iCs w:val="1"/>
          <w:sz w:val="20"/>
          <w:szCs w:val="20"/>
          <w:lang w:val="en-US"/>
        </w:rPr>
        <w:t xml:space="preserve">Figure </w:t>
      </w:r>
      <w:r w:rsidRPr="397A5A92" w:rsidR="5BB0726B">
        <w:rPr>
          <w:rFonts w:ascii="Times New Roman" w:hAnsi="Times New Roman" w:eastAsia="Times New Roman" w:cs="Times New Roman"/>
          <w:b w:val="1"/>
          <w:bCs w:val="1"/>
          <w:i w:val="1"/>
          <w:iCs w:val="1"/>
          <w:sz w:val="20"/>
          <w:szCs w:val="20"/>
          <w:lang w:val="en-US"/>
        </w:rPr>
        <w:t>8</w:t>
      </w:r>
      <w:r w:rsidRPr="397A5A92" w:rsidR="397A5A92">
        <w:rPr>
          <w:rFonts w:ascii="Times New Roman" w:hAnsi="Times New Roman" w:eastAsia="Times New Roman" w:cs="Times New Roman"/>
          <w:b w:val="1"/>
          <w:bCs w:val="1"/>
          <w:i w:val="1"/>
          <w:iCs w:val="1"/>
          <w:sz w:val="20"/>
          <w:szCs w:val="20"/>
          <w:lang w:val="en-US"/>
        </w:rPr>
        <w:t>: Share of Green Investment</w:t>
      </w:r>
      <w:r w:rsidRPr="397A5A92" w:rsidR="4468F2CE">
        <w:rPr>
          <w:rFonts w:ascii="Times New Roman" w:hAnsi="Times New Roman" w:eastAsia="Times New Roman" w:cs="Times New Roman"/>
          <w:b w:val="1"/>
          <w:bCs w:val="1"/>
          <w:i w:val="1"/>
          <w:iCs w:val="1"/>
          <w:sz w:val="20"/>
          <w:szCs w:val="20"/>
          <w:lang w:val="en-US"/>
        </w:rPr>
        <w:t xml:space="preserve"> </w:t>
      </w:r>
      <w:r w:rsidRPr="397A5A92" w:rsidR="561CA06E">
        <w:rPr>
          <w:rFonts w:ascii="Times New Roman" w:hAnsi="Times New Roman" w:eastAsia="Times New Roman" w:cs="Times New Roman"/>
          <w:b w:val="1"/>
          <w:bCs w:val="1"/>
          <w:i w:val="1"/>
          <w:iCs w:val="1"/>
          <w:sz w:val="20"/>
          <w:szCs w:val="20"/>
          <w:lang w:val="en-US"/>
        </w:rPr>
        <w:t xml:space="preserve">    </w:t>
      </w:r>
      <w:r w:rsidRPr="397A5A92" w:rsidR="4468F2CE">
        <w:rPr>
          <w:rFonts w:ascii="Times New Roman" w:hAnsi="Times New Roman" w:eastAsia="Times New Roman" w:cs="Times New Roman"/>
          <w:b w:val="1"/>
          <w:bCs w:val="1"/>
          <w:i w:val="1"/>
          <w:iCs w:val="1"/>
          <w:sz w:val="20"/>
          <w:szCs w:val="20"/>
          <w:lang w:val="en-US"/>
        </w:rPr>
        <w:t xml:space="preserve">Figure </w:t>
      </w:r>
      <w:r w:rsidRPr="397A5A92" w:rsidR="4E8675A8">
        <w:rPr>
          <w:rFonts w:ascii="Times New Roman" w:hAnsi="Times New Roman" w:eastAsia="Times New Roman" w:cs="Times New Roman"/>
          <w:b w:val="1"/>
          <w:bCs w:val="1"/>
          <w:i w:val="1"/>
          <w:iCs w:val="1"/>
          <w:sz w:val="20"/>
          <w:szCs w:val="20"/>
          <w:lang w:val="en-US"/>
        </w:rPr>
        <w:t>9</w:t>
      </w:r>
      <w:r w:rsidRPr="397A5A92" w:rsidR="4468F2CE">
        <w:rPr>
          <w:rFonts w:ascii="Times New Roman" w:hAnsi="Times New Roman" w:eastAsia="Times New Roman" w:cs="Times New Roman"/>
          <w:b w:val="1"/>
          <w:bCs w:val="1"/>
          <w:i w:val="1"/>
          <w:iCs w:val="1"/>
          <w:sz w:val="20"/>
          <w:szCs w:val="20"/>
          <w:lang w:val="en-US"/>
        </w:rPr>
        <w:t>: Fossil CO₂ Emissions (</w:t>
      </w:r>
      <w:r w:rsidRPr="397A5A92" w:rsidR="4468F2CE">
        <w:rPr>
          <w:rFonts w:ascii="Times New Roman" w:hAnsi="Times New Roman" w:eastAsia="Times New Roman" w:cs="Times New Roman"/>
          <w:b w:val="1"/>
          <w:bCs w:val="1"/>
          <w:i w:val="1"/>
          <w:iCs w:val="1"/>
          <w:sz w:val="20"/>
          <w:szCs w:val="20"/>
          <w:lang w:val="en-US"/>
        </w:rPr>
        <w:t>Gt)</w:t>
      </w:r>
      <w:r w:rsidRPr="397A5A92" w:rsidR="3D155038">
        <w:rPr>
          <w:rFonts w:ascii="Times New Roman" w:hAnsi="Times New Roman" w:eastAsia="Times New Roman" w:cs="Times New Roman"/>
          <w:b w:val="1"/>
          <w:bCs w:val="1"/>
          <w:i w:val="1"/>
          <w:iCs w:val="1"/>
          <w:sz w:val="20"/>
          <w:szCs w:val="20"/>
          <w:lang w:val="en-US"/>
        </w:rPr>
        <w:t xml:space="preserve"> </w:t>
      </w:r>
      <w:r w:rsidRPr="397A5A92" w:rsidR="1DDDC7CD">
        <w:rPr>
          <w:rFonts w:ascii="Times New Roman" w:hAnsi="Times New Roman" w:eastAsia="Times New Roman" w:cs="Times New Roman"/>
          <w:b w:val="1"/>
          <w:bCs w:val="1"/>
          <w:i w:val="1"/>
          <w:iCs w:val="1"/>
          <w:sz w:val="20"/>
          <w:szCs w:val="20"/>
          <w:lang w:val="en-US"/>
        </w:rPr>
        <w:t xml:space="preserve">  </w:t>
      </w:r>
      <w:r w:rsidRPr="397A5A92" w:rsidR="1DDDC7CD">
        <w:rPr>
          <w:rFonts w:ascii="Times New Roman" w:hAnsi="Times New Roman" w:eastAsia="Times New Roman" w:cs="Times New Roman"/>
          <w:b w:val="1"/>
          <w:bCs w:val="1"/>
          <w:i w:val="1"/>
          <w:iCs w:val="1"/>
          <w:sz w:val="20"/>
          <w:szCs w:val="20"/>
          <w:lang w:val="en-US"/>
        </w:rPr>
        <w:t xml:space="preserve">   </w:t>
      </w:r>
      <w:r w:rsidRPr="397A5A92" w:rsidR="3D155038">
        <w:rPr>
          <w:rFonts w:ascii="Times New Roman" w:hAnsi="Times New Roman" w:eastAsia="Times New Roman" w:cs="Times New Roman"/>
          <w:b w:val="1"/>
          <w:bCs w:val="1"/>
          <w:i w:val="1"/>
          <w:iCs w:val="1"/>
          <w:sz w:val="20"/>
          <w:szCs w:val="20"/>
          <w:lang w:val="en-US"/>
        </w:rPr>
        <w:t xml:space="preserve">Figure </w:t>
      </w:r>
      <w:r w:rsidRPr="397A5A92" w:rsidR="0552C496">
        <w:rPr>
          <w:rFonts w:ascii="Times New Roman" w:hAnsi="Times New Roman" w:eastAsia="Times New Roman" w:cs="Times New Roman"/>
          <w:b w:val="1"/>
          <w:bCs w:val="1"/>
          <w:i w:val="1"/>
          <w:iCs w:val="1"/>
          <w:sz w:val="20"/>
          <w:szCs w:val="20"/>
          <w:lang w:val="en-US"/>
        </w:rPr>
        <w:t>10</w:t>
      </w:r>
      <w:r w:rsidRPr="397A5A92" w:rsidR="3D155038">
        <w:rPr>
          <w:rFonts w:ascii="Times New Roman" w:hAnsi="Times New Roman" w:eastAsia="Times New Roman" w:cs="Times New Roman"/>
          <w:b w:val="1"/>
          <w:bCs w:val="1"/>
          <w:i w:val="1"/>
          <w:iCs w:val="1"/>
          <w:sz w:val="20"/>
          <w:szCs w:val="20"/>
          <w:lang w:val="en-US"/>
        </w:rPr>
        <w:t>: CO₂ Intensity</w:t>
      </w:r>
    </w:p>
    <w:p xmlns:wp14="http://schemas.microsoft.com/office/word/2010/wordml" w:rsidP="397A5A92" w14:paraId="1D43A668" wp14:textId="385346BA">
      <w:pPr>
        <w:pStyle w:val="Normal"/>
        <w:spacing w:before="220" w:after="100"/>
        <w:rPr>
          <w:rFonts w:ascii="Times New Roman" w:hAnsi="Times New Roman" w:eastAsia="Times New Roman" w:cs="Times New Roman"/>
          <w:b w:val="1"/>
          <w:bCs w:val="1"/>
          <w:i w:val="1"/>
          <w:iCs w:val="1"/>
          <w:sz w:val="20"/>
          <w:szCs w:val="20"/>
          <w:lang w:val="en-US"/>
        </w:rPr>
      </w:pPr>
      <w:r w:rsidRPr="397A5A92" w:rsidR="5379960B">
        <w:rPr>
          <w:rFonts w:ascii="Times New Roman" w:hAnsi="Times New Roman" w:eastAsia="Times New Roman" w:cs="Times New Roman"/>
          <w:sz w:val="22"/>
          <w:szCs w:val="22"/>
          <w:lang w:val="en-US"/>
        </w:rPr>
        <w:t xml:space="preserve">Figure </w:t>
      </w:r>
      <w:r w:rsidRPr="397A5A92" w:rsidR="2ABAC34F">
        <w:rPr>
          <w:rFonts w:ascii="Times New Roman" w:hAnsi="Times New Roman" w:eastAsia="Times New Roman" w:cs="Times New Roman"/>
          <w:sz w:val="22"/>
          <w:szCs w:val="22"/>
          <w:lang w:val="en-US"/>
        </w:rPr>
        <w:t>8</w:t>
      </w:r>
      <w:r w:rsidRPr="397A5A92" w:rsidR="5379960B">
        <w:rPr>
          <w:rFonts w:ascii="Times New Roman" w:hAnsi="Times New Roman" w:eastAsia="Times New Roman" w:cs="Times New Roman"/>
          <w:sz w:val="22"/>
          <w:szCs w:val="22"/>
          <w:lang w:val="en-US"/>
        </w:rPr>
        <w:t xml:space="preserve"> </w:t>
      </w:r>
      <w:r w:rsidRPr="397A5A92" w:rsidR="5379960B">
        <w:rPr>
          <w:rFonts w:ascii="Times New Roman" w:hAnsi="Times New Roman" w:eastAsia="Times New Roman" w:cs="Times New Roman"/>
          <w:sz w:val="22"/>
          <w:szCs w:val="22"/>
          <w:lang w:val="en-US"/>
        </w:rPr>
        <w:t xml:space="preserve">reveals a striking </w:t>
      </w:r>
      <w:r w:rsidRPr="397A5A92" w:rsidR="5379960B">
        <w:rPr>
          <w:rFonts w:ascii="Times New Roman" w:hAnsi="Times New Roman" w:eastAsia="Times New Roman" w:cs="Times New Roman"/>
          <w:sz w:val="22"/>
          <w:szCs w:val="22"/>
          <w:lang w:val="en-US"/>
        </w:rPr>
        <w:t>result</w:t>
      </w:r>
      <w:r w:rsidRPr="397A5A92" w:rsidR="196419C5">
        <w:rPr>
          <w:rFonts w:ascii="Times New Roman" w:hAnsi="Times New Roman" w:eastAsia="Times New Roman" w:cs="Times New Roman"/>
          <w:sz w:val="22"/>
          <w:szCs w:val="22"/>
          <w:lang w:val="en-US"/>
        </w:rPr>
        <w:t>,</w:t>
      </w:r>
      <w:r w:rsidRPr="397A5A92" w:rsidR="196419C5">
        <w:rPr>
          <w:rFonts w:ascii="Times New Roman" w:hAnsi="Times New Roman" w:eastAsia="Times New Roman" w:cs="Times New Roman"/>
          <w:sz w:val="22"/>
          <w:szCs w:val="22"/>
          <w:lang w:val="en-US"/>
        </w:rPr>
        <w:t xml:space="preserve"> </w:t>
      </w:r>
      <w:r w:rsidRPr="397A5A92" w:rsidR="5379960B">
        <w:rPr>
          <w:rFonts w:ascii="Times New Roman" w:hAnsi="Times New Roman" w:eastAsia="Times New Roman" w:cs="Times New Roman"/>
          <w:sz w:val="22"/>
          <w:szCs w:val="22"/>
          <w:lang w:val="en-US"/>
        </w:rPr>
        <w:t xml:space="preserve">the share of green investment rises sharply only under degrowth-plus-carbon-tax (Scenario 3, Task </w:t>
      </w:r>
      <w:r w:rsidRPr="397A5A92" w:rsidR="5379960B">
        <w:rPr>
          <w:rFonts w:ascii="Times New Roman" w:hAnsi="Times New Roman" w:eastAsia="Times New Roman" w:cs="Times New Roman"/>
          <w:sz w:val="22"/>
          <w:szCs w:val="22"/>
          <w:lang w:val="en-US"/>
        </w:rPr>
        <w:t>2, oran</w:t>
      </w:r>
      <w:r w:rsidRPr="397A5A92" w:rsidR="5379960B">
        <w:rPr>
          <w:rFonts w:ascii="Times New Roman" w:hAnsi="Times New Roman" w:eastAsia="Times New Roman" w:cs="Times New Roman"/>
          <w:sz w:val="22"/>
          <w:szCs w:val="22"/>
          <w:lang w:val="en-US"/>
        </w:rPr>
        <w:t>ge line), jumping from around 0.06 to 0.17 after 2027. The carbon-t</w:t>
      </w:r>
      <w:r w:rsidRPr="397A5A92" w:rsidR="5379960B">
        <w:rPr>
          <w:rFonts w:ascii="Times New Roman" w:hAnsi="Times New Roman" w:eastAsia="Times New Roman" w:cs="Times New Roman"/>
          <w:sz w:val="22"/>
          <w:szCs w:val="22"/>
          <w:lang w:val="en-US"/>
        </w:rPr>
        <w:t>ax-plus-sp</w:t>
      </w:r>
      <w:r w:rsidRPr="397A5A92" w:rsidR="5379960B">
        <w:rPr>
          <w:rFonts w:ascii="Times New Roman" w:hAnsi="Times New Roman" w:eastAsia="Times New Roman" w:cs="Times New Roman"/>
          <w:sz w:val="22"/>
          <w:szCs w:val="22"/>
          <w:lang w:val="en-US"/>
        </w:rPr>
        <w:t xml:space="preserve">ending scenario (Scenario 2, Task 2) does not visibly differentiate from the baseline in green investment share, suggesting that the higher </w:t>
      </w:r>
      <w:r w:rsidRPr="397A5A92" w:rsidR="5379960B">
        <w:rPr>
          <w:rFonts w:ascii="Times New Roman" w:hAnsi="Times New Roman" w:eastAsia="Times New Roman" w:cs="Times New Roman"/>
          <w:sz w:val="22"/>
          <w:szCs w:val="22"/>
          <w:lang w:val="en-US"/>
        </w:rPr>
        <w:t>tucf</w:t>
      </w:r>
      <w:r w:rsidRPr="397A5A92" w:rsidR="5379960B">
        <w:rPr>
          <w:rFonts w:ascii="Times New Roman" w:hAnsi="Times New Roman" w:eastAsia="Times New Roman" w:cs="Times New Roman"/>
          <w:sz w:val="22"/>
          <w:szCs w:val="22"/>
          <w:lang w:val="en-US"/>
        </w:rPr>
        <w:t xml:space="preserve">ₜ in this model version is insufficient alone to shift the green investment threshold without demand compression. Figure </w:t>
      </w:r>
      <w:r w:rsidRPr="397A5A92" w:rsidR="16086946">
        <w:rPr>
          <w:rFonts w:ascii="Times New Roman" w:hAnsi="Times New Roman" w:eastAsia="Times New Roman" w:cs="Times New Roman"/>
          <w:sz w:val="22"/>
          <w:szCs w:val="22"/>
          <w:lang w:val="en-US"/>
        </w:rPr>
        <w:t xml:space="preserve">9 </w:t>
      </w:r>
      <w:r w:rsidRPr="397A5A92" w:rsidR="5379960B">
        <w:rPr>
          <w:rFonts w:ascii="Times New Roman" w:hAnsi="Times New Roman" w:eastAsia="Times New Roman" w:cs="Times New Roman"/>
          <w:sz w:val="22"/>
          <w:szCs w:val="22"/>
          <w:lang w:val="en-US"/>
        </w:rPr>
        <w:t xml:space="preserve">shows that both policy scenarios reduce fossil CO₂ emissions </w:t>
      </w:r>
      <w:r w:rsidRPr="397A5A92" w:rsidR="5379960B">
        <w:rPr>
          <w:rFonts w:ascii="Times New Roman" w:hAnsi="Times New Roman" w:eastAsia="Times New Roman" w:cs="Times New Roman"/>
          <w:sz w:val="22"/>
          <w:szCs w:val="22"/>
          <w:lang w:val="en-US"/>
        </w:rPr>
        <w:t>relative</w:t>
      </w:r>
      <w:r w:rsidRPr="397A5A92" w:rsidR="5379960B">
        <w:rPr>
          <w:rFonts w:ascii="Times New Roman" w:hAnsi="Times New Roman" w:eastAsia="Times New Roman" w:cs="Times New Roman"/>
          <w:sz w:val="22"/>
          <w:szCs w:val="22"/>
          <w:lang w:val="en-US"/>
        </w:rPr>
        <w:t xml:space="preserve"> to the baseline (approximately 120 Gt by 2070), with degrowth achieving the lowest emissions trajectory (approximately 70 Gt). Figure </w:t>
      </w:r>
      <w:r w:rsidRPr="397A5A92" w:rsidR="4997D236">
        <w:rPr>
          <w:rFonts w:ascii="Times New Roman" w:hAnsi="Times New Roman" w:eastAsia="Times New Roman" w:cs="Times New Roman"/>
          <w:sz w:val="22"/>
          <w:szCs w:val="22"/>
          <w:lang w:val="en-US"/>
        </w:rPr>
        <w:t>10</w:t>
      </w:r>
      <w:r w:rsidRPr="397A5A92" w:rsidR="5379960B">
        <w:rPr>
          <w:rFonts w:ascii="Times New Roman" w:hAnsi="Times New Roman" w:eastAsia="Times New Roman" w:cs="Times New Roman"/>
          <w:sz w:val="22"/>
          <w:szCs w:val="22"/>
          <w:lang w:val="en-US"/>
        </w:rPr>
        <w:t xml:space="preserve"> </w:t>
      </w:r>
      <w:r w:rsidRPr="397A5A92" w:rsidR="5379960B">
        <w:rPr>
          <w:rFonts w:ascii="Times New Roman" w:hAnsi="Times New Roman" w:eastAsia="Times New Roman" w:cs="Times New Roman"/>
          <w:sz w:val="22"/>
          <w:szCs w:val="22"/>
          <w:lang w:val="en-US"/>
        </w:rPr>
        <w:t xml:space="preserve">(CO₂ intensity) shows that policy scenarios generate declining intensity, reflecting the substitution towards greener production methods, while the baseline intensity </w:t>
      </w:r>
      <w:r w:rsidRPr="397A5A92" w:rsidR="5379960B">
        <w:rPr>
          <w:rFonts w:ascii="Times New Roman" w:hAnsi="Times New Roman" w:eastAsia="Times New Roman" w:cs="Times New Roman"/>
          <w:sz w:val="22"/>
          <w:szCs w:val="22"/>
          <w:lang w:val="en-US"/>
        </w:rPr>
        <w:t>remains</w:t>
      </w:r>
      <w:r w:rsidRPr="397A5A92" w:rsidR="5379960B">
        <w:rPr>
          <w:rFonts w:ascii="Times New Roman" w:hAnsi="Times New Roman" w:eastAsia="Times New Roman" w:cs="Times New Roman"/>
          <w:sz w:val="22"/>
          <w:szCs w:val="22"/>
          <w:lang w:val="en-US"/>
        </w:rPr>
        <w:t xml:space="preserve"> flat.</w:t>
      </w:r>
    </w:p>
    <w:p xmlns:wp14="http://schemas.microsoft.com/office/word/2010/wordml" w:rsidP="397A5A92" w14:paraId="5A0155BF" wp14:textId="09E839F4">
      <w:pPr>
        <w:pStyle w:val="Heading2"/>
        <w:spacing w:before="220" w:after="100"/>
      </w:pPr>
      <w:r w:rsidRPr="397A5A92" w:rsidR="397A5A92">
        <w:rPr>
          <w:rFonts w:ascii="Times New Roman" w:hAnsi="Times New Roman" w:eastAsia="Times New Roman" w:cs="Times New Roman"/>
          <w:b w:val="1"/>
          <w:bCs w:val="1"/>
          <w:sz w:val="24"/>
          <w:szCs w:val="24"/>
        </w:rPr>
        <w:t>1.5 Government Debt</w:t>
      </w:r>
    </w:p>
    <w:p xmlns:wp14="http://schemas.microsoft.com/office/word/2010/wordml" w:rsidP="397A5A92" w14:paraId="6BF3E2DF" wp14:textId="349944D9">
      <w:pPr>
        <w:pStyle w:val="Heading2"/>
        <w:spacing w:before="220" w:after="100"/>
      </w:pPr>
      <w:r w:rsidR="5D9D7C9B">
        <w:drawing>
          <wp:inline xmlns:wp14="http://schemas.microsoft.com/office/word/2010/wordprocessingDrawing" wp14:editId="775AA06A" wp14:anchorId="181C8988">
            <wp:extent cx="5403293" cy="1979613"/>
            <wp:effectExtent l="0" t="0" r="0" b="0"/>
            <wp:docPr id="1362565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7" cstate="none"/>
                    <a:srcRect/>
                    <a:stretch>
                      <a:fillRect/>
                    </a:stretch>
                  </pic:blipFill>
                  <pic:spPr bwMode="auto">
                    <a:xfrm rot="0">
                      <a:off x="0" y="0"/>
                      <a:ext cx="5403293" cy="1979613"/>
                    </a:xfrm>
                    <a:prstGeom prst="rect">
                      <a:avLst/>
                    </a:prstGeom>
                  </pic:spPr>
                </pic:pic>
              </a:graphicData>
            </a:graphic>
          </wp:inline>
        </w:drawing>
      </w:r>
    </w:p>
    <w:p xmlns:wp14="http://schemas.microsoft.com/office/word/2010/wordml" w:rsidP="397A5A92" w14:paraId="659DF383" wp14:textId="7C3C51E7">
      <w:pPr>
        <w:pStyle w:val="Heading2"/>
        <w:spacing w:before="220" w:after="100"/>
        <w:rPr>
          <w:rFonts w:ascii="Times New Roman" w:hAnsi="Times New Roman" w:eastAsia="Times New Roman" w:cs="Times New Roman"/>
          <w:b w:val="1"/>
          <w:bCs w:val="1"/>
          <w:i w:val="1"/>
          <w:iCs w:val="1"/>
          <w:sz w:val="20"/>
          <w:szCs w:val="20"/>
        </w:rPr>
      </w:pPr>
      <w:r w:rsidRPr="397A5A92" w:rsidR="397A5A92">
        <w:rPr>
          <w:rFonts w:ascii="Times New Roman" w:hAnsi="Times New Roman" w:eastAsia="Times New Roman" w:cs="Times New Roman"/>
          <w:b w:val="1"/>
          <w:bCs w:val="1"/>
          <w:i w:val="1"/>
          <w:iCs w:val="1"/>
          <w:sz w:val="20"/>
          <w:szCs w:val="20"/>
        </w:rPr>
        <w:t xml:space="preserve">Figure </w:t>
      </w:r>
      <w:r w:rsidRPr="397A5A92" w:rsidR="0FDD1F68">
        <w:rPr>
          <w:rFonts w:ascii="Times New Roman" w:hAnsi="Times New Roman" w:eastAsia="Times New Roman" w:cs="Times New Roman"/>
          <w:b w:val="1"/>
          <w:bCs w:val="1"/>
          <w:i w:val="1"/>
          <w:iCs w:val="1"/>
          <w:sz w:val="20"/>
          <w:szCs w:val="20"/>
        </w:rPr>
        <w:t>11</w:t>
      </w:r>
      <w:r w:rsidRPr="397A5A92" w:rsidR="397A5A92">
        <w:rPr>
          <w:rFonts w:ascii="Times New Roman" w:hAnsi="Times New Roman" w:eastAsia="Times New Roman" w:cs="Times New Roman"/>
          <w:b w:val="1"/>
          <w:bCs w:val="1"/>
          <w:i w:val="1"/>
          <w:iCs w:val="1"/>
          <w:sz w:val="20"/>
          <w:szCs w:val="20"/>
        </w:rPr>
        <w:t>: Government Debt-to-GDP Ratio</w:t>
      </w:r>
    </w:p>
    <w:p xmlns:wp14="http://schemas.microsoft.com/office/word/2010/wordml" w14:paraId="6820254C" wp14:textId="77777777">
      <w:pPr>
        <w:spacing w:before="0" w:after="160"/>
        <w:jc w:val="both"/>
      </w:pPr>
      <w:r w:rsidRPr="5379960B" w:rsidR="5379960B">
        <w:rPr>
          <w:rFonts w:ascii="Times New Roman" w:hAnsi="Times New Roman" w:eastAsia="Times New Roman" w:cs="Times New Roman"/>
          <w:sz w:val="22"/>
          <w:szCs w:val="22"/>
          <w:lang w:val="en-US"/>
        </w:rPr>
        <w:t>Figure 8 shows government debt-to-GDP rising continuously in the baseline (reaching 1.1 by 2070), as insufficient carbon tax revenues fail to offset expenditures. The carbon-tax-plus-spending scenario (teal) stabilises debt at approximately 0.75, because carbon tax revenues partially offset higher spending, consistent with the government budget constraint in equation (14). Degrowth with carbon tax (orange) produces a dramatic fall in the debt-to-GDP ratio to 0.28, driven by strong carbon tax revenues relative to the much smaller GDP denominator – though this reflects economic contraction rather than fiscal health.</w:t>
      </w:r>
    </w:p>
    <w:p xmlns:wp14="http://schemas.microsoft.com/office/word/2010/wordml" w14:paraId="1BFFD68A" wp14:textId="77777777">
      <w:pPr>
        <w:pStyle w:val="Heading1"/>
        <w:spacing w:before="280" w:after="120"/>
      </w:pPr>
      <w:r>
        <w:rPr>
          <w:rFonts w:ascii="Times New Roman" w:hAnsi="Times New Roman" w:eastAsia="Times New Roman" w:cs="Times New Roman"/>
          <w:b/>
          <w:bCs/>
          <w:sz w:val="26"/>
          <w:szCs w:val="26"/>
        </w:rPr>
        <w:t xml:space="preserve">Task 2: Policy Mix – Comparing Scenario 2 and Scenario 3 with Task 1</w:t>
      </w:r>
    </w:p>
    <w:p xmlns:wp14="http://schemas.microsoft.com/office/word/2010/wordml" w14:paraId="09472974" wp14:textId="77777777">
      <w:pPr>
        <w:pStyle w:val="Heading2"/>
        <w:spacing w:before="220" w:after="100"/>
      </w:pPr>
      <w:r>
        <w:rPr>
          <w:rFonts w:ascii="Times New Roman" w:hAnsi="Times New Roman" w:eastAsia="Times New Roman" w:cs="Times New Roman"/>
          <w:b/>
          <w:bCs/>
          <w:sz w:val="24"/>
          <w:szCs w:val="24"/>
        </w:rPr>
        <w:t xml:space="preserve">2.1 Scenario 2 (Task 2 vs Task 1): Higher Carbon Tax with Government Spending</w:t>
      </w:r>
    </w:p>
    <w:p xmlns:wp14="http://schemas.microsoft.com/office/word/2010/wordml" w:rsidP="397A5A92" w14:paraId="4A45A1DB" wp14:textId="7D194D7C">
      <w:pPr>
        <w:spacing w:before="0" w:after="160"/>
        <w:jc w:val="both"/>
        <w:rPr>
          <w:rFonts w:ascii="Times New Roman" w:hAnsi="Times New Roman" w:eastAsia="Times New Roman" w:cs="Times New Roman"/>
          <w:sz w:val="22"/>
          <w:szCs w:val="22"/>
          <w:lang w:val="en-US"/>
        </w:rPr>
      </w:pPr>
      <w:r w:rsidRPr="397A5A92" w:rsidR="5379960B">
        <w:rPr>
          <w:rFonts w:ascii="Times New Roman" w:hAnsi="Times New Roman" w:eastAsia="Times New Roman" w:cs="Times New Roman"/>
          <w:sz w:val="22"/>
          <w:szCs w:val="22"/>
          <w:lang w:val="en-US"/>
        </w:rPr>
        <w:t xml:space="preserve">Adding the </w:t>
      </w:r>
      <w:r w:rsidRPr="397A5A92" w:rsidR="5379960B">
        <w:rPr>
          <w:rFonts w:ascii="Times New Roman" w:hAnsi="Times New Roman" w:eastAsia="Times New Roman" w:cs="Times New Roman"/>
          <w:sz w:val="22"/>
          <w:szCs w:val="22"/>
          <w:lang w:val="en-US"/>
        </w:rPr>
        <w:t>government</w:t>
      </w:r>
      <w:r w:rsidRPr="397A5A92" w:rsidR="5379960B">
        <w:rPr>
          <w:rFonts w:ascii="Times New Roman" w:hAnsi="Times New Roman" w:eastAsia="Times New Roman" w:cs="Times New Roman"/>
          <w:sz w:val="22"/>
          <w:szCs w:val="22"/>
          <w:lang w:val="en-US"/>
        </w:rPr>
        <w:t xml:space="preserve"> consumption-to-GDP ratio (</w:t>
      </w:r>
      <w:r w:rsidRPr="397A5A92" w:rsidR="5379960B">
        <w:rPr>
          <w:rFonts w:ascii="Times New Roman" w:hAnsi="Times New Roman" w:eastAsia="Times New Roman" w:cs="Times New Roman"/>
          <w:sz w:val="22"/>
          <w:szCs w:val="22"/>
          <w:lang w:val="en-US"/>
        </w:rPr>
        <w:t>govC</w:t>
      </w:r>
      <w:r w:rsidRPr="397A5A92" w:rsidR="5379960B">
        <w:rPr>
          <w:rFonts w:ascii="Times New Roman" w:hAnsi="Times New Roman" w:eastAsia="Times New Roman" w:cs="Times New Roman"/>
          <w:sz w:val="22"/>
          <w:szCs w:val="22"/>
          <w:lang w:val="en-US"/>
        </w:rPr>
        <w:t xml:space="preserve"> = 0.02) to the carbon tax significantly alters macroeconomic outcomes. In Task 1, the carbon tax alone depresses output slightly below the baseline (Figure </w:t>
      </w:r>
      <w:r w:rsidRPr="397A5A92" w:rsidR="01E96AE0">
        <w:rPr>
          <w:rFonts w:ascii="Times New Roman" w:hAnsi="Times New Roman" w:eastAsia="Times New Roman" w:cs="Times New Roman"/>
          <w:sz w:val="22"/>
          <w:szCs w:val="22"/>
          <w:lang w:val="en-US"/>
        </w:rPr>
        <w:t>4</w:t>
      </w:r>
      <w:r w:rsidRPr="397A5A92" w:rsidR="5379960B">
        <w:rPr>
          <w:rFonts w:ascii="Times New Roman" w:hAnsi="Times New Roman" w:eastAsia="Times New Roman" w:cs="Times New Roman"/>
          <w:sz w:val="22"/>
          <w:szCs w:val="22"/>
          <w:lang w:val="en-US"/>
        </w:rPr>
        <w:t xml:space="preserve">) and reduces the profit rate (Figure </w:t>
      </w:r>
      <w:r w:rsidRPr="397A5A92" w:rsidR="6E54EF50">
        <w:rPr>
          <w:rFonts w:ascii="Times New Roman" w:hAnsi="Times New Roman" w:eastAsia="Times New Roman" w:cs="Times New Roman"/>
          <w:sz w:val="22"/>
          <w:szCs w:val="22"/>
          <w:lang w:val="en-US"/>
        </w:rPr>
        <w:t>6</w:t>
      </w:r>
      <w:r w:rsidRPr="397A5A92" w:rsidR="5379960B">
        <w:rPr>
          <w:rFonts w:ascii="Times New Roman" w:hAnsi="Times New Roman" w:eastAsia="Times New Roman" w:cs="Times New Roman"/>
          <w:sz w:val="22"/>
          <w:szCs w:val="22"/>
          <w:lang w:val="en-US"/>
        </w:rPr>
        <w:t xml:space="preserve">), as higher costs reduce net profits without an offsetting demand stimulus. In Task 2, the </w:t>
      </w:r>
      <w:r w:rsidRPr="397A5A92" w:rsidR="5379960B">
        <w:rPr>
          <w:rFonts w:ascii="Times New Roman" w:hAnsi="Times New Roman" w:eastAsia="Times New Roman" w:cs="Times New Roman"/>
          <w:sz w:val="22"/>
          <w:szCs w:val="22"/>
          <w:lang w:val="en-US"/>
        </w:rPr>
        <w:t>additional</w:t>
      </w:r>
      <w:r w:rsidRPr="397A5A92" w:rsidR="5379960B">
        <w:rPr>
          <w:rFonts w:ascii="Times New Roman" w:hAnsi="Times New Roman" w:eastAsia="Times New Roman" w:cs="Times New Roman"/>
          <w:sz w:val="22"/>
          <w:szCs w:val="22"/>
          <w:lang w:val="en-US"/>
        </w:rPr>
        <w:t xml:space="preserve"> government expenditure (equation 12: COGOVₜ = </w:t>
      </w:r>
      <w:r w:rsidRPr="397A5A92" w:rsidR="5379960B">
        <w:rPr>
          <w:rFonts w:ascii="Times New Roman" w:hAnsi="Times New Roman" w:eastAsia="Times New Roman" w:cs="Times New Roman"/>
          <w:sz w:val="22"/>
          <w:szCs w:val="22"/>
          <w:lang w:val="en-US"/>
        </w:rPr>
        <w:t>govC</w:t>
      </w:r>
      <w:r w:rsidRPr="397A5A92" w:rsidR="5379960B">
        <w:rPr>
          <w:rFonts w:ascii="Times New Roman" w:hAnsi="Times New Roman" w:eastAsia="Times New Roman" w:cs="Times New Roman"/>
          <w:sz w:val="22"/>
          <w:szCs w:val="22"/>
          <w:lang w:val="en-US"/>
        </w:rPr>
        <w:t xml:space="preserve"> × Yₜ₋₁) injects demand into the economy, lifting output above the baseline from around 2035 onwards (teal line, Figure </w:t>
      </w:r>
      <w:r w:rsidRPr="397A5A92" w:rsidR="216694BA">
        <w:rPr>
          <w:rFonts w:ascii="Times New Roman" w:hAnsi="Times New Roman" w:eastAsia="Times New Roman" w:cs="Times New Roman"/>
          <w:sz w:val="22"/>
          <w:szCs w:val="22"/>
          <w:lang w:val="en-US"/>
        </w:rPr>
        <w:t>4</w:t>
      </w:r>
      <w:r w:rsidRPr="397A5A92" w:rsidR="5379960B">
        <w:rPr>
          <w:rFonts w:ascii="Times New Roman" w:hAnsi="Times New Roman" w:eastAsia="Times New Roman" w:cs="Times New Roman"/>
          <w:sz w:val="22"/>
          <w:szCs w:val="22"/>
          <w:lang w:val="en-US"/>
        </w:rPr>
        <w:t xml:space="preserve">). The growth rate spikes briefly to approximately 4.5% (Figure </w:t>
      </w:r>
      <w:r w:rsidRPr="397A5A92" w:rsidR="5FF9E1D6">
        <w:rPr>
          <w:rFonts w:ascii="Times New Roman" w:hAnsi="Times New Roman" w:eastAsia="Times New Roman" w:cs="Times New Roman"/>
          <w:sz w:val="22"/>
          <w:szCs w:val="22"/>
          <w:lang w:val="en-US"/>
        </w:rPr>
        <w:t>5</w:t>
      </w:r>
      <w:r w:rsidRPr="397A5A92" w:rsidR="5379960B">
        <w:rPr>
          <w:rFonts w:ascii="Times New Roman" w:hAnsi="Times New Roman" w:eastAsia="Times New Roman" w:cs="Times New Roman"/>
          <w:sz w:val="22"/>
          <w:szCs w:val="22"/>
          <w:lang w:val="en-US"/>
        </w:rPr>
        <w:t xml:space="preserve">) reflecting the multiplier effect of public spending. Crucially, the environmental gains are preserved: temperature (Figure </w:t>
      </w:r>
      <w:r w:rsidRPr="397A5A92" w:rsidR="12C5E1F0">
        <w:rPr>
          <w:rFonts w:ascii="Times New Roman" w:hAnsi="Times New Roman" w:eastAsia="Times New Roman" w:cs="Times New Roman"/>
          <w:sz w:val="22"/>
          <w:szCs w:val="22"/>
          <w:lang w:val="en-US"/>
        </w:rPr>
        <w:t>1</w:t>
      </w:r>
      <w:r w:rsidRPr="397A5A92" w:rsidR="5379960B">
        <w:rPr>
          <w:rFonts w:ascii="Times New Roman" w:hAnsi="Times New Roman" w:eastAsia="Times New Roman" w:cs="Times New Roman"/>
          <w:sz w:val="22"/>
          <w:szCs w:val="22"/>
          <w:lang w:val="en-US"/>
        </w:rPr>
        <w:t xml:space="preserve">), damage rate (Figure </w:t>
      </w:r>
      <w:r w:rsidRPr="397A5A92" w:rsidR="10A04768">
        <w:rPr>
          <w:rFonts w:ascii="Times New Roman" w:hAnsi="Times New Roman" w:eastAsia="Times New Roman" w:cs="Times New Roman"/>
          <w:sz w:val="22"/>
          <w:szCs w:val="22"/>
          <w:lang w:val="en-US"/>
        </w:rPr>
        <w:t>3</w:t>
      </w:r>
      <w:r w:rsidRPr="397A5A92" w:rsidR="5379960B">
        <w:rPr>
          <w:rFonts w:ascii="Times New Roman" w:hAnsi="Times New Roman" w:eastAsia="Times New Roman" w:cs="Times New Roman"/>
          <w:sz w:val="22"/>
          <w:szCs w:val="22"/>
          <w:lang w:val="en-US"/>
        </w:rPr>
        <w:t>)</w:t>
      </w:r>
      <w:r w:rsidRPr="397A5A92" w:rsidR="5379960B">
        <w:rPr>
          <w:rFonts w:ascii="Times New Roman" w:hAnsi="Times New Roman" w:eastAsia="Times New Roman" w:cs="Times New Roman"/>
          <w:sz w:val="22"/>
          <w:szCs w:val="22"/>
          <w:lang w:val="en-US"/>
        </w:rPr>
        <w:t xml:space="preserve"> and depreciation (Figure </w:t>
      </w:r>
      <w:r w:rsidRPr="397A5A92" w:rsidR="790CCE9D">
        <w:rPr>
          <w:rFonts w:ascii="Times New Roman" w:hAnsi="Times New Roman" w:eastAsia="Times New Roman" w:cs="Times New Roman"/>
          <w:sz w:val="22"/>
          <w:szCs w:val="22"/>
          <w:lang w:val="en-US"/>
        </w:rPr>
        <w:t>2</w:t>
      </w:r>
      <w:r w:rsidRPr="397A5A92" w:rsidR="5379960B">
        <w:rPr>
          <w:rFonts w:ascii="Times New Roman" w:hAnsi="Times New Roman" w:eastAsia="Times New Roman" w:cs="Times New Roman"/>
          <w:sz w:val="22"/>
          <w:szCs w:val="22"/>
          <w:lang w:val="en-US"/>
        </w:rPr>
        <w:t xml:space="preserve">) all </w:t>
      </w:r>
      <w:r w:rsidRPr="397A5A92" w:rsidR="5379960B">
        <w:rPr>
          <w:rFonts w:ascii="Times New Roman" w:hAnsi="Times New Roman" w:eastAsia="Times New Roman" w:cs="Times New Roman"/>
          <w:sz w:val="22"/>
          <w:szCs w:val="22"/>
          <w:lang w:val="en-US"/>
        </w:rPr>
        <w:t>remain</w:t>
      </w:r>
      <w:r w:rsidRPr="397A5A92" w:rsidR="5379960B">
        <w:rPr>
          <w:rFonts w:ascii="Times New Roman" w:hAnsi="Times New Roman" w:eastAsia="Times New Roman" w:cs="Times New Roman"/>
          <w:sz w:val="22"/>
          <w:szCs w:val="22"/>
          <w:lang w:val="en-US"/>
        </w:rPr>
        <w:t xml:space="preserve"> below the baseline. The government debt-to-GDP ratio (Figure </w:t>
      </w:r>
      <w:r w:rsidRPr="397A5A92" w:rsidR="4CB1647A">
        <w:rPr>
          <w:rFonts w:ascii="Times New Roman" w:hAnsi="Times New Roman" w:eastAsia="Times New Roman" w:cs="Times New Roman"/>
          <w:sz w:val="22"/>
          <w:szCs w:val="22"/>
          <w:lang w:val="en-US"/>
        </w:rPr>
        <w:t>11</w:t>
      </w:r>
      <w:r w:rsidRPr="397A5A92" w:rsidR="5379960B">
        <w:rPr>
          <w:rFonts w:ascii="Times New Roman" w:hAnsi="Times New Roman" w:eastAsia="Times New Roman" w:cs="Times New Roman"/>
          <w:sz w:val="22"/>
          <w:szCs w:val="22"/>
          <w:lang w:val="en-US"/>
        </w:rPr>
        <w:t xml:space="preserve">) falls </w:t>
      </w:r>
      <w:r w:rsidRPr="397A5A92" w:rsidR="5379960B">
        <w:rPr>
          <w:rFonts w:ascii="Times New Roman" w:hAnsi="Times New Roman" w:eastAsia="Times New Roman" w:cs="Times New Roman"/>
          <w:sz w:val="22"/>
          <w:szCs w:val="22"/>
          <w:lang w:val="en-US"/>
        </w:rPr>
        <w:t>relative</w:t>
      </w:r>
      <w:r w:rsidRPr="397A5A92" w:rsidR="5379960B">
        <w:rPr>
          <w:rFonts w:ascii="Times New Roman" w:hAnsi="Times New Roman" w:eastAsia="Times New Roman" w:cs="Times New Roman"/>
          <w:sz w:val="22"/>
          <w:szCs w:val="22"/>
          <w:lang w:val="en-US"/>
        </w:rPr>
        <w:t xml:space="preserve"> to the baseline due to carbon tax revenues supplementing government finances per equation (14). This </w:t>
      </w:r>
      <w:r w:rsidRPr="397A5A92" w:rsidR="5379960B">
        <w:rPr>
          <w:rFonts w:ascii="Times New Roman" w:hAnsi="Times New Roman" w:eastAsia="Times New Roman" w:cs="Times New Roman"/>
          <w:sz w:val="22"/>
          <w:szCs w:val="22"/>
          <w:lang w:val="en-US"/>
        </w:rPr>
        <w:t>demonstrates</w:t>
      </w:r>
      <w:r w:rsidRPr="397A5A92" w:rsidR="5379960B">
        <w:rPr>
          <w:rFonts w:ascii="Times New Roman" w:hAnsi="Times New Roman" w:eastAsia="Times New Roman" w:cs="Times New Roman"/>
          <w:sz w:val="22"/>
          <w:szCs w:val="22"/>
          <w:lang w:val="en-US"/>
        </w:rPr>
        <w:t xml:space="preserve"> the capacity of a fiscal-environmental policy mix to achieve both macroeconomic </w:t>
      </w:r>
      <w:r w:rsidRPr="397A5A92" w:rsidR="5379960B">
        <w:rPr>
          <w:rFonts w:ascii="Times New Roman" w:hAnsi="Times New Roman" w:eastAsia="Times New Roman" w:cs="Times New Roman"/>
          <w:sz w:val="22"/>
          <w:szCs w:val="22"/>
          <w:lang w:val="en-US"/>
        </w:rPr>
        <w:t>stabilisation</w:t>
      </w:r>
      <w:r w:rsidRPr="397A5A92" w:rsidR="5379960B">
        <w:rPr>
          <w:rFonts w:ascii="Times New Roman" w:hAnsi="Times New Roman" w:eastAsia="Times New Roman" w:cs="Times New Roman"/>
          <w:sz w:val="22"/>
          <w:szCs w:val="22"/>
          <w:lang w:val="en-US"/>
        </w:rPr>
        <w:t xml:space="preserve"> and ecological transition simultaneously</w:t>
      </w:r>
      <w:r w:rsidRPr="397A5A92" w:rsidR="59408C6B">
        <w:rPr>
          <w:rFonts w:ascii="Times New Roman" w:hAnsi="Times New Roman" w:eastAsia="Times New Roman" w:cs="Times New Roman"/>
          <w:sz w:val="22"/>
          <w:szCs w:val="22"/>
          <w:lang w:val="en-US"/>
        </w:rPr>
        <w:t xml:space="preserve">, </w:t>
      </w:r>
      <w:r w:rsidRPr="397A5A92" w:rsidR="5379960B">
        <w:rPr>
          <w:rFonts w:ascii="Times New Roman" w:hAnsi="Times New Roman" w:eastAsia="Times New Roman" w:cs="Times New Roman"/>
          <w:sz w:val="22"/>
          <w:szCs w:val="22"/>
          <w:lang w:val="en-US"/>
        </w:rPr>
        <w:t>a result consistent with Fontana and Sawyer's (2016) post-Keynesian ecological framework.</w:t>
      </w:r>
    </w:p>
    <w:p xmlns:wp14="http://schemas.microsoft.com/office/word/2010/wordml" w14:paraId="57D202B5" wp14:textId="77777777">
      <w:pPr>
        <w:pStyle w:val="Heading2"/>
        <w:spacing w:before="220" w:after="100"/>
      </w:pPr>
      <w:r>
        <w:rPr>
          <w:rFonts w:ascii="Times New Roman" w:hAnsi="Times New Roman" w:eastAsia="Times New Roman" w:cs="Times New Roman"/>
          <w:b/>
          <w:bCs/>
          <w:sz w:val="24"/>
          <w:szCs w:val="24"/>
        </w:rPr>
        <w:t xml:space="preserve">2.2 Scenario 3 (Task 2 vs Task 1): Degrowth with Higher Carbon Tax</w:t>
      </w:r>
    </w:p>
    <w:p xmlns:wp14="http://schemas.microsoft.com/office/word/2010/wordml" w14:paraId="0E874C0B" wp14:textId="5A7504D6">
      <w:pPr>
        <w:spacing w:before="0" w:after="160"/>
        <w:jc w:val="both"/>
      </w:pPr>
      <w:r w:rsidRPr="397A5A92" w:rsidR="5379960B">
        <w:rPr>
          <w:rFonts w:ascii="Times New Roman" w:hAnsi="Times New Roman" w:eastAsia="Times New Roman" w:cs="Times New Roman"/>
          <w:sz w:val="22"/>
          <w:szCs w:val="22"/>
          <w:lang w:val="en-US"/>
        </w:rPr>
        <w:t xml:space="preserve">Combining degrowth with a higher carbon tax (Scenario 3, Task 2) reinforces both the environmental and macroeconomic effects </w:t>
      </w:r>
      <w:r w:rsidRPr="397A5A92" w:rsidR="5379960B">
        <w:rPr>
          <w:rFonts w:ascii="Times New Roman" w:hAnsi="Times New Roman" w:eastAsia="Times New Roman" w:cs="Times New Roman"/>
          <w:sz w:val="22"/>
          <w:szCs w:val="22"/>
          <w:lang w:val="en-US"/>
        </w:rPr>
        <w:t>relative</w:t>
      </w:r>
      <w:r w:rsidRPr="397A5A92" w:rsidR="5379960B">
        <w:rPr>
          <w:rFonts w:ascii="Times New Roman" w:hAnsi="Times New Roman" w:eastAsia="Times New Roman" w:cs="Times New Roman"/>
          <w:sz w:val="22"/>
          <w:szCs w:val="22"/>
          <w:lang w:val="en-US"/>
        </w:rPr>
        <w:t xml:space="preserve"> to degrowth alone (Scenario 3, Task 1). Environmentally, temperature (Figure </w:t>
      </w:r>
      <w:r w:rsidRPr="397A5A92" w:rsidR="18DAA442">
        <w:rPr>
          <w:rFonts w:ascii="Times New Roman" w:hAnsi="Times New Roman" w:eastAsia="Times New Roman" w:cs="Times New Roman"/>
          <w:sz w:val="22"/>
          <w:szCs w:val="22"/>
          <w:lang w:val="en-US"/>
        </w:rPr>
        <w:t>1</w:t>
      </w:r>
      <w:r w:rsidRPr="397A5A92" w:rsidR="5379960B">
        <w:rPr>
          <w:rFonts w:ascii="Times New Roman" w:hAnsi="Times New Roman" w:eastAsia="Times New Roman" w:cs="Times New Roman"/>
          <w:sz w:val="22"/>
          <w:szCs w:val="22"/>
          <w:lang w:val="en-US"/>
        </w:rPr>
        <w:t xml:space="preserve">), damage rate (Figure </w:t>
      </w:r>
      <w:r w:rsidRPr="397A5A92" w:rsidR="2607D2EA">
        <w:rPr>
          <w:rFonts w:ascii="Times New Roman" w:hAnsi="Times New Roman" w:eastAsia="Times New Roman" w:cs="Times New Roman"/>
          <w:sz w:val="22"/>
          <w:szCs w:val="22"/>
          <w:lang w:val="en-US"/>
        </w:rPr>
        <w:t>3</w:t>
      </w:r>
      <w:r w:rsidRPr="397A5A92" w:rsidR="5379960B">
        <w:rPr>
          <w:rFonts w:ascii="Times New Roman" w:hAnsi="Times New Roman" w:eastAsia="Times New Roman" w:cs="Times New Roman"/>
          <w:sz w:val="22"/>
          <w:szCs w:val="22"/>
          <w:lang w:val="en-US"/>
        </w:rPr>
        <w:t xml:space="preserve">) and depreciation (Figure </w:t>
      </w:r>
      <w:r w:rsidRPr="397A5A92" w:rsidR="42D31AA8">
        <w:rPr>
          <w:rFonts w:ascii="Times New Roman" w:hAnsi="Times New Roman" w:eastAsia="Times New Roman" w:cs="Times New Roman"/>
          <w:sz w:val="22"/>
          <w:szCs w:val="22"/>
          <w:lang w:val="en-US"/>
        </w:rPr>
        <w:t>2</w:t>
      </w:r>
      <w:r w:rsidRPr="397A5A92" w:rsidR="5379960B">
        <w:rPr>
          <w:rFonts w:ascii="Times New Roman" w:hAnsi="Times New Roman" w:eastAsia="Times New Roman" w:cs="Times New Roman"/>
          <w:sz w:val="22"/>
          <w:szCs w:val="22"/>
          <w:lang w:val="en-US"/>
        </w:rPr>
        <w:t xml:space="preserve">) are lower than in degrowth alone, because the carbon tax additionally </w:t>
      </w:r>
      <w:r w:rsidRPr="397A5A92" w:rsidR="5379960B">
        <w:rPr>
          <w:rFonts w:ascii="Times New Roman" w:hAnsi="Times New Roman" w:eastAsia="Times New Roman" w:cs="Times New Roman"/>
          <w:sz w:val="22"/>
          <w:szCs w:val="22"/>
          <w:lang w:val="en-US"/>
        </w:rPr>
        <w:t>incentivises</w:t>
      </w:r>
      <w:r w:rsidRPr="397A5A92" w:rsidR="5379960B">
        <w:rPr>
          <w:rFonts w:ascii="Times New Roman" w:hAnsi="Times New Roman" w:eastAsia="Times New Roman" w:cs="Times New Roman"/>
          <w:sz w:val="22"/>
          <w:szCs w:val="22"/>
          <w:lang w:val="en-US"/>
        </w:rPr>
        <w:t xml:space="preserve"> green investment (Figure </w:t>
      </w:r>
      <w:r w:rsidRPr="397A5A92" w:rsidR="13ED6D36">
        <w:rPr>
          <w:rFonts w:ascii="Times New Roman" w:hAnsi="Times New Roman" w:eastAsia="Times New Roman" w:cs="Times New Roman"/>
          <w:sz w:val="22"/>
          <w:szCs w:val="22"/>
          <w:lang w:val="en-US"/>
        </w:rPr>
        <w:t>8</w:t>
      </w:r>
      <w:r w:rsidRPr="397A5A92" w:rsidR="5379960B">
        <w:rPr>
          <w:rFonts w:ascii="Times New Roman" w:hAnsi="Times New Roman" w:eastAsia="Times New Roman" w:cs="Times New Roman"/>
          <w:sz w:val="22"/>
          <w:szCs w:val="22"/>
          <w:lang w:val="en-US"/>
        </w:rPr>
        <w:t xml:space="preserve"> shows a larger jump in green investment share to around 0.17 under this combined scenario). Fossil emissions (Figure </w:t>
      </w:r>
      <w:r w:rsidRPr="397A5A92" w:rsidR="74952A87">
        <w:rPr>
          <w:rFonts w:ascii="Times New Roman" w:hAnsi="Times New Roman" w:eastAsia="Times New Roman" w:cs="Times New Roman"/>
          <w:sz w:val="22"/>
          <w:szCs w:val="22"/>
          <w:lang w:val="en-US"/>
        </w:rPr>
        <w:t>9</w:t>
      </w:r>
      <w:r w:rsidRPr="397A5A92" w:rsidR="5379960B">
        <w:rPr>
          <w:rFonts w:ascii="Times New Roman" w:hAnsi="Times New Roman" w:eastAsia="Times New Roman" w:cs="Times New Roman"/>
          <w:sz w:val="22"/>
          <w:szCs w:val="22"/>
          <w:lang w:val="en-US"/>
        </w:rPr>
        <w:t xml:space="preserve">) are the lowest of all scenarios. However, the financial costs are compounded. The rate of profit (Figure </w:t>
      </w:r>
      <w:r w:rsidRPr="397A5A92" w:rsidR="2B5E9F53">
        <w:rPr>
          <w:rFonts w:ascii="Times New Roman" w:hAnsi="Times New Roman" w:eastAsia="Times New Roman" w:cs="Times New Roman"/>
          <w:sz w:val="22"/>
          <w:szCs w:val="22"/>
          <w:lang w:val="en-US"/>
        </w:rPr>
        <w:t>6</w:t>
      </w:r>
      <w:r w:rsidRPr="397A5A92" w:rsidR="5379960B">
        <w:rPr>
          <w:rFonts w:ascii="Times New Roman" w:hAnsi="Times New Roman" w:eastAsia="Times New Roman" w:cs="Times New Roman"/>
          <w:sz w:val="22"/>
          <w:szCs w:val="22"/>
          <w:lang w:val="en-US"/>
        </w:rPr>
        <w:t>) falls more steeply</w:t>
      </w:r>
      <w:r w:rsidRPr="397A5A92" w:rsidR="46495150">
        <w:rPr>
          <w:rFonts w:ascii="Times New Roman" w:hAnsi="Times New Roman" w:eastAsia="Times New Roman" w:cs="Times New Roman"/>
          <w:sz w:val="22"/>
          <w:szCs w:val="22"/>
          <w:lang w:val="en-US"/>
        </w:rPr>
        <w:t xml:space="preserve"> - </w:t>
      </w:r>
      <w:r w:rsidRPr="397A5A92" w:rsidR="5379960B">
        <w:rPr>
          <w:rFonts w:ascii="Times New Roman" w:hAnsi="Times New Roman" w:eastAsia="Times New Roman" w:cs="Times New Roman"/>
          <w:sz w:val="22"/>
          <w:szCs w:val="22"/>
          <w:lang w:val="en-US"/>
        </w:rPr>
        <w:t xml:space="preserve">approaching zero by 2070 because carbon taxes further erode net profits on top of already-compressed revenues from degrowth. Firm leverage (Figure </w:t>
      </w:r>
      <w:r w:rsidRPr="397A5A92" w:rsidR="316C1B79">
        <w:rPr>
          <w:rFonts w:ascii="Times New Roman" w:hAnsi="Times New Roman" w:eastAsia="Times New Roman" w:cs="Times New Roman"/>
          <w:sz w:val="22"/>
          <w:szCs w:val="22"/>
          <w:lang w:val="en-US"/>
        </w:rPr>
        <w:t>7</w:t>
      </w:r>
      <w:r w:rsidRPr="397A5A92" w:rsidR="5379960B">
        <w:rPr>
          <w:rFonts w:ascii="Times New Roman" w:hAnsi="Times New Roman" w:eastAsia="Times New Roman" w:cs="Times New Roman"/>
          <w:sz w:val="22"/>
          <w:szCs w:val="22"/>
          <w:lang w:val="en-US"/>
        </w:rPr>
        <w:t xml:space="preserve">) rises dramatically to approximately 0.55, as firms increasingly rely on debt </w:t>
      </w:r>
      <w:r w:rsidRPr="397A5A92" w:rsidR="5379960B">
        <w:rPr>
          <w:rFonts w:ascii="Times New Roman" w:hAnsi="Times New Roman" w:eastAsia="Times New Roman" w:cs="Times New Roman"/>
          <w:sz w:val="22"/>
          <w:szCs w:val="22"/>
          <w:lang w:val="en-US"/>
        </w:rPr>
        <w:t>relative</w:t>
      </w:r>
      <w:r w:rsidRPr="397A5A92" w:rsidR="5379960B">
        <w:rPr>
          <w:rFonts w:ascii="Times New Roman" w:hAnsi="Times New Roman" w:eastAsia="Times New Roman" w:cs="Times New Roman"/>
          <w:sz w:val="22"/>
          <w:szCs w:val="22"/>
          <w:lang w:val="en-US"/>
        </w:rPr>
        <w:t xml:space="preserve"> to a shrinking capital base. Government debt-to-GDP (Figure </w:t>
      </w:r>
      <w:r w:rsidRPr="397A5A92" w:rsidR="3F0939CD">
        <w:rPr>
          <w:rFonts w:ascii="Times New Roman" w:hAnsi="Times New Roman" w:eastAsia="Times New Roman" w:cs="Times New Roman"/>
          <w:sz w:val="22"/>
          <w:szCs w:val="22"/>
          <w:lang w:val="en-US"/>
        </w:rPr>
        <w:t>11</w:t>
      </w:r>
      <w:r w:rsidRPr="397A5A92" w:rsidR="5379960B">
        <w:rPr>
          <w:rFonts w:ascii="Times New Roman" w:hAnsi="Times New Roman" w:eastAsia="Times New Roman" w:cs="Times New Roman"/>
          <w:sz w:val="22"/>
          <w:szCs w:val="22"/>
          <w:lang w:val="en-US"/>
        </w:rPr>
        <w:t xml:space="preserve">) falls sharply to 0.28, reflecting large carbon tax revenues </w:t>
      </w:r>
      <w:r w:rsidRPr="397A5A92" w:rsidR="5379960B">
        <w:rPr>
          <w:rFonts w:ascii="Times New Roman" w:hAnsi="Times New Roman" w:eastAsia="Times New Roman" w:cs="Times New Roman"/>
          <w:sz w:val="22"/>
          <w:szCs w:val="22"/>
          <w:lang w:val="en-US"/>
        </w:rPr>
        <w:t>relative</w:t>
      </w:r>
      <w:r w:rsidRPr="397A5A92" w:rsidR="5379960B">
        <w:rPr>
          <w:rFonts w:ascii="Times New Roman" w:hAnsi="Times New Roman" w:eastAsia="Times New Roman" w:cs="Times New Roman"/>
          <w:sz w:val="22"/>
          <w:szCs w:val="22"/>
          <w:lang w:val="en-US"/>
        </w:rPr>
        <w:t xml:space="preserve"> to depressed GDP. The degrowth-plus-carbon-tax combination therefore achieves the strongest environmental performance across all variables but poses serious financial stability risks, echoing </w:t>
      </w:r>
      <w:r w:rsidRPr="397A5A92" w:rsidR="5379960B">
        <w:rPr>
          <w:rFonts w:ascii="Times New Roman" w:hAnsi="Times New Roman" w:eastAsia="Times New Roman" w:cs="Times New Roman"/>
          <w:sz w:val="22"/>
          <w:szCs w:val="22"/>
          <w:lang w:val="en-US"/>
        </w:rPr>
        <w:t>Dafermos</w:t>
      </w:r>
      <w:r w:rsidRPr="397A5A92" w:rsidR="5379960B">
        <w:rPr>
          <w:rFonts w:ascii="Times New Roman" w:hAnsi="Times New Roman" w:eastAsia="Times New Roman" w:cs="Times New Roman"/>
          <w:sz w:val="22"/>
          <w:szCs w:val="22"/>
          <w:lang w:val="en-US"/>
        </w:rPr>
        <w:t xml:space="preserve"> et al</w:t>
      </w:r>
      <w:r w:rsidRPr="397A5A92" w:rsidR="5379960B">
        <w:rPr>
          <w:rFonts w:ascii="Times New Roman" w:hAnsi="Times New Roman" w:eastAsia="Times New Roman" w:cs="Times New Roman"/>
          <w:sz w:val="22"/>
          <w:szCs w:val="22"/>
          <w:lang w:val="en-US"/>
        </w:rPr>
        <w:t>.'s</w:t>
      </w:r>
      <w:r w:rsidRPr="397A5A92" w:rsidR="5379960B">
        <w:rPr>
          <w:rFonts w:ascii="Times New Roman" w:hAnsi="Times New Roman" w:eastAsia="Times New Roman" w:cs="Times New Roman"/>
          <w:sz w:val="22"/>
          <w:szCs w:val="22"/>
          <w:lang w:val="en-US"/>
        </w:rPr>
        <w:t xml:space="preserve"> (2017) financial instability channel.</w:t>
      </w:r>
    </w:p>
    <w:p xmlns:wp14="http://schemas.microsoft.com/office/word/2010/wordml" w14:paraId="071E4E01" wp14:textId="77777777">
      <w:pPr>
        <w:pStyle w:val="Heading1"/>
        <w:spacing w:before="280" w:after="120"/>
      </w:pPr>
      <w:r>
        <w:rPr>
          <w:rFonts w:ascii="Times New Roman" w:hAnsi="Times New Roman" w:eastAsia="Times New Roman" w:cs="Times New Roman"/>
          <w:b/>
          <w:bCs/>
          <w:sz w:val="26"/>
          <w:szCs w:val="26"/>
        </w:rPr>
        <w:t xml:space="preserve">References</w:t>
      </w:r>
    </w:p>
    <w:p xmlns:wp14="http://schemas.microsoft.com/office/word/2010/wordml" w14:paraId="1002B669" wp14:textId="77777777">
      <w:pPr>
        <w:spacing w:before="0" w:after="120"/>
        <w:ind w:left="720" w:hanging="720"/>
        <w:jc w:val="both"/>
      </w:pPr>
      <w:r w:rsidRPr="5379960B" w:rsidR="5379960B">
        <w:rPr>
          <w:rFonts w:ascii="Times New Roman" w:hAnsi="Times New Roman" w:eastAsia="Times New Roman" w:cs="Times New Roman"/>
          <w:sz w:val="20"/>
          <w:szCs w:val="20"/>
          <w:lang w:val="en-US"/>
        </w:rPr>
        <w:t>Dafermos, Y., Nikolaidi, M. and Galanis, G. (2017) ‘A stock-flow-fund ecological macroeconomic model’, Ecological Economics, 131, pp. 191–207.</w:t>
      </w:r>
    </w:p>
    <w:p xmlns:wp14="http://schemas.microsoft.com/office/word/2010/wordml" w14:paraId="49FDF597" wp14:textId="77777777">
      <w:pPr>
        <w:spacing w:before="0" w:after="120"/>
        <w:ind w:left="720" w:hanging="720"/>
        <w:jc w:val="both"/>
      </w:pPr>
      <w:r>
        <w:rPr>
          <w:rFonts w:ascii="Times New Roman" w:hAnsi="Times New Roman" w:eastAsia="Times New Roman" w:cs="Times New Roman"/>
          <w:sz w:val="20"/>
          <w:szCs w:val="20"/>
        </w:rPr>
        <w:t xml:space="preserve">Dietz, S. and Stern, N. (2015) ‘Endogenous growth, convexity of damage and climate risk: how Nordhaus’ framework supports deep cuts in carbon emissions’, Economic Journal, 125(583), pp. 574–620.</w:t>
      </w:r>
    </w:p>
    <w:p xmlns:wp14="http://schemas.microsoft.com/office/word/2010/wordml" w14:paraId="68B964AA" wp14:textId="77777777">
      <w:pPr>
        <w:spacing w:before="0" w:after="120"/>
        <w:ind w:left="720" w:hanging="720"/>
        <w:jc w:val="both"/>
      </w:pPr>
      <w:r w:rsidRPr="5379960B" w:rsidR="5379960B">
        <w:rPr>
          <w:rFonts w:ascii="Times New Roman" w:hAnsi="Times New Roman" w:eastAsia="Times New Roman" w:cs="Times New Roman"/>
          <w:sz w:val="20"/>
          <w:szCs w:val="20"/>
          <w:lang w:val="en-US"/>
        </w:rPr>
        <w:t>Fontana, G. and Sawyer, M. (2016) ‘Towards post-Keynesian ecological macroeconomics’, Ecological Economics, 121, pp. 186–195.</w:t>
      </w:r>
    </w:p>
    <w:p xmlns:wp14="http://schemas.microsoft.com/office/word/2010/wordml" w14:paraId="74FB1E0D" wp14:textId="77777777">
      <w:pPr>
        <w:spacing w:before="0" w:after="120"/>
        <w:ind w:left="720" w:hanging="720"/>
        <w:jc w:val="both"/>
      </w:pPr>
      <w:r>
        <w:rPr>
          <w:rFonts w:ascii="Times New Roman" w:hAnsi="Times New Roman" w:eastAsia="Times New Roman" w:cs="Times New Roman"/>
          <w:sz w:val="20"/>
          <w:szCs w:val="20"/>
        </w:rPr>
        <w:t xml:space="preserve">Matthews, H.D., Tokarska, K.B., Rogelj, J., Smith, C.J., MacDougall, A.H., Haustein, K., Mengis, N., Sippel, S., Forster, P.M. and Knutti, R. (2021) ‘An integrated approach to quantifying uncertainties in the remaining carbon budget’, Communications Earth &amp; Environment, 2(1), p. 7.</w:t>
      </w:r>
    </w:p>
    <w:p xmlns:wp14="http://schemas.microsoft.com/office/word/2010/wordml" w14:paraId="7650ACA0" wp14:textId="77777777">
      <w:pPr>
        <w:spacing w:before="0" w:after="120"/>
        <w:ind w:left="720" w:hanging="720"/>
        <w:jc w:val="both"/>
      </w:pPr>
      <w:r>
        <w:rPr>
          <w:rFonts w:ascii="Times New Roman" w:hAnsi="Times New Roman" w:eastAsia="Times New Roman" w:cs="Times New Roman"/>
          <w:sz w:val="20"/>
          <w:szCs w:val="20"/>
        </w:rPr>
        <w:t xml:space="preserve">NGFS (2024) NGFS Scenarios for Central Banks and Supervisors – Phase V. Paris: Network for Greening the Financial System.</w:t>
      </w:r>
    </w:p>
    <w:p xmlns:wp14="http://schemas.microsoft.com/office/word/2010/wordml" w14:paraId="4EEC68F3" wp14:textId="77777777">
      <w:pPr>
        <w:spacing w:before="0" w:after="120"/>
        <w:ind w:left="720" w:hanging="720"/>
        <w:jc w:val="both"/>
      </w:pPr>
      <w:r w:rsidRPr="5379960B" w:rsidR="5379960B">
        <w:rPr>
          <w:rFonts w:ascii="Times New Roman" w:hAnsi="Times New Roman" w:eastAsia="Times New Roman" w:cs="Times New Roman"/>
          <w:sz w:val="20"/>
          <w:szCs w:val="20"/>
          <w:lang w:val="en-US"/>
        </w:rPr>
        <w:t>Nordhaus, W. and Sztorc, P. (2013) DICE 2013R: Introduction and User’s Manual. Yale University. Available at: http://www.econ.yale.edu/~nordhaus/homepage/documents/DICE_Manual_103113r2.pdf (Accessed: 23 April 2026).</w:t>
      </w:r>
    </w:p>
    <w:p xmlns:wp14="http://schemas.microsoft.com/office/word/2010/wordml" w14:paraId="3A327723" wp14:textId="77777777">
      <w:pPr>
        <w:spacing w:before="0" w:after="120"/>
        <w:ind w:left="720" w:hanging="720"/>
        <w:jc w:val="both"/>
      </w:pPr>
      <w:r>
        <w:rPr>
          <w:rFonts w:ascii="Times New Roman" w:hAnsi="Times New Roman" w:eastAsia="Times New Roman" w:cs="Times New Roman"/>
          <w:sz w:val="20"/>
          <w:szCs w:val="20"/>
        </w:rPr>
        <w:t xml:space="preserve">Victor, P.A. (2012) ‘Growth, degrowth and climate change: a scenario analysis’, Ecological Economics, 84, pp. 206–212.</w:t>
      </w:r>
    </w:p>
    <w:p xmlns:wp14="http://schemas.microsoft.com/office/word/2010/wordml" w14:paraId="06F736DF" wp14:textId="77777777">
      <w:pPr>
        <w:spacing w:before="0" w:after="120"/>
        <w:ind w:left="720" w:hanging="720"/>
        <w:jc w:val="both"/>
      </w:pPr>
      <w:r>
        <w:rPr>
          <w:rFonts w:ascii="Times New Roman" w:hAnsi="Times New Roman" w:eastAsia="Times New Roman" w:cs="Times New Roman"/>
          <w:sz w:val="20"/>
          <w:szCs w:val="20"/>
        </w:rPr>
        <w:t xml:space="preserve">Weitzman, M.L. (2012) ‘GHG targets as insurance against catastrophic climate damages’, Journal of Public Economic Theory, 14(2), pp. 221–244.</w:t>
      </w:r>
    </w:p>
    <w:sectPr>
      <w:pgSz w:w="12240" w:h="15840" w:orient="portrait"/>
      <w:pgMar w:top="720" w:right="1440" w:bottom="72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2ba452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723E60B"/>
    <w:rsid w:val="01E96AE0"/>
    <w:rsid w:val="0552C496"/>
    <w:rsid w:val="055320A9"/>
    <w:rsid w:val="05AF2624"/>
    <w:rsid w:val="0723E60B"/>
    <w:rsid w:val="0905BF24"/>
    <w:rsid w:val="09EDB02F"/>
    <w:rsid w:val="0CA34FF9"/>
    <w:rsid w:val="0F616374"/>
    <w:rsid w:val="0FA1D0AF"/>
    <w:rsid w:val="0FDD1F68"/>
    <w:rsid w:val="10A04768"/>
    <w:rsid w:val="12C5E1F0"/>
    <w:rsid w:val="13641C5B"/>
    <w:rsid w:val="139DC289"/>
    <w:rsid w:val="13ED6D36"/>
    <w:rsid w:val="14080F63"/>
    <w:rsid w:val="149B0A6E"/>
    <w:rsid w:val="16086946"/>
    <w:rsid w:val="16917595"/>
    <w:rsid w:val="173BA801"/>
    <w:rsid w:val="186B599D"/>
    <w:rsid w:val="18977D03"/>
    <w:rsid w:val="18DAA442"/>
    <w:rsid w:val="196419C5"/>
    <w:rsid w:val="19B7CE00"/>
    <w:rsid w:val="1A35EF40"/>
    <w:rsid w:val="1B1E174A"/>
    <w:rsid w:val="1B475687"/>
    <w:rsid w:val="1B4B63F1"/>
    <w:rsid w:val="1B5D33FA"/>
    <w:rsid w:val="1C0F078A"/>
    <w:rsid w:val="1DDDC7CD"/>
    <w:rsid w:val="1E037D34"/>
    <w:rsid w:val="1E394401"/>
    <w:rsid w:val="1EBE61E8"/>
    <w:rsid w:val="1F3D0E3B"/>
    <w:rsid w:val="21418092"/>
    <w:rsid w:val="214E2E2C"/>
    <w:rsid w:val="216694BA"/>
    <w:rsid w:val="221A0734"/>
    <w:rsid w:val="2431A75A"/>
    <w:rsid w:val="2607D2EA"/>
    <w:rsid w:val="2675B8F6"/>
    <w:rsid w:val="27627338"/>
    <w:rsid w:val="28A2CD58"/>
    <w:rsid w:val="2932731C"/>
    <w:rsid w:val="29FFBF12"/>
    <w:rsid w:val="2A78F455"/>
    <w:rsid w:val="2ABAC34F"/>
    <w:rsid w:val="2AFBF110"/>
    <w:rsid w:val="2B264999"/>
    <w:rsid w:val="2B5E9F53"/>
    <w:rsid w:val="2C71D0A6"/>
    <w:rsid w:val="2E82699A"/>
    <w:rsid w:val="31348CC2"/>
    <w:rsid w:val="315303E9"/>
    <w:rsid w:val="316C1B79"/>
    <w:rsid w:val="35C09A63"/>
    <w:rsid w:val="397A5A92"/>
    <w:rsid w:val="3986D3C6"/>
    <w:rsid w:val="3D155038"/>
    <w:rsid w:val="3F0939CD"/>
    <w:rsid w:val="410B9DE9"/>
    <w:rsid w:val="42D31AA8"/>
    <w:rsid w:val="4345876E"/>
    <w:rsid w:val="438AF16E"/>
    <w:rsid w:val="444302B8"/>
    <w:rsid w:val="4468F2CE"/>
    <w:rsid w:val="4469DFF9"/>
    <w:rsid w:val="44FAE858"/>
    <w:rsid w:val="45D55F69"/>
    <w:rsid w:val="46495150"/>
    <w:rsid w:val="4755AC3D"/>
    <w:rsid w:val="47B07E5B"/>
    <w:rsid w:val="48BB5CCC"/>
    <w:rsid w:val="48BE4DA1"/>
    <w:rsid w:val="4997D236"/>
    <w:rsid w:val="4CB1647A"/>
    <w:rsid w:val="4CC15F14"/>
    <w:rsid w:val="4CCF0791"/>
    <w:rsid w:val="4E8675A8"/>
    <w:rsid w:val="4F980530"/>
    <w:rsid w:val="510A1944"/>
    <w:rsid w:val="51743904"/>
    <w:rsid w:val="524C29C6"/>
    <w:rsid w:val="52ACEA8D"/>
    <w:rsid w:val="5379960B"/>
    <w:rsid w:val="544860E7"/>
    <w:rsid w:val="557D2B1F"/>
    <w:rsid w:val="561CA06E"/>
    <w:rsid w:val="56BFB3C3"/>
    <w:rsid w:val="59408C6B"/>
    <w:rsid w:val="5AD9F588"/>
    <w:rsid w:val="5ADDD400"/>
    <w:rsid w:val="5B65FB07"/>
    <w:rsid w:val="5BB0726B"/>
    <w:rsid w:val="5CA6D1A9"/>
    <w:rsid w:val="5D57DF66"/>
    <w:rsid w:val="5D9D7C9B"/>
    <w:rsid w:val="5F8FC82B"/>
    <w:rsid w:val="5FBAE34D"/>
    <w:rsid w:val="5FF9E1D6"/>
    <w:rsid w:val="604F71DA"/>
    <w:rsid w:val="60772658"/>
    <w:rsid w:val="613077F0"/>
    <w:rsid w:val="62C5E6B0"/>
    <w:rsid w:val="64122532"/>
    <w:rsid w:val="641B441C"/>
    <w:rsid w:val="67EBD53F"/>
    <w:rsid w:val="6BAE87E9"/>
    <w:rsid w:val="6D201991"/>
    <w:rsid w:val="6E54EF50"/>
    <w:rsid w:val="6FE81799"/>
    <w:rsid w:val="70BC5E23"/>
    <w:rsid w:val="71CDF8C5"/>
    <w:rsid w:val="74952A87"/>
    <w:rsid w:val="762DDF13"/>
    <w:rsid w:val="77469EAA"/>
    <w:rsid w:val="790CCE9D"/>
    <w:rsid w:val="7981B81B"/>
    <w:rsid w:val="7B430C51"/>
    <w:rsid w:val="7B65E282"/>
    <w:rsid w:val="7C961B8B"/>
    <w:rsid w:val="7D4CD9D9"/>
    <w:rsid w:val="7DB18D52"/>
    <w:rsid w:val="7E1AE982"/>
    <w:rsid w:val="7EE30B7C"/>
  </w:rsids>
  <w14:docId w14:val="29BEB79D"/>
  <w15:docId w15:val="{F1E3D03E-1AEE-4FD6-BBCE-611C195DB2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20"/>
      <w:outlineLvl w:val="0"/>
    </w:pPr>
    <w:rPr>
      <w:rFonts w:ascii="Times New Roman" w:hAnsi="Times New Roman" w:eastAsia="Times New Roman" w:cs="Times New Roman"/>
      <w:b/>
      <w:bCs/>
      <w:color w:val="000000"/>
      <w:sz w:val="26"/>
      <w:szCs w:val="26"/>
    </w:rPr>
  </w:style>
  <w:style w:type="paragraph" w:styleId="Heading2">
    <w:name w:val="heading 20"/>
    <w:basedOn w:val="Normal"/>
    <w:next w:val="Normal"/>
    <w:qFormat/>
    <w:pPr>
      <w:spacing w:before="220" w:after="100"/>
      <w:outlineLvl w:val="1"/>
    </w:pPr>
    <w:rPr>
      <w:rFonts w:ascii="Times New Roman" w:hAnsi="Times New Roman" w:eastAsia="Times New Roman" w:cs="Times New Roman"/>
      <w:b/>
      <w:bCs/>
      <w:color w:val="00000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c5af8969ba91d5a9f8f86b22cd9b0d4f83c42851.jpg" Id="rId10" /><Relationship Type="http://schemas.openxmlformats.org/officeDocument/2006/relationships/image" Target="media/89dff740f7811dbcc80942cca4fa31206b03f79e.jpg" Id="rId11" /><Relationship Type="http://schemas.openxmlformats.org/officeDocument/2006/relationships/image" Target="media/a1fe81c6eae47760f2bae8cb6f5ead87af5cafe9.jpg" Id="rId12" /><Relationship Type="http://schemas.openxmlformats.org/officeDocument/2006/relationships/image" Target="media/0271b32247cb7663ebb730299c5ee1c18a495fb6.jpg" Id="rId13" /><Relationship Type="http://schemas.openxmlformats.org/officeDocument/2006/relationships/image" Target="media/40120af4588fb3c7d17d4b688727d330ad863acf.jpg" Id="rId14" /><Relationship Type="http://schemas.openxmlformats.org/officeDocument/2006/relationships/image" Target="media/e5e6afb8980ec315e11bd45a4cac8101eae0c32e.jpg" Id="rId15" /><Relationship Type="http://schemas.openxmlformats.org/officeDocument/2006/relationships/image" Target="media/f31caca2a9b45fb4cb2fc98ab444fdc7632ba5d8.jpg" Id="rId16" /><Relationship Type="http://schemas.openxmlformats.org/officeDocument/2006/relationships/image" Target="media/ef99e5a72b11e106ebd0289611d97228d4a4c76c.jpg" Id="rId17" /><Relationship Type="http://schemas.openxmlformats.org/officeDocument/2006/relationships/fontTable" Target="fontTable.xml" Id="rId18" /><Relationship Type="http://schemas.openxmlformats.org/officeDocument/2006/relationships/image" Target="/media/image2.png" Id="rId348643190" /><Relationship Type="http://schemas.openxmlformats.org/officeDocument/2006/relationships/image" Target="/media/image3.png" Id="rId1660331995" /><Relationship Type="http://schemas.openxmlformats.org/officeDocument/2006/relationships/image" Target="/media/image4.png" Id="rId722948515"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David Ayuuya Ayeliga</lastModifiedBy>
  <revision>6</revision>
  <dcterms:created xsi:type="dcterms:W3CDTF">2026-04-23T11:49:45.4380000Z</dcterms:created>
  <dcterms:modified xsi:type="dcterms:W3CDTF">2026-04-23T17:24:48.6239410Z</dcterms:modified>
</coreProperties>
</file>

<file path=docProps/custom.xml><?xml version="1.0" encoding="utf-8"?>
<Properties xmlns="http://schemas.openxmlformats.org/officeDocument/2006/custom-properties" xmlns:vt="http://schemas.openxmlformats.org/officeDocument/2006/docPropsVTypes"/>
</file>