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5CB3" w14:textId="77777777" w:rsidR="00172D00" w:rsidRDefault="00D115BF">
      <w:pPr>
        <w:spacing w:after="20" w:line="259" w:lineRule="auto"/>
        <w:ind w:left="0" w:right="18" w:firstLine="0"/>
        <w:jc w:val="center"/>
      </w:pPr>
      <w:r>
        <w:rPr>
          <w:b/>
          <w:sz w:val="28"/>
        </w:rPr>
        <w:t>ANALYTICAL NOTE</w:t>
      </w:r>
      <w:r>
        <w:t xml:space="preserve"> </w:t>
      </w:r>
    </w:p>
    <w:p w14:paraId="18050876" w14:textId="77777777" w:rsidR="00172D00" w:rsidRDefault="00D115BF">
      <w:pPr>
        <w:spacing w:after="30" w:line="259" w:lineRule="auto"/>
        <w:ind w:left="0" w:right="22" w:firstLine="0"/>
        <w:jc w:val="center"/>
      </w:pPr>
      <w:r>
        <w:rPr>
          <w:b/>
          <w:sz w:val="24"/>
        </w:rPr>
        <w:t>UK Biodiversity Net Gain: Commercial Viability and India Scalability</w:t>
      </w:r>
      <w:r>
        <w:t xml:space="preserve"> </w:t>
      </w:r>
    </w:p>
    <w:p w14:paraId="14225626" w14:textId="77777777" w:rsidR="00172D00" w:rsidRDefault="00D115BF">
      <w:pPr>
        <w:spacing w:after="185" w:line="259" w:lineRule="auto"/>
        <w:ind w:left="0" w:right="2" w:firstLine="0"/>
        <w:jc w:val="center"/>
      </w:pPr>
      <w:r>
        <w:rPr>
          <w:i/>
        </w:rPr>
        <w:t xml:space="preserve">Prepared for: Sachin Nandha, Director General, </w:t>
      </w:r>
      <w:proofErr w:type="spellStart"/>
      <w:r>
        <w:rPr>
          <w:i/>
        </w:rPr>
        <w:t>ICfS</w:t>
      </w:r>
      <w:proofErr w:type="spellEnd"/>
      <w:r>
        <w:rPr>
          <w:i/>
        </w:rPr>
        <w:t xml:space="preserve"> | David Ayuuya Ayeliga | 18 June 2026</w:t>
      </w:r>
      <w:r>
        <w:t xml:space="preserve"> </w:t>
      </w:r>
    </w:p>
    <w:p w14:paraId="044F9F47" w14:textId="77777777" w:rsidR="00172D00" w:rsidRDefault="00D115BF">
      <w:pPr>
        <w:spacing w:after="0" w:line="259" w:lineRule="auto"/>
        <w:ind w:left="0" w:right="0" w:firstLine="0"/>
        <w:jc w:val="left"/>
      </w:pPr>
      <w:r>
        <w:t xml:space="preserve"> </w:t>
      </w:r>
    </w:p>
    <w:p w14:paraId="7D9E09BE" w14:textId="77777777" w:rsidR="00172D00" w:rsidRDefault="00D115BF">
      <w:pPr>
        <w:spacing w:after="268" w:line="259" w:lineRule="auto"/>
        <w:ind w:left="-30" w:right="-19" w:firstLine="0"/>
        <w:jc w:val="left"/>
      </w:pPr>
      <w:r>
        <w:rPr>
          <w:rFonts w:ascii="Calibri" w:eastAsia="Calibri" w:hAnsi="Calibri" w:cs="Calibri"/>
          <w:noProof/>
        </w:rPr>
        <mc:AlternateContent>
          <mc:Choice Requires="wpg">
            <w:drawing>
              <wp:inline distT="0" distB="0" distL="0" distR="0" wp14:anchorId="304EA4C2" wp14:editId="54136B8F">
                <wp:extent cx="7098665" cy="6350"/>
                <wp:effectExtent l="0" t="0" r="0" b="0"/>
                <wp:docPr id="2494" name="Group 2494"/>
                <wp:cNvGraphicFramePr/>
                <a:graphic xmlns:a="http://schemas.openxmlformats.org/drawingml/2006/main">
                  <a:graphicData uri="http://schemas.microsoft.com/office/word/2010/wordprocessingGroup">
                    <wpg:wgp>
                      <wpg:cNvGrpSpPr/>
                      <wpg:grpSpPr>
                        <a:xfrm>
                          <a:off x="0" y="0"/>
                          <a:ext cx="7098665" cy="6350"/>
                          <a:chOff x="0" y="0"/>
                          <a:chExt cx="7098665" cy="6350"/>
                        </a:xfrm>
                      </wpg:grpSpPr>
                      <wps:wsp>
                        <wps:cNvPr id="2799" name="Shape 2799"/>
                        <wps:cNvSpPr/>
                        <wps:spPr>
                          <a:xfrm>
                            <a:off x="0" y="0"/>
                            <a:ext cx="7098665" cy="9144"/>
                          </a:xfrm>
                          <a:custGeom>
                            <a:avLst/>
                            <a:gdLst/>
                            <a:ahLst/>
                            <a:cxnLst/>
                            <a:rect l="0" t="0" r="0" b="0"/>
                            <a:pathLst>
                              <a:path w="7098665" h="9144">
                                <a:moveTo>
                                  <a:pt x="0" y="0"/>
                                </a:moveTo>
                                <a:lnTo>
                                  <a:pt x="7098665" y="0"/>
                                </a:lnTo>
                                <a:lnTo>
                                  <a:pt x="7098665"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494" style="width:558.95pt;height:0.5pt;mso-position-horizontal-relative:char;mso-position-vertical-relative:line" coordsize="70986,63">
                <v:shape id="Shape 2800" style="position:absolute;width:70986;height:91;left:0;top:0;" coordsize="7098665,9144" path="m0,0l7098665,0l7098665,9144l0,9144l0,0">
                  <v:stroke weight="0pt" endcap="flat" joinstyle="miter" miterlimit="10" on="false" color="#000000" opacity="0"/>
                  <v:fill on="true" color="#1f3864"/>
                </v:shape>
              </v:group>
            </w:pict>
          </mc:Fallback>
        </mc:AlternateContent>
      </w:r>
    </w:p>
    <w:p w14:paraId="32E8C741" w14:textId="77777777" w:rsidR="00172D00" w:rsidRDefault="00D115BF">
      <w:pPr>
        <w:pStyle w:val="Heading1"/>
        <w:ind w:left="95"/>
      </w:pPr>
      <w:r>
        <w:t>INTRODUCTION</w:t>
      </w:r>
      <w:r>
        <w:rPr>
          <w:b w:val="0"/>
          <w:sz w:val="22"/>
        </w:rPr>
        <w:t xml:space="preserve"> </w:t>
      </w:r>
    </w:p>
    <w:p w14:paraId="2730E933" w14:textId="77777777" w:rsidR="00172D00" w:rsidRDefault="00D115BF">
      <w:pPr>
        <w:ind w:left="-5" w:right="-3"/>
      </w:pPr>
      <w:r>
        <w:t>This note assesses a UK-based habitat bank model centred on nature restoration and biodiversity improvement, evaluating its commercial logic, environmental credibility, and potential adaptation in India. It draws on the statutory Biodiversity Net Gain framework, the modelled 50-</w:t>
      </w:r>
      <w:r>
        <w:t xml:space="preserve">hectare site, and supporting market and regulatory evidence. </w:t>
      </w:r>
    </w:p>
    <w:p w14:paraId="1A6F022D" w14:textId="77777777" w:rsidR="00172D00" w:rsidRDefault="00D115BF">
      <w:pPr>
        <w:pStyle w:val="Heading1"/>
        <w:ind w:left="95"/>
      </w:pPr>
      <w:r>
        <w:t>THE BUSINESS MODEL AND REVENUE LOGIC</w:t>
      </w:r>
      <w:r>
        <w:rPr>
          <w:b w:val="0"/>
          <w:sz w:val="22"/>
        </w:rPr>
        <w:t xml:space="preserve"> </w:t>
      </w:r>
    </w:p>
    <w:p w14:paraId="2FB3381D" w14:textId="77777777" w:rsidR="00172D00" w:rsidRDefault="00D115BF">
      <w:pPr>
        <w:spacing w:after="57"/>
        <w:ind w:left="-5" w:right="-3"/>
      </w:pPr>
      <w:r>
        <w:t xml:space="preserve">The model is a private habitat bank: a company that restores ecologically degraded land, measures the uplift using the statutory DEFRA Biodiversity Metric, and sells Biodiversity Units (BUs) to developers legally </w:t>
      </w:r>
      <w:proofErr w:type="gramStart"/>
      <w:r>
        <w:t>required</w:t>
      </w:r>
      <w:proofErr w:type="gramEnd"/>
      <w:r>
        <w:t xml:space="preserve"> to achieve a minimum 10% net gain as a planning condition under the Environment Act 2021, mandatory for major sites since February 2024. Commercial logic is structurally sound because demand is compliance-</w:t>
      </w:r>
      <w:r>
        <w:t>driven, not voluntary. Developers cannot commence construction without an approved Biodiversity Gain Plan, and statutory government credits, the fallback, are priced above £42,000 per effective unit, establishing a durable floor well above the £20,000</w:t>
      </w:r>
      <w:r>
        <w:t>–</w:t>
      </w:r>
      <w:r>
        <w:t xml:space="preserve">£35,000 private market band. Environment Bank attracted £325 million in private capital by July 2025 across 93 operational habitat banks covering 21,000 acres, validating the investment thesis at scale (BNG Industry Report, July 2025). </w:t>
      </w:r>
    </w:p>
    <w:p w14:paraId="097C7A1E" w14:textId="77777777" w:rsidR="00172D00" w:rsidRDefault="00D115BF">
      <w:pPr>
        <w:ind w:left="-5" w:right="-3"/>
      </w:pPr>
      <w:r>
        <w:t>On the 50-</w:t>
      </w:r>
      <w:r>
        <w:t>hectare site modelled, the baseline yields 100 area units and 16 hedgerow units (116 BUs total). Post-restoration to neutral grassland, mixed scrub, woodland, and an enhanced hedgerow, the site generates 388.54 total BUs, unlocking 260.94 surplus units for commercial sale. At £20,000 per unit, BNG sales generate £5.22 million in Year 3 and a 5-year cumulative net of £15.46 million against £475,000 in total costs. The July 2025 industry survey confirms annual off-site demand at 7,500</w:t>
      </w:r>
      <w:r>
        <w:t xml:space="preserve">– </w:t>
      </w:r>
      <w:r>
        <w:t xml:space="preserve">8,000 units with average prices already reaching £31,434 per unit, ahead of our base-case assumption. Corporate partnerships (£50,000 from Year 2) and eco-tourism (£25,000 from Year 3) reduce cash flow risk, though the base-case peak deficit of £230,000 requires bridging finance. </w:t>
      </w:r>
    </w:p>
    <w:p w14:paraId="0765929D" w14:textId="77777777" w:rsidR="00172D00" w:rsidRDefault="00D115BF">
      <w:pPr>
        <w:pStyle w:val="Heading1"/>
        <w:ind w:left="95"/>
      </w:pPr>
      <w:r>
        <w:t>ENVIRONMENTAL PROBLEM AND EVIDENCE OF IMPACT</w:t>
      </w:r>
      <w:r>
        <w:rPr>
          <w:b w:val="0"/>
          <w:sz w:val="22"/>
        </w:rPr>
        <w:t xml:space="preserve"> </w:t>
      </w:r>
    </w:p>
    <w:p w14:paraId="5EB64FF9" w14:textId="77777777" w:rsidR="00172D00" w:rsidRDefault="00D115BF">
      <w:pPr>
        <w:spacing w:after="56"/>
        <w:ind w:left="-5" w:right="-3"/>
      </w:pPr>
      <w:r>
        <w:t xml:space="preserve">England has lost 19% of measured species abundance since 1970, with development erasing roughly 487 hectares of priority habitat annually, against a £525 billion annual global biodiversity finance gap and a £43 trillion GDP dependence on natural systems (Savills, June 2025). BNG attempts to internalise this cost as a binding planning condition requiring measurable, legally secured, 30-year habitat improvement and not a monetary transfer. </w:t>
      </w:r>
    </w:p>
    <w:p w14:paraId="1326F37A" w14:textId="77777777" w:rsidR="00172D00" w:rsidRDefault="00D115BF">
      <w:pPr>
        <w:ind w:left="-5" w:right="-3"/>
      </w:pPr>
      <w:r>
        <w:t>To test genuine environmental impact, three categories of evidence are essential. First, independent ecological baseline surveys verified against control sites - the Defra 2021 market study specifically warned that inconsistent Biodiversity Metric application across LPAs creates manipulation risk. Second, longitudinal species monitoring tracking indicator species, not habitat proxies, across the full 30-</w:t>
      </w:r>
      <w:r>
        <w:t xml:space="preserve">year obligation. Third, additionality confirmation: Wunder et al. (Business Strategy and the Environment, 2025) identify baseline gaming where project proponents self-select counterfactuals to systematically over-credit as the central integrity failure in comparable offset markets globally. Metric compliance is not ecological recovery without these safeguards. </w:t>
      </w:r>
    </w:p>
    <w:p w14:paraId="58575800" w14:textId="77777777" w:rsidR="00172D00" w:rsidRDefault="00D115BF">
      <w:pPr>
        <w:pStyle w:val="Heading1"/>
        <w:ind w:left="95"/>
      </w:pPr>
      <w:r>
        <w:t>KEY RISKS</w:t>
      </w:r>
      <w:r>
        <w:rPr>
          <w:b w:val="0"/>
          <w:sz w:val="22"/>
        </w:rPr>
        <w:t xml:space="preserve"> </w:t>
      </w:r>
    </w:p>
    <w:p w14:paraId="29D7D92F" w14:textId="77777777" w:rsidR="00172D00" w:rsidRDefault="00D115BF">
      <w:pPr>
        <w:ind w:left="-5" w:right="-3"/>
      </w:pPr>
      <w:r>
        <w:t xml:space="preserve">Commercially, revenue is concentrated in Year 3. Under the downside case - </w:t>
      </w:r>
      <w:r>
        <w:t xml:space="preserve">unit prices at £12,000, revenue delayed to Year 4, costs inflated by 20% </w:t>
      </w:r>
      <w:proofErr w:type="gramStart"/>
      <w:r>
        <w:t>-  the</w:t>
      </w:r>
      <w:proofErr w:type="gramEnd"/>
      <w:r>
        <w:t xml:space="preserve"> peak deficit reaches £334,000, requiring equity or blended finance. The April 2026 small-site exemption is projected to reduce off-</w:t>
      </w:r>
      <w:r>
        <w:t>site unit demand by 10%. HBF survey data confirms 84% of developers found BNG implementation challenging and 60% abandoned previously viable sites due to cost pressures, rising to 70% in the Midlands and compressing the buyer pipeline (ESG BNG Report, 2026). Ecologically, temporal and difficulty multipliers already discount slow-establishing habitats, but the additionality and permanence risks documented by Wunder et al. across global offset markets remain live threats to delivery and long-</w:t>
      </w:r>
      <w:r>
        <w:t xml:space="preserve">term contract integrity. </w:t>
      </w:r>
    </w:p>
    <w:p w14:paraId="58B3AA1A" w14:textId="77777777" w:rsidR="00172D00" w:rsidRDefault="00D115BF">
      <w:pPr>
        <w:pStyle w:val="Heading1"/>
        <w:ind w:left="95"/>
      </w:pPr>
      <w:r>
        <w:t>INDIA SCALABILITY</w:t>
      </w:r>
      <w:r>
        <w:rPr>
          <w:b w:val="0"/>
          <w:sz w:val="22"/>
        </w:rPr>
        <w:t xml:space="preserve"> </w:t>
      </w:r>
    </w:p>
    <w:p w14:paraId="7F9192F7" w14:textId="77777777" w:rsidR="00172D00" w:rsidRDefault="00D115BF">
      <w:pPr>
        <w:spacing w:after="57"/>
        <w:ind w:left="-5" w:right="-3"/>
      </w:pPr>
      <w:r>
        <w:t>Direct replication of the UK private habitat bank model in India is not strongly viable. Three structural barriers are determinative. Private land aggregation of 50</w:t>
      </w:r>
      <w:r>
        <w:t>–</w:t>
      </w:r>
      <w:r>
        <w:t>100 hectares for a 30-year project is practically impossible given smallholder fragmentation and title disputes. The August 2025 Green Credit Rules reforms made credits non-</w:t>
      </w:r>
      <w:r>
        <w:t xml:space="preserve">tradable except for compensatory afforestation (CA) compliance, eliminating the speculative market the UK model requires. And no mandatory metric-driven offset mandate creates legally compelled developer demand. </w:t>
      </w:r>
    </w:p>
    <w:p w14:paraId="0EC000AC" w14:textId="77777777" w:rsidR="00172D00" w:rsidRDefault="00D115BF">
      <w:pPr>
        <w:ind w:left="-5" w:right="-3"/>
      </w:pPr>
      <w:r>
        <w:t>A Compliance-</w:t>
      </w:r>
      <w:r>
        <w:t xml:space="preserve">PPP model is, however, viable. India hosts four of the world’s 36 global biodiversity hotspots and its biodiversity </w:t>
      </w:r>
      <w:r>
        <w:t xml:space="preserve">credit market is projected at a 34.2% CAGR through 2036, the fastest nationally - </w:t>
      </w:r>
      <w:r>
        <w:t xml:space="preserve">driven by ESG adoption and biological </w:t>
      </w:r>
      <w:r>
        <w:lastRenderedPageBreak/>
        <w:t xml:space="preserve">richness (Fact.MR, 2026). The Green Credit Programme routes restoration through State Forest Departments across Gujarat (975 ha), Madhya Pradesh (640 ha), and Assam (454 ha), resolving land aggregation through state custody. Three compliance buyer segments exist: CA obligations under the Forest Conservation Act 1980, CSR mandates under the Companies Act 2013, </w:t>
      </w:r>
      <w:r>
        <w:t xml:space="preserve">and SEBI BRSR requirements for the top 1,000 listed entities. A critical ecological risk: nearly 70% of India’s Open Natural </w:t>
      </w:r>
      <w:r>
        <w:t xml:space="preserve">Ecosystems </w:t>
      </w:r>
      <w:r>
        <w:t>—</w:t>
      </w:r>
      <w:r>
        <w:t xml:space="preserve"> grasslands, savannas, and scrublands </w:t>
      </w:r>
      <w:r>
        <w:t>—</w:t>
      </w:r>
      <w:r>
        <w:t xml:space="preserve"> are classified as degraded land, placing them at risk of erasure under blanket 40% canopy targets (ESG BNG Report, 2026). Preconditions include grassland-specific protocols with the Wildlife Institute of India, FPIC templates under the Forest Rights Act 2006, and legal clarity on carbon and green credit stacking. </w:t>
      </w:r>
    </w:p>
    <w:p w14:paraId="76E69289" w14:textId="77777777" w:rsidR="00172D00" w:rsidRDefault="00D115BF">
      <w:pPr>
        <w:pStyle w:val="Heading1"/>
        <w:ind w:left="95"/>
      </w:pPr>
      <w:r>
        <w:t>RECOMMENDATION</w:t>
      </w:r>
      <w:r>
        <w:rPr>
          <w:b w:val="0"/>
          <w:sz w:val="22"/>
        </w:rPr>
        <w:t xml:space="preserve"> </w:t>
      </w:r>
    </w:p>
    <w:p w14:paraId="069079A0" w14:textId="77777777" w:rsidR="00172D00" w:rsidRDefault="00D115BF">
      <w:pPr>
        <w:spacing w:after="9"/>
        <w:ind w:left="-5" w:right="-3"/>
      </w:pPr>
      <w:proofErr w:type="spellStart"/>
      <w:r>
        <w:t>ICfS</w:t>
      </w:r>
      <w:proofErr w:type="spellEnd"/>
      <w:r>
        <w:t xml:space="preserve"> should not replicate the UK market-broker model in India. Instead, </w:t>
      </w:r>
      <w:proofErr w:type="spellStart"/>
      <w:r>
        <w:t>ICfS</w:t>
      </w:r>
      <w:proofErr w:type="spellEnd"/>
      <w:r>
        <w:t xml:space="preserve"> should champion a Compliance-PPP Transition </w:t>
      </w:r>
    </w:p>
    <w:p w14:paraId="6F96994F" w14:textId="77777777" w:rsidR="00172D00" w:rsidRDefault="00D115BF">
      <w:pPr>
        <w:spacing w:after="97"/>
        <w:ind w:left="-5" w:right="-3"/>
      </w:pPr>
      <w:r>
        <w:t>Model mobilising corporate CSR and CA capital through private ecological intermediaries partnered with State Forest Departments and commission a state-</w:t>
      </w:r>
      <w:r>
        <w:t xml:space="preserve">level audit of District Nodal Officer process timelines before any pilot commitment. The UK model demonstrates that nature restoration becomes investable when ecological outcomes are measurable, verified, and connected to compliance demand (CISL, April 2026). India has the regulatory architecture, buyer base, and degraded land inventory to support an analogous model, but only if the design reflects what Indian regulation currently permits, not what the UK market has achieved. </w:t>
      </w:r>
    </w:p>
    <w:p w14:paraId="7F844FA6" w14:textId="77777777" w:rsidR="00172D00" w:rsidRDefault="00D115BF">
      <w:pPr>
        <w:spacing w:after="0" w:line="259" w:lineRule="auto"/>
        <w:ind w:left="0" w:right="0" w:firstLine="0"/>
        <w:jc w:val="left"/>
      </w:pPr>
      <w:r>
        <w:t xml:space="preserve"> </w:t>
      </w:r>
    </w:p>
    <w:p w14:paraId="11F09F80" w14:textId="77777777" w:rsidR="00172D00" w:rsidRDefault="00D115BF">
      <w:pPr>
        <w:spacing w:after="152" w:line="259" w:lineRule="auto"/>
        <w:ind w:left="-30" w:right="-19" w:firstLine="0"/>
        <w:jc w:val="left"/>
      </w:pPr>
      <w:r>
        <w:rPr>
          <w:rFonts w:ascii="Calibri" w:eastAsia="Calibri" w:hAnsi="Calibri" w:cs="Calibri"/>
          <w:noProof/>
        </w:rPr>
        <mc:AlternateContent>
          <mc:Choice Requires="wpg">
            <w:drawing>
              <wp:inline distT="0" distB="0" distL="0" distR="0" wp14:anchorId="081238ED" wp14:editId="3E1E85C2">
                <wp:extent cx="7098665" cy="6350"/>
                <wp:effectExtent l="0" t="0" r="0" b="0"/>
                <wp:docPr id="2296" name="Group 2296"/>
                <wp:cNvGraphicFramePr/>
                <a:graphic xmlns:a="http://schemas.openxmlformats.org/drawingml/2006/main">
                  <a:graphicData uri="http://schemas.microsoft.com/office/word/2010/wordprocessingGroup">
                    <wpg:wgp>
                      <wpg:cNvGrpSpPr/>
                      <wpg:grpSpPr>
                        <a:xfrm>
                          <a:off x="0" y="0"/>
                          <a:ext cx="7098665" cy="6350"/>
                          <a:chOff x="0" y="0"/>
                          <a:chExt cx="7098665" cy="6350"/>
                        </a:xfrm>
                      </wpg:grpSpPr>
                      <wps:wsp>
                        <wps:cNvPr id="2801" name="Shape 2801"/>
                        <wps:cNvSpPr/>
                        <wps:spPr>
                          <a:xfrm>
                            <a:off x="0" y="0"/>
                            <a:ext cx="7098665" cy="9144"/>
                          </a:xfrm>
                          <a:custGeom>
                            <a:avLst/>
                            <a:gdLst/>
                            <a:ahLst/>
                            <a:cxnLst/>
                            <a:rect l="0" t="0" r="0" b="0"/>
                            <a:pathLst>
                              <a:path w="7098665" h="9144">
                                <a:moveTo>
                                  <a:pt x="0" y="0"/>
                                </a:moveTo>
                                <a:lnTo>
                                  <a:pt x="7098665" y="0"/>
                                </a:lnTo>
                                <a:lnTo>
                                  <a:pt x="7098665"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296" style="width:558.95pt;height:0.5pt;mso-position-horizontal-relative:char;mso-position-vertical-relative:line" coordsize="70986,63">
                <v:shape id="Shape 2802" style="position:absolute;width:70986;height:91;left:0;top:0;" coordsize="7098665,9144" path="m0,0l7098665,0l7098665,9144l0,9144l0,0">
                  <v:stroke weight="0pt" endcap="flat" joinstyle="miter" miterlimit="10" on="false" color="#000000" opacity="0"/>
                  <v:fill on="true" color="#1f3864"/>
                </v:shape>
              </v:group>
            </w:pict>
          </mc:Fallback>
        </mc:AlternateContent>
      </w:r>
    </w:p>
    <w:p w14:paraId="57239F48" w14:textId="77777777" w:rsidR="00172D00" w:rsidRDefault="00D115BF">
      <w:pPr>
        <w:spacing w:after="0" w:line="259" w:lineRule="auto"/>
        <w:ind w:left="-5" w:right="0"/>
        <w:jc w:val="left"/>
      </w:pPr>
      <w:r>
        <w:rPr>
          <w:b/>
          <w:sz w:val="20"/>
        </w:rPr>
        <w:t xml:space="preserve">Sources: </w:t>
      </w:r>
      <w:r>
        <w:rPr>
          <w:sz w:val="20"/>
        </w:rPr>
        <w:t xml:space="preserve">Environment Act 2021 &amp; TCPA (UK); Defra BNG Market Analysis Study (2021); BNG Industry Report, Biodiversity Units </w:t>
      </w:r>
    </w:p>
    <w:p w14:paraId="0CA26653" w14:textId="77777777" w:rsidR="00172D00" w:rsidRDefault="00D115BF">
      <w:pPr>
        <w:spacing w:after="0" w:line="259" w:lineRule="auto"/>
        <w:ind w:left="-5" w:right="0"/>
        <w:jc w:val="left"/>
      </w:pPr>
      <w:r>
        <w:rPr>
          <w:sz w:val="20"/>
        </w:rPr>
        <w:t xml:space="preserve">UK (July 2025); ESG Biodiversity Net Gain: UK &amp; India Scalability Report (2026); HBF BNG Sentiment Survey (2026); Wunder et al., </w:t>
      </w:r>
    </w:p>
    <w:p w14:paraId="4D3C3779" w14:textId="77777777" w:rsidR="00172D00" w:rsidRDefault="00D115BF">
      <w:pPr>
        <w:spacing w:after="26" w:line="259" w:lineRule="auto"/>
        <w:ind w:left="-5" w:right="0"/>
        <w:jc w:val="left"/>
      </w:pPr>
      <w:r>
        <w:rPr>
          <w:sz w:val="20"/>
        </w:rPr>
        <w:t>Business Strategy and the Environment (2025); Fact.MR / GVR Biodiversity Credit Market Forecasts (2026); Savills Natural Capital Spotlight (June 2025); CISL Nature Positive Business Models (April 2026); India Green Credit Rules 2025 (</w:t>
      </w:r>
      <w:proofErr w:type="spellStart"/>
      <w:r>
        <w:rPr>
          <w:sz w:val="20"/>
        </w:rPr>
        <w:t>MoEFCC</w:t>
      </w:r>
      <w:proofErr w:type="spellEnd"/>
      <w:r>
        <w:rPr>
          <w:sz w:val="20"/>
        </w:rPr>
        <w:t>); Companies Act 201</w:t>
      </w:r>
      <w:r>
        <w:rPr>
          <w:sz w:val="20"/>
        </w:rPr>
        <w:t>3 &amp; SEBI BRSR Framework; Forest Conservation Act 1980; Forest Rights Act 2006.</w:t>
      </w:r>
      <w:r>
        <w:t xml:space="preserve"> </w:t>
      </w:r>
    </w:p>
    <w:p w14:paraId="1A28F513" w14:textId="77777777" w:rsidR="00172D00" w:rsidRDefault="00D115BF">
      <w:pPr>
        <w:spacing w:after="0" w:line="229" w:lineRule="auto"/>
        <w:ind w:left="0" w:right="0" w:firstLine="0"/>
        <w:jc w:val="left"/>
      </w:pPr>
      <w:r>
        <w:rPr>
          <w:b/>
          <w:i/>
          <w:sz w:val="20"/>
        </w:rPr>
        <w:t xml:space="preserve">AI Disclosure: </w:t>
      </w:r>
      <w:r>
        <w:rPr>
          <w:i/>
          <w:sz w:val="20"/>
        </w:rPr>
        <w:t>Claude (Anthropic) was used to support research synthesis; all analysis, calculations, and judgements reflect the author’s own assessment.</w:t>
      </w:r>
      <w:r>
        <w:t xml:space="preserve"> </w:t>
      </w:r>
    </w:p>
    <w:sectPr w:rsidR="00172D00">
      <w:pgSz w:w="11910" w:h="16840"/>
      <w:pgMar w:top="448" w:right="380" w:bottom="433" w:left="4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D00"/>
    <w:rsid w:val="00172D00"/>
    <w:rsid w:val="00AC36B8"/>
    <w:rsid w:val="00AC6A64"/>
    <w:rsid w:val="00D115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755F"/>
  <w15:docId w15:val="{9BA53C6E-4CB5-44D8-A652-B47859FC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49" w:lineRule="auto"/>
      <w:ind w:left="10" w:right="1"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hd w:val="clear" w:color="auto" w:fill="1F3864"/>
      <w:spacing w:after="45" w:line="259" w:lineRule="auto"/>
      <w:ind w:left="110" w:hanging="10"/>
      <w:outlineLvl w:val="0"/>
    </w:pPr>
    <w:rPr>
      <w:rFonts w:ascii="Times New Roman" w:eastAsia="Times New Roman" w:hAnsi="Times New Roman" w:cs="Times New Roman"/>
      <w:b/>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FF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1126</Words>
  <Characters>6422</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David Ayuuya Ayeliga</cp:lastModifiedBy>
  <cp:revision>2</cp:revision>
  <dcterms:created xsi:type="dcterms:W3CDTF">2026-07-10T16:53:00Z</dcterms:created>
  <dcterms:modified xsi:type="dcterms:W3CDTF">2026-07-10T16:53:00Z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8fac97-8d33-4425-95a4-f76d2cce012e_Enabled">
    <vt:lpwstr>true</vt:lpwstr>
  </property>
  <property fmtid="{D5CDD505-2E9C-101B-9397-08002B2CF9AE}" pid="3" name="MSIP_Label_b98fac97-8d33-4425-95a4-f76d2cce012e_SetDate">
    <vt:lpwstr>2026-07-10T16:53:49Z</vt:lpwstr>
  </property>
  <property fmtid="{D5CDD505-2E9C-101B-9397-08002B2CF9AE}" pid="4" name="MSIP_Label_b98fac97-8d33-4425-95a4-f76d2cce012e_Method">
    <vt:lpwstr>Standard</vt:lpwstr>
  </property>
  <property fmtid="{D5CDD505-2E9C-101B-9397-08002B2CF9AE}" pid="5" name="MSIP_Label_b98fac97-8d33-4425-95a4-f76d2cce012e_Name">
    <vt:lpwstr>defa4170-0d19-0005-0004-bc88714345d2</vt:lpwstr>
  </property>
  <property fmtid="{D5CDD505-2E9C-101B-9397-08002B2CF9AE}" pid="6" name="MSIP_Label_b98fac97-8d33-4425-95a4-f76d2cce012e_SiteId">
    <vt:lpwstr>674dd0a1-ae62-42c7-a39f-69ee199537a8</vt:lpwstr>
  </property>
  <property fmtid="{D5CDD505-2E9C-101B-9397-08002B2CF9AE}" pid="7" name="MSIP_Label_b98fac97-8d33-4425-95a4-f76d2cce012e_ActionId">
    <vt:lpwstr>bc86bd9d-fef8-4bc7-aa66-54222aab443b</vt:lpwstr>
  </property>
  <property fmtid="{D5CDD505-2E9C-101B-9397-08002B2CF9AE}" pid="8" name="MSIP_Label_b98fac97-8d33-4425-95a4-f76d2cce012e_ContentBits">
    <vt:lpwstr>0</vt:lpwstr>
  </property>
  <property fmtid="{D5CDD505-2E9C-101B-9397-08002B2CF9AE}" pid="9" name="MSIP_Label_b98fac97-8d33-4425-95a4-f76d2cce012e_Tag">
    <vt:lpwstr>10, 3, 0, 1</vt:lpwstr>
  </property>
</Properties>
</file>