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Метод наименьшей стоимости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Начинаем с поиска ячейки с наименьшей стоимостью. В данном случае это ячейка BX (1).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Мы можем отправить от поставщика B к потребителю X максимум 100 единиц (весь запас поставщика B). Теперь у нас остается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Поставщик B: 0 единиц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Потребитель X: требуется еще 300 единиц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После этого переходим к следующей наименьшей стоимости. Следующая ячейка с наименьшей стоимостью — BV (2). Мы можем отправить от поставщика B к потребителю V, но так как у поставщика B больше нет товара, переходим к следующему поставщику.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65011" cy="172418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5011" cy="1724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Теперь смотрим на поставщика A. Наименьшая стоимость для A — это AX (3). Мы можем отправить от A к X оставшиеся 250 единиц. Потребитель X теперь требует еще 50 единиц.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419600" cy="15811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Т.к.  у поставщиков A и B закончился товар, осталось весь остальной товар поставщика С распределить на неудовлетворенных потребителей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362450" cy="15525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