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9D7A9" w14:textId="77777777" w:rsidR="00F06AB8" w:rsidRDefault="00F06AB8" w:rsidP="007C04B1">
      <w:pPr>
        <w:jc w:val="left"/>
        <w:rPr>
          <w:b/>
          <w:bCs/>
        </w:rPr>
      </w:pPr>
    </w:p>
    <w:p w14:paraId="47156F14" w14:textId="77777777" w:rsidR="00C22C1C" w:rsidRPr="00C22C1C" w:rsidRDefault="00C22C1C" w:rsidP="00C22C1C">
      <w:pPr>
        <w:jc w:val="left"/>
      </w:pPr>
      <w:r w:rsidRPr="00C22C1C">
        <w:t xml:space="preserve">You are right. Since </w:t>
      </w:r>
      <w:r w:rsidRPr="00C22C1C">
        <w:rPr>
          <w:b/>
          <w:bCs/>
        </w:rPr>
        <w:t>Hydrosheaf is a new project</w:t>
      </w:r>
      <w:r w:rsidRPr="00C22C1C">
        <w:t xml:space="preserve">, the literature-query questions should </w:t>
      </w:r>
      <w:r w:rsidRPr="00C22C1C">
        <w:rPr>
          <w:b/>
          <w:bCs/>
        </w:rPr>
        <w:t>not ask for published work on Hydrosheaf itself</w:t>
      </w:r>
      <w:r w:rsidRPr="00C22C1C">
        <w:t xml:space="preserve">. Instead, they should ask for literature on the </w:t>
      </w:r>
      <w:r w:rsidRPr="00C22C1C">
        <w:rPr>
          <w:b/>
          <w:bCs/>
        </w:rPr>
        <w:t>concepts, methods, gaps, and supporting theories</w:t>
      </w:r>
      <w:r w:rsidRPr="00C22C1C">
        <w:t xml:space="preserve"> needed to justify a new graph-theory/sheaf-theory framework for coupled groundwater residence-time and inverse hydrogeochemical modelling. I have therefore reframed the questions from your uploaded outline without mentioning the project name directly.</w:t>
      </w:r>
    </w:p>
    <w:p w14:paraId="1C5324D7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Section 1: Introduction</w:t>
      </w:r>
    </w:p>
    <w:p w14:paraId="3CB90607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1.1: Groundwater evolution as a coupled age-transport-reaction problem</w:t>
      </w:r>
    </w:p>
    <w:p w14:paraId="2128FDAE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does the literature show about groundwater evolution as the combined result of residence time, solute transport, recharge history, and water-rock reactions?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do groundwater age, flow-path length, aquifer heterogeneity, mixing, evaporation, and mineral reactions interact to shape groundwater chemistry?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conceptual or numerical approaches have been used to interpret groundwater quality as a coupled age-transport-reaction system?</w:t>
      </w:r>
    </w:p>
    <w:p w14:paraId="3C98CC76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1.2: Limitations of point-based hydrochemical and residence-time interpretation</w:t>
      </w:r>
    </w:p>
    <w:p w14:paraId="4CE892F3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are the limitations of interpreting groundwater chemistry and isotopic data from individual sampling points without considering spatial or flow-path connectivity?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can point-based methods such as hydrochemical facies, bivariate plots, Piper diagrams, isotope plots, and apparent-age estimates fail to represent connected groundwater evolution?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studies demonstrate that ignoring network structure, flow direction, or pathway relationships can lead to incomplete or misleading hydrogeochemical interpretation?</w:t>
      </w:r>
    </w:p>
    <w:p w14:paraId="115A4414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1.3: Flow-path uncertainty and non-uniqueness in inverse geochemical modelling</w:t>
      </w:r>
    </w:p>
    <w:p w14:paraId="4EF277E6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sources of uncertainty affect the reconstruction of groundwater flow paths from hydrochemical, isotopic, hydraulic, and spatial data?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Why are inverse hydrogeochemical models often non-unique, and how can different reaction combinations explain the same observed water chemistry?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methods have been used to reduce non-uniqueness in inverse geochemical modelling through constraints such as flow direction, mineral saturation, isotopes, residence time, or prior hydrogeological knowledge?</w:t>
      </w:r>
    </w:p>
    <w:p w14:paraId="46EE9B14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1.4: Need for graph-constrained coupling of residence time and geochemical reactions</w:t>
      </w:r>
    </w:p>
    <w:p w14:paraId="4AC03704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evidence supports representing groundwater systems as connected flow-path networks rather than isolated sampling locations?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have graph theory, network analysis, topology, or connectivity-based methods been applied in hydrology, hydrogeology, geochemistry, or environmental transport studies?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research gap exists in jointly constraining groundwater residence time, flow-path topology, and inverse hydrogeochemical reactions within one modelling framework?</w:t>
      </w:r>
    </w:p>
    <w:p w14:paraId="4B0B6BBF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1.5: Objectives, novelty and structure of the article</w:t>
      </w:r>
    </w:p>
    <w:p w14:paraId="10314951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lastRenderedPageBreak/>
        <w:t>Q1:</w:t>
      </w:r>
      <w:r w:rsidRPr="00C22C1C">
        <w:t xml:space="preserve"> What limitations in existing groundwater-age, hydrochemical, inverse-modelling, and graph-based approaches justify the development of a new integrated framework?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can the novelty of a graph-theory/sheaf-theory framework be positioned relative to existing residence-time models, inverse geochemical models, and physically based flow models?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do methodological papers in hydrogeology structure the presentation of a new modelling framework, including theory, implementation, validation, results, and limitations?</w:t>
      </w:r>
    </w:p>
    <w:p w14:paraId="4DD6747A" w14:textId="77777777" w:rsidR="00C22C1C" w:rsidRPr="00C22C1C" w:rsidRDefault="00C22C1C" w:rsidP="00C22C1C">
      <w:pPr>
        <w:jc w:val="left"/>
      </w:pPr>
      <w:r w:rsidRPr="00C22C1C">
        <w:pict w14:anchorId="38ED5B3C">
          <v:rect id="_x0000_i1069" style="width:0;height:1.5pt" o:hralign="center" o:hrstd="t" o:hr="t" fillcolor="#a0a0a0" stroked="f"/>
        </w:pict>
      </w:r>
    </w:p>
    <w:p w14:paraId="373F542C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Section 2: Materials and Methods</w:t>
      </w:r>
    </w:p>
    <w:p w14:paraId="138CEC63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2.1: Proposed framework overview</w:t>
      </w:r>
    </w:p>
    <w:p w14:paraId="2055419F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are the essential components of an integrated computational framework for groundwater residence-time interpretation, flow-path inference, and hydrogeochemical reaction modelling?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should a new scientific modelling framework be described in terms of inputs, assumptions, computational modules, workflow sequence, and outputs?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literature can support the design of a framework that combines graph construction, tracer-age inference, inverse geochemical modelling, uncertainty analysis, and validation?</w:t>
      </w:r>
    </w:p>
    <w:p w14:paraId="01C33853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2.1.1: Software architecture and main workflow</w:t>
      </w:r>
    </w:p>
    <w:p w14:paraId="3954672C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software-design principles are recommended for reproducible hydrogeological, geochemical, or environmental modelling tools?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do established tools for groundwater modelling, geochemical modelling, tracer-age modelling, or particle tracking organise their workflows and computational modules?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best practices exist for documenting scientific software architecture, including modules, dependencies, input formats, outputs, testing, and command-line or scripted workflows?</w:t>
      </w:r>
    </w:p>
    <w:p w14:paraId="7606E477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2.1.2: Conceptual model: nodes, edges, tracers and reactions</w:t>
      </w:r>
    </w:p>
    <w:p w14:paraId="0177A624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How can groundwater sampling locations, wells, springs, recharge zones, and discharge zones be conceptualised as nodes in a hydrogeological graph?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What hydrogeological, geochemical, isotopic, or spatial evidence can justify directed edges between groundwater sampling locations?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can tracers, groundwater age, chemical changes, and reaction extents be represented along graph edges to describe groundwater evolution?</w:t>
      </w:r>
    </w:p>
    <w:p w14:paraId="662D5EC2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2.2: Data model and preprocessing</w:t>
      </w:r>
    </w:p>
    <w:p w14:paraId="759934B5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data types are required to support integrated groundwater chemistry, isotope, residence-time, and inverse geochemical modelling?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What preprocessing procedures are recommended before interpreting groundwater-quality, isotopic, and geochemical datasets?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do coordinate accuracy, sample metadata, analytical quality, unit consistency, and missing values affect the reliability of hydrogeochemical modelling?</w:t>
      </w:r>
    </w:p>
    <w:p w14:paraId="1187EF34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2.2.1: Required sample, chemistry, isotope and coordinate fields</w:t>
      </w:r>
    </w:p>
    <w:p w14:paraId="26F063A7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lastRenderedPageBreak/>
        <w:t>Q1:</w:t>
      </w:r>
      <w:r w:rsidRPr="00C22C1C">
        <w:t xml:space="preserve"> What sample-identification, coordinate, elevation, depth, and hydrogeological metadata are required for spatial groundwater-process interpretation?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Which major ions, field parameters, stable isotopes, and nuclear tracers are most commonly used to interpret groundwater residence time and geochemical evolution?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do optional variables such as hydraulic head, lithology, screen interval, aquifer unit, recharge setting, and land use improve flow-path and process interpretation?</w:t>
      </w:r>
    </w:p>
    <w:p w14:paraId="6F2BB543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2.2.2: Unit harmonisation and ion-order configuration</w:t>
      </w:r>
    </w:p>
    <w:p w14:paraId="7AD5C2FF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unit conversions are required to prepare groundwater chemistry data for charge-balance calculations, mass-balance modelling, and inverse geochemical modelling?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do studies convert ion concentrations into molar or equivalent units for hydrochemical interpretation and reaction modelling?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Why are consistent ion ordering, naming conventions, and chemical-species configuration important for reproducible hydrochemical computation?</w:t>
      </w:r>
    </w:p>
    <w:p w14:paraId="75A6B3FC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2.2.3: Missing-value, detection-limit and quality-control handling</w:t>
      </w:r>
    </w:p>
    <w:p w14:paraId="1753B46C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How are missing values, censored concentrations, and values below detection limits treated in groundwater-quality studies?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What quality-control procedures are used for groundwater chemistry datasets, including charge-balance error, outlier detection, duplicate analysis, and analytical uncertainty checks?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do missing data, detection-limit substitution, and poor charge balance affect residence-time interpretation, geochemical modelling, and process attribution?</w:t>
      </w:r>
    </w:p>
    <w:p w14:paraId="013D600A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2.3: Graph construction and edge inference</w:t>
      </w:r>
    </w:p>
    <w:p w14:paraId="2A9A1A14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methods have been used to infer hydrological or hydrogeological connectivity from spatial distance, elevation, hydraulic gradient, chemistry, isotopes, or modelled flow paths?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can graph theory be used to represent groundwater systems as directed networks of potential flow and reaction pathways?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criteria should be used to assign, weight, filter, or reject possible graph edges in data-limited aquifers?</w:t>
      </w:r>
    </w:p>
    <w:p w14:paraId="74E73ED1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2.3.1: Spatial, elevation and head-proxy edge generation</w:t>
      </w:r>
    </w:p>
    <w:p w14:paraId="6661BD30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How are spatial proximity, elevation differences, hydraulic-head gradients, or topographic gradients used to infer potential groundwater flow directions?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What are the assumptions and limitations of using elevation, topography, or sparse head measurements as proxies for groundwater-flow direction?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can distance thresholds, gradient direction, elevation change, and hydraulic-head information be combined to generate candidate groundwater-flow edges?</w:t>
      </w:r>
    </w:p>
    <w:p w14:paraId="4EA3DA31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2.3.2: Primary, lateral and 3D edge structures</w:t>
      </w:r>
    </w:p>
    <w:p w14:paraId="7EF65806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How do groundwater studies distinguish between main flow-direction pathways, lateral connections, vertical leakage, and three-dimensional aquifer connectivity?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What hydrogeological evidence supports the existence of lateral or vertical connections between groundwater sampling points?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can screen depth, aquifer layering, geological structure, elevation, and three-dimensional coordinates improve graph-based representation of groundwater flow?</w:t>
      </w:r>
    </w:p>
    <w:p w14:paraId="4B9BD04C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lastRenderedPageBreak/>
        <w:t>Subsection 2.3.3: Physics priors from MODPATH and external models</w:t>
      </w:r>
    </w:p>
    <w:p w14:paraId="3392BFAA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How have MODFLOW and MODPATH been used to simulate groundwater flow paths, particle movement, travel time, and source-receptor connectivity?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What types of outputs from physical groundwater models can serve as prior information for graph-based connectivity inference?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can particle-tracking paths, simulated heads, recharge zones, discharge locations, or modelled travel times constrain data-driven graph edges?</w:t>
      </w:r>
    </w:p>
    <w:p w14:paraId="1FCF9E3F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2.3.4: Sheaf-style topology refinement using chemical and age consistency</w:t>
      </w:r>
    </w:p>
    <w:p w14:paraId="7AF6A748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How has sheaf theory or local-to-global consistency been used in data science, network analysis, sensor networks, or scientific modelling?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can local consistency rules based on chemistry, isotopes, age ordering, mass balance, and hydrogeological plausibility refine a graph topology?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literature supports rejecting or down-weighting inferred flow connections that violate chemical evolution, residence-time progression, or mass-balance expectations?</w:t>
      </w:r>
    </w:p>
    <w:p w14:paraId="637C7189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2.4: Residence-time and nuclear-tracer modelling</w:t>
      </w:r>
    </w:p>
    <w:p w14:paraId="381C82B1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environmental and nuclear tracers are commonly used to estimate groundwater residence time across young, intermediate, and old groundwater systems?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do tracer decay, atmospheric input history, recharge conditions, mixing, and dispersion influence groundwater-age interpretation?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modelling approaches are used to convert measured tracer concentrations into apparent ages or residence-time distributions?</w:t>
      </w:r>
    </w:p>
    <w:p w14:paraId="38CE85AF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2.4.1: Nuclide definitions and tracer input functions</w:t>
      </w:r>
    </w:p>
    <w:p w14:paraId="65EB6C0E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tracer properties are needed for groundwater residence-time modelling, including half-life, decay constant, initial activity, units, and measurement uncertainty?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are atmospheric or recharge input functions developed for tracers such as tritium, carbon-14, chlorofluorocarbons, sulfur hexafluoride, noble gases, and other isotope systems?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uncertainties arise when applying global, regional, or reconstructed tracer input functions to local aquifer systems?</w:t>
      </w:r>
    </w:p>
    <w:p w14:paraId="139D3AFE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2.4.2: Lumped parameter models: piston, exponential and dispersion assumptions</w:t>
      </w:r>
    </w:p>
    <w:p w14:paraId="11ECD6F3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assumptions underlie piston-flow, exponential-mixing, exponential-piston, and dispersion models in groundwater residence-time studies?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do different lumped parameter models represent flow-path mixing, recharge distribution, aquifer dispersion, and residence-time distribution?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criteria are used to select or compare lumped parameter models for specific aquifer settings and tracer combinations?</w:t>
      </w:r>
    </w:p>
    <w:p w14:paraId="45FEF65A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2.4.3: Single-node tracer-age inversion</w:t>
      </w:r>
    </w:p>
    <w:p w14:paraId="613DBEDF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How is groundwater apparent age or residence time estimated from tracer concentrations at an individual sampling location?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What inverse methods are used to estimate recharge year, mean residence time, or residence-time distribution parameters from tracer data?</w:t>
      </w:r>
      <w:r w:rsidRPr="00C22C1C">
        <w:br/>
      </w:r>
      <w:r w:rsidRPr="00C22C1C">
        <w:rPr>
          <w:b/>
          <w:bCs/>
        </w:rPr>
        <w:lastRenderedPageBreak/>
        <w:t>Q3:</w:t>
      </w:r>
      <w:r w:rsidRPr="00C22C1C">
        <w:t xml:space="preserve"> What limitations arise when tracer-age inversion is performed independently at each sampling point without considering flow-path connectivity?</w:t>
      </w:r>
    </w:p>
    <w:p w14:paraId="18D06B99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2.4.4: Network-enhanced Bayesian age inference</w:t>
      </w:r>
    </w:p>
    <w:p w14:paraId="0EBC865B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How have Bayesian methods been used to estimate groundwater residence time, tracer uncertainty, and residence-time distributions?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What prior information can be incorporated into Bayesian groundwater-age models, including flow direction, spatial connectivity, hydrogeological gradients, or downstream age constraints?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can network constraints improve residence-time estimates compared with independent single-sample tracer-age inversion?</w:t>
      </w:r>
    </w:p>
    <w:p w14:paraId="717B0641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2.5: Inverse hydrogeochemical modelling</w:t>
      </w:r>
    </w:p>
    <w:p w14:paraId="17ABEA78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are the theoretical foundations of inverse hydrogeochemical modelling for identifying reactions along groundwater flow paths?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do inverse models estimate mineral dissolution, mineral precipitation, cation exchange, redox reactions, evaporation, and mixing from observed water chemistry?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assumptions, uncertainties, and non-uniqueness problems affect inverse hydrogeochemical modelling?</w:t>
      </w:r>
    </w:p>
    <w:p w14:paraId="394EC500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2.5.1: Transport fitting for evaporation and mixing</w:t>
      </w:r>
    </w:p>
    <w:p w14:paraId="1DE86ED0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How are evaporation, dilution, and groundwater mixing identified from major ions, stable isotopes, chloride, electrical conductivity, or other conservative indicators?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What mathematical or geochemical methods are used to estimate mixing fractions and evaporation effects in groundwater systems?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can conservative transport effects be separated from reactive geochemical processes before fitting mineral or redox reactions?</w:t>
      </w:r>
    </w:p>
    <w:p w14:paraId="78EFE4EB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2.5.2: Conservative-tracer weighting</w:t>
      </w:r>
    </w:p>
    <w:p w14:paraId="262E16E4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Which ions, isotopes, or chemical indicators are commonly treated as conservative tracers in groundwater systems, and under what assumptions?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are conservative tracers used to constrain mixing, dilution, salinity evolution, recharge sources, and flow-path relationships?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weighting or objective-function strategies have been used to give greater importance to conservative tracers during hydrochemical model fitting?</w:t>
      </w:r>
    </w:p>
    <w:p w14:paraId="5130E4B2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2.5.3: Sparse reaction fitting and L1 regularisation</w:t>
      </w:r>
    </w:p>
    <w:p w14:paraId="5BC25F86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How has sparse modelling or L1 regularisation been used in environmental inverse problems, geochemical modelling, hydrology, or process identification?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Why is a sparse solution useful when many possible reactions could explain the observed chemical difference between upstream and downstream groundwater samples?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are the benefits and risks of using L1-regularised inverse modelling to identify dominant hydrogeochemical reactions under non-unique conditions?</w:t>
      </w:r>
    </w:p>
    <w:p w14:paraId="4AD76FDF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2.5.4: Mineral/reaction dictionary and process terms</w:t>
      </w:r>
    </w:p>
    <w:p w14:paraId="45EB8FD5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mineral phases, exchange reactions, gas reactions, redox reactions, and anthropogenic inputs are commonly included in groundwater inverse geochemical models?</w:t>
      </w:r>
      <w:r w:rsidRPr="00C22C1C">
        <w:br/>
      </w:r>
      <w:r w:rsidRPr="00C22C1C">
        <w:rPr>
          <w:b/>
          <w:bCs/>
        </w:rPr>
        <w:lastRenderedPageBreak/>
        <w:t>Q2:</w:t>
      </w:r>
      <w:r w:rsidRPr="00C22C1C">
        <w:t xml:space="preserve"> How are reaction dictionaries or stoichiometric matrices constructed to represent carbonate dissolution, silicate weathering, evaporite dissolution, ion exchange, fluoride mobilisation, nitrate input, and sulfate reduction?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can stoichiometric reaction terms be translated into hydrogeochemical process interpretations relevant to groundwater evolution?</w:t>
      </w:r>
    </w:p>
    <w:p w14:paraId="78F9C5B4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2.5.5: PHREEQC saturation-index constraints</w:t>
      </w:r>
    </w:p>
    <w:p w14:paraId="212276BD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How does PHREEQC calculate aqueous speciation, saturation indices, mineral equilibrium, and thermodynamic feasibility?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are saturation indices used to constrain whether a mineral phase is likely to dissolve, precipitate, or remain near equilibrium?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uncertainties arise from thermodynamic database selection, temperature assumptions, redox state, activity corrections, and incomplete chemical analyses?</w:t>
      </w:r>
    </w:p>
    <w:p w14:paraId="4231FD50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2.5.6: Objective functions, residuals and model selection</w:t>
      </w:r>
    </w:p>
    <w:p w14:paraId="12CFB8F0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objective functions are used to evaluate fit in inverse hydrogeochemical, transport, or tracer-age models?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are residuals defined for major ions, conservative tracers, isotopes, saturation indices, and mass-balance equations?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model-selection criteria can be used to compare alternative flow paths, reaction sets, graph topologies, regularisation strengths, and uncertainty assumptions?</w:t>
      </w:r>
    </w:p>
    <w:p w14:paraId="45F67E9E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2.6: Uncertainty, validation and outputs</w:t>
      </w:r>
    </w:p>
    <w:p w14:paraId="1C644C6A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uncertainty-analysis methods are commonly used in groundwater-flow, residence-time, isotope, and hydrogeochemical modelling?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What validation strategies are appropriate for a new modelling framework that combines graph topology, tracer-age inference, and inverse geochemical reactions?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outputs should such a framework produce to support interpretation, reproducibility, uncertainty communication, and comparison with existing models?</w:t>
      </w:r>
    </w:p>
    <w:p w14:paraId="4ED45041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2.6.1: Bayesian, bootstrap and Monte Carlo uncertainty modes</w:t>
      </w:r>
    </w:p>
    <w:p w14:paraId="4217ADF9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How are Bayesian inference, bootstrap resampling, and Monte Carlo simulation used to quantify uncertainty in groundwater modelling?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Which uncertainties should be propagated through coupled residence-time and hydrogeochemical models, including analytical uncertainty, tracer uncertainty, graph uncertainty, and reaction uncertainty?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should posterior distributions, confidence intervals, sensitivity indices, and uncertainty envelopes be reported in groundwater-process modelling?</w:t>
      </w:r>
    </w:p>
    <w:p w14:paraId="2179F390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2.6.2: PHREEQC kinetic forward validation</w:t>
      </w:r>
    </w:p>
    <w:p w14:paraId="5E81A770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How can forward PHREEQC simulations be used to test whether inferred reaction pathways can reproduce observed downstream groundwater chemistry?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What kinetic rate laws, mineral reactions, redox processes, or equilibrium constraints are commonly used in forward geochemical validation?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can forward geochemical simulations complement inverse modelling by testing reaction feasibility, directionality, and process plausibility?</w:t>
      </w:r>
    </w:p>
    <w:p w14:paraId="2F016282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2.6.3: MODFLOW/MODPATH benchmark validation design</w:t>
      </w:r>
    </w:p>
    <w:p w14:paraId="632CE180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lastRenderedPageBreak/>
        <w:t>Q1:</w:t>
      </w:r>
      <w:r w:rsidRPr="00C22C1C">
        <w:t xml:space="preserve"> How are MODFLOW and MODPATH used as benchmark tools for validating groundwater-flow paths, particle tracking, and travel-time estimates?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What metrics can compare inferred graph edges with simulated particle paths, including edge agreement, path overlap, directional accuracy, and travel-time consistency?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can synthetic or published groundwater-flow models be used to test whether graph-based topology inference recovers physically plausible flow connections?</w:t>
      </w:r>
    </w:p>
    <w:p w14:paraId="4BD3E841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2.6.4: Tables, diagnostic plots and reproducible exports</w:t>
      </w:r>
    </w:p>
    <w:p w14:paraId="1B81F004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tables are commonly used to report groundwater chemistry, residence-time results, inverse reaction outputs, model assumptions, and validation metrics?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What diagnostic plots best communicate graph topology, edge uncertainty, residence-time estimates, reaction extents, residuals, and sensitivity results?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file formats, metadata, scripts, and export structures are recommended for reproducible scientific modelling workflows?</w:t>
      </w:r>
    </w:p>
    <w:p w14:paraId="62E17A3B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2.7: Implementation, availability and reproducibility</w:t>
      </w:r>
    </w:p>
    <w:p w14:paraId="7F1B0CC9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reproducibility standards apply to open-source computational research in hydrogeology, geochemistry, and environmental modelling?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should software implementation, versioning, testing, dependency management, licensing, and documentation be reported in a methodological paper?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information is needed for other researchers to reproduce a complete modelling workflow from raw data to figures and tables?</w:t>
      </w:r>
    </w:p>
    <w:p w14:paraId="4BC675AD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2.7.1: Package structure, tests and command-line interface</w:t>
      </w:r>
    </w:p>
    <w:p w14:paraId="179D5507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How are scientific modelling packages commonly organised into data modules, model modules, utility modules, tests, examples, and documentation?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What types of tests are needed to verify scientific software, including unit tests, integration tests, regression tests, and benchmark tests?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should a command-line interface or scripted workflow be documented to support reproducible hydrogeological modelling?</w:t>
      </w:r>
    </w:p>
    <w:p w14:paraId="09D3A598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2.7.2: Reproducible analysis scripts and data-access assumptions</w:t>
      </w:r>
    </w:p>
    <w:p w14:paraId="1784669A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best practices exist for sharing scripts, notebooks, configuration files, test datasets, and computational environments in reproducible hydrogeological studies?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should authors document whether data are public, restricted, synthetic, simulated, or user-provided?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repository, archival, metadata, and workflow-management practices improve transparency and reuse of scientific modelling tools?</w:t>
      </w:r>
    </w:p>
    <w:p w14:paraId="4D60E621" w14:textId="77777777" w:rsidR="00C22C1C" w:rsidRPr="00C22C1C" w:rsidRDefault="00C22C1C" w:rsidP="00C22C1C">
      <w:pPr>
        <w:jc w:val="left"/>
      </w:pPr>
      <w:r w:rsidRPr="00C22C1C">
        <w:pict w14:anchorId="04D1D5DB">
          <v:rect id="_x0000_i1070" style="width:0;height:1.5pt" o:hralign="center" o:hrstd="t" o:hr="t" fillcolor="#a0a0a0" stroked="f"/>
        </w:pict>
      </w:r>
    </w:p>
    <w:p w14:paraId="19696512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Section 3: Results</w:t>
      </w:r>
    </w:p>
    <w:p w14:paraId="7B571849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3.1: Framework implementation results</w:t>
      </w:r>
    </w:p>
    <w:p w14:paraId="574BA3ED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types of results should be presented when introducing and testing a new hydrogeological modelling framework?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do methodological papers demonstrate that software modules execute correctly and produce scientifically interpretable outputs?</w:t>
      </w:r>
      <w:r w:rsidRPr="00C22C1C">
        <w:br/>
      </w:r>
      <w:r w:rsidRPr="00C22C1C">
        <w:rPr>
          <w:b/>
          <w:bCs/>
        </w:rPr>
        <w:lastRenderedPageBreak/>
        <w:t>Q3:</w:t>
      </w:r>
      <w:r w:rsidRPr="00C22C1C">
        <w:t xml:space="preserve"> What evidence is needed to show successful integration of graph construction, residence-time modelling, inverse reaction fitting, uncertainty analysis, and validation?</w:t>
      </w:r>
    </w:p>
    <w:p w14:paraId="0BDC9B3C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3.1.1: Verified software modules and workflow execution</w:t>
      </w:r>
    </w:p>
    <w:p w14:paraId="293C01FF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How do scientific software papers report successful verification of data loading, preprocessing, model execution, and output generation?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What workflow-execution results demonstrate that a coupled groundwater modelling framework is functioning as intended?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types of tests or benchmark examples are used to verify reproducibility and computational correctness?</w:t>
      </w:r>
    </w:p>
    <w:p w14:paraId="7E256C20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3.1.2: Graph-edge and physics-prior outputs</w:t>
      </w:r>
    </w:p>
    <w:p w14:paraId="7CB1F551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outputs should be reported to demonstrate graph-edge inference in groundwater or environmental transport networks?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can physics-based priors from flow models or particle-tracking simulations be compared with data-inferred graph edges?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metrics or visualisations show edge direction, edge confidence, graph density, prior influence, and topology uncertainty?</w:t>
      </w:r>
    </w:p>
    <w:p w14:paraId="521D21A1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3.1.3: Residence-time output fields and uncertainty diagnostics</w:t>
      </w:r>
    </w:p>
    <w:p w14:paraId="42A00B69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residence-time outputs are commonly reported in groundwater tracer studies, including apparent age, mean residence time, recharge year, and uncertainty range?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should uncertainty in residence-time estimates be visualised and interpreted?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diagnostics can show whether network or flow-path constraints improve age consistency across connected groundwater samples?</w:t>
      </w:r>
    </w:p>
    <w:p w14:paraId="10E28088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3.1.4: Hydrogeochemical reaction output fields</w:t>
      </w:r>
    </w:p>
    <w:p w14:paraId="5C699C86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outputs are expected from inverse hydrogeochemical modelling, including reaction extents, selected reactions, residuals, and feasibility indicators?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are dominant processes such as carbonate dissolution, silicate weathering, ion exchange, evaporation, mixing, and redox reactions usually reported?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can reaction outputs be linked to graph edges so that geochemical changes are interpreted along inferred groundwater pathways?</w:t>
      </w:r>
    </w:p>
    <w:p w14:paraId="5AA6A695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3.2: Synthetic benchmark recovery</w:t>
      </w:r>
    </w:p>
    <w:p w14:paraId="46517D2B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How are synthetic benchmark datasets designed to evaluate groundwater transport, residence-time, or inverse hydrogeochemical models?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What metrics are used to measure recovery of known transport processes, reaction extents, graph topology, and uncertainty behaviour?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can synthetic benchmarks be used to demonstrate both the capabilities and limitations of a new modelling approach?</w:t>
      </w:r>
    </w:p>
    <w:p w14:paraId="3F3BA8B2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3.2.1: Recovery of known transport processes</w:t>
      </w:r>
    </w:p>
    <w:p w14:paraId="6EC398D7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How can synthetic groundwater datasets be created with known evaporation, dilution, mixing, or conservative transport effects?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What evidence demonstrates that a model has correctly recovered imposed transport </w:t>
      </w:r>
      <w:r w:rsidRPr="00C22C1C">
        <w:lastRenderedPageBreak/>
        <w:t>processes?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should deviations between true and recovered transport parameters be quantified?</w:t>
      </w:r>
    </w:p>
    <w:p w14:paraId="60CB6AB0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3.2.2: Recovery of known reaction extents</w:t>
      </w:r>
    </w:p>
    <w:p w14:paraId="76C8C211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How can known mineral dissolution, precipitation, cation exchange, redox reactions, or anthropogenic inputs be embedded in synthetic geochemical datasets?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What methods are used to compare known reaction extents with inverse-model estimates?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should recovery accuracy, false reaction selection, missing reactions, and residual error be reported?</w:t>
      </w:r>
    </w:p>
    <w:p w14:paraId="0ECA081B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3.2.3: Sensitivity to missing data and ion weighting</w:t>
      </w:r>
    </w:p>
    <w:p w14:paraId="77A5A615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How do missing ions, incomplete isotope data, censored values, and analytical uncertainty affect groundwater-process modelling?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What sensitivity tests can evaluate model performance under incomplete or degraded chemistry datasets?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does changing ion weighting influence selected reactions, transport estimates, residuals, and uncertainty?</w:t>
      </w:r>
    </w:p>
    <w:p w14:paraId="28E16F43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3.2.4: Robustness to edge-density and topology uncertainty</w:t>
      </w:r>
    </w:p>
    <w:p w14:paraId="6B762C16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How does graph density affect the performance of network-based environmental, hydrological, or geochemical models?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What tests can evaluate the effects of missing, uncertain, false, or overly dense edges in an inferred groundwater graph?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metrics can be used to quantify robustness to topology uncertainty?</w:t>
      </w:r>
    </w:p>
    <w:p w14:paraId="2F864486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3.3: Nuclear-tracer and residence-time validation</w:t>
      </w:r>
    </w:p>
    <w:p w14:paraId="4CFF9E52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published or public datasets are available for validating groundwater residence-time models based on environmental or nuclear tracers?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can new residence-time estimates be compared with published lumped-parameter model results or tracer-based age estimates?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statistical metrics are appropriate for evaluating agreement between modelled and reference residence-time estimates?</w:t>
      </w:r>
    </w:p>
    <w:p w14:paraId="0569A13C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3.3.1: Agreement with public LPM/TracerLPM-style age estimates</w:t>
      </w:r>
    </w:p>
    <w:p w14:paraId="405B2E6C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literature describes lumped-parameter models and tools for estimating groundwater age from environmental tracers?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are model outputs compared against published apparent ages, mean residence times, or residence-time distributions?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measures can quantify agreement, bias, uncertainty overlap, or disagreement between two residence-time modelling approaches?</w:t>
      </w:r>
    </w:p>
    <w:p w14:paraId="0510C4D9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3.3.2: Behaviour under mixed-age and ambiguous tracer conditions</w:t>
      </w:r>
    </w:p>
    <w:p w14:paraId="6F5C639D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How do mixed-age waters complicate the interpretation of tracer concentrations and apparent groundwater ages?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What tracer combinations and model assumptions help identify or reduce ambiguity in mixed-age groundwater samples?</w:t>
      </w:r>
      <w:r w:rsidRPr="00C22C1C">
        <w:br/>
      </w:r>
      <w:r w:rsidRPr="00C22C1C">
        <w:rPr>
          <w:b/>
          <w:bCs/>
        </w:rPr>
        <w:lastRenderedPageBreak/>
        <w:t>Q3:</w:t>
      </w:r>
      <w:r w:rsidRPr="00C22C1C">
        <w:t xml:space="preserve"> How should models report uncertainty, multi-modal solutions, or multiple plausible age interpretations under ambiguous tracer conditions?</w:t>
      </w:r>
    </w:p>
    <w:p w14:paraId="4666735F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3.3.3: Network-age constraints and downstream ageing consistency</w:t>
      </w:r>
    </w:p>
    <w:p w14:paraId="6364EEBB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hydrogeological principles support age ordering or non-decreasing residence time along connected groundwater flow paths?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can upstream-downstream relationships be used to evaluate consistency among groundwater-age estimates?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evidence would show that network-based constraints improve the physical plausibility of residence-time interpretation?</w:t>
      </w:r>
    </w:p>
    <w:p w14:paraId="3227795D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3.4: MODFLOW/MODPATH topology validation</w:t>
      </w:r>
    </w:p>
    <w:p w14:paraId="2F67C12C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How can physically based groundwater-flow and particle-tracking models be used to validate inferred network connectivity?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What particle-tracking outputs are most useful for testing graph-edge direction, pathway connection, travel time, and source-receptor relationships?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visual and statistical methods can compare inferred graph topology with MODPATH-derived particle paths?</w:t>
      </w:r>
    </w:p>
    <w:p w14:paraId="3A6A8D67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3.4.1: Conversion of MODPATH endpoints to graph priors</w:t>
      </w:r>
    </w:p>
    <w:p w14:paraId="24BF68C9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How are MODPATH endpoints, pathlines, travel times, and particle destinations processed in groundwater-flow studies?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can continuous particle trajectories be converted into discrete graph nodes, edges, edge weights, or prior probabilities?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assumptions are involved when translating particle-tracking output into graph-based connectivity information?</w:t>
      </w:r>
    </w:p>
    <w:p w14:paraId="5E239B9E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3.4.2: Agreement between graph-inferred and particle-tracking edges</w:t>
      </w:r>
    </w:p>
    <w:p w14:paraId="1715E9DF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metrics can quantify agreement between inferred graph edges and simulated particle-tracking paths?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can true-positive, false-positive, false-negative, and directionally inconsistent edges be defined for groundwater topology validation?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evidence would demonstrate that inferred graph structure is consistent with physically simulated groundwater flow?</w:t>
      </w:r>
    </w:p>
    <w:p w14:paraId="3EB9D1F3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3.4.3: Failure modes and topology uncertainty</w:t>
      </w:r>
    </w:p>
    <w:p w14:paraId="79B82B1E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are common causes of incorrect groundwater-flow-path inference from sparse spatial, chemical, or hydraulic data?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can uncertain, unstable, contradictory, or poorly supported graph edges be identified?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does comparison with particle-tracking models reveal about the limitations of graph-based topology inference?</w:t>
      </w:r>
    </w:p>
    <w:p w14:paraId="295B27EB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3.5: PHREEQC-constrained hydrogeochemical validation</w:t>
      </w:r>
    </w:p>
    <w:p w14:paraId="29172C54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How can thermodynamic geochemical modelling be used to evaluate the feasibility of inverse reaction solutions?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What PHREEQC-based checks are appropriate for assessing speciation, saturation state, </w:t>
      </w:r>
      <w:r w:rsidRPr="00C22C1C">
        <w:lastRenderedPageBreak/>
        <w:t>mineral feasibility, and reaction plausibility?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should validation results be reported when inverse reaction solutions are constrained by thermodynamic or kinetic geochemical modelling?</w:t>
      </w:r>
    </w:p>
    <w:p w14:paraId="790C50B4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3.5.1: Saturation-index constraints and reaction feasibility</w:t>
      </w:r>
    </w:p>
    <w:p w14:paraId="68810073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How are mineral saturation indices interpreted in groundwater geochemistry?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can saturation state be used to determine whether mineral dissolution or precipitation is chemically plausible?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evidence shows that saturation-index constraints improve the realism of inferred hydrogeochemical reactions?</w:t>
      </w:r>
    </w:p>
    <w:p w14:paraId="37FB2DBE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3.5.2: Effect of thermodynamic constraints on sparse reaction solutions</w:t>
      </w:r>
    </w:p>
    <w:p w14:paraId="3A16B66E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How do thermodynamic constraints alter the selection of reactions in inverse geochemical models?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What differences are expected between unconstrained sparse reaction fitting and thermodynamically constrained fitting?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should changes in reaction selection, residual error, model sparsity, and feasibility score be interpreted?</w:t>
      </w:r>
    </w:p>
    <w:p w14:paraId="14615CBA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3.5.3: Forward kinetic validation diagnostics</w:t>
      </w:r>
    </w:p>
    <w:p w14:paraId="762EF8F9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diagnostics are used to evaluate whether forward kinetic simulations reproduce observed groundwater chemistry?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can simulated final chemistry be compared with measured downstream chemistry along a flow path?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does agreement or disagreement between forward simulations and observed chemistry imply about inferred reaction pathways?</w:t>
      </w:r>
    </w:p>
    <w:p w14:paraId="03126B83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3.6: Demonstration on a data-limited aquifer dataset</w:t>
      </w:r>
    </w:p>
    <w:p w14:paraId="74B32839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types of data-limited aquifer datasets are suitable for demonstrating screening-level groundwater-process interpretation?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have previous studies interpreted groundwater evolution in semi-arid, fractured, crystalline, volcanic, sedimentary, or sparsely monitored aquifers?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outputs best demonstrate the practical diagnostic value of a graph-constrained residence-time and hydrogeochemical framework?</w:t>
      </w:r>
    </w:p>
    <w:p w14:paraId="181B1649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3.6.1: End-to-end workflow demonstration</w:t>
      </w:r>
    </w:p>
    <w:p w14:paraId="6232B793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steps should be shown in an end-to-end demonstration of a groundwater-process modelling workflow?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should raw input data, preprocessed chemistry, graph topology, age estimates, reaction outputs, and uncertainty diagnostics be connected in the results?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evidence shows that a workflow can move from sparse field data to interpretable groundwater-process networks?</w:t>
      </w:r>
    </w:p>
    <w:p w14:paraId="4EB96010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3.6.2: Diagnostic value for process-pathway interpretation</w:t>
      </w:r>
    </w:p>
    <w:p w14:paraId="38A7219A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How do hydrogeochemical studies identify dominant groundwater evolution processes along flow paths?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can network-based outputs reveal pathway-dependent processes that may be hidden </w:t>
      </w:r>
      <w:r w:rsidRPr="00C22C1C">
        <w:lastRenderedPageBreak/>
        <w:t>in point-based hydrochemical plots?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practical insights can process-pathway interpretation provide for salinity, fluoride, nitrate, ion exchange, weathering, mixing, or residence-time diagnosis?</w:t>
      </w:r>
    </w:p>
    <w:p w14:paraId="7EC0D7F9" w14:textId="77777777" w:rsidR="00C22C1C" w:rsidRPr="00C22C1C" w:rsidRDefault="00C22C1C" w:rsidP="00C22C1C">
      <w:pPr>
        <w:jc w:val="left"/>
      </w:pPr>
      <w:r w:rsidRPr="00C22C1C">
        <w:pict w14:anchorId="0105E9DC">
          <v:rect id="_x0000_i1071" style="width:0;height:1.5pt" o:hralign="center" o:hrstd="t" o:hr="t" fillcolor="#a0a0a0" stroked="f"/>
        </w:pict>
      </w:r>
    </w:p>
    <w:p w14:paraId="472A7327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Section 4: Discussion</w:t>
      </w:r>
    </w:p>
    <w:p w14:paraId="42907735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4.1: Scientific contribution of the proposed framework</w:t>
      </w:r>
    </w:p>
    <w:p w14:paraId="3B3A1681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scientific gap is addressed by coupling graph topology, groundwater residence time, and inverse hydrogeochemical reaction modelling?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can a graph-theory/sheaf-theory approach advance groundwater-process interpretation beyond point-based hydrochemistry and independent age dating?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contribution could an integrated topology-age-reaction framework make to isotope hydrology, hydrogeochemistry, and data-limited aquifer assessment?</w:t>
      </w:r>
    </w:p>
    <w:p w14:paraId="3E7E1C12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4.1.1: Coupling residence time, topology and inverse reactions</w:t>
      </w:r>
    </w:p>
    <w:p w14:paraId="0707A3C7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Why is it important to interpret groundwater age, flow-path connectivity, and geochemical reaction history together rather than separately?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What existing approaches partially couple age, flow, transport, and geochemistry, and what limitations remain?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can graph constraints improve the physical plausibility of inverse reaction interpretation?</w:t>
      </w:r>
    </w:p>
    <w:p w14:paraId="4B22B679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4.1.2: Moving from point interpretation to process networks</w:t>
      </w:r>
    </w:p>
    <w:p w14:paraId="0DBF2E1B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are the scientific limitations of point-based groundwater-quality interpretation?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can network-based analysis improve understanding of spatially connected groundwater evolution?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examples from hydrology, geoscience, ecology, or environmental systems show the value of moving from isolated observations to process networks?</w:t>
      </w:r>
    </w:p>
    <w:p w14:paraId="7A5875BB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4.1.3: Contribution to Nuclear Earth Science and isotope hydrology</w:t>
      </w:r>
    </w:p>
    <w:p w14:paraId="2EA9826B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How do nuclear and environmental tracers contribute to understanding groundwater recharge, residence time, aquifer vulnerability, and water-resource sustainability?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What challenges arise when interpreting nuclear-tracer data in mixed, heterogeneous, or data-limited aquifers?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can graph-constrained residence-time modelling strengthen isotope-hydrology interpretations?</w:t>
      </w:r>
    </w:p>
    <w:p w14:paraId="37FD0389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4.2: Comparison with existing approaches</w:t>
      </w:r>
    </w:p>
    <w:p w14:paraId="007D6F3F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are the main existing approaches for groundwater residence-time modelling, inverse hydrogeochemical modelling, and flow-path simulation?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do existing methods differ in their treatment of topology, residence time, reaction feasibility, uncertainty, and data requirements?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methodological gap remains between physically based flow models, geochemical inverse models, tracer-age models, and machine-learning approaches?</w:t>
      </w:r>
    </w:p>
    <w:p w14:paraId="67217A82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4.2.1: PHREEQC/NETPATH and manual inverse modelling</w:t>
      </w:r>
    </w:p>
    <w:p w14:paraId="0A65B708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lastRenderedPageBreak/>
        <w:t>Q1:</w:t>
      </w:r>
      <w:r w:rsidRPr="00C22C1C">
        <w:t xml:space="preserve"> What are the strengths of PHREEQC, NETPATH, and related tools for inverse hydrogeochemical modelling?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What limitations occur when inverse geochemical modelling is applied manually along uncertain or assumed groundwater flow paths?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could graph constraints, sparse fitting, and network-based interpretation complement conventional inverse geochemical modelling?</w:t>
      </w:r>
    </w:p>
    <w:p w14:paraId="7B2B58C3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4.2.2: MODFLOW/MODPATH and physical particle tracking</w:t>
      </w:r>
    </w:p>
    <w:p w14:paraId="48F92D25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are the strengths of MODFLOW and MODPATH for physically based groundwater-flow simulation and particle tracking?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What data, calibration, and parameterisation requirements limit the use of fully calibrated flow models in data-limited aquifers?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can graph-based methods use outputs from physical flow models as priors or benchmarks without replacing physically based modelling?</w:t>
      </w:r>
    </w:p>
    <w:p w14:paraId="1A45CB78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4.2.3: VISHMOD, GraphFlow and virtual-sampling approaches</w:t>
      </w:r>
    </w:p>
    <w:p w14:paraId="029B8B12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are virtual-sampling, graph-flow, or spatially structured approaches in groundwater and environmental modelling?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do these approaches represent spatial structure, inferred pathways, synthetic observations, or process connectivity?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gap remains for methods that explicitly combine graph topology, residence-time constraints, and inverse hydrogeochemical reaction modelling?</w:t>
      </w:r>
    </w:p>
    <w:p w14:paraId="2432E82A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4.2.4: PINNs, GNNs and data-driven surrogates</w:t>
      </w:r>
    </w:p>
    <w:p w14:paraId="500156B2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How are physics-informed neural networks, graph neural networks, and surrogate models being applied in hydrology, groundwater modelling, and environmental transport?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What are the advantages and limitations of data-driven models in sparse, heterogeneous, or poorly monitored groundwater systems?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do interpretable graph-constrained methods compare with machine-learning surrogates in terms of data demand, transparency, process meaning, and uncertainty?</w:t>
      </w:r>
    </w:p>
    <w:p w14:paraId="5E67C76C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4.3: Interpretation of validation outcomes</w:t>
      </w:r>
    </w:p>
    <w:p w14:paraId="4E5A757E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types of validation evidence are needed to support a new groundwater-process modelling framework?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should synthetic benchmarks, tracer-age comparisons, particle-tracking validation, and geochemical forward modelling be interpreted together?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claims can be supported by each validation type, and what claims remain uncertain?</w:t>
      </w:r>
    </w:p>
    <w:p w14:paraId="7F5A34E4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4.3.1: What synthetic benchmarks prove</w:t>
      </w:r>
    </w:p>
    <w:p w14:paraId="42AC1207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can synthetic benchmark tests demonstrate about recovery of known processes in hydrogeological or geochemical models?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What limitations remain when model validation is based on synthetic data rather than independent field observations?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should synthetic benchmark results be framed to avoid overstating real-world predictive capability?</w:t>
      </w:r>
    </w:p>
    <w:p w14:paraId="5E3C727A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4.3.2: What public residence-time datasets prove</w:t>
      </w:r>
    </w:p>
    <w:p w14:paraId="5000ADA7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lastRenderedPageBreak/>
        <w:t>Q1:</w:t>
      </w:r>
      <w:r w:rsidRPr="00C22C1C">
        <w:t xml:space="preserve"> What does agreement with published residence-time estimates show about a groundwater-age modelling method?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What uncertainties remain when comparing new age estimates with published lumped-parameter or tracer-based estimates?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can residence-time validation support, but not fully prove, coupled hydrogeochemical pathway interpretation?</w:t>
      </w:r>
    </w:p>
    <w:p w14:paraId="4512B8C2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4.3.3: What MODPATH and PHREEQC validations prove</w:t>
      </w:r>
    </w:p>
    <w:p w14:paraId="7A46C330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does agreement with MODPATH particle tracking demonstrate about inferred groundwater topology?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What does PHREEQC-based validation demonstrate about thermodynamic or kinetic feasibility of inferred reactions?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uncertainties remain even when both topology and reaction feasibility checks are satisfied?</w:t>
      </w:r>
    </w:p>
    <w:p w14:paraId="07BB0B0B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4.4: Practical relevance for data-limited aquifers</w:t>
      </w:r>
    </w:p>
    <w:p w14:paraId="2DA34930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Why are data-limited aquifers difficult to analyse using conventional calibrated groundwater-flow and reactive-transport models?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What practical need exists for screening-level methods that integrate sparse chemistry, isotope data, spatial structure, and uncertainty?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can graph-constrained process interpretation support monitoring design, isotope sampling, groundwater-quality assessment, and conceptual-model refinement?</w:t>
      </w:r>
    </w:p>
    <w:p w14:paraId="6C3B8602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4.4.1: Screening-level diagnosis where calibrated flow models are absent</w:t>
      </w:r>
    </w:p>
    <w:p w14:paraId="4290F72F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methods are commonly used to interpret groundwater processes when calibrated groundwater-flow models are unavailable?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reliable are hydrochemical, isotopic, spatial-gradient, and conceptual-model approaches for preliminary groundwater diagnosis?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can uncertainty-aware graph-based methods provide useful screening-level interpretation without claiming full predictive simulation?</w:t>
      </w:r>
    </w:p>
    <w:p w14:paraId="4E6794AC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4.4.2: Prioritising isotope sampling and monitoring nodes</w:t>
      </w:r>
    </w:p>
    <w:p w14:paraId="76BF7913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How are groundwater monitoring networks designed or optimised for hydrochemical and isotope investigations?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What criteria identify high-value sampling locations for resolving flow-path, age, recharge, or reaction uncertainty?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can graph uncertainty, pathway importance, and reaction ambiguity guide future isotope or hydrochemical sampling?</w:t>
      </w:r>
    </w:p>
    <w:p w14:paraId="2A94D201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4.4.3: Water-quality management implications</w:t>
      </w:r>
    </w:p>
    <w:p w14:paraId="2A492CD5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How does understanding groundwater residence time and flow-path connectivity improve water-quality management?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can pathway-based hydrogeochemical diagnosis inform management of salinity, fluoride, nitrate, hardness, contamination, or natural geogenic risks?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management decisions can benefit from identifying process networks rather than only mapping concentration patterns?</w:t>
      </w:r>
    </w:p>
    <w:p w14:paraId="5449B142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4.5: Limitations</w:t>
      </w:r>
    </w:p>
    <w:p w14:paraId="2A220E90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lastRenderedPageBreak/>
        <w:t>Q1:</w:t>
      </w:r>
      <w:r w:rsidRPr="00C22C1C">
        <w:t xml:space="preserve"> What limitations are common to graph-based, tracer-based, inverse geochemical, and data-limited groundwater models?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do sparse data, uncertain edges, incomplete reaction dictionaries, tracer ambiguity, and analytical uncertainty affect interpretation?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should limitations be presented transparently when introducing a new methodological framework?</w:t>
      </w:r>
    </w:p>
    <w:p w14:paraId="77957F21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4.5.1: Dependence on input chemistry, tracer availability and graph assumptions</w:t>
      </w:r>
    </w:p>
    <w:p w14:paraId="3D3B0681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How does input-data quality influence hydrochemical interpretation, tracer-age modelling, and inverse reaction modelling?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What are the consequences of missing key ions, isotopes, hydraulic heads, aquifer metadata, or tracer measurements?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do graph-construction assumptions influence inferred pathways and reaction interpretations?</w:t>
      </w:r>
    </w:p>
    <w:p w14:paraId="1C7563E6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4.5.2: Non-uniqueness and identifiability under sparse data</w:t>
      </w:r>
    </w:p>
    <w:p w14:paraId="5E862AA5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Why does non-uniqueness increase in groundwater inverse problems when data are sparse or uncertain?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do identifiability problems affect estimation of flow paths, residence times, mixing fractions, and reaction extents?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can regularisation, priors, uncertainty analysis, and independent constraints reduce but not eliminate non-uniqueness?</w:t>
      </w:r>
    </w:p>
    <w:p w14:paraId="5C1EEFB4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4.5.3: Limits of benchmark transferability</w:t>
      </w:r>
    </w:p>
    <w:p w14:paraId="29DEBE95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Why may synthetic or public benchmark results not transfer directly to all aquifer types and hydroclimatic settings?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do geology, climate, recharge regime, sampling density, tracer availability, and geochemical complexity affect benchmark transferability?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should external validity and transferability be discussed for a new groundwater-process modelling framework?</w:t>
      </w:r>
    </w:p>
    <w:p w14:paraId="61422D13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4.6: Future development</w:t>
      </w:r>
    </w:p>
    <w:p w14:paraId="42C80EAA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future directions are emerging in coupled groundwater-flow, residence-time, isotope, and hydrogeochemical modelling?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could graph-theory and sheaf-theory approaches be extended through stronger physical-model coupling, larger isotope datasets, and community benchmarks?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developments would improve scalability, reproducibility, interpretability, and adoption of integrated groundwater-process modelling frameworks?</w:t>
      </w:r>
    </w:p>
    <w:p w14:paraId="0FE764A8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4.6.1: Full regional MODFLOW/MODPATH coupling</w:t>
      </w:r>
    </w:p>
    <w:p w14:paraId="3B0D2CCA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technical requirements are needed to couple graph-based groundwater tools with regional MODFLOW/MODPATH simulations?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can simulated heads, pathlines, particle travel times, recharge areas, and discharge zones be integrated into graph-based workflows?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benefits and challenges would arise from full coupling between graph-based inference and physically based groundwater-flow models?</w:t>
      </w:r>
    </w:p>
    <w:p w14:paraId="037C1E39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lastRenderedPageBreak/>
        <w:t>Subsection 4.6.2: Expanded nuclear-tracer and isotope datasets</w:t>
      </w:r>
    </w:p>
    <w:p w14:paraId="4BA02635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additional nuclear tracers and isotope systems could improve residence-time and recharge interpretation in groundwater studies?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can multi-tracer datasets reduce ambiguity in mixed-age or heterogeneous aquifer systems?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public, regional, or international isotope datasets could support future benchmarking of residence-time modelling approaches?</w:t>
      </w:r>
    </w:p>
    <w:p w14:paraId="59E68D41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4.6.3: Community benchmarking and open reproducibility</w:t>
      </w:r>
    </w:p>
    <w:p w14:paraId="7CC5D3D2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role do open datasets, benchmark problems, reproducible workflows, and community testing play in validating scientific modelling tools?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can a community benchmark be designed for graph-constrained residence-time and hydrogeochemical modelling?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repository practices, licences, documentation standards, and contribution guidelines support long-term open scientific software development?</w:t>
      </w:r>
    </w:p>
    <w:p w14:paraId="4C5C1DFE" w14:textId="77777777" w:rsidR="00C22C1C" w:rsidRPr="00C22C1C" w:rsidRDefault="00C22C1C" w:rsidP="00C22C1C">
      <w:pPr>
        <w:jc w:val="left"/>
      </w:pPr>
      <w:r w:rsidRPr="00C22C1C">
        <w:pict w14:anchorId="5AE95258">
          <v:rect id="_x0000_i1072" style="width:0;height:1.5pt" o:hralign="center" o:hrstd="t" o:hr="t" fillcolor="#a0a0a0" stroked="f"/>
        </w:pict>
      </w:r>
    </w:p>
    <w:p w14:paraId="04F7791C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Section 5: Conclusions</w:t>
      </w:r>
    </w:p>
    <w:p w14:paraId="24EDE6DD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5.1: Main methodological conclusions</w:t>
      </w:r>
    </w:p>
    <w:p w14:paraId="55BE6EE5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methodological conclusions can be drawn from developing an integrated graph-constrained framework for groundwater residence-time and hydrogeochemical interpretation?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can conclusions summarise the value of combining topology, tracer-age information, inverse reactions, and uncertainty analysis?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concise methodological statement captures the contribution of graph-theory/sheaf-theory thinking to groundwater-process modelling?</w:t>
      </w:r>
    </w:p>
    <w:p w14:paraId="05B13364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5.2: Validation conclusions</w:t>
      </w:r>
    </w:p>
    <w:p w14:paraId="7A0D41E4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validation evidence should be highlighted from synthetic recovery, tracer-age comparison, particle-tracking topology testing, and thermodynamic geochemical checks?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should conclusions distinguish between demonstrated capability, screening-level usefulness, and remaining uncertainty?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final judgement can be made about the reliability of an integrated topology-age-reaction framework for data-limited groundwater systems?</w:t>
      </w:r>
    </w:p>
    <w:p w14:paraId="69A5BB5E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5.3: Implications for groundwater residence-time and hydrogeochemical diagnosis</w:t>
      </w:r>
    </w:p>
    <w:p w14:paraId="1611E296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are the broader implications of coupling residence-time estimates with hydrogeochemical reaction pathways?</w:t>
      </w:r>
      <w:r w:rsidRPr="00C22C1C">
        <w:br/>
      </w:r>
      <w:r w:rsidRPr="00C22C1C">
        <w:rPr>
          <w:b/>
          <w:bCs/>
        </w:rPr>
        <w:t>Q2:</w:t>
      </w:r>
      <w:r w:rsidRPr="00C22C1C">
        <w:t xml:space="preserve"> How can this approach improve diagnosis of groundwater evolution in sparse or data-limited aquifer systems?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What implications does the approach have for isotope hydrology, hydrogeochemical interpretation, water-quality assessment, and conceptual-model development?</w:t>
      </w:r>
    </w:p>
    <w:p w14:paraId="472E5B60" w14:textId="77777777" w:rsidR="00C22C1C" w:rsidRPr="00C22C1C" w:rsidRDefault="00C22C1C" w:rsidP="00C22C1C">
      <w:pPr>
        <w:jc w:val="left"/>
        <w:rPr>
          <w:b/>
          <w:bCs/>
        </w:rPr>
      </w:pPr>
      <w:r w:rsidRPr="00C22C1C">
        <w:rPr>
          <w:b/>
          <w:bCs/>
        </w:rPr>
        <w:t>Subsection 5.4: Final contribution statement</w:t>
      </w:r>
    </w:p>
    <w:p w14:paraId="58744545" w14:textId="77777777" w:rsidR="00C22C1C" w:rsidRPr="00C22C1C" w:rsidRDefault="00C22C1C" w:rsidP="00C22C1C">
      <w:pPr>
        <w:jc w:val="left"/>
      </w:pPr>
      <w:r w:rsidRPr="00C22C1C">
        <w:rPr>
          <w:b/>
          <w:bCs/>
        </w:rPr>
        <w:t>Q1:</w:t>
      </w:r>
      <w:r w:rsidRPr="00C22C1C">
        <w:t xml:space="preserve"> What single sentence best states the original methodological contribution of a graph-theory/sheaf-theory framework for groundwater-process modelling?</w:t>
      </w:r>
      <w:r w:rsidRPr="00C22C1C">
        <w:br/>
      </w:r>
      <w:r w:rsidRPr="00C22C1C">
        <w:rPr>
          <w:b/>
          <w:bCs/>
        </w:rPr>
        <w:lastRenderedPageBreak/>
        <w:t>Q2:</w:t>
      </w:r>
      <w:r w:rsidRPr="00C22C1C">
        <w:t xml:space="preserve"> How can the final contribution statement emphasise novelty while avoiding unsupported claims of universal accuracy or full predictive capability?</w:t>
      </w:r>
      <w:r w:rsidRPr="00C22C1C">
        <w:br/>
      </w:r>
      <w:r w:rsidRPr="00C22C1C">
        <w:rPr>
          <w:b/>
          <w:bCs/>
        </w:rPr>
        <w:t>Q3:</w:t>
      </w:r>
      <w:r w:rsidRPr="00C22C1C">
        <w:t xml:space="preserve"> How can the closing statement connect the framework to future research in graph-constrained hydrogeochemistry, residence-time modelling, and isotope hydrology?</w:t>
      </w:r>
    </w:p>
    <w:p w14:paraId="02F63C7B" w14:textId="77777777" w:rsidR="00C22C1C" w:rsidRDefault="00C22C1C" w:rsidP="007C04B1">
      <w:pPr>
        <w:jc w:val="left"/>
      </w:pPr>
    </w:p>
    <w:sectPr w:rsidR="00C22C1C" w:rsidSect="008E2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MRomanSlant8">
    <w:altName w:val="Cambria"/>
    <w:panose1 w:val="00000000000000000000"/>
    <w:charset w:val="EE"/>
    <w:family w:val="roman"/>
    <w:notTrueType/>
    <w:pitch w:val="variable"/>
    <w:sig w:usb0="00000005" w:usb1="00000000" w:usb2="00000000" w:usb3="00000000" w:csb0="00000002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A503E"/>
    <w:multiLevelType w:val="multilevel"/>
    <w:tmpl w:val="06461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0133E0A"/>
    <w:multiLevelType w:val="multilevel"/>
    <w:tmpl w:val="BC7434B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865099095">
    <w:abstractNumId w:val="1"/>
  </w:num>
  <w:num w:numId="2" w16cid:durableId="449209063">
    <w:abstractNumId w:val="1"/>
  </w:num>
  <w:num w:numId="3" w16cid:durableId="1777604234">
    <w:abstractNumId w:val="0"/>
  </w:num>
  <w:num w:numId="4" w16cid:durableId="641497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241"/>
    <w:rsid w:val="00070AF5"/>
    <w:rsid w:val="000D4259"/>
    <w:rsid w:val="000D62AB"/>
    <w:rsid w:val="00101C89"/>
    <w:rsid w:val="001444D8"/>
    <w:rsid w:val="001C60A2"/>
    <w:rsid w:val="001D04E3"/>
    <w:rsid w:val="001E5268"/>
    <w:rsid w:val="00223E5F"/>
    <w:rsid w:val="0022629A"/>
    <w:rsid w:val="002A7AE4"/>
    <w:rsid w:val="002E3D6B"/>
    <w:rsid w:val="00324B8F"/>
    <w:rsid w:val="0032620A"/>
    <w:rsid w:val="00345A39"/>
    <w:rsid w:val="003636D3"/>
    <w:rsid w:val="00380DF9"/>
    <w:rsid w:val="00393D4C"/>
    <w:rsid w:val="003B03F8"/>
    <w:rsid w:val="003D1C3C"/>
    <w:rsid w:val="003F2DE6"/>
    <w:rsid w:val="004108BF"/>
    <w:rsid w:val="00425241"/>
    <w:rsid w:val="00434FB3"/>
    <w:rsid w:val="004B221E"/>
    <w:rsid w:val="004C0A7D"/>
    <w:rsid w:val="0056206A"/>
    <w:rsid w:val="005A31A6"/>
    <w:rsid w:val="005B7F3A"/>
    <w:rsid w:val="00627D7B"/>
    <w:rsid w:val="006545B4"/>
    <w:rsid w:val="006930D9"/>
    <w:rsid w:val="006F72D2"/>
    <w:rsid w:val="00764E1B"/>
    <w:rsid w:val="007824B9"/>
    <w:rsid w:val="007C04B1"/>
    <w:rsid w:val="007D3EF3"/>
    <w:rsid w:val="007E766F"/>
    <w:rsid w:val="007F6A18"/>
    <w:rsid w:val="008026B4"/>
    <w:rsid w:val="0082546A"/>
    <w:rsid w:val="00875AC1"/>
    <w:rsid w:val="0088409E"/>
    <w:rsid w:val="008C0969"/>
    <w:rsid w:val="008C3A18"/>
    <w:rsid w:val="008E2CB8"/>
    <w:rsid w:val="00904EF7"/>
    <w:rsid w:val="00946D70"/>
    <w:rsid w:val="00953CFA"/>
    <w:rsid w:val="00961834"/>
    <w:rsid w:val="0098636F"/>
    <w:rsid w:val="009A16BD"/>
    <w:rsid w:val="00A30630"/>
    <w:rsid w:val="00A576E8"/>
    <w:rsid w:val="00A60060"/>
    <w:rsid w:val="00A75813"/>
    <w:rsid w:val="00AA7C19"/>
    <w:rsid w:val="00AB1852"/>
    <w:rsid w:val="00B21D22"/>
    <w:rsid w:val="00B8111E"/>
    <w:rsid w:val="00B96241"/>
    <w:rsid w:val="00BC2634"/>
    <w:rsid w:val="00BD7815"/>
    <w:rsid w:val="00C22C1C"/>
    <w:rsid w:val="00C76272"/>
    <w:rsid w:val="00D03FC5"/>
    <w:rsid w:val="00D05D58"/>
    <w:rsid w:val="00D431F4"/>
    <w:rsid w:val="00D44D26"/>
    <w:rsid w:val="00D50819"/>
    <w:rsid w:val="00D8183C"/>
    <w:rsid w:val="00D94209"/>
    <w:rsid w:val="00DF707A"/>
    <w:rsid w:val="00E92AEB"/>
    <w:rsid w:val="00ED0741"/>
    <w:rsid w:val="00F007AD"/>
    <w:rsid w:val="00F03E4C"/>
    <w:rsid w:val="00F06AB8"/>
    <w:rsid w:val="00F36414"/>
    <w:rsid w:val="00F5257D"/>
    <w:rsid w:val="00F81F1D"/>
    <w:rsid w:val="00FC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74A96"/>
  <w15:chartTrackingRefBased/>
  <w15:docId w15:val="{CD0C540D-3144-46E6-B3BD-72B3D2604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MRomanSlant8" w:eastAsiaTheme="minorHAnsi" w:hAnsi="LMRomanSlant8" w:cstheme="minorBidi"/>
        <w:i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630"/>
    <w:pPr>
      <w:spacing w:after="200"/>
      <w:jc w:val="both"/>
    </w:pPr>
    <w:rPr>
      <w:rFonts w:ascii="Times New Roman" w:hAnsi="Times New Roman"/>
      <w:i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6D70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46D70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6D70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946D70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2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2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2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2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2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B21D22"/>
    <w:rPr>
      <w:rFonts w:asciiTheme="minorHAnsi" w:hAnsiTheme="minorHAnsi"/>
      <w:i w:val="0"/>
      <w:sz w:val="24"/>
      <w:szCs w:val="24"/>
      <w:lang w:val="en-US"/>
      <w14:ligatures w14:val="none"/>
    </w:rPr>
    <w:tblPr>
      <w:tblBorders>
        <w:top w:val="single" w:sz="4" w:space="0" w:color="auto"/>
        <w:bottom w:val="single" w:sz="4" w:space="0" w:color="auto"/>
      </w:tblBorders>
    </w:tblPr>
    <w:tblStylePr w:type="firstRow">
      <w:rPr>
        <w:rFonts w:ascii="Times New Roman" w:hAnsi="Times New Roman"/>
        <w:sz w:val="22"/>
      </w:rPr>
      <w:tblPr/>
      <w:tcPr>
        <w:tcBorders>
          <w:bottom w:val="single" w:sz="4" w:space="0" w:color="auto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46D70"/>
    <w:rPr>
      <w:rFonts w:ascii="Times New Roman" w:eastAsiaTheme="majorEastAsia" w:hAnsi="Times New Roman" w:cstheme="majorBidi"/>
      <w:b/>
      <w:i w:val="0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6D70"/>
    <w:rPr>
      <w:rFonts w:ascii="Times New Roman" w:eastAsiaTheme="majorEastAsia" w:hAnsi="Times New Roman" w:cstheme="majorBidi"/>
      <w:b/>
      <w:i w:val="0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6D70"/>
    <w:rPr>
      <w:rFonts w:ascii="Times New Roman" w:eastAsiaTheme="majorEastAsia" w:hAnsi="Times New Roman" w:cstheme="majorBidi"/>
      <w:b/>
      <w:i w:val="0"/>
      <w:sz w:val="24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444D8"/>
    <w:pPr>
      <w:spacing w:after="80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D8"/>
    <w:rPr>
      <w:rFonts w:ascii="Times New Roman" w:eastAsiaTheme="majorEastAsia" w:hAnsi="Times New Roman" w:cstheme="majorBidi"/>
      <w:b/>
      <w:i w:val="0"/>
      <w:spacing w:val="-10"/>
      <w:kern w:val="28"/>
      <w:sz w:val="28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D70"/>
    <w:rPr>
      <w:rFonts w:ascii="Times New Roman" w:eastAsiaTheme="majorEastAsia" w:hAnsi="Times New Roman" w:cstheme="majorBidi"/>
      <w:b/>
      <w:i w:val="0"/>
      <w:iCs/>
      <w:sz w:val="24"/>
    </w:rPr>
  </w:style>
  <w:style w:type="table" w:customStyle="1" w:styleId="Manu">
    <w:name w:val="Manu"/>
    <w:basedOn w:val="TableNormal"/>
    <w:uiPriority w:val="99"/>
    <w:rsid w:val="00D431F4"/>
    <w:rPr>
      <w:rFonts w:ascii="Times New Roman" w:eastAsiaTheme="minorEastAsia" w:hAnsi="Times New Roman"/>
      <w:i w:val="0"/>
      <w:lang w:val="en-US"/>
      <w14:ligatures w14:val="none"/>
    </w:r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top w:val="single" w:sz="4" w:space="0" w:color="auto"/>
          <w:bottom w:val="single" w:sz="4" w:space="0" w:color="auto"/>
        </w:tcBorders>
      </w:tcPr>
    </w:tblStylePr>
  </w:style>
  <w:style w:type="paragraph" w:styleId="Caption">
    <w:name w:val="caption"/>
    <w:basedOn w:val="Normal"/>
    <w:link w:val="CaptionChar"/>
    <w:autoRedefine/>
    <w:qFormat/>
    <w:rsid w:val="00A60060"/>
    <w:pPr>
      <w:spacing w:after="0"/>
    </w:pPr>
    <w:rPr>
      <w:i/>
      <w:sz w:val="22"/>
      <w:szCs w:val="22"/>
      <w14:ligatures w14:val="standardContextual"/>
    </w:rPr>
  </w:style>
  <w:style w:type="character" w:customStyle="1" w:styleId="CaptionChar">
    <w:name w:val="Caption Char"/>
    <w:basedOn w:val="DefaultParagraphFont"/>
    <w:link w:val="Caption"/>
    <w:rsid w:val="00A60060"/>
    <w:rPr>
      <w:rFonts w:ascii="Times New Roman" w:hAnsi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241"/>
    <w:rPr>
      <w:rFonts w:asciiTheme="minorHAnsi" w:eastAsiaTheme="majorEastAsia" w:hAnsiTheme="minorHAnsi" w:cstheme="majorBidi"/>
      <w:i w:val="0"/>
      <w:color w:val="0F4761" w:themeColor="accent1" w:themeShade="BF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241"/>
    <w:rPr>
      <w:rFonts w:asciiTheme="minorHAnsi" w:eastAsiaTheme="majorEastAsia" w:hAnsiTheme="minorHAnsi" w:cstheme="majorBidi"/>
      <w:iCs/>
      <w:color w:val="595959" w:themeColor="text1" w:themeTint="A6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241"/>
    <w:rPr>
      <w:rFonts w:asciiTheme="minorHAnsi" w:eastAsiaTheme="majorEastAsia" w:hAnsiTheme="minorHAnsi" w:cstheme="majorBidi"/>
      <w:i w:val="0"/>
      <w:color w:val="595959" w:themeColor="text1" w:themeTint="A6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241"/>
    <w:rPr>
      <w:rFonts w:asciiTheme="minorHAnsi" w:eastAsiaTheme="majorEastAsia" w:hAnsiTheme="minorHAnsi" w:cstheme="majorBidi"/>
      <w:iCs/>
      <w:color w:val="272727" w:themeColor="text1" w:themeTint="D8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241"/>
    <w:rPr>
      <w:rFonts w:asciiTheme="minorHAnsi" w:eastAsiaTheme="majorEastAsia" w:hAnsiTheme="minorHAnsi" w:cstheme="majorBidi"/>
      <w:i w:val="0"/>
      <w:color w:val="272727" w:themeColor="text1" w:themeTint="D8"/>
      <w:sz w:val="24"/>
      <w:szCs w:val="2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24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241"/>
    <w:rPr>
      <w:rFonts w:asciiTheme="minorHAnsi" w:eastAsiaTheme="majorEastAsia" w:hAnsiTheme="minorHAnsi" w:cstheme="majorBidi"/>
      <w:i w:val="0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962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241"/>
    <w:rPr>
      <w:rFonts w:ascii="Times New Roman" w:hAnsi="Times New Roman"/>
      <w:iCs/>
      <w:color w:val="404040" w:themeColor="text1" w:themeTint="BF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B96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241"/>
    <w:rPr>
      <w:i w:val="0"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241"/>
    <w:rPr>
      <w:rFonts w:ascii="Times New Roman" w:hAnsi="Times New Roman"/>
      <w:iCs/>
      <w:color w:val="0F4761" w:themeColor="accent1" w:themeShade="BF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96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6595</Words>
  <Characters>37598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Dickson Abdul-Wahab</dc:creator>
  <cp:keywords/>
  <dc:description/>
  <cp:lastModifiedBy>Dickson Abdul-Wahab</cp:lastModifiedBy>
  <cp:revision>3</cp:revision>
  <dcterms:created xsi:type="dcterms:W3CDTF">2026-04-29T12:05:00Z</dcterms:created>
  <dcterms:modified xsi:type="dcterms:W3CDTF">2026-04-29T12:34:00Z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2026-04-29T12:13:09Z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f5eefcdb-1752-47f9-8fe8-71fa465f7979</vt:lpwstr>
  </property>
  <property fmtid="{D5CDD505-2E9C-101B-9397-08002B2CF9AE}" pid="7" name="MSIP_Label_defa4170-0d19-0005-0004-bc88714345d2_ActionId">
    <vt:lpwstr>6b7a6165-6b0f-4cf7-b269-bb4fe013ac40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