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B4030" w14:textId="77777777" w:rsidR="008E260B" w:rsidRPr="008E260B" w:rsidRDefault="008E260B" w:rsidP="008E260B">
      <w:pPr>
        <w:rPr>
          <w:b/>
          <w:bCs/>
        </w:rPr>
      </w:pPr>
      <w:r w:rsidRPr="008E260B">
        <w:rPr>
          <w:b/>
          <w:bCs/>
        </w:rPr>
        <w:t>M2 — Proposed Main Text Tables &amp; Figures</w:t>
      </w:r>
    </w:p>
    <w:p w14:paraId="727A431B" w14:textId="77777777" w:rsidR="008E260B" w:rsidRPr="008E260B" w:rsidRDefault="008E260B" w:rsidP="008E260B">
      <w:pPr>
        <w:rPr>
          <w:b/>
          <w:bCs/>
        </w:rPr>
      </w:pPr>
      <w:r w:rsidRPr="008E260B">
        <w:rPr>
          <w:rFonts w:ascii="Segoe UI Emoji" w:hAnsi="Segoe UI Emoji" w:cs="Segoe UI Emoji"/>
          <w:b/>
          <w:bCs/>
        </w:rPr>
        <w:t>📊</w:t>
      </w:r>
      <w:r w:rsidRPr="008E260B">
        <w:rPr>
          <w:b/>
          <w:bCs/>
        </w:rPr>
        <w:t xml:space="preserve"> TABLE 1: </w:t>
      </w:r>
      <w:proofErr w:type="spellStart"/>
      <w:r w:rsidRPr="008E260B">
        <w:rPr>
          <w:b/>
          <w:bCs/>
        </w:rPr>
        <w:t>Hydrosheaf</w:t>
      </w:r>
      <w:proofErr w:type="spellEnd"/>
      <w:r w:rsidRPr="008E260B">
        <w:rPr>
          <w:b/>
          <w:bCs/>
        </w:rPr>
        <w:t xml:space="preserve"> Module Architecture and Functional Roles</w:t>
      </w:r>
    </w:p>
    <w:p w14:paraId="576D628F" w14:textId="77777777" w:rsidR="008E260B" w:rsidRPr="008E260B" w:rsidRDefault="008E260B" w:rsidP="008E260B">
      <w:r w:rsidRPr="008E260B">
        <w:rPr>
          <w:b/>
          <w:bCs/>
        </w:rPr>
        <w:t>Caption:</w:t>
      </w:r>
      <w:r w:rsidRPr="008E260B">
        <w:t xml:space="preserve"> </w:t>
      </w:r>
      <w:r w:rsidRPr="008E260B">
        <w:rPr>
          <w:i/>
          <w:iCs/>
        </w:rPr>
        <w:t xml:space="preserve">Table 1. Computational modules of the </w:t>
      </w:r>
      <w:proofErr w:type="spellStart"/>
      <w:r w:rsidRPr="008E260B">
        <w:rPr>
          <w:i/>
          <w:iCs/>
        </w:rPr>
        <w:t>Hydrosheaf</w:t>
      </w:r>
      <w:proofErr w:type="spellEnd"/>
      <w:r w:rsidRPr="008E260B">
        <w:rPr>
          <w:i/>
          <w:iCs/>
        </w:rPr>
        <w:t xml:space="preserve"> framework, their primary function, required inputs, generated outputs, and role in the validation pipeline. Modules are listed in execution order. Optional columns indicate components invoked only when physics priors (MODPATH) or thermodynamic constraints (PHREEQC) are available.</w:t>
      </w:r>
    </w:p>
    <w:p w14:paraId="1A6AFC9D" w14:textId="77777777" w:rsidR="008E260B" w:rsidRPr="008E260B" w:rsidRDefault="008E260B" w:rsidP="008E260B">
      <w:r w:rsidRPr="008E260B">
        <w:rPr>
          <w:b/>
          <w:bCs/>
        </w:rPr>
        <w:t>What it shows:</w:t>
      </w:r>
      <w:r w:rsidRPr="008E260B">
        <w:t xml:space="preserve"> A structured summary of every software module within </w:t>
      </w:r>
      <w:proofErr w:type="spellStart"/>
      <w:r w:rsidRPr="008E260B">
        <w:t>Hydrosheaf</w:t>
      </w:r>
      <w:proofErr w:type="spellEnd"/>
      <w:r w:rsidRPr="008E260B">
        <w:t xml:space="preserve"> — data ingestion and preprocessing, graph construction and edge inference, residence-time modelling (LPM + Bayesian network), sparse inverse hydrogeochemical fitting, PHREEQC/MODPATH integration hooks, and uncertainty/output modules. Each row maps one module to its function, inputs, outputs, and the specific validation benchmark it informs (synthetic recovery, tracer-age agreement, MODPATH topology, or PHREEQC forward test). This is the essential reference for Section 2.1 and anchors the entire Methods section.</w:t>
      </w:r>
    </w:p>
    <w:p w14:paraId="1569E5C2" w14:textId="77777777" w:rsidR="008E260B" w:rsidRPr="008E260B" w:rsidRDefault="008E260B" w:rsidP="008E260B">
      <w:r w:rsidRPr="008E260B">
        <w:pict w14:anchorId="0A39E5A0">
          <v:rect id="_x0000_i1146" style="width:0;height:1.5pt" o:hralign="center" o:hrstd="t" o:hr="t" fillcolor="#a0a0a0" stroked="f"/>
        </w:pict>
      </w:r>
    </w:p>
    <w:p w14:paraId="1AA00B56" w14:textId="77777777" w:rsidR="008E260B" w:rsidRPr="008E260B" w:rsidRDefault="008E260B" w:rsidP="008E260B">
      <w:pPr>
        <w:rPr>
          <w:b/>
          <w:bCs/>
        </w:rPr>
      </w:pPr>
      <w:r w:rsidRPr="008E260B">
        <w:rPr>
          <w:rFonts w:ascii="Segoe UI Emoji" w:hAnsi="Segoe UI Emoji" w:cs="Segoe UI Emoji"/>
          <w:b/>
          <w:bCs/>
        </w:rPr>
        <w:t>📊</w:t>
      </w:r>
      <w:r w:rsidRPr="008E260B">
        <w:rPr>
          <w:b/>
          <w:bCs/>
        </w:rPr>
        <w:t xml:space="preserve"> TABLE 2: Required and Optional Input Data Fields</w:t>
      </w:r>
    </w:p>
    <w:p w14:paraId="08DF9D24" w14:textId="77777777" w:rsidR="008E260B" w:rsidRPr="008E260B" w:rsidRDefault="008E260B" w:rsidP="008E260B">
      <w:r w:rsidRPr="008E260B">
        <w:rPr>
          <w:b/>
          <w:bCs/>
        </w:rPr>
        <w:t>Caption:</w:t>
      </w:r>
      <w:r w:rsidRPr="008E260B">
        <w:t xml:space="preserve"> </w:t>
      </w:r>
      <w:r w:rsidRPr="008E260B">
        <w:rPr>
          <w:i/>
          <w:iCs/>
        </w:rPr>
        <w:t xml:space="preserve">Table 2. Minimum required and optional enhanced input data fields for </w:t>
      </w:r>
      <w:proofErr w:type="spellStart"/>
      <w:r w:rsidRPr="008E260B">
        <w:rPr>
          <w:i/>
          <w:iCs/>
        </w:rPr>
        <w:t>Hydrosheaf</w:t>
      </w:r>
      <w:proofErr w:type="spellEnd"/>
      <w:r w:rsidRPr="008E260B">
        <w:rPr>
          <w:i/>
          <w:iCs/>
        </w:rPr>
        <w:t>, organised by data category. The "minimum viable" tier supports graph construction and screening-level residence-time inference; the "enhanced" tier enables MODPATH physics priors, PHREEQC thermodynamic constraints, and network Bayesian age updating. Detection-limit and missing-value handling flags are noted for each field.</w:t>
      </w:r>
    </w:p>
    <w:p w14:paraId="059C18B7" w14:textId="77777777" w:rsidR="008E260B" w:rsidRPr="008E260B" w:rsidRDefault="008E260B" w:rsidP="008E260B">
      <w:r w:rsidRPr="008E260B">
        <w:rPr>
          <w:b/>
          <w:bCs/>
        </w:rPr>
        <w:t>What it shows:</w:t>
      </w:r>
      <w:r w:rsidRPr="008E260B">
        <w:t xml:space="preserve"> A two-tier data specification table covering: (i) site identifiers and spatial coordinates; (ii) major ion chemistry and field parameters; (iii) stable isotopes (δ²H, δ¹⁸O); (iv) nuclear tracers (³H, ³H/³He, ¹⁴C, ³⁶Cl, CFCs, SF₆, noble gases); (v) hydraulic head and well-construction metadata; (vi) MODPATH particle-tracking endpoints; and (vii) PHREEQC-specific inputs (mineralogy, </w:t>
      </w:r>
      <w:proofErr w:type="spellStart"/>
      <w:r w:rsidRPr="008E260B">
        <w:t>pCO</w:t>
      </w:r>
      <w:proofErr w:type="spellEnd"/>
      <w:r w:rsidRPr="008E260B">
        <w:t xml:space="preserve">₂, DIC). The table directly </w:t>
      </w:r>
      <w:proofErr w:type="gramStart"/>
      <w:r w:rsidRPr="008E260B">
        <w:t>answers</w:t>
      </w:r>
      <w:proofErr w:type="gramEnd"/>
      <w:r w:rsidRPr="008E260B">
        <w:t xml:space="preserve"> "what do I need to run </w:t>
      </w:r>
      <w:proofErr w:type="spellStart"/>
      <w:r w:rsidRPr="008E260B">
        <w:t>Hydrosheaf</w:t>
      </w:r>
      <w:proofErr w:type="spellEnd"/>
      <w:r w:rsidRPr="008E260B">
        <w:t>?" and is essential for practitioners in data-limited settings. Supports Sections 2.2 and 4.4.</w:t>
      </w:r>
    </w:p>
    <w:p w14:paraId="506CE584" w14:textId="77777777" w:rsidR="008E260B" w:rsidRPr="008E260B" w:rsidRDefault="008E260B" w:rsidP="008E260B">
      <w:r w:rsidRPr="008E260B">
        <w:pict w14:anchorId="6A2AEC4F">
          <v:rect id="_x0000_i1147" style="width:0;height:1.5pt" o:hralign="center" o:hrstd="t" o:hr="t" fillcolor="#a0a0a0" stroked="f"/>
        </w:pict>
      </w:r>
    </w:p>
    <w:p w14:paraId="7CADEC44" w14:textId="77777777" w:rsidR="008E260B" w:rsidRPr="008E260B" w:rsidRDefault="008E260B" w:rsidP="008E260B">
      <w:pPr>
        <w:rPr>
          <w:b/>
          <w:bCs/>
        </w:rPr>
      </w:pPr>
      <w:r w:rsidRPr="008E260B">
        <w:rPr>
          <w:rFonts w:ascii="Segoe UI Emoji" w:hAnsi="Segoe UI Emoji" w:cs="Segoe UI Emoji"/>
          <w:b/>
          <w:bCs/>
        </w:rPr>
        <w:t>📊</w:t>
      </w:r>
      <w:r w:rsidRPr="008E260B">
        <w:rPr>
          <w:b/>
          <w:bCs/>
        </w:rPr>
        <w:t xml:space="preserve"> TABLE 3: Residence-Time Modelling Options in </w:t>
      </w:r>
      <w:proofErr w:type="spellStart"/>
      <w:r w:rsidRPr="008E260B">
        <w:rPr>
          <w:b/>
          <w:bCs/>
        </w:rPr>
        <w:t>Hydrosheaf</w:t>
      </w:r>
      <w:proofErr w:type="spellEnd"/>
    </w:p>
    <w:p w14:paraId="374DDB73" w14:textId="77777777" w:rsidR="008E260B" w:rsidRPr="008E260B" w:rsidRDefault="008E260B" w:rsidP="008E260B">
      <w:r w:rsidRPr="008E260B">
        <w:rPr>
          <w:b/>
          <w:bCs/>
        </w:rPr>
        <w:t>Caption:</w:t>
      </w:r>
      <w:r w:rsidRPr="008E260B">
        <w:t xml:space="preserve"> </w:t>
      </w:r>
      <w:r w:rsidRPr="008E260B">
        <w:rPr>
          <w:i/>
          <w:iCs/>
        </w:rPr>
        <w:t xml:space="preserve">Table 3. Nuclear and environmental tracer-based residence-time methods implemented in </w:t>
      </w:r>
      <w:proofErr w:type="spellStart"/>
      <w:r w:rsidRPr="008E260B">
        <w:rPr>
          <w:i/>
          <w:iCs/>
        </w:rPr>
        <w:t>Hydrosheaf</w:t>
      </w:r>
      <w:proofErr w:type="spellEnd"/>
      <w:r w:rsidRPr="008E260B">
        <w:rPr>
          <w:i/>
          <w:iCs/>
        </w:rPr>
        <w:t>. Each row specifies the tracer, lumped parameter model (LPM) type, key assumptions, applicable age range, form of uncertainty output, and primary limitation in data-limited settings. Methods are ordered by increasing age range from years to millions of years.</w:t>
      </w:r>
    </w:p>
    <w:p w14:paraId="40E8903C" w14:textId="77777777" w:rsidR="008E260B" w:rsidRPr="008E260B" w:rsidRDefault="008E260B" w:rsidP="008E260B">
      <w:r w:rsidRPr="008E260B">
        <w:rPr>
          <w:b/>
          <w:bCs/>
        </w:rPr>
        <w:t>What it shows:</w:t>
      </w:r>
      <w:r w:rsidRPr="008E260B">
        <w:t xml:space="preserve"> A comparative reference for ³H (piston and exponential mixing), ³H/³He (closed-system ingrowth), ¹⁴C (dispersion model with δ¹³C correction), ³⁶Cl/⁸¹Kr (deep confined aquifer), CFC/SF₆ (young water), and noble-gas recharge temperature corrections. For each, the table specifies which LPM variant </w:t>
      </w:r>
      <w:proofErr w:type="spellStart"/>
      <w:r w:rsidRPr="008E260B">
        <w:t>Hydrosheaf</w:t>
      </w:r>
      <w:proofErr w:type="spellEnd"/>
      <w:r w:rsidRPr="008E260B">
        <w:t xml:space="preserve"> uses, how uncertainty is propagated (Bayesian posterior, bootstrap, or Monte Carlo), and known failure modes specific to semi-arid and data-scarce contexts. This is the core reference for Section 2.4 and directly informs the residence-time validation results in Section 3.3.</w:t>
      </w:r>
    </w:p>
    <w:p w14:paraId="34F2363F" w14:textId="77777777" w:rsidR="008E260B" w:rsidRPr="008E260B" w:rsidRDefault="008E260B" w:rsidP="008E260B">
      <w:r w:rsidRPr="008E260B">
        <w:lastRenderedPageBreak/>
        <w:pict w14:anchorId="0BB893F4">
          <v:rect id="_x0000_i1148" style="width:0;height:1.5pt" o:hralign="center" o:hrstd="t" o:hr="t" fillcolor="#a0a0a0" stroked="f"/>
        </w:pict>
      </w:r>
    </w:p>
    <w:p w14:paraId="4B17F0AB" w14:textId="77777777" w:rsidR="008E260B" w:rsidRPr="008E260B" w:rsidRDefault="008E260B" w:rsidP="008E260B">
      <w:pPr>
        <w:rPr>
          <w:b/>
          <w:bCs/>
        </w:rPr>
      </w:pPr>
      <w:r w:rsidRPr="008E260B">
        <w:rPr>
          <w:rFonts w:ascii="Segoe UI Emoji" w:hAnsi="Segoe UI Emoji" w:cs="Segoe UI Emoji"/>
          <w:b/>
          <w:bCs/>
        </w:rPr>
        <w:t>📊</w:t>
      </w:r>
      <w:r w:rsidRPr="008E260B">
        <w:rPr>
          <w:b/>
          <w:bCs/>
        </w:rPr>
        <w:t xml:space="preserve"> TABLE 4: Validation Design and Benchmark Datasets</w:t>
      </w:r>
    </w:p>
    <w:p w14:paraId="7078AB88" w14:textId="77777777" w:rsidR="008E260B" w:rsidRPr="008E260B" w:rsidRDefault="008E260B" w:rsidP="008E260B">
      <w:r w:rsidRPr="008E260B">
        <w:rPr>
          <w:b/>
          <w:bCs/>
        </w:rPr>
        <w:t>Caption:</w:t>
      </w:r>
      <w:r w:rsidRPr="008E260B">
        <w:t xml:space="preserve"> </w:t>
      </w:r>
      <w:r w:rsidRPr="008E260B">
        <w:rPr>
          <w:i/>
          <w:iCs/>
        </w:rPr>
        <w:t xml:space="preserve">Table 4. Validation benchmarks used to evaluate </w:t>
      </w:r>
      <w:proofErr w:type="spellStart"/>
      <w:r w:rsidRPr="008E260B">
        <w:rPr>
          <w:i/>
          <w:iCs/>
        </w:rPr>
        <w:t>Hydrosheaf</w:t>
      </w:r>
      <w:proofErr w:type="spellEnd"/>
      <w:r w:rsidRPr="008E260B">
        <w:rPr>
          <w:i/>
          <w:iCs/>
        </w:rPr>
        <w:t>, covering synthetic recovery, public tracer-age datasets, MODFLOW/MODPATH topology comparison, and PHREEQC forward kinetic validation. For each benchmark, the table reports the data source, target variable, performance metric, expected evidence of framework skill, and key references.</w:t>
      </w:r>
    </w:p>
    <w:p w14:paraId="60597152" w14:textId="77777777" w:rsidR="008E260B" w:rsidRPr="008E260B" w:rsidRDefault="008E260B" w:rsidP="008E260B">
      <w:r w:rsidRPr="008E260B">
        <w:rPr>
          <w:b/>
          <w:bCs/>
        </w:rPr>
        <w:t>What it shows:</w:t>
      </w:r>
      <w:r w:rsidRPr="008E260B">
        <w:t xml:space="preserve"> Five distinct validation tiers: (1) synthetic aquifer benchmark with known transport and reaction extents; (2) USGS NWIS/</w:t>
      </w:r>
      <w:proofErr w:type="spellStart"/>
      <w:r w:rsidRPr="008E260B">
        <w:t>TracerLPM</w:t>
      </w:r>
      <w:proofErr w:type="spellEnd"/>
      <w:r w:rsidRPr="008E260B">
        <w:t xml:space="preserve">-style public tracer-age data for residence-time agreement; (3) USGS </w:t>
      </w:r>
      <w:proofErr w:type="spellStart"/>
      <w:r w:rsidRPr="008E260B">
        <w:t>ScienceBase</w:t>
      </w:r>
      <w:proofErr w:type="spellEnd"/>
      <w:r w:rsidRPr="008E260B">
        <w:t xml:space="preserve"> MODFLOW/MODPATH archives for graph-topology comparison; (4) PHREEQC example database for forward-kinetic validation of reaction solutions; and (5) a data-limited pilot dataset for end-to-end workflow demonstration. Each row states the quantitative target (e.g., RMSE &lt; threshold, edge-match rate, SI feasibility). This is the primary reference for Section 2.6 and gives results in Section 3 a rigorous evaluative scaffold.</w:t>
      </w:r>
    </w:p>
    <w:p w14:paraId="625D4CCD" w14:textId="77777777" w:rsidR="008E260B" w:rsidRPr="008E260B" w:rsidRDefault="008E260B" w:rsidP="008E260B">
      <w:r w:rsidRPr="008E260B">
        <w:pict w14:anchorId="4310B7C8">
          <v:rect id="_x0000_i1149" style="width:0;height:1.5pt" o:hralign="center" o:hrstd="t" o:hr="t" fillcolor="#a0a0a0" stroked="f"/>
        </w:pict>
      </w:r>
    </w:p>
    <w:p w14:paraId="30583189" w14:textId="77777777" w:rsidR="008E260B" w:rsidRPr="008E260B" w:rsidRDefault="008E260B" w:rsidP="008E260B">
      <w:pPr>
        <w:rPr>
          <w:b/>
          <w:bCs/>
        </w:rPr>
      </w:pPr>
      <w:r w:rsidRPr="008E260B">
        <w:rPr>
          <w:rFonts w:ascii="Segoe UI Emoji" w:hAnsi="Segoe UI Emoji" w:cs="Segoe UI Emoji"/>
          <w:b/>
          <w:bCs/>
        </w:rPr>
        <w:t>📊</w:t>
      </w:r>
      <w:r w:rsidRPr="008E260B">
        <w:rPr>
          <w:b/>
          <w:bCs/>
        </w:rPr>
        <w:t xml:space="preserve"> TABLE 5: Comparison of </w:t>
      </w:r>
      <w:proofErr w:type="spellStart"/>
      <w:r w:rsidRPr="008E260B">
        <w:rPr>
          <w:b/>
          <w:bCs/>
        </w:rPr>
        <w:t>Hydrosheaf</w:t>
      </w:r>
      <w:proofErr w:type="spellEnd"/>
      <w:r w:rsidRPr="008E260B">
        <w:rPr>
          <w:b/>
          <w:bCs/>
        </w:rPr>
        <w:t xml:space="preserve"> with Existing Approaches</w:t>
      </w:r>
    </w:p>
    <w:p w14:paraId="42711F2C" w14:textId="77777777" w:rsidR="008E260B" w:rsidRPr="008E260B" w:rsidRDefault="008E260B" w:rsidP="008E260B">
      <w:r w:rsidRPr="008E260B">
        <w:rPr>
          <w:b/>
          <w:bCs/>
        </w:rPr>
        <w:t>Caption:</w:t>
      </w:r>
      <w:r w:rsidRPr="008E260B">
        <w:t xml:space="preserve"> </w:t>
      </w:r>
      <w:r w:rsidRPr="008E260B">
        <w:rPr>
          <w:i/>
          <w:iCs/>
        </w:rPr>
        <w:t xml:space="preserve">Table 5. Comparison of </w:t>
      </w:r>
      <w:proofErr w:type="spellStart"/>
      <w:r w:rsidRPr="008E260B">
        <w:rPr>
          <w:i/>
          <w:iCs/>
        </w:rPr>
        <w:t>Hydrosheaf</w:t>
      </w:r>
      <w:proofErr w:type="spellEnd"/>
      <w:r w:rsidRPr="008E260B">
        <w:rPr>
          <w:i/>
          <w:iCs/>
        </w:rPr>
        <w:t xml:space="preserve"> with established and emerging methods for groundwater residence-time and hydrogeochemical analysis. Methods evaluated include PHREEQC/NETPATH inverse modelling, MODFLOW/MODPATH particle tracking, </w:t>
      </w:r>
      <w:proofErr w:type="spellStart"/>
      <w:r w:rsidRPr="008E260B">
        <w:rPr>
          <w:i/>
          <w:iCs/>
        </w:rPr>
        <w:t>TracerLPM</w:t>
      </w:r>
      <w:proofErr w:type="spellEnd"/>
      <w:r w:rsidRPr="008E260B">
        <w:rPr>
          <w:i/>
          <w:iCs/>
        </w:rPr>
        <w:t xml:space="preserve">/LUMPY, VISHMOD, </w:t>
      </w:r>
      <w:proofErr w:type="spellStart"/>
      <w:r w:rsidRPr="008E260B">
        <w:rPr>
          <w:i/>
          <w:iCs/>
        </w:rPr>
        <w:t>GraphFlow</w:t>
      </w:r>
      <w:proofErr w:type="spellEnd"/>
      <w:r w:rsidRPr="008E260B">
        <w:rPr>
          <w:i/>
          <w:iCs/>
        </w:rPr>
        <w:t xml:space="preserve">, and physics-informed and graph neural network surrogates. Criteria </w:t>
      </w:r>
      <w:proofErr w:type="gramStart"/>
      <w:r w:rsidRPr="008E260B">
        <w:rPr>
          <w:i/>
          <w:iCs/>
        </w:rPr>
        <w:t>are:</w:t>
      </w:r>
      <w:proofErr w:type="gramEnd"/>
      <w:r w:rsidRPr="008E260B">
        <w:rPr>
          <w:i/>
          <w:iCs/>
        </w:rPr>
        <w:t xml:space="preserve"> flow-path formalisation, residence-time support, thermodynamic rigour, uncertainty propagation, minimum data requirement, and suitability for data-limited settings.</w:t>
      </w:r>
    </w:p>
    <w:p w14:paraId="08C5C2FD" w14:textId="77777777" w:rsidR="008E260B" w:rsidRPr="008E260B" w:rsidRDefault="008E260B" w:rsidP="008E260B">
      <w:r w:rsidRPr="008E260B">
        <w:rPr>
          <w:b/>
          <w:bCs/>
        </w:rPr>
        <w:t>What it shows:</w:t>
      </w:r>
      <w:r w:rsidRPr="008E260B">
        <w:t xml:space="preserve"> A head-to-head positioning matrix that establishes the novelty and practical niche of </w:t>
      </w:r>
      <w:proofErr w:type="spellStart"/>
      <w:r w:rsidRPr="008E260B">
        <w:t>Hydrosheaf</w:t>
      </w:r>
      <w:proofErr w:type="spellEnd"/>
      <w:r w:rsidRPr="008E260B">
        <w:t>. It demonstrates that no existing standalone tool simultaneously provides directed graph topology, multi-tracer Bayesian age inference, L1-regularised sparse inverse fitting, and PHREEQC thermodynamic constraint in a single reproducible framework. This table is the central evidence for Section 4.2 and should be read alongside Figure 1.</w:t>
      </w:r>
    </w:p>
    <w:p w14:paraId="25D61BE2" w14:textId="77777777" w:rsidR="008E260B" w:rsidRPr="008E260B" w:rsidRDefault="008E260B" w:rsidP="008E260B">
      <w:r w:rsidRPr="008E260B">
        <w:pict w14:anchorId="736739B6">
          <v:rect id="_x0000_i1150" style="width:0;height:1.5pt" o:hralign="center" o:hrstd="t" o:hr="t" fillcolor="#a0a0a0" stroked="f"/>
        </w:pict>
      </w:r>
    </w:p>
    <w:p w14:paraId="21F87AE1" w14:textId="77777777" w:rsidR="008E260B" w:rsidRPr="008E260B" w:rsidRDefault="008E260B" w:rsidP="008E260B">
      <w:r w:rsidRPr="008E260B">
        <w:pict w14:anchorId="5A1DF4F3">
          <v:rect id="_x0000_i1151" style="width:0;height:1.5pt" o:hralign="center" o:hrstd="t" o:hr="t" fillcolor="#a0a0a0" stroked="f"/>
        </w:pict>
      </w:r>
    </w:p>
    <w:p w14:paraId="548ED20B" w14:textId="77777777" w:rsidR="008E260B" w:rsidRPr="008E260B" w:rsidRDefault="008E260B" w:rsidP="008E260B">
      <w:pPr>
        <w:rPr>
          <w:b/>
          <w:bCs/>
        </w:rPr>
      </w:pPr>
      <w:r w:rsidRPr="008E260B">
        <w:rPr>
          <w:rFonts w:ascii="Segoe UI Emoji" w:hAnsi="Segoe UI Emoji" w:cs="Segoe UI Emoji"/>
          <w:b/>
          <w:bCs/>
        </w:rPr>
        <w:t>📈</w:t>
      </w:r>
      <w:r w:rsidRPr="008E260B">
        <w:rPr>
          <w:b/>
          <w:bCs/>
        </w:rPr>
        <w:t xml:space="preserve"> FIGURE 1: </w:t>
      </w:r>
      <w:proofErr w:type="spellStart"/>
      <w:r w:rsidRPr="008E260B">
        <w:rPr>
          <w:b/>
          <w:bCs/>
        </w:rPr>
        <w:t>Hydrosheaf</w:t>
      </w:r>
      <w:proofErr w:type="spellEnd"/>
      <w:r w:rsidRPr="008E260B">
        <w:rPr>
          <w:b/>
          <w:bCs/>
        </w:rPr>
        <w:t xml:space="preserve"> Conceptual Architecture (Workflow Diagram)</w:t>
      </w:r>
    </w:p>
    <w:p w14:paraId="061CD4B4" w14:textId="77777777" w:rsidR="008E260B" w:rsidRPr="008E260B" w:rsidRDefault="008E260B" w:rsidP="008E260B">
      <w:r w:rsidRPr="008E260B">
        <w:rPr>
          <w:b/>
          <w:bCs/>
        </w:rPr>
        <w:t>Caption:</w:t>
      </w:r>
      <w:r w:rsidRPr="008E260B">
        <w:t xml:space="preserve"> </w:t>
      </w:r>
      <w:r w:rsidRPr="008E260B">
        <w:rPr>
          <w:i/>
          <w:iCs/>
        </w:rPr>
        <w:t xml:space="preserve">Figure 1. Conceptual architecture of the </w:t>
      </w:r>
      <w:proofErr w:type="spellStart"/>
      <w:r w:rsidRPr="008E260B">
        <w:rPr>
          <w:i/>
          <w:iCs/>
        </w:rPr>
        <w:t>Hydrosheaf</w:t>
      </w:r>
      <w:proofErr w:type="spellEnd"/>
      <w:r w:rsidRPr="008E260B">
        <w:rPr>
          <w:i/>
          <w:iCs/>
        </w:rPr>
        <w:t xml:space="preserve"> framework. Boxes represent processing modules; arrows indicate data flow. The framework ingests sample chemistry, stable isotope, nuclear tracer, and spatial metadata (left); constructs a directed, confidence-weighted groundwater flow graph (centre-top); executes lumped-parameter and network Bayesian residence-time inference (centre); performs sparse L1-regularised inverse hydrogeochemical fitting with PHREEQC saturation-index constraints (centre-bottom); and produces validated outputs including process-labelled edge maps, age distributions, reaction extents, and uncertainty bounds (right). Dashed boxes indicate optional modules activated when MODPATH physics priors or PHREEQC thermodynamic inputs are available.</w:t>
      </w:r>
    </w:p>
    <w:p w14:paraId="1B18B5AA" w14:textId="77777777" w:rsidR="008E260B" w:rsidRPr="008E260B" w:rsidRDefault="008E260B" w:rsidP="008E260B">
      <w:r w:rsidRPr="008E260B">
        <w:rPr>
          <w:b/>
          <w:bCs/>
        </w:rPr>
        <w:lastRenderedPageBreak/>
        <w:t>What it shows:</w:t>
      </w:r>
      <w:r w:rsidRPr="008E260B">
        <w:t xml:space="preserve"> The top-level architecture diagram that orients the reader to the entire Methods section. Modules for data preprocessing (Section 2.2), graph construction (Section 2.3), residence-time modelling (Section 2.4), inverse fitting (Section 2.5), and validation (Section 2.6) are laid out as a unified pipeline with clear data-flow arrows. It visually communicates the key claim: that residence-time classes constrain graph edges, graph topology guides flow-path selection for inverse modelling, and reaction models are filtered by age and thermodynamic feasibility — the three-way coupling that distinguishes </w:t>
      </w:r>
      <w:proofErr w:type="spellStart"/>
      <w:r w:rsidRPr="008E260B">
        <w:t>Hydrosheaf</w:t>
      </w:r>
      <w:proofErr w:type="spellEnd"/>
      <w:r w:rsidRPr="008E260B">
        <w:t xml:space="preserve"> from its predecessors.</w:t>
      </w:r>
    </w:p>
    <w:p w14:paraId="1DFDFE0C" w14:textId="77777777" w:rsidR="008E260B" w:rsidRPr="008E260B" w:rsidRDefault="008E260B" w:rsidP="008E260B">
      <w:r w:rsidRPr="008E260B">
        <w:pict w14:anchorId="4A4AF59A">
          <v:rect id="_x0000_i1152" style="width:0;height:1.5pt" o:hralign="center" o:hrstd="t" o:hr="t" fillcolor="#a0a0a0" stroked="f"/>
        </w:pict>
      </w:r>
    </w:p>
    <w:p w14:paraId="3407CA2F" w14:textId="77777777" w:rsidR="008E260B" w:rsidRPr="008E260B" w:rsidRDefault="008E260B" w:rsidP="008E260B">
      <w:pPr>
        <w:rPr>
          <w:b/>
          <w:bCs/>
        </w:rPr>
      </w:pPr>
      <w:r w:rsidRPr="008E260B">
        <w:rPr>
          <w:rFonts w:ascii="Segoe UI Emoji" w:hAnsi="Segoe UI Emoji" w:cs="Segoe UI Emoji"/>
          <w:b/>
          <w:bCs/>
        </w:rPr>
        <w:t>📈</w:t>
      </w:r>
      <w:r w:rsidRPr="008E260B">
        <w:rPr>
          <w:b/>
          <w:bCs/>
        </w:rPr>
        <w:t xml:space="preserve"> FIGURE 2: Graph-Constrained Groundwater Process Network (Schematic Directed Graph)</w:t>
      </w:r>
    </w:p>
    <w:p w14:paraId="29E42CEA" w14:textId="77777777" w:rsidR="008E260B" w:rsidRPr="008E260B" w:rsidRDefault="008E260B" w:rsidP="008E260B">
      <w:r w:rsidRPr="008E260B">
        <w:rPr>
          <w:b/>
          <w:bCs/>
        </w:rPr>
        <w:t>Caption:</w:t>
      </w:r>
      <w:r w:rsidRPr="008E260B">
        <w:t xml:space="preserve"> </w:t>
      </w:r>
      <w:r w:rsidRPr="008E260B">
        <w:rPr>
          <w:i/>
          <w:iCs/>
        </w:rPr>
        <w:t xml:space="preserve">Figure 2. Schematic illustration of a </w:t>
      </w:r>
      <w:proofErr w:type="spellStart"/>
      <w:r w:rsidRPr="008E260B">
        <w:rPr>
          <w:i/>
          <w:iCs/>
        </w:rPr>
        <w:t>Hydrosheaf</w:t>
      </w:r>
      <w:proofErr w:type="spellEnd"/>
      <w:r w:rsidRPr="008E260B">
        <w:rPr>
          <w:i/>
          <w:iCs/>
        </w:rPr>
        <w:t xml:space="preserve"> graph-constrained groundwater process network for a hypothetical multi-node aquifer. Circular nodes represent sampling locations colour-coded by inferred age class (young: blue; intermediate: green; old: orange; fossil: red). Directed edges represent hydrogeochemical flow paths; line weight encodes edge confidence score derived from hydraulic head, spatial proximity, and tracer consistency. Edge labels show dominant reaction terms (e.g., calcite dissolution, cation exchange, evaporative enrichment) identified by sparse inverse fitting. Dashed edges indicate low-confidence or physics-prior-only connections pending chemical confirmation. The star node marks a regional discharge point. Physics priors derived from MODPATH particle tracking are shown as thin grey background arrows.</w:t>
      </w:r>
    </w:p>
    <w:p w14:paraId="319BDD8F" w14:textId="77777777" w:rsidR="008E260B" w:rsidRPr="008E260B" w:rsidRDefault="008E260B" w:rsidP="008E260B">
      <w:r w:rsidRPr="008E260B">
        <w:rPr>
          <w:b/>
          <w:bCs/>
        </w:rPr>
        <w:t>What it shows:</w:t>
      </w:r>
      <w:r w:rsidRPr="008E260B">
        <w:t xml:space="preserve"> A schematic example of the core scientific product of </w:t>
      </w:r>
      <w:proofErr w:type="spellStart"/>
      <w:r w:rsidRPr="008E260B">
        <w:t>Hydrosheaf</w:t>
      </w:r>
      <w:proofErr w:type="spellEnd"/>
      <w:r w:rsidRPr="008E260B">
        <w:t>: a spatially coherent, age-stratified, process-labelled flow network. It introduces nodes, primary up-gradient edges, lateral edges, physics-prior edges, age-constraint colouring, reaction extents, and confidence weighting in a single panel. This figure is essential for Section 2.3 and anchors the results discussion in Section 3.1–3.2. It also directly illustrates the departure from point-based PHREEQC/NETPATH interpretation toward network-scale process diagnosis.</w:t>
      </w:r>
    </w:p>
    <w:p w14:paraId="438F748A" w14:textId="77777777" w:rsidR="008E260B" w:rsidRPr="008E260B" w:rsidRDefault="008E260B" w:rsidP="008E260B">
      <w:r w:rsidRPr="008E260B">
        <w:pict w14:anchorId="38BD014B">
          <v:rect id="_x0000_i1153" style="width:0;height:1.5pt" o:hralign="center" o:hrstd="t" o:hr="t" fillcolor="#a0a0a0" stroked="f"/>
        </w:pict>
      </w:r>
    </w:p>
    <w:p w14:paraId="7176B7CF" w14:textId="77777777" w:rsidR="008E260B" w:rsidRPr="008E260B" w:rsidRDefault="008E260B" w:rsidP="008E260B">
      <w:pPr>
        <w:rPr>
          <w:b/>
          <w:bCs/>
        </w:rPr>
      </w:pPr>
      <w:r w:rsidRPr="008E260B">
        <w:rPr>
          <w:rFonts w:ascii="Segoe UI Emoji" w:hAnsi="Segoe UI Emoji" w:cs="Segoe UI Emoji"/>
          <w:b/>
          <w:bCs/>
        </w:rPr>
        <w:t>📈</w:t>
      </w:r>
      <w:r w:rsidRPr="008E260B">
        <w:rPr>
          <w:b/>
          <w:bCs/>
        </w:rPr>
        <w:t xml:space="preserve"> FIGURE 3: Synthetic Benchmark Recovery Results (Multi-Panel Validation Figure)</w:t>
      </w:r>
    </w:p>
    <w:p w14:paraId="72766CB1" w14:textId="77777777" w:rsidR="008E260B" w:rsidRPr="008E260B" w:rsidRDefault="008E260B" w:rsidP="008E260B">
      <w:r w:rsidRPr="008E260B">
        <w:rPr>
          <w:b/>
          <w:bCs/>
        </w:rPr>
        <w:t>Caption:</w:t>
      </w:r>
      <w:r w:rsidRPr="008E260B">
        <w:t xml:space="preserve"> </w:t>
      </w:r>
      <w:r w:rsidRPr="008E260B">
        <w:rPr>
          <w:i/>
          <w:iCs/>
        </w:rPr>
        <w:t xml:space="preserve">Figure 3. Synthetic benchmark validation of </w:t>
      </w:r>
      <w:proofErr w:type="spellStart"/>
      <w:r w:rsidRPr="008E260B">
        <w:rPr>
          <w:i/>
          <w:iCs/>
        </w:rPr>
        <w:t>Hydrosheaf</w:t>
      </w:r>
      <w:proofErr w:type="spellEnd"/>
      <w:r w:rsidRPr="008E260B">
        <w:rPr>
          <w:i/>
          <w:iCs/>
        </w:rPr>
        <w:t>. (A) Recovery of known transport parameters (dispersion coefficient, mixing fraction, evaporation ratio) across 100 synthetic realisations; box-and-whisker plots show median, interquartile range, and 5th–95th percentiles; dashed lines indicate true values. (B) Recovery of known reaction extents (calcite dissolution, cation exchange, dolomite dissolution, halite dissolution) as normalised mass-transfer coefficients; colour indicates ion-weighting scenario. (C) Sensitivity of transport recovery to missing major-ion data, expressed as relative bias (%) versus fraction of missing values. (D) Robustness of reaction recovery to graph edge-density, expressed as Spearman rank correlation between true and estimated reaction extents versus number of graph edges per node.</w:t>
      </w:r>
    </w:p>
    <w:p w14:paraId="4434C31A" w14:textId="77777777" w:rsidR="008E260B" w:rsidRPr="008E260B" w:rsidRDefault="008E260B" w:rsidP="008E260B">
      <w:r w:rsidRPr="008E260B">
        <w:rPr>
          <w:b/>
          <w:bCs/>
        </w:rPr>
        <w:t>What it shows:</w:t>
      </w:r>
      <w:r w:rsidRPr="008E260B">
        <w:t xml:space="preserve"> The central quantitative validation figure establishing that </w:t>
      </w:r>
      <w:proofErr w:type="spellStart"/>
      <w:r w:rsidRPr="008E260B">
        <w:t>Hydrosheaf</w:t>
      </w:r>
      <w:proofErr w:type="spellEnd"/>
      <w:r w:rsidRPr="008E260B">
        <w:t xml:space="preserve"> can recover known transport processes and reaction extents from synthetic data under realistic uncertainty and data-gap conditions. Panel A demonstrates transport-fitting fidelity; Panel B demonstrates reaction-fitting fidelity; Panel C quantifies degradation under missing ion data; Panel D shows resilience to topology uncertainty. Together, these four panels address Sections 3.2.1–3.2.4 and provide the empirical foundation for the claims in Discussion Section 4.3.1.</w:t>
      </w:r>
    </w:p>
    <w:p w14:paraId="372D9F94" w14:textId="77777777" w:rsidR="008E260B" w:rsidRPr="008E260B" w:rsidRDefault="008E260B" w:rsidP="008E260B">
      <w:r w:rsidRPr="008E260B">
        <w:lastRenderedPageBreak/>
        <w:pict w14:anchorId="45E766BF">
          <v:rect id="_x0000_i1154" style="width:0;height:1.5pt" o:hralign="center" o:hrstd="t" o:hr="t" fillcolor="#a0a0a0" stroked="f"/>
        </w:pict>
      </w:r>
    </w:p>
    <w:p w14:paraId="6C4FB027" w14:textId="77777777" w:rsidR="008E260B" w:rsidRPr="008E260B" w:rsidRDefault="008E260B" w:rsidP="008E260B">
      <w:pPr>
        <w:rPr>
          <w:b/>
          <w:bCs/>
        </w:rPr>
      </w:pPr>
      <w:r w:rsidRPr="008E260B">
        <w:rPr>
          <w:rFonts w:ascii="Segoe UI Emoji" w:hAnsi="Segoe UI Emoji" w:cs="Segoe UI Emoji"/>
          <w:b/>
          <w:bCs/>
        </w:rPr>
        <w:t>📈</w:t>
      </w:r>
      <w:r w:rsidRPr="008E260B">
        <w:rPr>
          <w:b/>
          <w:bCs/>
        </w:rPr>
        <w:t xml:space="preserve"> FIGURE 4: Residence-Time Inference and Network Bayesian Age Updating</w:t>
      </w:r>
    </w:p>
    <w:p w14:paraId="4825BBA2" w14:textId="77777777" w:rsidR="008E260B" w:rsidRPr="008E260B" w:rsidRDefault="008E260B" w:rsidP="008E260B">
      <w:r w:rsidRPr="008E260B">
        <w:rPr>
          <w:b/>
          <w:bCs/>
        </w:rPr>
        <w:t>Caption:</w:t>
      </w:r>
      <w:r w:rsidRPr="008E260B">
        <w:t xml:space="preserve"> </w:t>
      </w:r>
      <w:r w:rsidRPr="008E260B">
        <w:rPr>
          <w:i/>
          <w:iCs/>
        </w:rPr>
        <w:t xml:space="preserve">Figure 4. Residence-time inference performance in </w:t>
      </w:r>
      <w:proofErr w:type="spellStart"/>
      <w:r w:rsidRPr="008E260B">
        <w:rPr>
          <w:i/>
          <w:iCs/>
        </w:rPr>
        <w:t>Hydrosheaf</w:t>
      </w:r>
      <w:proofErr w:type="spellEnd"/>
      <w:r w:rsidRPr="008E260B">
        <w:rPr>
          <w:i/>
          <w:iCs/>
        </w:rPr>
        <w:t xml:space="preserve">. (A) Agreement between </w:t>
      </w:r>
      <w:proofErr w:type="spellStart"/>
      <w:r w:rsidRPr="008E260B">
        <w:rPr>
          <w:i/>
          <w:iCs/>
        </w:rPr>
        <w:t>Hydrosheaf</w:t>
      </w:r>
      <w:proofErr w:type="spellEnd"/>
      <w:r w:rsidRPr="008E260B">
        <w:rPr>
          <w:i/>
          <w:iCs/>
        </w:rPr>
        <w:t xml:space="preserve"> single-node LPM age estimates and published </w:t>
      </w:r>
      <w:proofErr w:type="spellStart"/>
      <w:r w:rsidRPr="008E260B">
        <w:rPr>
          <w:i/>
          <w:iCs/>
        </w:rPr>
        <w:t>TracerLPM</w:t>
      </w:r>
      <w:proofErr w:type="spellEnd"/>
      <w:r w:rsidRPr="008E260B">
        <w:rPr>
          <w:i/>
          <w:iCs/>
        </w:rPr>
        <w:t>/LUMPY-style ages for USGS public tracer datasets; symbol shape denotes tracer (³H/³He, ¹⁴C, CFC-12, SF₆); colour denotes aquifer type; dashed line is 1:1; shading is ±1 log-year uncertainty band. (B) Posterior age distributions for three nodes under single-tracer, dual-tracer, and network-constrained Bayesian inference, illustrating uncertainty reduction from graph-based age propagation. (C) Network-level age-consistency diagnostic showing upstream–downstream age ordering (Kendall τ) for increasing edge confidence thresholds; horizontal dashed line indicates τ = 1.0 (perfect downstream ageing).</w:t>
      </w:r>
    </w:p>
    <w:p w14:paraId="6A9C0C3E" w14:textId="77777777" w:rsidR="008E260B" w:rsidRPr="008E260B" w:rsidRDefault="008E260B" w:rsidP="008E260B">
      <w:r w:rsidRPr="008E260B">
        <w:rPr>
          <w:b/>
          <w:bCs/>
        </w:rPr>
        <w:t>What it shows:</w:t>
      </w:r>
      <w:r w:rsidRPr="008E260B">
        <w:t xml:space="preserve"> This figure validates the residence-time engine against independent benchmarks and demonstrates the added value of network Bayesian updating. Panel A establishes quantitative agreement with established LPM tools; Panel B shows how incorporating neighbouring node ages narrows the posterior distribution; Panel C provides a network-scale consistency check. This supports Section 3.3 and is critical evidence for the Discussion claim (Section 4.3.2) that graph topology provides information beyond what single-node tracer inversion can achieve.</w:t>
      </w:r>
    </w:p>
    <w:p w14:paraId="7F8E90EB" w14:textId="77777777" w:rsidR="008E260B" w:rsidRPr="008E260B" w:rsidRDefault="008E260B" w:rsidP="008E260B">
      <w:r w:rsidRPr="008E260B">
        <w:pict w14:anchorId="595D98AF">
          <v:rect id="_x0000_i1155" style="width:0;height:1.5pt" o:hralign="center" o:hrstd="t" o:hr="t" fillcolor="#a0a0a0" stroked="f"/>
        </w:pict>
      </w:r>
    </w:p>
    <w:p w14:paraId="1B5A84E1" w14:textId="77777777" w:rsidR="008E260B" w:rsidRPr="008E260B" w:rsidRDefault="008E260B" w:rsidP="008E260B">
      <w:pPr>
        <w:rPr>
          <w:b/>
          <w:bCs/>
        </w:rPr>
      </w:pPr>
      <w:r w:rsidRPr="008E260B">
        <w:rPr>
          <w:rFonts w:ascii="Segoe UI Emoji" w:hAnsi="Segoe UI Emoji" w:cs="Segoe UI Emoji"/>
          <w:b/>
          <w:bCs/>
        </w:rPr>
        <w:t>📈</w:t>
      </w:r>
      <w:r w:rsidRPr="008E260B">
        <w:rPr>
          <w:b/>
          <w:bCs/>
        </w:rPr>
        <w:t xml:space="preserve"> FIGURE 5: Sensitivity and Uncertainty Summary (Tornado / Cascade Plot)</w:t>
      </w:r>
    </w:p>
    <w:p w14:paraId="7AA868CD" w14:textId="77777777" w:rsidR="008E260B" w:rsidRPr="008E260B" w:rsidRDefault="008E260B" w:rsidP="008E260B">
      <w:r w:rsidRPr="008E260B">
        <w:rPr>
          <w:b/>
          <w:bCs/>
        </w:rPr>
        <w:t>Caption:</w:t>
      </w:r>
      <w:r w:rsidRPr="008E260B">
        <w:t xml:space="preserve"> </w:t>
      </w:r>
      <w:r w:rsidRPr="008E260B">
        <w:rPr>
          <w:i/>
          <w:iCs/>
        </w:rPr>
        <w:t xml:space="preserve">Figure 5. Global sensitivity and uncertainty cascade for </w:t>
      </w:r>
      <w:proofErr w:type="spellStart"/>
      <w:r w:rsidRPr="008E260B">
        <w:rPr>
          <w:i/>
          <w:iCs/>
        </w:rPr>
        <w:t>Hydrosheaf</w:t>
      </w:r>
      <w:proofErr w:type="spellEnd"/>
      <w:r w:rsidRPr="008E260B">
        <w:rPr>
          <w:i/>
          <w:iCs/>
        </w:rPr>
        <w:t xml:space="preserve"> outputs. (A) Tornado chart showing the contribution of individual input sources of uncertainty — tracer measurement error, dead-carbon correction model choice, graph edge-confidence threshold, reaction-phase-list completeness, ion-weighting scheme, and missing-data fraction — to total output uncertainty in mean residence time, dominant reaction extent, and edge confidence score. Bar length represents the interquartile range of the output metric when each input is varied across its plausible range while others are held constant. (B) Schematic uncertainty cascade illustrating how tracer age uncertainty propagates through graph edge weighting into reaction model selection, and how </w:t>
      </w:r>
      <w:proofErr w:type="gramStart"/>
      <w:r w:rsidRPr="008E260B">
        <w:rPr>
          <w:i/>
          <w:iCs/>
        </w:rPr>
        <w:t>this compounds</w:t>
      </w:r>
      <w:proofErr w:type="gramEnd"/>
      <w:r w:rsidRPr="008E260B">
        <w:rPr>
          <w:i/>
          <w:iCs/>
        </w:rPr>
        <w:t xml:space="preserve"> with thermodynamic constraint uncertainty to determine the spread of the final diagnostic output.</w:t>
      </w:r>
    </w:p>
    <w:p w14:paraId="29C9821A" w14:textId="77777777" w:rsidR="008E260B" w:rsidRPr="008E260B" w:rsidRDefault="008E260B" w:rsidP="008E260B">
      <w:r w:rsidRPr="008E260B">
        <w:rPr>
          <w:b/>
          <w:bCs/>
        </w:rPr>
        <w:t>What it shows:</w:t>
      </w:r>
      <w:r w:rsidRPr="008E260B">
        <w:t xml:space="preserve"> A comprehensive uncertainty decomposition that enables readers to identify which input factors most strongly drive output uncertainty — essential for practitioners deciding where to invest additional sampling effort. Panel A provides actionable quantitative guidance: if tracer measurement error dominates, more precise sampling is the priority; if phase-list uncertainty dominates, additional mineralogical data is needed. Panel B communicates the conceptual structure of error propagation through the three-way coupling. This directly supports Sections 2.6.1 and 4.5.</w:t>
      </w:r>
    </w:p>
    <w:p w14:paraId="3290DC37" w14:textId="77777777" w:rsidR="008E260B" w:rsidRPr="008E260B" w:rsidRDefault="008E260B" w:rsidP="008E260B">
      <w:r w:rsidRPr="008E260B">
        <w:pict w14:anchorId="76B74F9B">
          <v:rect id="_x0000_i1156" style="width:0;height:1.5pt" o:hralign="center" o:hrstd="t" o:hr="t" fillcolor="#a0a0a0" stroked="f"/>
        </w:pict>
      </w:r>
    </w:p>
    <w:p w14:paraId="7A5CE95E" w14:textId="77777777" w:rsidR="008E260B" w:rsidRPr="008E260B" w:rsidRDefault="008E260B" w:rsidP="008E260B">
      <w:r w:rsidRPr="008E260B">
        <w:pict w14:anchorId="7175EBEF">
          <v:rect id="_x0000_i1157" style="width:0;height:1.5pt" o:hralign="center" o:hrstd="t" o:hr="t" fillcolor="#a0a0a0" stroked="f"/>
        </w:pict>
      </w:r>
    </w:p>
    <w:p w14:paraId="5971AE9D" w14:textId="77777777" w:rsidR="008E260B" w:rsidRPr="008E260B" w:rsidRDefault="008E260B" w:rsidP="008E260B">
      <w:pPr>
        <w:rPr>
          <w:b/>
          <w:bCs/>
        </w:rPr>
      </w:pPr>
      <w:r w:rsidRPr="008E260B">
        <w:rPr>
          <w:rFonts w:ascii="Segoe UI Emoji" w:hAnsi="Segoe UI Emoji" w:cs="Segoe UI Emoji"/>
          <w:b/>
          <w:bCs/>
        </w:rPr>
        <w:t>📎</w:t>
      </w:r>
      <w:r w:rsidRPr="008E260B">
        <w:rPr>
          <w:b/>
          <w:bCs/>
        </w:rPr>
        <w:t xml:space="preserve"> Supplementary Tables and Figures</w:t>
      </w:r>
    </w:p>
    <w:p w14:paraId="7944936D" w14:textId="77777777" w:rsidR="008E260B" w:rsidRPr="008E260B" w:rsidRDefault="008E260B" w:rsidP="008E260B">
      <w:pPr>
        <w:rPr>
          <w:b/>
          <w:bCs/>
        </w:rPr>
      </w:pPr>
      <w:r w:rsidRPr="008E260B">
        <w:rPr>
          <w:b/>
          <w:bCs/>
        </w:rPr>
        <w:t>Supplementary TABLE S1 (already exists): Literature Search and Dataset Screening Transparency Log</w:t>
      </w:r>
    </w:p>
    <w:p w14:paraId="56D8A6FF" w14:textId="77777777" w:rsidR="008E260B" w:rsidRPr="008E260B" w:rsidRDefault="008E260B" w:rsidP="008E260B">
      <w:r w:rsidRPr="008E260B">
        <w:rPr>
          <w:i/>
          <w:iCs/>
        </w:rPr>
        <w:lastRenderedPageBreak/>
        <w:t>Retains its existing structure documenting all database queries, filters, screening logic, and retention rationale for the critical review corpus. Essential for methodological transparency.</w:t>
      </w:r>
    </w:p>
    <w:p w14:paraId="508B5BC7" w14:textId="77777777" w:rsidR="008E260B" w:rsidRPr="008E260B" w:rsidRDefault="008E260B" w:rsidP="008E260B">
      <w:r w:rsidRPr="008E260B">
        <w:pict w14:anchorId="53E92F20">
          <v:rect id="_x0000_i1158" style="width:0;height:1.5pt" o:hralign="center" o:hrstd="t" o:hr="t" fillcolor="#a0a0a0" stroked="f"/>
        </w:pict>
      </w:r>
    </w:p>
    <w:p w14:paraId="0D4CC4A7" w14:textId="77777777" w:rsidR="008E260B" w:rsidRPr="008E260B" w:rsidRDefault="008E260B" w:rsidP="008E260B">
      <w:pPr>
        <w:rPr>
          <w:b/>
          <w:bCs/>
        </w:rPr>
      </w:pPr>
      <w:r w:rsidRPr="008E260B">
        <w:rPr>
          <w:b/>
          <w:bCs/>
        </w:rPr>
        <w:t>Supplementary TABLE S2: Nuclear Tracer Properties, Decay Constants, and Input Function Assumptions</w:t>
      </w:r>
    </w:p>
    <w:p w14:paraId="5520E899" w14:textId="77777777" w:rsidR="008E260B" w:rsidRPr="008E260B" w:rsidRDefault="008E260B" w:rsidP="008E260B">
      <w:r w:rsidRPr="008E260B">
        <w:rPr>
          <w:b/>
          <w:bCs/>
        </w:rPr>
        <w:t>Caption:</w:t>
      </w:r>
      <w:r w:rsidRPr="008E260B">
        <w:t xml:space="preserve"> </w:t>
      </w:r>
      <w:r w:rsidRPr="008E260B">
        <w:rPr>
          <w:i/>
          <w:iCs/>
        </w:rPr>
        <w:t xml:space="preserve">Table S2. Physical and geochemical properties of nuclear and environmental tracers implemented in </w:t>
      </w:r>
      <w:proofErr w:type="spellStart"/>
      <w:r w:rsidRPr="008E260B">
        <w:rPr>
          <w:i/>
          <w:iCs/>
        </w:rPr>
        <w:t>Hydrosheaf</w:t>
      </w:r>
      <w:proofErr w:type="spellEnd"/>
      <w:r w:rsidRPr="008E260B">
        <w:rPr>
          <w:i/>
          <w:iCs/>
        </w:rPr>
        <w:t>, including decay constants, tracer-specific input functions, sources of input-function uncertainty, dead-tracer correction approaches, and laboratory analytical requirements. Tracers covered: ³H, ³He (</w:t>
      </w:r>
      <w:proofErr w:type="spellStart"/>
      <w:r w:rsidRPr="008E260B">
        <w:rPr>
          <w:i/>
          <w:iCs/>
        </w:rPr>
        <w:t>tritiogenic</w:t>
      </w:r>
      <w:proofErr w:type="spellEnd"/>
      <w:r w:rsidRPr="008E260B">
        <w:rPr>
          <w:i/>
          <w:iCs/>
        </w:rPr>
        <w:t>), ¹⁴C/δ¹³C, ³⁶Cl, ⁸¹Kr, ³⁹Ar, CFCs, SF₆, noble-gas recharge temperature suite, ²²²Rn, and ⁴He.</w:t>
      </w:r>
    </w:p>
    <w:p w14:paraId="6A881CAE" w14:textId="77777777" w:rsidR="008E260B" w:rsidRPr="008E260B" w:rsidRDefault="008E260B" w:rsidP="008E260B">
      <w:r w:rsidRPr="008E260B">
        <w:rPr>
          <w:b/>
          <w:bCs/>
        </w:rPr>
        <w:t>What it shows:</w:t>
      </w:r>
      <w:r w:rsidRPr="008E260B">
        <w:t xml:space="preserve"> A comprehensive reference table giving practitioners the physical constants, input function assumptions, correction methods, and analytical constraints for every tracer supported by </w:t>
      </w:r>
      <w:proofErr w:type="spellStart"/>
      <w:r w:rsidRPr="008E260B">
        <w:t>Hydrosheaf</w:t>
      </w:r>
      <w:proofErr w:type="spellEnd"/>
      <w:r w:rsidRPr="008E260B">
        <w:t>. Complements Table 3 in the main text with technical depth that would overburden the main results narrative.</w:t>
      </w:r>
    </w:p>
    <w:p w14:paraId="02C13D05" w14:textId="77777777" w:rsidR="008E260B" w:rsidRPr="008E260B" w:rsidRDefault="008E260B" w:rsidP="008E260B">
      <w:r w:rsidRPr="008E260B">
        <w:pict w14:anchorId="33C1CFD8">
          <v:rect id="_x0000_i1159" style="width:0;height:1.5pt" o:hralign="center" o:hrstd="t" o:hr="t" fillcolor="#a0a0a0" stroked="f"/>
        </w:pict>
      </w:r>
    </w:p>
    <w:p w14:paraId="4A4E9B51" w14:textId="77777777" w:rsidR="008E260B" w:rsidRPr="008E260B" w:rsidRDefault="008E260B" w:rsidP="008E260B">
      <w:pPr>
        <w:rPr>
          <w:b/>
          <w:bCs/>
        </w:rPr>
      </w:pPr>
      <w:r w:rsidRPr="008E260B">
        <w:rPr>
          <w:b/>
          <w:bCs/>
        </w:rPr>
        <w:t xml:space="preserve">Supplementary TABLE S3: </w:t>
      </w:r>
      <w:proofErr w:type="spellStart"/>
      <w:r w:rsidRPr="008E260B">
        <w:rPr>
          <w:b/>
          <w:bCs/>
        </w:rPr>
        <w:t>Hydrosheaf</w:t>
      </w:r>
      <w:proofErr w:type="spellEnd"/>
      <w:r w:rsidRPr="008E260B">
        <w:rPr>
          <w:b/>
          <w:bCs/>
        </w:rPr>
        <w:t xml:space="preserve"> Reaction/Mineral Dictionary</w:t>
      </w:r>
    </w:p>
    <w:p w14:paraId="44A95C9A" w14:textId="77777777" w:rsidR="008E260B" w:rsidRPr="008E260B" w:rsidRDefault="008E260B" w:rsidP="008E260B">
      <w:r w:rsidRPr="008E260B">
        <w:rPr>
          <w:b/>
          <w:bCs/>
        </w:rPr>
        <w:t>Caption:</w:t>
      </w:r>
      <w:r w:rsidRPr="008E260B">
        <w:t xml:space="preserve"> </w:t>
      </w:r>
      <w:r w:rsidRPr="008E260B">
        <w:rPr>
          <w:i/>
          <w:iCs/>
        </w:rPr>
        <w:t xml:space="preserve">Table S3. Complete reaction and mineral dictionary available for sparse inverse hydrogeochemical fitting in </w:t>
      </w:r>
      <w:proofErr w:type="spellStart"/>
      <w:r w:rsidRPr="008E260B">
        <w:rPr>
          <w:i/>
          <w:iCs/>
        </w:rPr>
        <w:t>Hydrosheaf</w:t>
      </w:r>
      <w:proofErr w:type="spellEnd"/>
      <w:r w:rsidRPr="008E260B">
        <w:rPr>
          <w:i/>
          <w:iCs/>
        </w:rPr>
        <w:t>. Each entry lists the reaction label, stoichiometric formula, process interpretation, PHREEQC mineral phase name, applicable saturation-index constraint (precipitation/dissolution), typical aquifer setting, and whether the process is reversible in the inverse solver. The dictionary is user-extensible; entries marked with an asterisk are defaults loaded automatically.</w:t>
      </w:r>
    </w:p>
    <w:p w14:paraId="30525930" w14:textId="77777777" w:rsidR="008E260B" w:rsidRPr="008E260B" w:rsidRDefault="008E260B" w:rsidP="008E260B">
      <w:r w:rsidRPr="008E260B">
        <w:rPr>
          <w:b/>
          <w:bCs/>
        </w:rPr>
        <w:t>What it shows:</w:t>
      </w:r>
      <w:r w:rsidRPr="008E260B">
        <w:t xml:space="preserve"> The full list of geochemical processes (calcite, dolomite, halite, gypsum dissolution; cation exchange; oxidation–reduction; CO₂ gas transfer; silicate weathering; evaporative enrichment; anthropogenic contamination proxies) that </w:t>
      </w:r>
      <w:proofErr w:type="spellStart"/>
      <w:r w:rsidRPr="008E260B">
        <w:t>Hydrosheaf</w:t>
      </w:r>
      <w:proofErr w:type="spellEnd"/>
      <w:r w:rsidRPr="008E260B">
        <w:t xml:space="preserve"> can identify through sparse L1 fitting. This is the technical complement to Table 4 (main text) and equips users to customise the dictionary for their aquifer type.</w:t>
      </w:r>
    </w:p>
    <w:p w14:paraId="623446B9" w14:textId="77777777" w:rsidR="008E260B" w:rsidRPr="008E260B" w:rsidRDefault="008E260B" w:rsidP="008E260B">
      <w:r w:rsidRPr="008E260B">
        <w:pict w14:anchorId="2D4F568E">
          <v:rect id="_x0000_i1160" style="width:0;height:1.5pt" o:hralign="center" o:hrstd="t" o:hr="t" fillcolor="#a0a0a0" stroked="f"/>
        </w:pict>
      </w:r>
    </w:p>
    <w:p w14:paraId="0A8A2192" w14:textId="77777777" w:rsidR="008E260B" w:rsidRPr="008E260B" w:rsidRDefault="008E260B" w:rsidP="008E260B">
      <w:pPr>
        <w:rPr>
          <w:b/>
          <w:bCs/>
        </w:rPr>
      </w:pPr>
      <w:r w:rsidRPr="008E260B">
        <w:rPr>
          <w:b/>
          <w:bCs/>
        </w:rPr>
        <w:t>Supplementary TABLE S4: Public Benchmark Dataset Inventory</w:t>
      </w:r>
    </w:p>
    <w:p w14:paraId="703682E7" w14:textId="77777777" w:rsidR="008E260B" w:rsidRPr="008E260B" w:rsidRDefault="008E260B" w:rsidP="008E260B">
      <w:r w:rsidRPr="008E260B">
        <w:rPr>
          <w:b/>
          <w:bCs/>
        </w:rPr>
        <w:t>Caption:</w:t>
      </w:r>
      <w:r w:rsidRPr="008E260B">
        <w:t xml:space="preserve"> </w:t>
      </w:r>
      <w:r w:rsidRPr="008E260B">
        <w:rPr>
          <w:i/>
          <w:iCs/>
        </w:rPr>
        <w:t xml:space="preserve">Table S4. Inventory of public groundwater tracer and hydrochemical datasets used for </w:t>
      </w:r>
      <w:proofErr w:type="spellStart"/>
      <w:r w:rsidRPr="008E260B">
        <w:rPr>
          <w:i/>
          <w:iCs/>
        </w:rPr>
        <w:t>Hydrosheaf</w:t>
      </w:r>
      <w:proofErr w:type="spellEnd"/>
      <w:r w:rsidRPr="008E260B">
        <w:rPr>
          <w:i/>
          <w:iCs/>
        </w:rPr>
        <w:t xml:space="preserve"> validation, including USGS NWIS groundwater-age datasets, USGS </w:t>
      </w:r>
      <w:proofErr w:type="spellStart"/>
      <w:r w:rsidRPr="008E260B">
        <w:rPr>
          <w:i/>
          <w:iCs/>
        </w:rPr>
        <w:t>ScienceBase</w:t>
      </w:r>
      <w:proofErr w:type="spellEnd"/>
      <w:r w:rsidRPr="008E260B">
        <w:rPr>
          <w:i/>
          <w:iCs/>
        </w:rPr>
        <w:t xml:space="preserve"> MODFLOW/MODPATH model archives, IAEA GNIP, Netherlands RIVM/KWR isotope archive, BGS Africa Groundwater Atlas, and PHREEQC example database. For each resource, the table reports available variables, spatial coverage, data access pathway, and specific </w:t>
      </w:r>
      <w:proofErr w:type="spellStart"/>
      <w:r w:rsidRPr="008E260B">
        <w:rPr>
          <w:i/>
          <w:iCs/>
        </w:rPr>
        <w:t>Hydrosheaf</w:t>
      </w:r>
      <w:proofErr w:type="spellEnd"/>
      <w:r w:rsidRPr="008E260B">
        <w:rPr>
          <w:i/>
          <w:iCs/>
        </w:rPr>
        <w:t xml:space="preserve"> validation workflow supported.</w:t>
      </w:r>
    </w:p>
    <w:p w14:paraId="7648BFD7" w14:textId="77777777" w:rsidR="008E260B" w:rsidRPr="008E260B" w:rsidRDefault="008E260B" w:rsidP="008E260B">
      <w:r w:rsidRPr="008E260B">
        <w:rPr>
          <w:b/>
          <w:bCs/>
        </w:rPr>
        <w:t>What it shows:</w:t>
      </w:r>
      <w:r w:rsidRPr="008E260B">
        <w:t xml:space="preserve"> A reproducibility and provenance reference that enables any reader to access, download, and run the same validation datasets used in the paper. Removes barrier to independent replication of all benchmark results.</w:t>
      </w:r>
    </w:p>
    <w:p w14:paraId="5FF498E9" w14:textId="77777777" w:rsidR="008E260B" w:rsidRPr="008E260B" w:rsidRDefault="008E260B" w:rsidP="008E260B">
      <w:r w:rsidRPr="008E260B">
        <w:pict w14:anchorId="57B84B31">
          <v:rect id="_x0000_i1161" style="width:0;height:1.5pt" o:hralign="center" o:hrstd="t" o:hr="t" fillcolor="#a0a0a0" stroked="f"/>
        </w:pict>
      </w:r>
    </w:p>
    <w:p w14:paraId="459AFB96" w14:textId="77777777" w:rsidR="008E260B" w:rsidRPr="008E260B" w:rsidRDefault="008E260B" w:rsidP="008E260B">
      <w:pPr>
        <w:rPr>
          <w:b/>
          <w:bCs/>
        </w:rPr>
      </w:pPr>
      <w:r w:rsidRPr="008E260B">
        <w:rPr>
          <w:b/>
          <w:bCs/>
        </w:rPr>
        <w:t>Supplementary FIGURE S1: Sparse Inverse Hydrogeochemical Fitting Algorithm</w:t>
      </w:r>
    </w:p>
    <w:p w14:paraId="65B27445" w14:textId="77777777" w:rsidR="008E260B" w:rsidRPr="008E260B" w:rsidRDefault="008E260B" w:rsidP="008E260B">
      <w:r w:rsidRPr="008E260B">
        <w:rPr>
          <w:b/>
          <w:bCs/>
        </w:rPr>
        <w:lastRenderedPageBreak/>
        <w:t>Caption:</w:t>
      </w:r>
      <w:r w:rsidRPr="008E260B">
        <w:t xml:space="preserve"> </w:t>
      </w:r>
      <w:r w:rsidRPr="008E260B">
        <w:rPr>
          <w:i/>
          <w:iCs/>
        </w:rPr>
        <w:t xml:space="preserve">Figure S1. Detailed algorithm diagram for the sparse inverse hydrogeochemical fitting procedure in </w:t>
      </w:r>
      <w:proofErr w:type="spellStart"/>
      <w:r w:rsidRPr="008E260B">
        <w:rPr>
          <w:i/>
          <w:iCs/>
        </w:rPr>
        <w:t>Hydrosheaf</w:t>
      </w:r>
      <w:proofErr w:type="spellEnd"/>
      <w:r w:rsidRPr="008E260B">
        <w:rPr>
          <w:i/>
          <w:iCs/>
        </w:rPr>
        <w:t>. The diagram shows: (1) initial transport fitting (evaporation ratio and mixing fraction via conservative-tracer regression); (2) residual hydrochemical vector computation after transport correction; (3) L1-regularised sparse reaction fitting using the reaction dictionary; (4) PHREEQC saturation-index feasibility screening to reject thermodynamically implausible solutions; (5) objective function scoring and multi-solution ranking; and (6) output of ranked reaction pathways with confidence scores and residual diagnostics. Decision nodes indicate where PHREEQC constraint tightening or phase-list expansion is triggered.</w:t>
      </w:r>
    </w:p>
    <w:p w14:paraId="0A235F8D" w14:textId="77777777" w:rsidR="008E260B" w:rsidRPr="008E260B" w:rsidRDefault="008E260B" w:rsidP="008E260B">
      <w:r w:rsidRPr="008E260B">
        <w:rPr>
          <w:b/>
          <w:bCs/>
        </w:rPr>
        <w:t>What it shows:</w:t>
      </w:r>
      <w:r w:rsidRPr="008E260B">
        <w:t xml:space="preserve"> The step-by-step algorithm underlying Section 2.5, presented at a level of detail appropriate for software developers and </w:t>
      </w:r>
      <w:proofErr w:type="spellStart"/>
      <w:r w:rsidRPr="008E260B">
        <w:t>hydrogeochemists</w:t>
      </w:r>
      <w:proofErr w:type="spellEnd"/>
      <w:r w:rsidRPr="008E260B">
        <w:t xml:space="preserve"> wishing to re-implement or extend the method. Too algorithmically detailed for the main text but essential for reproducibility.</w:t>
      </w:r>
    </w:p>
    <w:p w14:paraId="0A154798" w14:textId="77777777" w:rsidR="008E260B" w:rsidRPr="008E260B" w:rsidRDefault="008E260B" w:rsidP="008E260B">
      <w:r w:rsidRPr="008E260B">
        <w:pict w14:anchorId="54298D30">
          <v:rect id="_x0000_i1162" style="width:0;height:1.5pt" o:hralign="center" o:hrstd="t" o:hr="t" fillcolor="#a0a0a0" stroked="f"/>
        </w:pict>
      </w:r>
    </w:p>
    <w:p w14:paraId="6D683B80" w14:textId="77777777" w:rsidR="008E260B" w:rsidRPr="008E260B" w:rsidRDefault="008E260B" w:rsidP="008E260B">
      <w:pPr>
        <w:rPr>
          <w:b/>
          <w:bCs/>
        </w:rPr>
      </w:pPr>
      <w:r w:rsidRPr="008E260B">
        <w:rPr>
          <w:b/>
          <w:bCs/>
        </w:rPr>
        <w:t>Supplementary FIGURE S2: MODPATH-to-Graph Prior Conversion Workflow</w:t>
      </w:r>
    </w:p>
    <w:p w14:paraId="52BFA0EC" w14:textId="77777777" w:rsidR="008E260B" w:rsidRPr="008E260B" w:rsidRDefault="008E260B" w:rsidP="008E260B">
      <w:r w:rsidRPr="008E260B">
        <w:rPr>
          <w:b/>
          <w:bCs/>
        </w:rPr>
        <w:t>Caption:</w:t>
      </w:r>
      <w:r w:rsidRPr="008E260B">
        <w:t xml:space="preserve"> </w:t>
      </w:r>
      <w:r w:rsidRPr="008E260B">
        <w:rPr>
          <w:i/>
          <w:iCs/>
        </w:rPr>
        <w:t xml:space="preserve">Figure S2. Workflow for converting MODFLOW/MODPATH particle-tracking endpoint files into </w:t>
      </w:r>
      <w:proofErr w:type="spellStart"/>
      <w:r w:rsidRPr="008E260B">
        <w:rPr>
          <w:i/>
          <w:iCs/>
        </w:rPr>
        <w:t>Hydrosheaf</w:t>
      </w:r>
      <w:proofErr w:type="spellEnd"/>
      <w:r w:rsidRPr="008E260B">
        <w:rPr>
          <w:i/>
          <w:iCs/>
        </w:rPr>
        <w:t xml:space="preserve"> graph physics priors. Left panel: raw MODPATH particle endpoint map coloured by travel time, overlaid on model grid. Centre panel: conversion of particle trajectories into directed edge candidates, with edge probability score derived from particle-track density and travel-time consistency. Right panel: resulting physics-prior graph with edge confidence weights prior to chemical and tracer-based refinement. A worked example from a USGS </w:t>
      </w:r>
      <w:proofErr w:type="spellStart"/>
      <w:r w:rsidRPr="008E260B">
        <w:rPr>
          <w:i/>
          <w:iCs/>
        </w:rPr>
        <w:t>ScienceBase</w:t>
      </w:r>
      <w:proofErr w:type="spellEnd"/>
      <w:r w:rsidRPr="008E260B">
        <w:rPr>
          <w:i/>
          <w:iCs/>
        </w:rPr>
        <w:t xml:space="preserve"> benchmark model is shown.</w:t>
      </w:r>
    </w:p>
    <w:p w14:paraId="1C8D6EA7" w14:textId="77777777" w:rsidR="008E260B" w:rsidRPr="008E260B" w:rsidRDefault="008E260B" w:rsidP="008E260B">
      <w:r w:rsidRPr="008E260B">
        <w:rPr>
          <w:b/>
          <w:bCs/>
        </w:rPr>
        <w:t>What it shows:</w:t>
      </w:r>
      <w:r w:rsidRPr="008E260B">
        <w:t xml:space="preserve"> A visual explainer for Section 2.3.3 that bridges the gap between MODPATH output files (familiar to groundwater modellers) and the </w:t>
      </w:r>
      <w:proofErr w:type="spellStart"/>
      <w:r w:rsidRPr="008E260B">
        <w:t>Hydrosheaf</w:t>
      </w:r>
      <w:proofErr w:type="spellEnd"/>
      <w:r w:rsidRPr="008E260B">
        <w:t xml:space="preserve"> graph input format (familiar to graph/network scientists). This makes the MODFLOW integration pathway accessible to readers from both communities without lengthening the main text.</w:t>
      </w:r>
    </w:p>
    <w:p w14:paraId="78DACC3D" w14:textId="77777777" w:rsidR="008E260B" w:rsidRPr="008E260B" w:rsidRDefault="008E260B" w:rsidP="008E260B">
      <w:r w:rsidRPr="008E260B">
        <w:pict w14:anchorId="591A43FA">
          <v:rect id="_x0000_i1163" style="width:0;height:1.5pt" o:hralign="center" o:hrstd="t" o:hr="t" fillcolor="#a0a0a0" stroked="f"/>
        </w:pict>
      </w:r>
    </w:p>
    <w:p w14:paraId="7CDA3C9D" w14:textId="77777777" w:rsidR="008E260B" w:rsidRPr="008E260B" w:rsidRDefault="008E260B" w:rsidP="008E260B">
      <w:pPr>
        <w:rPr>
          <w:b/>
          <w:bCs/>
        </w:rPr>
      </w:pPr>
      <w:r w:rsidRPr="008E260B">
        <w:rPr>
          <w:b/>
          <w:bCs/>
        </w:rPr>
        <w:t>Supplementary FIGURE S3: PHREEQC Forward Kinetic Validation Diagnostics</w:t>
      </w:r>
    </w:p>
    <w:p w14:paraId="5B5447FF" w14:textId="77777777" w:rsidR="008E260B" w:rsidRPr="008E260B" w:rsidRDefault="008E260B" w:rsidP="008E260B">
      <w:r w:rsidRPr="008E260B">
        <w:rPr>
          <w:b/>
          <w:bCs/>
        </w:rPr>
        <w:t>Caption:</w:t>
      </w:r>
      <w:r w:rsidRPr="008E260B">
        <w:t xml:space="preserve"> </w:t>
      </w:r>
      <w:r w:rsidRPr="008E260B">
        <w:rPr>
          <w:i/>
          <w:iCs/>
        </w:rPr>
        <w:t xml:space="preserve">Figure S3. Forward kinetic validation of </w:t>
      </w:r>
      <w:proofErr w:type="spellStart"/>
      <w:r w:rsidRPr="008E260B">
        <w:rPr>
          <w:i/>
          <w:iCs/>
        </w:rPr>
        <w:t>Hydrosheaf</w:t>
      </w:r>
      <w:proofErr w:type="spellEnd"/>
      <w:r w:rsidRPr="008E260B">
        <w:rPr>
          <w:i/>
          <w:iCs/>
        </w:rPr>
        <w:t xml:space="preserve">-identified reaction pathways using PHREEQC. For each benchmark flow path, the figure shows: (A) observed versus PHREEQC-simulated concentration evolution along the flow path for major ions and saturation indices; (B) time-series convergence of simulated concentrations toward equilibrium under kinetically limited mineral dissolution; (C) residual plot of observed minus simulated concentrations. Panels are arranged by reaction pathway ranked by </w:t>
      </w:r>
      <w:proofErr w:type="spellStart"/>
      <w:r w:rsidRPr="008E260B">
        <w:rPr>
          <w:i/>
          <w:iCs/>
        </w:rPr>
        <w:t>Hydrosheaf</w:t>
      </w:r>
      <w:proofErr w:type="spellEnd"/>
      <w:r w:rsidRPr="008E260B">
        <w:rPr>
          <w:i/>
          <w:iCs/>
        </w:rPr>
        <w:t xml:space="preserve"> objective score. Pathways that fail the forward kinetic test (|residual| &gt; threshold) are flagged in red.</w:t>
      </w:r>
    </w:p>
    <w:p w14:paraId="4B5AF04E" w14:textId="77777777" w:rsidR="008E260B" w:rsidRPr="008E260B" w:rsidRDefault="008E260B" w:rsidP="008E260B">
      <w:r w:rsidRPr="008E260B">
        <w:rPr>
          <w:b/>
          <w:bCs/>
        </w:rPr>
        <w:t>What it shows:</w:t>
      </w:r>
      <w:r w:rsidRPr="008E260B">
        <w:t xml:space="preserve"> The quantitative evidence supporting the PHREEQC forward validation results in Section 3.5. Presenting this panel-by-panel pathway-level detail in supplementary form preserves main text conciseness while giving reviewers and replicating scientists a complete audit trail of thermodynamic consistency checking.</w:t>
      </w:r>
    </w:p>
    <w:p w14:paraId="7AC1C509" w14:textId="77777777" w:rsidR="008E260B" w:rsidRPr="008E260B" w:rsidRDefault="008E260B" w:rsidP="008E260B">
      <w:r w:rsidRPr="008E260B">
        <w:pict w14:anchorId="5FAEA9FB">
          <v:rect id="_x0000_i1164" style="width:0;height:1.5pt" o:hralign="center" o:hrstd="t" o:hr="t" fillcolor="#a0a0a0" stroked="f"/>
        </w:pict>
      </w:r>
    </w:p>
    <w:p w14:paraId="76B0EF44" w14:textId="77777777" w:rsidR="008E260B" w:rsidRPr="008E260B" w:rsidRDefault="008E260B" w:rsidP="008E260B">
      <w:pPr>
        <w:rPr>
          <w:b/>
          <w:bCs/>
        </w:rPr>
      </w:pPr>
      <w:r w:rsidRPr="008E260B">
        <w:rPr>
          <w:b/>
          <w:bCs/>
        </w:rPr>
        <w:t>Summary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9"/>
        <w:gridCol w:w="1514"/>
        <w:gridCol w:w="2493"/>
      </w:tblGrid>
      <w:tr w:rsidR="008E260B" w:rsidRPr="008E260B" w14:paraId="3285DC11" w14:textId="77777777">
        <w:trPr>
          <w:tblHeader/>
          <w:tblCellSpacing w:w="15" w:type="dxa"/>
        </w:trPr>
        <w:tc>
          <w:tcPr>
            <w:tcW w:w="0" w:type="auto"/>
            <w:vAlign w:val="center"/>
            <w:hideMark/>
          </w:tcPr>
          <w:p w14:paraId="7CD7ED6C" w14:textId="77777777" w:rsidR="008E260B" w:rsidRPr="008E260B" w:rsidRDefault="008E260B" w:rsidP="008E260B">
            <w:pPr>
              <w:rPr>
                <w:b/>
                <w:bCs/>
              </w:rPr>
            </w:pPr>
            <w:r w:rsidRPr="008E260B">
              <w:rPr>
                <w:b/>
                <w:bCs/>
              </w:rPr>
              <w:lastRenderedPageBreak/>
              <w:t>Item</w:t>
            </w:r>
          </w:p>
        </w:tc>
        <w:tc>
          <w:tcPr>
            <w:tcW w:w="0" w:type="auto"/>
            <w:vAlign w:val="center"/>
            <w:hideMark/>
          </w:tcPr>
          <w:p w14:paraId="02BC53D4" w14:textId="77777777" w:rsidR="008E260B" w:rsidRPr="008E260B" w:rsidRDefault="008E260B" w:rsidP="008E260B">
            <w:pPr>
              <w:rPr>
                <w:b/>
                <w:bCs/>
              </w:rPr>
            </w:pPr>
            <w:r w:rsidRPr="008E260B">
              <w:rPr>
                <w:b/>
                <w:bCs/>
              </w:rPr>
              <w:t>Location</w:t>
            </w:r>
          </w:p>
        </w:tc>
        <w:tc>
          <w:tcPr>
            <w:tcW w:w="0" w:type="auto"/>
            <w:vAlign w:val="center"/>
            <w:hideMark/>
          </w:tcPr>
          <w:p w14:paraId="0DE8AEC8" w14:textId="77777777" w:rsidR="008E260B" w:rsidRPr="008E260B" w:rsidRDefault="008E260B" w:rsidP="008E260B">
            <w:pPr>
              <w:rPr>
                <w:b/>
                <w:bCs/>
              </w:rPr>
            </w:pPr>
            <w:r w:rsidRPr="008E260B">
              <w:rPr>
                <w:b/>
                <w:bCs/>
              </w:rPr>
              <w:t>Primary section supported</w:t>
            </w:r>
          </w:p>
        </w:tc>
      </w:tr>
      <w:tr w:rsidR="008E260B" w:rsidRPr="008E260B" w14:paraId="1E7DA3D2" w14:textId="77777777">
        <w:trPr>
          <w:tblCellSpacing w:w="15" w:type="dxa"/>
        </w:trPr>
        <w:tc>
          <w:tcPr>
            <w:tcW w:w="0" w:type="auto"/>
            <w:vAlign w:val="center"/>
            <w:hideMark/>
          </w:tcPr>
          <w:p w14:paraId="54584580" w14:textId="77777777" w:rsidR="008E260B" w:rsidRPr="008E260B" w:rsidRDefault="008E260B" w:rsidP="008E260B">
            <w:r w:rsidRPr="008E260B">
              <w:t>Table 1 — Module architecture</w:t>
            </w:r>
          </w:p>
        </w:tc>
        <w:tc>
          <w:tcPr>
            <w:tcW w:w="0" w:type="auto"/>
            <w:vAlign w:val="center"/>
            <w:hideMark/>
          </w:tcPr>
          <w:p w14:paraId="596F2AB9" w14:textId="77777777" w:rsidR="008E260B" w:rsidRPr="008E260B" w:rsidRDefault="008E260B" w:rsidP="008E260B">
            <w:r w:rsidRPr="008E260B">
              <w:t>Main text</w:t>
            </w:r>
          </w:p>
        </w:tc>
        <w:tc>
          <w:tcPr>
            <w:tcW w:w="0" w:type="auto"/>
            <w:vAlign w:val="center"/>
            <w:hideMark/>
          </w:tcPr>
          <w:p w14:paraId="18C6D247" w14:textId="77777777" w:rsidR="008E260B" w:rsidRPr="008E260B" w:rsidRDefault="008E260B" w:rsidP="008E260B">
            <w:r w:rsidRPr="008E260B">
              <w:t>§2.1</w:t>
            </w:r>
          </w:p>
        </w:tc>
      </w:tr>
      <w:tr w:rsidR="008E260B" w:rsidRPr="008E260B" w14:paraId="35445594" w14:textId="77777777">
        <w:trPr>
          <w:tblCellSpacing w:w="15" w:type="dxa"/>
        </w:trPr>
        <w:tc>
          <w:tcPr>
            <w:tcW w:w="0" w:type="auto"/>
            <w:vAlign w:val="center"/>
            <w:hideMark/>
          </w:tcPr>
          <w:p w14:paraId="55026157" w14:textId="77777777" w:rsidR="008E260B" w:rsidRPr="008E260B" w:rsidRDefault="008E260B" w:rsidP="008E260B">
            <w:r w:rsidRPr="008E260B">
              <w:t>Table 2 — Data field specification</w:t>
            </w:r>
          </w:p>
        </w:tc>
        <w:tc>
          <w:tcPr>
            <w:tcW w:w="0" w:type="auto"/>
            <w:vAlign w:val="center"/>
            <w:hideMark/>
          </w:tcPr>
          <w:p w14:paraId="575D2D55" w14:textId="77777777" w:rsidR="008E260B" w:rsidRPr="008E260B" w:rsidRDefault="008E260B" w:rsidP="008E260B">
            <w:r w:rsidRPr="008E260B">
              <w:t>Main text</w:t>
            </w:r>
          </w:p>
        </w:tc>
        <w:tc>
          <w:tcPr>
            <w:tcW w:w="0" w:type="auto"/>
            <w:vAlign w:val="center"/>
            <w:hideMark/>
          </w:tcPr>
          <w:p w14:paraId="2CA0F0D8" w14:textId="77777777" w:rsidR="008E260B" w:rsidRPr="008E260B" w:rsidRDefault="008E260B" w:rsidP="008E260B">
            <w:r w:rsidRPr="008E260B">
              <w:t>§2.2</w:t>
            </w:r>
          </w:p>
        </w:tc>
      </w:tr>
      <w:tr w:rsidR="008E260B" w:rsidRPr="008E260B" w14:paraId="4372EDF2" w14:textId="77777777">
        <w:trPr>
          <w:tblCellSpacing w:w="15" w:type="dxa"/>
        </w:trPr>
        <w:tc>
          <w:tcPr>
            <w:tcW w:w="0" w:type="auto"/>
            <w:vAlign w:val="center"/>
            <w:hideMark/>
          </w:tcPr>
          <w:p w14:paraId="1993D0B5" w14:textId="77777777" w:rsidR="008E260B" w:rsidRPr="008E260B" w:rsidRDefault="008E260B" w:rsidP="008E260B">
            <w:r w:rsidRPr="008E260B">
              <w:t>Table 3 — Residence-time methods</w:t>
            </w:r>
          </w:p>
        </w:tc>
        <w:tc>
          <w:tcPr>
            <w:tcW w:w="0" w:type="auto"/>
            <w:vAlign w:val="center"/>
            <w:hideMark/>
          </w:tcPr>
          <w:p w14:paraId="56BA5D3C" w14:textId="77777777" w:rsidR="008E260B" w:rsidRPr="008E260B" w:rsidRDefault="008E260B" w:rsidP="008E260B">
            <w:r w:rsidRPr="008E260B">
              <w:t>Main text</w:t>
            </w:r>
          </w:p>
        </w:tc>
        <w:tc>
          <w:tcPr>
            <w:tcW w:w="0" w:type="auto"/>
            <w:vAlign w:val="center"/>
            <w:hideMark/>
          </w:tcPr>
          <w:p w14:paraId="4697AA74" w14:textId="77777777" w:rsidR="008E260B" w:rsidRPr="008E260B" w:rsidRDefault="008E260B" w:rsidP="008E260B">
            <w:r w:rsidRPr="008E260B">
              <w:t>§2.4</w:t>
            </w:r>
          </w:p>
        </w:tc>
      </w:tr>
      <w:tr w:rsidR="008E260B" w:rsidRPr="008E260B" w14:paraId="2FD19CA7" w14:textId="77777777">
        <w:trPr>
          <w:tblCellSpacing w:w="15" w:type="dxa"/>
        </w:trPr>
        <w:tc>
          <w:tcPr>
            <w:tcW w:w="0" w:type="auto"/>
            <w:vAlign w:val="center"/>
            <w:hideMark/>
          </w:tcPr>
          <w:p w14:paraId="2B1F3388" w14:textId="77777777" w:rsidR="008E260B" w:rsidRPr="008E260B" w:rsidRDefault="008E260B" w:rsidP="008E260B">
            <w:r w:rsidRPr="008E260B">
              <w:t>Table 4 — Validation design</w:t>
            </w:r>
          </w:p>
        </w:tc>
        <w:tc>
          <w:tcPr>
            <w:tcW w:w="0" w:type="auto"/>
            <w:vAlign w:val="center"/>
            <w:hideMark/>
          </w:tcPr>
          <w:p w14:paraId="6708C158" w14:textId="77777777" w:rsidR="008E260B" w:rsidRPr="008E260B" w:rsidRDefault="008E260B" w:rsidP="008E260B">
            <w:r w:rsidRPr="008E260B">
              <w:t>Main text</w:t>
            </w:r>
          </w:p>
        </w:tc>
        <w:tc>
          <w:tcPr>
            <w:tcW w:w="0" w:type="auto"/>
            <w:vAlign w:val="center"/>
            <w:hideMark/>
          </w:tcPr>
          <w:p w14:paraId="55EE3E1C" w14:textId="77777777" w:rsidR="008E260B" w:rsidRPr="008E260B" w:rsidRDefault="008E260B" w:rsidP="008E260B">
            <w:r w:rsidRPr="008E260B">
              <w:t>§2.6 / §3</w:t>
            </w:r>
          </w:p>
        </w:tc>
      </w:tr>
      <w:tr w:rsidR="008E260B" w:rsidRPr="008E260B" w14:paraId="33432E8C" w14:textId="77777777">
        <w:trPr>
          <w:tblCellSpacing w:w="15" w:type="dxa"/>
        </w:trPr>
        <w:tc>
          <w:tcPr>
            <w:tcW w:w="0" w:type="auto"/>
            <w:vAlign w:val="center"/>
            <w:hideMark/>
          </w:tcPr>
          <w:p w14:paraId="17737C66" w14:textId="77777777" w:rsidR="008E260B" w:rsidRPr="008E260B" w:rsidRDefault="008E260B" w:rsidP="008E260B">
            <w:r w:rsidRPr="008E260B">
              <w:t>Table 5 — Comparison with existing tools</w:t>
            </w:r>
          </w:p>
        </w:tc>
        <w:tc>
          <w:tcPr>
            <w:tcW w:w="0" w:type="auto"/>
            <w:vAlign w:val="center"/>
            <w:hideMark/>
          </w:tcPr>
          <w:p w14:paraId="447824B4" w14:textId="77777777" w:rsidR="008E260B" w:rsidRPr="008E260B" w:rsidRDefault="008E260B" w:rsidP="008E260B">
            <w:r w:rsidRPr="008E260B">
              <w:t>Main text</w:t>
            </w:r>
          </w:p>
        </w:tc>
        <w:tc>
          <w:tcPr>
            <w:tcW w:w="0" w:type="auto"/>
            <w:vAlign w:val="center"/>
            <w:hideMark/>
          </w:tcPr>
          <w:p w14:paraId="5024EA73" w14:textId="77777777" w:rsidR="008E260B" w:rsidRPr="008E260B" w:rsidRDefault="008E260B" w:rsidP="008E260B">
            <w:r w:rsidRPr="008E260B">
              <w:t>§4.2</w:t>
            </w:r>
          </w:p>
        </w:tc>
      </w:tr>
      <w:tr w:rsidR="008E260B" w:rsidRPr="008E260B" w14:paraId="779C979A" w14:textId="77777777">
        <w:trPr>
          <w:tblCellSpacing w:w="15" w:type="dxa"/>
        </w:trPr>
        <w:tc>
          <w:tcPr>
            <w:tcW w:w="0" w:type="auto"/>
            <w:vAlign w:val="center"/>
            <w:hideMark/>
          </w:tcPr>
          <w:p w14:paraId="335D727F" w14:textId="77777777" w:rsidR="008E260B" w:rsidRPr="008E260B" w:rsidRDefault="008E260B" w:rsidP="008E260B">
            <w:r w:rsidRPr="008E260B">
              <w:t>Figure 1 — Conceptual architecture workflow</w:t>
            </w:r>
          </w:p>
        </w:tc>
        <w:tc>
          <w:tcPr>
            <w:tcW w:w="0" w:type="auto"/>
            <w:vAlign w:val="center"/>
            <w:hideMark/>
          </w:tcPr>
          <w:p w14:paraId="22FE5079" w14:textId="77777777" w:rsidR="008E260B" w:rsidRPr="008E260B" w:rsidRDefault="008E260B" w:rsidP="008E260B">
            <w:r w:rsidRPr="008E260B">
              <w:t>Main text</w:t>
            </w:r>
          </w:p>
        </w:tc>
        <w:tc>
          <w:tcPr>
            <w:tcW w:w="0" w:type="auto"/>
            <w:vAlign w:val="center"/>
            <w:hideMark/>
          </w:tcPr>
          <w:p w14:paraId="1161FFBC" w14:textId="77777777" w:rsidR="008E260B" w:rsidRPr="008E260B" w:rsidRDefault="008E260B" w:rsidP="008E260B">
            <w:r w:rsidRPr="008E260B">
              <w:t>§2.1</w:t>
            </w:r>
          </w:p>
        </w:tc>
      </w:tr>
      <w:tr w:rsidR="008E260B" w:rsidRPr="008E260B" w14:paraId="3E229D14" w14:textId="77777777">
        <w:trPr>
          <w:tblCellSpacing w:w="15" w:type="dxa"/>
        </w:trPr>
        <w:tc>
          <w:tcPr>
            <w:tcW w:w="0" w:type="auto"/>
            <w:vAlign w:val="center"/>
            <w:hideMark/>
          </w:tcPr>
          <w:p w14:paraId="4D70D3A6" w14:textId="77777777" w:rsidR="008E260B" w:rsidRPr="008E260B" w:rsidRDefault="008E260B" w:rsidP="008E260B">
            <w:r w:rsidRPr="008E260B">
              <w:t>Figure 2 — Process-network schematic graph</w:t>
            </w:r>
          </w:p>
        </w:tc>
        <w:tc>
          <w:tcPr>
            <w:tcW w:w="0" w:type="auto"/>
            <w:vAlign w:val="center"/>
            <w:hideMark/>
          </w:tcPr>
          <w:p w14:paraId="7C7465F0" w14:textId="77777777" w:rsidR="008E260B" w:rsidRPr="008E260B" w:rsidRDefault="008E260B" w:rsidP="008E260B">
            <w:r w:rsidRPr="008E260B">
              <w:t>Main text</w:t>
            </w:r>
          </w:p>
        </w:tc>
        <w:tc>
          <w:tcPr>
            <w:tcW w:w="0" w:type="auto"/>
            <w:vAlign w:val="center"/>
            <w:hideMark/>
          </w:tcPr>
          <w:p w14:paraId="187791D7" w14:textId="77777777" w:rsidR="008E260B" w:rsidRPr="008E260B" w:rsidRDefault="008E260B" w:rsidP="008E260B">
            <w:r w:rsidRPr="008E260B">
              <w:t>§2.3</w:t>
            </w:r>
          </w:p>
        </w:tc>
      </w:tr>
      <w:tr w:rsidR="008E260B" w:rsidRPr="008E260B" w14:paraId="28C94D7C" w14:textId="77777777">
        <w:trPr>
          <w:tblCellSpacing w:w="15" w:type="dxa"/>
        </w:trPr>
        <w:tc>
          <w:tcPr>
            <w:tcW w:w="0" w:type="auto"/>
            <w:vAlign w:val="center"/>
            <w:hideMark/>
          </w:tcPr>
          <w:p w14:paraId="50F0D60A" w14:textId="77777777" w:rsidR="008E260B" w:rsidRPr="008E260B" w:rsidRDefault="008E260B" w:rsidP="008E260B">
            <w:r w:rsidRPr="008E260B">
              <w:t>Figure 3 — Synthetic benchmark recovery</w:t>
            </w:r>
          </w:p>
        </w:tc>
        <w:tc>
          <w:tcPr>
            <w:tcW w:w="0" w:type="auto"/>
            <w:vAlign w:val="center"/>
            <w:hideMark/>
          </w:tcPr>
          <w:p w14:paraId="42502C4D" w14:textId="77777777" w:rsidR="008E260B" w:rsidRPr="008E260B" w:rsidRDefault="008E260B" w:rsidP="008E260B">
            <w:r w:rsidRPr="008E260B">
              <w:t>Main text</w:t>
            </w:r>
          </w:p>
        </w:tc>
        <w:tc>
          <w:tcPr>
            <w:tcW w:w="0" w:type="auto"/>
            <w:vAlign w:val="center"/>
            <w:hideMark/>
          </w:tcPr>
          <w:p w14:paraId="18C06AAE" w14:textId="77777777" w:rsidR="008E260B" w:rsidRPr="008E260B" w:rsidRDefault="008E260B" w:rsidP="008E260B">
            <w:r w:rsidRPr="008E260B">
              <w:t>§3.2</w:t>
            </w:r>
          </w:p>
        </w:tc>
      </w:tr>
      <w:tr w:rsidR="008E260B" w:rsidRPr="008E260B" w14:paraId="7F1D4DFF" w14:textId="77777777">
        <w:trPr>
          <w:tblCellSpacing w:w="15" w:type="dxa"/>
        </w:trPr>
        <w:tc>
          <w:tcPr>
            <w:tcW w:w="0" w:type="auto"/>
            <w:vAlign w:val="center"/>
            <w:hideMark/>
          </w:tcPr>
          <w:p w14:paraId="4DAE5155" w14:textId="77777777" w:rsidR="008E260B" w:rsidRPr="008E260B" w:rsidRDefault="008E260B" w:rsidP="008E260B">
            <w:r w:rsidRPr="008E260B">
              <w:t>Figure 4 — Residence-time inference &amp; Bayesian updating</w:t>
            </w:r>
          </w:p>
        </w:tc>
        <w:tc>
          <w:tcPr>
            <w:tcW w:w="0" w:type="auto"/>
            <w:vAlign w:val="center"/>
            <w:hideMark/>
          </w:tcPr>
          <w:p w14:paraId="33730811" w14:textId="77777777" w:rsidR="008E260B" w:rsidRPr="008E260B" w:rsidRDefault="008E260B" w:rsidP="008E260B">
            <w:r w:rsidRPr="008E260B">
              <w:t>Main text</w:t>
            </w:r>
          </w:p>
        </w:tc>
        <w:tc>
          <w:tcPr>
            <w:tcW w:w="0" w:type="auto"/>
            <w:vAlign w:val="center"/>
            <w:hideMark/>
          </w:tcPr>
          <w:p w14:paraId="5F093403" w14:textId="77777777" w:rsidR="008E260B" w:rsidRPr="008E260B" w:rsidRDefault="008E260B" w:rsidP="008E260B">
            <w:r w:rsidRPr="008E260B">
              <w:t>§3.3</w:t>
            </w:r>
          </w:p>
        </w:tc>
      </w:tr>
      <w:tr w:rsidR="008E260B" w:rsidRPr="008E260B" w14:paraId="72EC421A" w14:textId="77777777">
        <w:trPr>
          <w:tblCellSpacing w:w="15" w:type="dxa"/>
        </w:trPr>
        <w:tc>
          <w:tcPr>
            <w:tcW w:w="0" w:type="auto"/>
            <w:vAlign w:val="center"/>
            <w:hideMark/>
          </w:tcPr>
          <w:p w14:paraId="224639F5" w14:textId="77777777" w:rsidR="008E260B" w:rsidRPr="008E260B" w:rsidRDefault="008E260B" w:rsidP="008E260B">
            <w:r w:rsidRPr="008E260B">
              <w:t>Figure 5 — Sensitivity &amp; uncertainty tornado/cascade</w:t>
            </w:r>
          </w:p>
        </w:tc>
        <w:tc>
          <w:tcPr>
            <w:tcW w:w="0" w:type="auto"/>
            <w:vAlign w:val="center"/>
            <w:hideMark/>
          </w:tcPr>
          <w:p w14:paraId="7B2A2B77" w14:textId="77777777" w:rsidR="008E260B" w:rsidRPr="008E260B" w:rsidRDefault="008E260B" w:rsidP="008E260B">
            <w:r w:rsidRPr="008E260B">
              <w:t>Main text</w:t>
            </w:r>
          </w:p>
        </w:tc>
        <w:tc>
          <w:tcPr>
            <w:tcW w:w="0" w:type="auto"/>
            <w:vAlign w:val="center"/>
            <w:hideMark/>
          </w:tcPr>
          <w:p w14:paraId="1BD26EAA" w14:textId="77777777" w:rsidR="008E260B" w:rsidRPr="008E260B" w:rsidRDefault="008E260B" w:rsidP="008E260B">
            <w:r w:rsidRPr="008E260B">
              <w:t>§2.6 / §4.5</w:t>
            </w:r>
          </w:p>
        </w:tc>
      </w:tr>
      <w:tr w:rsidR="008E260B" w:rsidRPr="008E260B" w14:paraId="2234865D" w14:textId="77777777">
        <w:trPr>
          <w:tblCellSpacing w:w="15" w:type="dxa"/>
        </w:trPr>
        <w:tc>
          <w:tcPr>
            <w:tcW w:w="0" w:type="auto"/>
            <w:vAlign w:val="center"/>
            <w:hideMark/>
          </w:tcPr>
          <w:p w14:paraId="6CB0D12F" w14:textId="77777777" w:rsidR="008E260B" w:rsidRPr="008E260B" w:rsidRDefault="008E260B" w:rsidP="008E260B">
            <w:r w:rsidRPr="008E260B">
              <w:t>Table S1 — Literature search log</w:t>
            </w:r>
          </w:p>
        </w:tc>
        <w:tc>
          <w:tcPr>
            <w:tcW w:w="0" w:type="auto"/>
            <w:vAlign w:val="center"/>
            <w:hideMark/>
          </w:tcPr>
          <w:p w14:paraId="5655EE16" w14:textId="77777777" w:rsidR="008E260B" w:rsidRPr="008E260B" w:rsidRDefault="008E260B" w:rsidP="008E260B">
            <w:r w:rsidRPr="008E260B">
              <w:t>Supplementary</w:t>
            </w:r>
          </w:p>
        </w:tc>
        <w:tc>
          <w:tcPr>
            <w:tcW w:w="0" w:type="auto"/>
            <w:vAlign w:val="center"/>
            <w:hideMark/>
          </w:tcPr>
          <w:p w14:paraId="399B9F21" w14:textId="77777777" w:rsidR="008E260B" w:rsidRPr="008E260B" w:rsidRDefault="008E260B" w:rsidP="008E260B">
            <w:r w:rsidRPr="008E260B">
              <w:t>§Methods</w:t>
            </w:r>
          </w:p>
        </w:tc>
      </w:tr>
      <w:tr w:rsidR="008E260B" w:rsidRPr="008E260B" w14:paraId="6A352514" w14:textId="77777777">
        <w:trPr>
          <w:tblCellSpacing w:w="15" w:type="dxa"/>
        </w:trPr>
        <w:tc>
          <w:tcPr>
            <w:tcW w:w="0" w:type="auto"/>
            <w:vAlign w:val="center"/>
            <w:hideMark/>
          </w:tcPr>
          <w:p w14:paraId="54135B4D" w14:textId="77777777" w:rsidR="008E260B" w:rsidRPr="008E260B" w:rsidRDefault="008E260B" w:rsidP="008E260B">
            <w:r w:rsidRPr="008E260B">
              <w:t>Table S2 — Tracer properties &amp; input functions</w:t>
            </w:r>
          </w:p>
        </w:tc>
        <w:tc>
          <w:tcPr>
            <w:tcW w:w="0" w:type="auto"/>
            <w:vAlign w:val="center"/>
            <w:hideMark/>
          </w:tcPr>
          <w:p w14:paraId="05A277B0" w14:textId="77777777" w:rsidR="008E260B" w:rsidRPr="008E260B" w:rsidRDefault="008E260B" w:rsidP="008E260B">
            <w:r w:rsidRPr="008E260B">
              <w:t>Supplementary</w:t>
            </w:r>
          </w:p>
        </w:tc>
        <w:tc>
          <w:tcPr>
            <w:tcW w:w="0" w:type="auto"/>
            <w:vAlign w:val="center"/>
            <w:hideMark/>
          </w:tcPr>
          <w:p w14:paraId="44D63ED4" w14:textId="77777777" w:rsidR="008E260B" w:rsidRPr="008E260B" w:rsidRDefault="008E260B" w:rsidP="008E260B">
            <w:r w:rsidRPr="008E260B">
              <w:t>§2.4</w:t>
            </w:r>
          </w:p>
        </w:tc>
      </w:tr>
      <w:tr w:rsidR="008E260B" w:rsidRPr="008E260B" w14:paraId="5C4E0899" w14:textId="77777777">
        <w:trPr>
          <w:tblCellSpacing w:w="15" w:type="dxa"/>
        </w:trPr>
        <w:tc>
          <w:tcPr>
            <w:tcW w:w="0" w:type="auto"/>
            <w:vAlign w:val="center"/>
            <w:hideMark/>
          </w:tcPr>
          <w:p w14:paraId="13DC56D8" w14:textId="77777777" w:rsidR="008E260B" w:rsidRPr="008E260B" w:rsidRDefault="008E260B" w:rsidP="008E260B">
            <w:r w:rsidRPr="008E260B">
              <w:t>Table S3 — Reaction/mineral dictionary</w:t>
            </w:r>
          </w:p>
        </w:tc>
        <w:tc>
          <w:tcPr>
            <w:tcW w:w="0" w:type="auto"/>
            <w:vAlign w:val="center"/>
            <w:hideMark/>
          </w:tcPr>
          <w:p w14:paraId="06FC6980" w14:textId="77777777" w:rsidR="008E260B" w:rsidRPr="008E260B" w:rsidRDefault="008E260B" w:rsidP="008E260B">
            <w:r w:rsidRPr="008E260B">
              <w:t>Supplementary</w:t>
            </w:r>
          </w:p>
        </w:tc>
        <w:tc>
          <w:tcPr>
            <w:tcW w:w="0" w:type="auto"/>
            <w:vAlign w:val="center"/>
            <w:hideMark/>
          </w:tcPr>
          <w:p w14:paraId="1C67FC7D" w14:textId="77777777" w:rsidR="008E260B" w:rsidRPr="008E260B" w:rsidRDefault="008E260B" w:rsidP="008E260B">
            <w:r w:rsidRPr="008E260B">
              <w:t>§2.5</w:t>
            </w:r>
          </w:p>
        </w:tc>
      </w:tr>
      <w:tr w:rsidR="008E260B" w:rsidRPr="008E260B" w14:paraId="2EC96B8D" w14:textId="77777777">
        <w:trPr>
          <w:tblCellSpacing w:w="15" w:type="dxa"/>
        </w:trPr>
        <w:tc>
          <w:tcPr>
            <w:tcW w:w="0" w:type="auto"/>
            <w:vAlign w:val="center"/>
            <w:hideMark/>
          </w:tcPr>
          <w:p w14:paraId="38ACB079" w14:textId="77777777" w:rsidR="008E260B" w:rsidRPr="008E260B" w:rsidRDefault="008E260B" w:rsidP="008E260B">
            <w:r w:rsidRPr="008E260B">
              <w:t>Table S4 — Benchmark dataset inventory</w:t>
            </w:r>
          </w:p>
        </w:tc>
        <w:tc>
          <w:tcPr>
            <w:tcW w:w="0" w:type="auto"/>
            <w:vAlign w:val="center"/>
            <w:hideMark/>
          </w:tcPr>
          <w:p w14:paraId="53FAD218" w14:textId="77777777" w:rsidR="008E260B" w:rsidRPr="008E260B" w:rsidRDefault="008E260B" w:rsidP="008E260B">
            <w:r w:rsidRPr="008E260B">
              <w:t>Supplementary</w:t>
            </w:r>
          </w:p>
        </w:tc>
        <w:tc>
          <w:tcPr>
            <w:tcW w:w="0" w:type="auto"/>
            <w:vAlign w:val="center"/>
            <w:hideMark/>
          </w:tcPr>
          <w:p w14:paraId="585ACF24" w14:textId="77777777" w:rsidR="008E260B" w:rsidRPr="008E260B" w:rsidRDefault="008E260B" w:rsidP="008E260B">
            <w:r w:rsidRPr="008E260B">
              <w:t>§2.6 / §3</w:t>
            </w:r>
          </w:p>
        </w:tc>
      </w:tr>
      <w:tr w:rsidR="008E260B" w:rsidRPr="008E260B" w14:paraId="67186893" w14:textId="77777777">
        <w:trPr>
          <w:tblCellSpacing w:w="15" w:type="dxa"/>
        </w:trPr>
        <w:tc>
          <w:tcPr>
            <w:tcW w:w="0" w:type="auto"/>
            <w:vAlign w:val="center"/>
            <w:hideMark/>
          </w:tcPr>
          <w:p w14:paraId="002FC10A" w14:textId="77777777" w:rsidR="008E260B" w:rsidRPr="008E260B" w:rsidRDefault="008E260B" w:rsidP="008E260B">
            <w:r w:rsidRPr="008E260B">
              <w:t>Figure S1 — Sparse fitting algorithm detail</w:t>
            </w:r>
          </w:p>
        </w:tc>
        <w:tc>
          <w:tcPr>
            <w:tcW w:w="0" w:type="auto"/>
            <w:vAlign w:val="center"/>
            <w:hideMark/>
          </w:tcPr>
          <w:p w14:paraId="430D54AE" w14:textId="77777777" w:rsidR="008E260B" w:rsidRPr="008E260B" w:rsidRDefault="008E260B" w:rsidP="008E260B">
            <w:r w:rsidRPr="008E260B">
              <w:t>Supplementary</w:t>
            </w:r>
          </w:p>
        </w:tc>
        <w:tc>
          <w:tcPr>
            <w:tcW w:w="0" w:type="auto"/>
            <w:vAlign w:val="center"/>
            <w:hideMark/>
          </w:tcPr>
          <w:p w14:paraId="71766BF4" w14:textId="77777777" w:rsidR="008E260B" w:rsidRPr="008E260B" w:rsidRDefault="008E260B" w:rsidP="008E260B">
            <w:r w:rsidRPr="008E260B">
              <w:t>§2.5</w:t>
            </w:r>
          </w:p>
        </w:tc>
      </w:tr>
      <w:tr w:rsidR="008E260B" w:rsidRPr="008E260B" w14:paraId="4AEE8BA7" w14:textId="77777777">
        <w:trPr>
          <w:tblCellSpacing w:w="15" w:type="dxa"/>
        </w:trPr>
        <w:tc>
          <w:tcPr>
            <w:tcW w:w="0" w:type="auto"/>
            <w:vAlign w:val="center"/>
            <w:hideMark/>
          </w:tcPr>
          <w:p w14:paraId="2E70AFD6" w14:textId="77777777" w:rsidR="008E260B" w:rsidRPr="008E260B" w:rsidRDefault="008E260B" w:rsidP="008E260B">
            <w:r w:rsidRPr="008E260B">
              <w:t>Figure S2 — MODPATH-to-graph conversion</w:t>
            </w:r>
          </w:p>
        </w:tc>
        <w:tc>
          <w:tcPr>
            <w:tcW w:w="0" w:type="auto"/>
            <w:vAlign w:val="center"/>
            <w:hideMark/>
          </w:tcPr>
          <w:p w14:paraId="341675D1" w14:textId="77777777" w:rsidR="008E260B" w:rsidRPr="008E260B" w:rsidRDefault="008E260B" w:rsidP="008E260B">
            <w:r w:rsidRPr="008E260B">
              <w:t>Supplementary</w:t>
            </w:r>
          </w:p>
        </w:tc>
        <w:tc>
          <w:tcPr>
            <w:tcW w:w="0" w:type="auto"/>
            <w:vAlign w:val="center"/>
            <w:hideMark/>
          </w:tcPr>
          <w:p w14:paraId="5CB29AEE" w14:textId="77777777" w:rsidR="008E260B" w:rsidRPr="008E260B" w:rsidRDefault="008E260B" w:rsidP="008E260B">
            <w:r w:rsidRPr="008E260B">
              <w:t>§2.3.3</w:t>
            </w:r>
          </w:p>
        </w:tc>
      </w:tr>
      <w:tr w:rsidR="008E260B" w:rsidRPr="008E260B" w14:paraId="47CBA2BA" w14:textId="77777777">
        <w:trPr>
          <w:tblCellSpacing w:w="15" w:type="dxa"/>
        </w:trPr>
        <w:tc>
          <w:tcPr>
            <w:tcW w:w="0" w:type="auto"/>
            <w:vAlign w:val="center"/>
            <w:hideMark/>
          </w:tcPr>
          <w:p w14:paraId="3C7074CA" w14:textId="77777777" w:rsidR="008E260B" w:rsidRPr="008E260B" w:rsidRDefault="008E260B" w:rsidP="008E260B">
            <w:r w:rsidRPr="008E260B">
              <w:t>Figure S3 — PHREEQC forward kinetic validation</w:t>
            </w:r>
          </w:p>
        </w:tc>
        <w:tc>
          <w:tcPr>
            <w:tcW w:w="0" w:type="auto"/>
            <w:vAlign w:val="center"/>
            <w:hideMark/>
          </w:tcPr>
          <w:p w14:paraId="413D2B2C" w14:textId="77777777" w:rsidR="008E260B" w:rsidRPr="008E260B" w:rsidRDefault="008E260B" w:rsidP="008E260B">
            <w:r w:rsidRPr="008E260B">
              <w:t>Supplementary</w:t>
            </w:r>
          </w:p>
        </w:tc>
        <w:tc>
          <w:tcPr>
            <w:tcW w:w="0" w:type="auto"/>
            <w:vAlign w:val="center"/>
            <w:hideMark/>
          </w:tcPr>
          <w:p w14:paraId="62ADFCE4" w14:textId="77777777" w:rsidR="008E260B" w:rsidRPr="008E260B" w:rsidRDefault="008E260B" w:rsidP="008E260B">
            <w:r w:rsidRPr="008E260B">
              <w:t>§3.5</w:t>
            </w:r>
          </w:p>
        </w:tc>
      </w:tr>
    </w:tbl>
    <w:p w14:paraId="6A2E82A0" w14:textId="77777777" w:rsidR="008E260B" w:rsidRPr="008E260B" w:rsidRDefault="008E260B" w:rsidP="008E260B">
      <w:r w:rsidRPr="008E260B">
        <w:t xml:space="preserve">The five main-text figures are deliberately sequenced as a narrative arc: </w:t>
      </w:r>
      <w:r w:rsidRPr="008E260B">
        <w:rPr>
          <w:b/>
          <w:bCs/>
        </w:rPr>
        <w:t>architecture → process network → synthetic validation → age inference → uncertainty</w:t>
      </w:r>
      <w:r w:rsidRPr="008E260B">
        <w:t xml:space="preserve"> — meaning a reader can follow just the figures and understand the full scientific case for </w:t>
      </w:r>
      <w:proofErr w:type="spellStart"/>
      <w:r w:rsidRPr="008E260B">
        <w:t>Hydrosheaf</w:t>
      </w:r>
      <w:proofErr w:type="spellEnd"/>
      <w:r w:rsidRPr="008E260B">
        <w:t xml:space="preserve"> without reading every methods subsection.</w:t>
      </w:r>
    </w:p>
    <w:p w14:paraId="0118DFDF" w14:textId="77777777" w:rsidR="008C0969" w:rsidRDefault="008C0969"/>
    <w:sectPr w:rsidR="008C0969" w:rsidSect="008E2C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MRomanSlant8">
    <w:altName w:val="Cambria"/>
    <w:panose1 w:val="00000000000000000000"/>
    <w:charset w:val="EE"/>
    <w:family w:val="roman"/>
    <w:notTrueType/>
    <w:pitch w:val="variable"/>
    <w:sig w:usb0="00000005" w:usb1="00000000" w:usb2="00000000" w:usb3="00000000" w:csb0="00000002"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A503E"/>
    <w:multiLevelType w:val="multilevel"/>
    <w:tmpl w:val="064617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0133E0A"/>
    <w:multiLevelType w:val="multilevel"/>
    <w:tmpl w:val="BC7434B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865099095">
    <w:abstractNumId w:val="1"/>
  </w:num>
  <w:num w:numId="2" w16cid:durableId="449209063">
    <w:abstractNumId w:val="1"/>
  </w:num>
  <w:num w:numId="3" w16cid:durableId="1777604234">
    <w:abstractNumId w:val="0"/>
  </w:num>
  <w:num w:numId="4" w16cid:durableId="641497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D91"/>
    <w:rsid w:val="00070AF5"/>
    <w:rsid w:val="000D4259"/>
    <w:rsid w:val="000D62AB"/>
    <w:rsid w:val="00101C89"/>
    <w:rsid w:val="001444D8"/>
    <w:rsid w:val="001C60A2"/>
    <w:rsid w:val="001D04E3"/>
    <w:rsid w:val="001E5268"/>
    <w:rsid w:val="00223E5F"/>
    <w:rsid w:val="0022629A"/>
    <w:rsid w:val="002417A6"/>
    <w:rsid w:val="002A7AE4"/>
    <w:rsid w:val="002E3D6B"/>
    <w:rsid w:val="00324B8F"/>
    <w:rsid w:val="0032620A"/>
    <w:rsid w:val="00345A39"/>
    <w:rsid w:val="003636D3"/>
    <w:rsid w:val="0036749A"/>
    <w:rsid w:val="00380DF9"/>
    <w:rsid w:val="00393D4C"/>
    <w:rsid w:val="003B03F8"/>
    <w:rsid w:val="003D1C3C"/>
    <w:rsid w:val="003F2DE6"/>
    <w:rsid w:val="004108BF"/>
    <w:rsid w:val="00425241"/>
    <w:rsid w:val="00434FB3"/>
    <w:rsid w:val="004B221E"/>
    <w:rsid w:val="004C0A7D"/>
    <w:rsid w:val="00506D91"/>
    <w:rsid w:val="0056206A"/>
    <w:rsid w:val="005A31A6"/>
    <w:rsid w:val="005B7F3A"/>
    <w:rsid w:val="00627D7B"/>
    <w:rsid w:val="006545B4"/>
    <w:rsid w:val="006930D9"/>
    <w:rsid w:val="006F72D2"/>
    <w:rsid w:val="00764E1B"/>
    <w:rsid w:val="007824B9"/>
    <w:rsid w:val="007D3EF3"/>
    <w:rsid w:val="007E766F"/>
    <w:rsid w:val="007F6A18"/>
    <w:rsid w:val="008026B4"/>
    <w:rsid w:val="0082546A"/>
    <w:rsid w:val="00875AC1"/>
    <w:rsid w:val="0088409E"/>
    <w:rsid w:val="008C0969"/>
    <w:rsid w:val="008C3A18"/>
    <w:rsid w:val="008E260B"/>
    <w:rsid w:val="008E2CB8"/>
    <w:rsid w:val="00904EF7"/>
    <w:rsid w:val="00946D70"/>
    <w:rsid w:val="00953CFA"/>
    <w:rsid w:val="00961834"/>
    <w:rsid w:val="0098636F"/>
    <w:rsid w:val="00A30630"/>
    <w:rsid w:val="00A576E8"/>
    <w:rsid w:val="00A60060"/>
    <w:rsid w:val="00A75813"/>
    <w:rsid w:val="00AA7C19"/>
    <w:rsid w:val="00AB1852"/>
    <w:rsid w:val="00B21D22"/>
    <w:rsid w:val="00B8111E"/>
    <w:rsid w:val="00BC2634"/>
    <w:rsid w:val="00BD7815"/>
    <w:rsid w:val="00C76272"/>
    <w:rsid w:val="00D03FC5"/>
    <w:rsid w:val="00D05D58"/>
    <w:rsid w:val="00D431F4"/>
    <w:rsid w:val="00D44D26"/>
    <w:rsid w:val="00D50819"/>
    <w:rsid w:val="00D8183C"/>
    <w:rsid w:val="00D94209"/>
    <w:rsid w:val="00DF707A"/>
    <w:rsid w:val="00E92AEB"/>
    <w:rsid w:val="00ED0741"/>
    <w:rsid w:val="00F007AD"/>
    <w:rsid w:val="00F03E4C"/>
    <w:rsid w:val="00F36414"/>
    <w:rsid w:val="00F5257D"/>
    <w:rsid w:val="00F81F1D"/>
    <w:rsid w:val="00FC3F22"/>
  </w:rsids>
  <m:mathPr>
    <m:mathFont m:val="Cambria Math"/>
    <m:brkBin m:val="before"/>
    <m:brkBinSub m:val="--"/>
    <m:smallFrac m:val="0"/>
    <m:dispDef/>
    <m:lMargin m:val="0"/>
    <m:rMargin m:val="0"/>
    <m:defJc m:val="centerGroup"/>
    <m:wrapIndent m:val="1440"/>
    <m:intLim m:val="subSup"/>
    <m:naryLim m:val="undOvr"/>
  </m:mathPr>
  <w:themeFontLang w:val="en-G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4A3280-AFF1-4E4F-9660-3A0B436D0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MRomanSlant8" w:eastAsiaTheme="minorHAnsi" w:hAnsi="LMRomanSlant8" w:cstheme="minorBidi"/>
        <w:i/>
        <w:sz w:val="22"/>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630"/>
    <w:pPr>
      <w:spacing w:after="200"/>
      <w:jc w:val="both"/>
    </w:pPr>
    <w:rPr>
      <w:rFonts w:ascii="Times New Roman" w:hAnsi="Times New Roman"/>
      <w:i w:val="0"/>
      <w:sz w:val="24"/>
      <w:szCs w:val="24"/>
      <w14:ligatures w14:val="none"/>
    </w:rPr>
  </w:style>
  <w:style w:type="paragraph" w:styleId="Heading1">
    <w:name w:val="heading 1"/>
    <w:basedOn w:val="Normal"/>
    <w:next w:val="Normal"/>
    <w:link w:val="Heading1Char"/>
    <w:autoRedefine/>
    <w:uiPriority w:val="9"/>
    <w:qFormat/>
    <w:rsid w:val="00946D70"/>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946D70"/>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946D70"/>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autoRedefine/>
    <w:uiPriority w:val="9"/>
    <w:semiHidden/>
    <w:unhideWhenUsed/>
    <w:qFormat/>
    <w:rsid w:val="00946D70"/>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506D9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06D9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06D9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06D9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06D9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B21D22"/>
    <w:rPr>
      <w:rFonts w:asciiTheme="minorHAnsi" w:hAnsiTheme="minorHAnsi"/>
      <w:i w:val="0"/>
      <w:sz w:val="24"/>
      <w:szCs w:val="24"/>
      <w:lang w:val="en-US"/>
      <w14:ligatures w14:val="none"/>
    </w:rPr>
    <w:tblPr>
      <w:tblBorders>
        <w:top w:val="single" w:sz="4" w:space="0" w:color="auto"/>
        <w:bottom w:val="single" w:sz="4" w:space="0" w:color="auto"/>
      </w:tblBorders>
    </w:tblPr>
    <w:tblStylePr w:type="firstRow">
      <w:rPr>
        <w:rFonts w:ascii="Times New Roman" w:hAnsi="Times New Roman"/>
        <w:sz w:val="22"/>
      </w:rPr>
      <w:tblPr/>
      <w:tcPr>
        <w:tcBorders>
          <w:bottom w:val="single" w:sz="4" w:space="0" w:color="auto"/>
        </w:tcBorders>
      </w:tcPr>
    </w:tblStylePr>
  </w:style>
  <w:style w:type="character" w:customStyle="1" w:styleId="Heading1Char">
    <w:name w:val="Heading 1 Char"/>
    <w:basedOn w:val="DefaultParagraphFont"/>
    <w:link w:val="Heading1"/>
    <w:uiPriority w:val="9"/>
    <w:rsid w:val="00946D70"/>
    <w:rPr>
      <w:rFonts w:ascii="Times New Roman" w:eastAsiaTheme="majorEastAsia" w:hAnsi="Times New Roman" w:cstheme="majorBidi"/>
      <w:b/>
      <w:i w:val="0"/>
      <w:sz w:val="24"/>
      <w:szCs w:val="40"/>
    </w:rPr>
  </w:style>
  <w:style w:type="character" w:customStyle="1" w:styleId="Heading2Char">
    <w:name w:val="Heading 2 Char"/>
    <w:basedOn w:val="DefaultParagraphFont"/>
    <w:link w:val="Heading2"/>
    <w:uiPriority w:val="9"/>
    <w:rsid w:val="00946D70"/>
    <w:rPr>
      <w:rFonts w:ascii="Times New Roman" w:eastAsiaTheme="majorEastAsia" w:hAnsi="Times New Roman" w:cstheme="majorBidi"/>
      <w:b/>
      <w:i w:val="0"/>
      <w:sz w:val="24"/>
      <w:szCs w:val="32"/>
    </w:rPr>
  </w:style>
  <w:style w:type="character" w:customStyle="1" w:styleId="Heading3Char">
    <w:name w:val="Heading 3 Char"/>
    <w:basedOn w:val="DefaultParagraphFont"/>
    <w:link w:val="Heading3"/>
    <w:uiPriority w:val="9"/>
    <w:rsid w:val="00946D70"/>
    <w:rPr>
      <w:rFonts w:ascii="Times New Roman" w:eastAsiaTheme="majorEastAsia" w:hAnsi="Times New Roman" w:cstheme="majorBidi"/>
      <w:b/>
      <w:i w:val="0"/>
      <w:sz w:val="24"/>
      <w:szCs w:val="28"/>
    </w:rPr>
  </w:style>
  <w:style w:type="paragraph" w:styleId="Title">
    <w:name w:val="Title"/>
    <w:basedOn w:val="Normal"/>
    <w:next w:val="Normal"/>
    <w:link w:val="TitleChar"/>
    <w:autoRedefine/>
    <w:uiPriority w:val="10"/>
    <w:qFormat/>
    <w:rsid w:val="001444D8"/>
    <w:pPr>
      <w:spacing w:after="8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1444D8"/>
    <w:rPr>
      <w:rFonts w:ascii="Times New Roman" w:eastAsiaTheme="majorEastAsia" w:hAnsi="Times New Roman" w:cstheme="majorBidi"/>
      <w:b/>
      <w:i w:val="0"/>
      <w:spacing w:val="-10"/>
      <w:kern w:val="28"/>
      <w:sz w:val="28"/>
      <w:szCs w:val="56"/>
    </w:rPr>
  </w:style>
  <w:style w:type="character" w:customStyle="1" w:styleId="Heading4Char">
    <w:name w:val="Heading 4 Char"/>
    <w:basedOn w:val="DefaultParagraphFont"/>
    <w:link w:val="Heading4"/>
    <w:uiPriority w:val="9"/>
    <w:semiHidden/>
    <w:rsid w:val="00946D70"/>
    <w:rPr>
      <w:rFonts w:ascii="Times New Roman" w:eastAsiaTheme="majorEastAsia" w:hAnsi="Times New Roman" w:cstheme="majorBidi"/>
      <w:b/>
      <w:i w:val="0"/>
      <w:iCs/>
      <w:sz w:val="24"/>
    </w:rPr>
  </w:style>
  <w:style w:type="table" w:customStyle="1" w:styleId="Manu">
    <w:name w:val="Manu"/>
    <w:basedOn w:val="TableNormal"/>
    <w:uiPriority w:val="99"/>
    <w:rsid w:val="00D431F4"/>
    <w:rPr>
      <w:rFonts w:ascii="Times New Roman" w:eastAsiaTheme="minorEastAsia" w:hAnsi="Times New Roman"/>
      <w:i w:val="0"/>
      <w:lang w:val="en-US"/>
      <w14:ligatures w14:val="none"/>
    </w:rPr>
    <w:tblPr>
      <w:tblBorders>
        <w:top w:val="single" w:sz="4" w:space="0" w:color="auto"/>
        <w:bottom w:val="single" w:sz="4" w:space="0" w:color="auto"/>
      </w:tblBorders>
    </w:tblPr>
    <w:tblStylePr w:type="firstRow">
      <w:tblPr/>
      <w:tcPr>
        <w:tcBorders>
          <w:top w:val="single" w:sz="4" w:space="0" w:color="auto"/>
          <w:bottom w:val="single" w:sz="4" w:space="0" w:color="auto"/>
        </w:tcBorders>
      </w:tcPr>
    </w:tblStylePr>
  </w:style>
  <w:style w:type="paragraph" w:styleId="Caption">
    <w:name w:val="caption"/>
    <w:basedOn w:val="Normal"/>
    <w:link w:val="CaptionChar"/>
    <w:autoRedefine/>
    <w:qFormat/>
    <w:rsid w:val="00A60060"/>
    <w:pPr>
      <w:spacing w:after="0"/>
    </w:pPr>
    <w:rPr>
      <w:i/>
      <w:sz w:val="22"/>
      <w:szCs w:val="22"/>
      <w14:ligatures w14:val="standardContextual"/>
    </w:rPr>
  </w:style>
  <w:style w:type="character" w:customStyle="1" w:styleId="CaptionChar">
    <w:name w:val="Caption Char"/>
    <w:basedOn w:val="DefaultParagraphFont"/>
    <w:link w:val="Caption"/>
    <w:rsid w:val="00A60060"/>
    <w:rPr>
      <w:rFonts w:ascii="Times New Roman" w:hAnsi="Times New Roman"/>
    </w:rPr>
  </w:style>
  <w:style w:type="character" w:customStyle="1" w:styleId="Heading5Char">
    <w:name w:val="Heading 5 Char"/>
    <w:basedOn w:val="DefaultParagraphFont"/>
    <w:link w:val="Heading5"/>
    <w:uiPriority w:val="9"/>
    <w:semiHidden/>
    <w:rsid w:val="00506D91"/>
    <w:rPr>
      <w:rFonts w:asciiTheme="minorHAnsi" w:eastAsiaTheme="majorEastAsia" w:hAnsiTheme="minorHAnsi" w:cstheme="majorBidi"/>
      <w:i w:val="0"/>
      <w:color w:val="0F4761" w:themeColor="accent1" w:themeShade="BF"/>
      <w:sz w:val="24"/>
      <w:szCs w:val="24"/>
      <w14:ligatures w14:val="none"/>
    </w:rPr>
  </w:style>
  <w:style w:type="character" w:customStyle="1" w:styleId="Heading6Char">
    <w:name w:val="Heading 6 Char"/>
    <w:basedOn w:val="DefaultParagraphFont"/>
    <w:link w:val="Heading6"/>
    <w:uiPriority w:val="9"/>
    <w:semiHidden/>
    <w:rsid w:val="00506D91"/>
    <w:rPr>
      <w:rFonts w:asciiTheme="minorHAnsi" w:eastAsiaTheme="majorEastAsia" w:hAnsiTheme="minorHAnsi" w:cstheme="majorBidi"/>
      <w:iCs/>
      <w:color w:val="595959" w:themeColor="text1" w:themeTint="A6"/>
      <w:sz w:val="24"/>
      <w:szCs w:val="24"/>
      <w14:ligatures w14:val="none"/>
    </w:rPr>
  </w:style>
  <w:style w:type="character" w:customStyle="1" w:styleId="Heading7Char">
    <w:name w:val="Heading 7 Char"/>
    <w:basedOn w:val="DefaultParagraphFont"/>
    <w:link w:val="Heading7"/>
    <w:uiPriority w:val="9"/>
    <w:semiHidden/>
    <w:rsid w:val="00506D91"/>
    <w:rPr>
      <w:rFonts w:asciiTheme="minorHAnsi" w:eastAsiaTheme="majorEastAsia" w:hAnsiTheme="minorHAnsi" w:cstheme="majorBidi"/>
      <w:i w:val="0"/>
      <w:color w:val="595959" w:themeColor="text1" w:themeTint="A6"/>
      <w:sz w:val="24"/>
      <w:szCs w:val="24"/>
      <w14:ligatures w14:val="none"/>
    </w:rPr>
  </w:style>
  <w:style w:type="character" w:customStyle="1" w:styleId="Heading8Char">
    <w:name w:val="Heading 8 Char"/>
    <w:basedOn w:val="DefaultParagraphFont"/>
    <w:link w:val="Heading8"/>
    <w:uiPriority w:val="9"/>
    <w:semiHidden/>
    <w:rsid w:val="00506D91"/>
    <w:rPr>
      <w:rFonts w:asciiTheme="minorHAnsi" w:eastAsiaTheme="majorEastAsia" w:hAnsiTheme="minorHAnsi" w:cstheme="majorBidi"/>
      <w:iCs/>
      <w:color w:val="272727" w:themeColor="text1" w:themeTint="D8"/>
      <w:sz w:val="24"/>
      <w:szCs w:val="24"/>
      <w14:ligatures w14:val="none"/>
    </w:rPr>
  </w:style>
  <w:style w:type="character" w:customStyle="1" w:styleId="Heading9Char">
    <w:name w:val="Heading 9 Char"/>
    <w:basedOn w:val="DefaultParagraphFont"/>
    <w:link w:val="Heading9"/>
    <w:uiPriority w:val="9"/>
    <w:semiHidden/>
    <w:rsid w:val="00506D91"/>
    <w:rPr>
      <w:rFonts w:asciiTheme="minorHAnsi" w:eastAsiaTheme="majorEastAsia" w:hAnsiTheme="minorHAnsi" w:cstheme="majorBidi"/>
      <w:i w:val="0"/>
      <w:color w:val="272727" w:themeColor="text1" w:themeTint="D8"/>
      <w:sz w:val="24"/>
      <w:szCs w:val="24"/>
      <w14:ligatures w14:val="none"/>
    </w:rPr>
  </w:style>
  <w:style w:type="paragraph" w:styleId="Subtitle">
    <w:name w:val="Subtitle"/>
    <w:basedOn w:val="Normal"/>
    <w:next w:val="Normal"/>
    <w:link w:val="SubtitleChar"/>
    <w:uiPriority w:val="11"/>
    <w:qFormat/>
    <w:rsid w:val="00506D9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D91"/>
    <w:rPr>
      <w:rFonts w:asciiTheme="minorHAnsi" w:eastAsiaTheme="majorEastAsia" w:hAnsiTheme="minorHAnsi" w:cstheme="majorBidi"/>
      <w:i w:val="0"/>
      <w:color w:val="595959" w:themeColor="text1" w:themeTint="A6"/>
      <w:spacing w:val="15"/>
      <w:sz w:val="28"/>
      <w:szCs w:val="28"/>
      <w14:ligatures w14:val="none"/>
    </w:rPr>
  </w:style>
  <w:style w:type="paragraph" w:styleId="Quote">
    <w:name w:val="Quote"/>
    <w:basedOn w:val="Normal"/>
    <w:next w:val="Normal"/>
    <w:link w:val="QuoteChar"/>
    <w:uiPriority w:val="29"/>
    <w:qFormat/>
    <w:rsid w:val="00506D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06D91"/>
    <w:rPr>
      <w:rFonts w:ascii="Times New Roman" w:hAnsi="Times New Roman"/>
      <w:iCs/>
      <w:color w:val="404040" w:themeColor="text1" w:themeTint="BF"/>
      <w:sz w:val="24"/>
      <w:szCs w:val="24"/>
      <w14:ligatures w14:val="none"/>
    </w:rPr>
  </w:style>
  <w:style w:type="paragraph" w:styleId="ListParagraph">
    <w:name w:val="List Paragraph"/>
    <w:basedOn w:val="Normal"/>
    <w:uiPriority w:val="34"/>
    <w:qFormat/>
    <w:rsid w:val="00506D91"/>
    <w:pPr>
      <w:ind w:left="720"/>
      <w:contextualSpacing/>
    </w:pPr>
  </w:style>
  <w:style w:type="character" w:styleId="IntenseEmphasis">
    <w:name w:val="Intense Emphasis"/>
    <w:basedOn w:val="DefaultParagraphFont"/>
    <w:uiPriority w:val="21"/>
    <w:qFormat/>
    <w:rsid w:val="00506D91"/>
    <w:rPr>
      <w:i w:val="0"/>
      <w:iCs/>
      <w:color w:val="0F4761" w:themeColor="accent1" w:themeShade="BF"/>
    </w:rPr>
  </w:style>
  <w:style w:type="paragraph" w:styleId="IntenseQuote">
    <w:name w:val="Intense Quote"/>
    <w:basedOn w:val="Normal"/>
    <w:next w:val="Normal"/>
    <w:link w:val="IntenseQuoteChar"/>
    <w:uiPriority w:val="30"/>
    <w:qFormat/>
    <w:rsid w:val="00506D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D91"/>
    <w:rPr>
      <w:rFonts w:ascii="Times New Roman" w:hAnsi="Times New Roman"/>
      <w:iCs/>
      <w:color w:val="0F4761" w:themeColor="accent1" w:themeShade="BF"/>
      <w:sz w:val="24"/>
      <w:szCs w:val="24"/>
      <w14:ligatures w14:val="none"/>
    </w:rPr>
  </w:style>
  <w:style w:type="character" w:styleId="IntenseReference">
    <w:name w:val="Intense Reference"/>
    <w:basedOn w:val="DefaultParagraphFont"/>
    <w:uiPriority w:val="32"/>
    <w:qFormat/>
    <w:rsid w:val="00506D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2985</Words>
  <Characters>17015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Dickson Abdul-Wahab</dc:creator>
  <cp:keywords/>
  <dc:description/>
  <cp:lastModifiedBy>Dickson Abdul-Wahab</cp:lastModifiedBy>
  <cp:revision>2</cp:revision>
  <dcterms:created xsi:type="dcterms:W3CDTF">2026-05-04T09:42:00Z</dcterms:created>
  <dcterms:modified xsi:type="dcterms:W3CDTF">2026-05-04T09:50:00Z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2026-05-04T09:50:08Z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f5eefcdb-1752-47f9-8fe8-71fa465f7979</vt:lpwstr>
  </property>
  <property fmtid="{D5CDD505-2E9C-101B-9397-08002B2CF9AE}" pid="7" name="MSIP_Label_defa4170-0d19-0005-0004-bc88714345d2_ActionId">
    <vt:lpwstr>6ada93cb-492f-4f32-8755-1a54cb1cd21b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