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8C5F" w14:textId="77777777" w:rsidR="00992473" w:rsidRPr="006329D5" w:rsidRDefault="00992473" w:rsidP="00992473">
      <w:pPr>
        <w:spacing w:before="100" w:beforeAutospacing="1" w:after="100" w:afterAutospacing="1"/>
        <w:rPr>
          <w:rFonts w:eastAsia="Times New Roman" w:cs="Times New Roman"/>
          <w:lang w:eastAsia="en-GB"/>
        </w:rPr>
      </w:pPr>
      <w:r w:rsidRPr="006329D5">
        <w:rPr>
          <w:rFonts w:eastAsia="Times New Roman" w:cs="Times New Roman"/>
          <w:b/>
          <w:bCs/>
          <w:lang w:eastAsia="en-GB"/>
        </w:rPr>
        <w:t>Highlights</w:t>
      </w:r>
    </w:p>
    <w:p w14:paraId="43826130" w14:textId="77777777" w:rsidR="00992473" w:rsidRPr="00C63126" w:rsidRDefault="00992473" w:rsidP="00992473">
      <w:pPr>
        <w:pStyle w:val="ListParagraph"/>
        <w:numPr>
          <w:ilvl w:val="0"/>
          <w:numId w:val="7"/>
        </w:numPr>
      </w:pPr>
      <w:proofErr w:type="spellStart"/>
      <w:r w:rsidRPr="00C63126">
        <w:t>Hydrosheaf integrates residence-time inversion, flow-topology inference, and inverse hydrogeochemistry in one auditable workflow.</w:t>
      </w:r>
      <w:proofErr w:type="spellEnd"/>
      <w:r w:rsidRPr="00C63126"/>
    </w:p>
    <w:p w14:paraId="7BD747E6" w14:textId="77777777" w:rsidR="00992473" w:rsidRPr="00C63126" w:rsidRDefault="00992473" w:rsidP="00992473">
      <w:pPr>
        <w:pStyle w:val="ListParagraph"/>
        <w:numPr>
          <w:ilvl w:val="0"/>
          <w:numId w:val="7"/>
        </w:numPr>
      </w:pPr>
      <w:r w:rsidRPr="00C63126">
        <w:t>Evidence-constrained directed edges combine hydraulic, isotopic, chemical, and age-order information.</w:t>
      </w:r>
    </w:p>
    <w:p w14:paraId="0CEE3E1D" w14:textId="77777777" w:rsidR="00992473" w:rsidRPr="00C63126" w:rsidRDefault="00992473" w:rsidP="00992473">
      <w:pPr>
        <w:pStyle w:val="ListParagraph"/>
        <w:numPr>
          <w:ilvl w:val="0"/>
          <w:numId w:val="7"/>
        </w:numPr>
      </w:pPr>
      <w:r w:rsidRPr="00C63126">
        <w:t>Sparse L1 fitting ranks process classes and makes reaction identifiability limits explicit.</w:t>
      </w:r>
    </w:p>
    <w:p w14:paraId="2AD1A63E" w14:textId="77777777" w:rsidR="00992473" w:rsidRPr="00C63126" w:rsidRDefault="00992473" w:rsidP="00992473">
      <w:pPr>
        <w:pStyle w:val="ListParagraph"/>
        <w:numPr>
          <w:ilvl w:val="0"/>
          <w:numId w:val="7"/>
        </w:numPr>
      </w:pPr>
      <w:r w:rsidRPr="00C63126">
        <w:t>Synthetic benchmarking gives chemistry R2 = 0.955, no-prior topology F1 = 0.618, and synthetic age R2 = 0.98.</w:t>
      </w:r>
    </w:p>
    <w:p w14:paraId="47E36BD8" w14:textId="77777777" w:rsidR="00992473" w:rsidRDefault="00992473" w:rsidP="00992473">
      <w:pPr>
        <w:pStyle w:val="ListParagraph"/>
        <w:numPr>
          <w:ilvl w:val="0"/>
          <w:numId w:val="7"/>
        </w:numPr>
      </w:pPr>
      <w:r w:rsidRPr="00C63126">
        <w:t>Public-age parity, PHREEQC proxy, and Ghana field results are reported as screening-level evidence with explicit caveats.</w:t>
      </w:r>
    </w:p>
    <w:p w14:paraId="697C270A" w14:textId="77777777" w:rsidR="00992473" w:rsidRDefault="00992473" w:rsidP="00992473"/>
    <w:sectPr w:rsidR="00992473" w:rsidSect="008E2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MRomanSlant8">
    <w:altName w:val="Cambria"/>
    <w:panose1 w:val="00000000000000000000"/>
    <w:charset w:val="EE"/>
    <w:family w:val="roman"/>
    <w:notTrueType/>
    <w:pitch w:val="variable"/>
    <w:sig w:usb0="00000005" w:usb1="00000000" w:usb2="00000000" w:usb3="00000000" w:csb0="00000002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B7B"/>
    <w:multiLevelType w:val="hybridMultilevel"/>
    <w:tmpl w:val="F42E4BEE"/>
    <w:lvl w:ilvl="0" w:tplc="F7924232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C674A"/>
    <w:multiLevelType w:val="hybridMultilevel"/>
    <w:tmpl w:val="98823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A503E"/>
    <w:multiLevelType w:val="multilevel"/>
    <w:tmpl w:val="0646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6812C26"/>
    <w:multiLevelType w:val="multilevel"/>
    <w:tmpl w:val="B7F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33E0A"/>
    <w:multiLevelType w:val="multilevel"/>
    <w:tmpl w:val="BC74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65099095">
    <w:abstractNumId w:val="4"/>
  </w:num>
  <w:num w:numId="2" w16cid:durableId="449209063">
    <w:abstractNumId w:val="4"/>
  </w:num>
  <w:num w:numId="3" w16cid:durableId="1777604234">
    <w:abstractNumId w:val="2"/>
  </w:num>
  <w:num w:numId="4" w16cid:durableId="641497499">
    <w:abstractNumId w:val="2"/>
  </w:num>
  <w:num w:numId="5" w16cid:durableId="903947613">
    <w:abstractNumId w:val="1"/>
  </w:num>
  <w:num w:numId="6" w16cid:durableId="1676495963">
    <w:abstractNumId w:val="0"/>
  </w:num>
  <w:num w:numId="7" w16cid:durableId="115610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FA"/>
    <w:rsid w:val="00070AF5"/>
    <w:rsid w:val="00097F73"/>
    <w:rsid w:val="000D4259"/>
    <w:rsid w:val="000D62AB"/>
    <w:rsid w:val="00101C89"/>
    <w:rsid w:val="001444D8"/>
    <w:rsid w:val="001C60A2"/>
    <w:rsid w:val="001D04E3"/>
    <w:rsid w:val="001E5268"/>
    <w:rsid w:val="00223E5F"/>
    <w:rsid w:val="0022629A"/>
    <w:rsid w:val="002A7AE4"/>
    <w:rsid w:val="002E3D6B"/>
    <w:rsid w:val="00324B8F"/>
    <w:rsid w:val="0032620A"/>
    <w:rsid w:val="00345A39"/>
    <w:rsid w:val="003636D3"/>
    <w:rsid w:val="00380DF9"/>
    <w:rsid w:val="00393D4C"/>
    <w:rsid w:val="003B03F8"/>
    <w:rsid w:val="003D1C3C"/>
    <w:rsid w:val="003F2DE6"/>
    <w:rsid w:val="004108BF"/>
    <w:rsid w:val="00425241"/>
    <w:rsid w:val="00434FB3"/>
    <w:rsid w:val="004B221E"/>
    <w:rsid w:val="004C0A7D"/>
    <w:rsid w:val="0056206A"/>
    <w:rsid w:val="005A31A6"/>
    <w:rsid w:val="005B7F3A"/>
    <w:rsid w:val="00627D7B"/>
    <w:rsid w:val="006545B4"/>
    <w:rsid w:val="006930D9"/>
    <w:rsid w:val="006F72D2"/>
    <w:rsid w:val="00764E1B"/>
    <w:rsid w:val="007824B9"/>
    <w:rsid w:val="007D3EF3"/>
    <w:rsid w:val="007E766F"/>
    <w:rsid w:val="007F6A18"/>
    <w:rsid w:val="008026B4"/>
    <w:rsid w:val="0082546A"/>
    <w:rsid w:val="00875AC1"/>
    <w:rsid w:val="0088409E"/>
    <w:rsid w:val="00887AFA"/>
    <w:rsid w:val="008C0969"/>
    <w:rsid w:val="008C3A18"/>
    <w:rsid w:val="008E2CB8"/>
    <w:rsid w:val="00904EF7"/>
    <w:rsid w:val="00946D70"/>
    <w:rsid w:val="00953CFA"/>
    <w:rsid w:val="00961834"/>
    <w:rsid w:val="0098636F"/>
    <w:rsid w:val="00992473"/>
    <w:rsid w:val="00A30630"/>
    <w:rsid w:val="00A576E8"/>
    <w:rsid w:val="00A60060"/>
    <w:rsid w:val="00A75813"/>
    <w:rsid w:val="00AA7C19"/>
    <w:rsid w:val="00AB1852"/>
    <w:rsid w:val="00B21D22"/>
    <w:rsid w:val="00B8111E"/>
    <w:rsid w:val="00B83781"/>
    <w:rsid w:val="00BC2634"/>
    <w:rsid w:val="00BD7815"/>
    <w:rsid w:val="00C564CD"/>
    <w:rsid w:val="00C63126"/>
    <w:rsid w:val="00C76272"/>
    <w:rsid w:val="00D03FC5"/>
    <w:rsid w:val="00D05D58"/>
    <w:rsid w:val="00D431F4"/>
    <w:rsid w:val="00D44D26"/>
    <w:rsid w:val="00D50819"/>
    <w:rsid w:val="00D8183C"/>
    <w:rsid w:val="00D94209"/>
    <w:rsid w:val="00DF707A"/>
    <w:rsid w:val="00E158F7"/>
    <w:rsid w:val="00E92AEB"/>
    <w:rsid w:val="00ED0741"/>
    <w:rsid w:val="00F007AD"/>
    <w:rsid w:val="00F03E4C"/>
    <w:rsid w:val="00F36414"/>
    <w:rsid w:val="00F5257D"/>
    <w:rsid w:val="00F81F1D"/>
    <w:rsid w:val="00FC3F22"/>
    <w:rsid w:val="00FF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DE17"/>
  <w15:chartTrackingRefBased/>
  <w15:docId w15:val="{03BC0B87-893C-4917-ABF3-B95D0D39B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RomanSlant8" w:eastAsiaTheme="minorHAnsi" w:hAnsi="LMRomanSlant8" w:cstheme="minorBidi"/>
        <w:i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630"/>
    <w:pPr>
      <w:spacing w:after="200"/>
      <w:jc w:val="both"/>
    </w:pPr>
    <w:rPr>
      <w:rFonts w:ascii="Times New Roman" w:hAnsi="Times New Roman"/>
      <w:i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6D7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6D7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6D70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46D7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A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A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A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A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A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B21D22"/>
    <w:rPr>
      <w:rFonts w:asciiTheme="minorHAnsi" w:hAnsiTheme="minorHAnsi"/>
      <w:i w:val="0"/>
      <w:sz w:val="24"/>
      <w:szCs w:val="24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rFonts w:ascii="Times New Roman" w:hAnsi="Times New Roman"/>
        <w:sz w:val="22"/>
      </w:rPr>
      <w:tblPr/>
      <w:tcPr>
        <w:tcBorders>
          <w:bottom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444D8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D8"/>
    <w:rPr>
      <w:rFonts w:ascii="Times New Roman" w:eastAsiaTheme="majorEastAsia" w:hAnsi="Times New Roman" w:cstheme="majorBidi"/>
      <w:b/>
      <w:i w:val="0"/>
      <w:spacing w:val="-10"/>
      <w:kern w:val="28"/>
      <w:sz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70"/>
    <w:rPr>
      <w:rFonts w:ascii="Times New Roman" w:eastAsiaTheme="majorEastAsia" w:hAnsi="Times New Roman" w:cstheme="majorBidi"/>
      <w:b/>
      <w:i w:val="0"/>
      <w:iCs/>
      <w:sz w:val="24"/>
    </w:rPr>
  </w:style>
  <w:style w:type="table" w:customStyle="1" w:styleId="Manu">
    <w:name w:val="Manu"/>
    <w:basedOn w:val="TableNormal"/>
    <w:uiPriority w:val="99"/>
    <w:rsid w:val="00D431F4"/>
    <w:rPr>
      <w:rFonts w:ascii="Times New Roman" w:eastAsiaTheme="minorEastAsia" w:hAnsi="Times New Roman"/>
      <w:i w:val="0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styleId="Caption">
    <w:name w:val="caption"/>
    <w:basedOn w:val="Normal"/>
    <w:link w:val="CaptionChar"/>
    <w:autoRedefine/>
    <w:qFormat/>
    <w:rsid w:val="00A60060"/>
    <w:pPr>
      <w:spacing w:after="0"/>
    </w:pPr>
    <w:rPr>
      <w:i/>
      <w:sz w:val="22"/>
      <w:szCs w:val="22"/>
      <w14:ligatures w14:val="standardContextual"/>
    </w:rPr>
  </w:style>
  <w:style w:type="character" w:customStyle="1" w:styleId="CaptionChar">
    <w:name w:val="Caption Char"/>
    <w:basedOn w:val="DefaultParagraphFont"/>
    <w:link w:val="Caption"/>
    <w:rsid w:val="00A60060"/>
    <w:rPr>
      <w:rFonts w:ascii="Times New Roman" w:hAnsi="Times New Roman"/>
    </w:rPr>
  </w:style>
  <w:style w:type="table" w:customStyle="1" w:styleId="Style2">
    <w:name w:val="Style2"/>
    <w:basedOn w:val="TableNormal"/>
    <w:uiPriority w:val="99"/>
    <w:rsid w:val="00097F73"/>
    <w:rPr>
      <w:rFonts w:ascii="Times New Roman" w:eastAsia="Arial" w:hAnsi="Times New Roman" w:cs="Arial"/>
      <w:i w:val="0"/>
      <w:szCs w:val="24"/>
      <w:lang w:eastAsia="en-GB"/>
      <w14:ligatures w14:val="none"/>
    </w:rPr>
    <w:tblPr>
      <w:tblBorders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887AFA"/>
    <w:rPr>
      <w:rFonts w:asciiTheme="minorHAnsi" w:eastAsiaTheme="majorEastAsia" w:hAnsiTheme="minorHAnsi" w:cstheme="majorBidi"/>
      <w:i w:val="0"/>
      <w:color w:val="0F4761" w:themeColor="accent1" w:themeShade="BF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AFA"/>
    <w:rPr>
      <w:rFonts w:asciiTheme="minorHAnsi" w:eastAsiaTheme="majorEastAsia" w:hAnsiTheme="minorHAnsi" w:cstheme="majorBidi"/>
      <w:iCs/>
      <w:color w:val="595959" w:themeColor="text1" w:themeTint="A6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AFA"/>
    <w:rPr>
      <w:rFonts w:asciiTheme="minorHAnsi" w:eastAsiaTheme="majorEastAsia" w:hAnsiTheme="minorHAnsi" w:cstheme="majorBidi"/>
      <w:i w:val="0"/>
      <w:color w:val="595959" w:themeColor="text1" w:themeTint="A6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AFA"/>
    <w:rPr>
      <w:rFonts w:asciiTheme="minorHAnsi" w:eastAsiaTheme="majorEastAsia" w:hAnsiTheme="minorHAnsi" w:cstheme="majorBidi"/>
      <w:iCs/>
      <w:color w:val="272727" w:themeColor="text1" w:themeTint="D8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AFA"/>
    <w:rPr>
      <w:rFonts w:asciiTheme="minorHAnsi" w:eastAsiaTheme="majorEastAsia" w:hAnsiTheme="minorHAnsi" w:cstheme="majorBidi"/>
      <w:i w:val="0"/>
      <w:color w:val="272727" w:themeColor="text1" w:themeTint="D8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A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AFA"/>
    <w:rPr>
      <w:rFonts w:asciiTheme="minorHAnsi" w:eastAsiaTheme="majorEastAsia" w:hAnsiTheme="minorHAnsi" w:cstheme="majorBidi"/>
      <w:i w:val="0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87A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AFA"/>
    <w:rPr>
      <w:rFonts w:ascii="Times New Roman" w:hAnsi="Times New Roman"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887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AFA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AFA"/>
    <w:rPr>
      <w:rFonts w:ascii="Times New Roman" w:hAnsi="Times New Roman"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87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Abdul-Wahab</dc:creator>
  <cp:keywords/>
  <dc:description/>
  <cp:lastModifiedBy>Dr. Ebenezer Asare</cp:lastModifiedBy>
  <cp:revision>6</cp:revision>
  <dcterms:created xsi:type="dcterms:W3CDTF">2026-05-13T18:09:00Z</dcterms:created>
  <dcterms:modified xsi:type="dcterms:W3CDTF">2026-05-15T09:11:00Z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2026-05-13T18:09:29Z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f5eefcdb-1752-47f9-8fe8-71fa465f7979</vt:lpwstr>
  </property>
  <property fmtid="{D5CDD505-2E9C-101B-9397-08002B2CF9AE}" pid="7" name="MSIP_Label_defa4170-0d19-0005-0004-bc88714345d2_ActionId">
    <vt:lpwstr>a141bc7e-abf2-4fe0-b781-200e44012e48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