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upplementary-information"/>
    <w:p>
      <w:pPr>
        <w:pStyle w:val="Heading1"/>
      </w:pPr>
      <w:r>
        <w:t xml:space="preserve">Supplementary Information</w:t>
      </w:r>
    </w:p>
    <w:p>
      <w:pPr>
        <w:pStyle w:val="FirstParagraph"/>
      </w:pPr>
      <w:r>
        <w:rPr>
          <w:b/>
          <w:bCs/>
        </w:rPr>
        <w:t xml:space="preserve">Hydrosheaf: A Reproducible Computational Framework for Inferring Directed Groundwater Hydrochemical Evolution Networks from Sparse Multitracer Data</w:t>
      </w:r>
    </w:p>
    <w:p>
      <w:pPr>
        <w:pStyle w:val="BodyText"/>
      </w:pPr>
      <w:r>
        <w:t xml:space="preserve">Dickson Abdul-Wahab, Ebenezer Aquisman Asare, Dickson Adomako, Gibrilla Abass, Samuel Ganyaglo</w:t>
      </w:r>
    </w:p>
    <w:p>
      <w:pPr>
        <w:pStyle w:val="BodyText"/>
      </w:pPr>
      <w:r>
        <w:t xml:space="preserve">This file accompanies the revised manuscript CAGEO-D-26-00847 (Computers and Geosciences). All values below were regenerated from the locked pipeline (git commit</w:t>
      </w:r>
      <w:r>
        <w:t xml:space="preserve"> </w:t>
      </w:r>
      <w:r>
        <w:rPr>
          <w:rStyle w:val="VerbatimChar"/>
        </w:rPr>
        <w:t xml:space="preserve">463e1ce</w:t>
      </w:r>
      <w:r>
        <w:t xml:space="preserve">, Python 3.14 environment,</w:t>
      </w:r>
      <w:r>
        <w:t xml:space="preserve"> </w:t>
      </w:r>
      <w:r>
        <w:rPr>
          <w:rStyle w:val="VerbatimChar"/>
        </w:rPr>
        <w:t xml:space="preserve">M2/m2_benchmark</w:t>
      </w:r>
      <w:r>
        <w:t xml:space="preserve"> </w:t>
      </w:r>
      <w:r>
        <w:t xml:space="preserve">and</w:t>
      </w:r>
      <w:r>
        <w:t xml:space="preserve"> </w:t>
      </w:r>
      <w:r>
        <w:rPr>
          <w:rStyle w:val="VerbatimChar"/>
        </w:rPr>
        <w:t xml:space="preserve">M3/m3_age_benchmark</w:t>
      </w:r>
      <w:r>
        <w:t xml:space="preserve"> </w:t>
      </w:r>
      <w:r>
        <w:t xml:space="preserve">runners); see the manuscript’s metric audit appendix for provenance.</w:t>
      </w:r>
    </w:p>
    <w:bookmarkStart w:id="9" w:name="X165f3c792bda4bc56a442e4af4b7a45bdb2d753"/>
    <w:p>
      <w:pPr>
        <w:pStyle w:val="Heading2"/>
      </w:pPr>
      <w:r>
        <w:t xml:space="preserve">Supplementary Table S1. Input data schema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 type</w:t>
            </w:r>
          </w:p>
        </w:tc>
        <w:tc>
          <w:tcPr/>
          <w:p>
            <w:pPr>
              <w:pStyle w:val="Compact"/>
            </w:pPr>
            <w:r>
              <w:t xml:space="preserve">Required field</w:t>
            </w:r>
          </w:p>
        </w:tc>
        <w:tc>
          <w:tcPr/>
          <w:p>
            <w:pPr>
              <w:pStyle w:val="Compact"/>
            </w:pPr>
            <w:r>
              <w:t xml:space="preserve">Unit</w:t>
            </w:r>
          </w:p>
        </w:tc>
        <w:tc>
          <w:tcPr/>
          <w:p>
            <w:pPr>
              <w:pStyle w:val="Compact"/>
            </w:pPr>
            <w:r>
              <w:t xml:space="preserve">Required/optional</w:t>
            </w:r>
          </w:p>
        </w:tc>
        <w:tc>
          <w:tcPr/>
          <w:p>
            <w:pPr>
              <w:pStyle w:val="Compact"/>
            </w:pPr>
            <w:r>
              <w:t xml:space="preserve">QC rule</w:t>
            </w:r>
          </w:p>
        </w:tc>
        <w:tc>
          <w:tcPr/>
          <w:p>
            <w:pPr>
              <w:pStyle w:val="Compact"/>
            </w:pPr>
            <w:r>
              <w:t xml:space="preserve">Used in module</w:t>
            </w:r>
          </w:p>
        </w:tc>
      </w:tr>
      <w:tr>
        <w:tc>
          <w:tcPr/>
          <w:p>
            <w:pPr>
              <w:pStyle w:val="Compact"/>
            </w:pPr>
            <w:r>
              <w:t xml:space="preserve">Location</w:t>
            </w:r>
          </w:p>
        </w:tc>
        <w:tc>
          <w:tcPr/>
          <w:p>
            <w:pPr>
              <w:pStyle w:val="Compact"/>
            </w:pPr>
            <w:r>
              <w:t xml:space="preserve">latitude/longitude or x/y</w:t>
            </w:r>
          </w:p>
        </w:tc>
        <w:tc>
          <w:tcPr/>
          <w:p>
            <w:pPr>
              <w:pStyle w:val="Compact"/>
            </w:pPr>
            <w:r>
              <w:t xml:space="preserve">decimal degrees or projected</w:t>
            </w:r>
          </w:p>
        </w:tc>
        <w:tc>
          <w:tcPr/>
          <w:p>
            <w:pPr>
              <w:pStyle w:val="Compact"/>
            </w:pPr>
            <w:r>
              <w:t xml:space="preserve">required</w:t>
            </w:r>
          </w:p>
        </w:tc>
        <w:tc>
          <w:tcPr/>
          <w:p>
            <w:pPr>
              <w:pStyle w:val="Compact"/>
            </w:pPr>
            <w:r>
              <w:t xml:space="preserve">valid coordinate range</w:t>
            </w:r>
          </w:p>
        </w:tc>
        <w:tc>
          <w:tcPr/>
          <w:p>
            <w:pPr>
              <w:pStyle w:val="Compact"/>
            </w:pPr>
            <w:r>
              <w:t xml:space="preserve">graph</w:t>
            </w:r>
          </w:p>
        </w:tc>
      </w:tr>
      <w:tr>
        <w:tc>
          <w:tcPr/>
          <w:p>
            <w:pPr>
              <w:pStyle w:val="Compact"/>
            </w:pPr>
            <w:r>
              <w:t xml:space="preserve">Elevation/head</w:t>
            </w:r>
          </w:p>
        </w:tc>
        <w:tc>
          <w:tcPr/>
          <w:p>
            <w:pPr>
              <w:pStyle w:val="Compact"/>
            </w:pPr>
            <w:r>
              <w:t xml:space="preserve">elevation, head_m</w:t>
            </w:r>
          </w:p>
        </w:tc>
        <w:tc>
          <w:tcPr/>
          <w:p>
            <w:pPr>
              <w:pStyle w:val="Compact"/>
            </w:pPr>
            <w:r>
              <w:t xml:space="preserve">m</w:t>
            </w:r>
          </w:p>
        </w:tc>
        <w:tc>
          <w:tcPr/>
          <w:p>
            <w:pPr>
              <w:pStyle w:val="Compact"/>
            </w:pPr>
            <w:r>
              <w:t xml:space="preserve">recommended</w:t>
            </w:r>
          </w:p>
        </w:tc>
        <w:tc>
          <w:tcPr/>
          <w:p>
            <w:pPr>
              <w:pStyle w:val="Compact"/>
            </w:pPr>
            <w:r>
              <w:t xml:space="preserve">non-missing preferred</w:t>
            </w:r>
          </w:p>
        </w:tc>
        <w:tc>
          <w:tcPr/>
          <w:p>
            <w:pPr>
              <w:pStyle w:val="Compact"/>
            </w:pPr>
            <w:r>
              <w:t xml:space="preserve">topology</w:t>
            </w:r>
          </w:p>
        </w:tc>
      </w:tr>
      <w:tr>
        <w:tc>
          <w:tcPr/>
          <w:p>
            <w:pPr>
              <w:pStyle w:val="Compact"/>
            </w:pPr>
            <w:r>
              <w:t xml:space="preserve">Major ions</w:t>
            </w:r>
          </w:p>
        </w:tc>
        <w:tc>
          <w:tcPr/>
          <w:p>
            <w:pPr>
              <w:pStyle w:val="Compact"/>
            </w:pPr>
            <w:r>
              <w:t xml:space="preserve">Ca, Mg, Na, K, HCO3, Cl, SO4, NO3</w:t>
            </w:r>
          </w:p>
        </w:tc>
        <w:tc>
          <w:tcPr/>
          <w:p>
            <w:pPr>
              <w:pStyle w:val="Compact"/>
            </w:pPr>
            <w:r>
              <w:t xml:space="preserve">mmol/L or mg/L</w:t>
            </w:r>
          </w:p>
        </w:tc>
        <w:tc>
          <w:tcPr/>
          <w:p>
            <w:pPr>
              <w:pStyle w:val="Compact"/>
            </w:pPr>
            <w:r>
              <w:t xml:space="preserve">required</w:t>
            </w:r>
          </w:p>
        </w:tc>
        <w:tc>
          <w:tcPr/>
          <w:p>
            <w:pPr>
              <w:pStyle w:val="Compact"/>
            </w:pPr>
            <w:r>
              <w:t xml:space="preserve">charge-balance screening</w:t>
            </w:r>
          </w:p>
        </w:tc>
        <w:tc>
          <w:tcPr/>
          <w:p>
            <w:pPr>
              <w:pStyle w:val="Compact"/>
            </w:pPr>
            <w:r>
              <w:t xml:space="preserve">chemistry</w:t>
            </w:r>
          </w:p>
        </w:tc>
      </w:tr>
      <w:tr>
        <w:tc>
          <w:tcPr/>
          <w:p>
            <w:pPr>
              <w:pStyle w:val="Compact"/>
            </w:pPr>
            <w:r>
              <w:t xml:space="preserve">Trace tracers</w:t>
            </w:r>
          </w:p>
        </w:tc>
        <w:tc>
          <w:tcPr/>
          <w:p>
            <w:pPr>
              <w:pStyle w:val="Compact"/>
            </w:pPr>
            <w:r>
              <w:t xml:space="preserve">F, Fe, PO4, Br, NH4</w:t>
            </w:r>
          </w:p>
        </w:tc>
        <w:tc>
          <w:tcPr/>
          <w:p>
            <w:pPr>
              <w:pStyle w:val="Compact"/>
            </w:pPr>
            <w:r>
              <w:t xml:space="preserve">mg/L or ug/L</w:t>
            </w:r>
          </w:p>
        </w:tc>
        <w:tc>
          <w:tcPr/>
          <w:p>
            <w:pPr>
              <w:pStyle w:val="Compact"/>
            </w:pPr>
            <w:r>
              <w:t xml:space="preserve">optional</w:t>
            </w:r>
          </w:p>
        </w:tc>
        <w:tc>
          <w:tcPr/>
          <w:p>
            <w:pPr>
              <w:pStyle w:val="Compact"/>
            </w:pPr>
            <w:r>
              <w:t xml:space="preserve">detection-limit handling</w:t>
            </w:r>
          </w:p>
        </w:tc>
        <w:tc>
          <w:tcPr/>
          <w:p>
            <w:pPr>
              <w:pStyle w:val="Compact"/>
            </w:pPr>
            <w:r>
              <w:t xml:space="preserve">logic gates</w:t>
            </w:r>
          </w:p>
        </w:tc>
      </w:tr>
      <w:tr>
        <w:tc>
          <w:tcPr/>
          <w:p>
            <w:pPr>
              <w:pStyle w:val="Compact"/>
            </w:pPr>
            <w:r>
              <w:t xml:space="preserve">Isotopes</w:t>
            </w:r>
          </w:p>
        </w:tc>
        <w:tc>
          <w:tcPr/>
          <w:p>
            <w:pPr>
              <w:pStyle w:val="Compact"/>
            </w:pPr>
            <w:r>
              <w:t xml:space="preserve">3H, 14C, d18O, d2H</w:t>
            </w:r>
          </w:p>
        </w:tc>
        <w:tc>
          <w:tcPr/>
          <w:p>
            <w:pPr>
              <w:pStyle w:val="Compact"/>
            </w:pPr>
            <w:r>
              <w:t xml:space="preserve">TU, pmC, permil</w:t>
            </w:r>
          </w:p>
        </w:tc>
        <w:tc>
          <w:tcPr/>
          <w:p>
            <w:pPr>
              <w:pStyle w:val="Compact"/>
            </w:pPr>
            <w:r>
              <w:t xml:space="preserve">optional/enhanced</w:t>
            </w:r>
          </w:p>
        </w:tc>
        <w:tc>
          <w:tcPr/>
          <w:p>
            <w:pPr>
              <w:pStyle w:val="Compact"/>
            </w:pPr>
            <w:r>
              <w:t xml:space="preserve">tracer range check</w:t>
            </w:r>
          </w:p>
        </w:tc>
        <w:tc>
          <w:tcPr/>
          <w:p>
            <w:pPr>
              <w:pStyle w:val="Compact"/>
            </w:pPr>
            <w:r>
              <w:t xml:space="preserve">age</w:t>
            </w:r>
          </w:p>
        </w:tc>
      </w:tr>
      <w:tr>
        <w:tc>
          <w:tcPr/>
          <w:p>
            <w:pPr>
              <w:pStyle w:val="Compact"/>
            </w:pPr>
            <w:r>
              <w:t xml:space="preserve">Field parameters</w:t>
            </w:r>
          </w:p>
        </w:tc>
        <w:tc>
          <w:tcPr/>
          <w:p>
            <w:pPr>
              <w:pStyle w:val="Compact"/>
            </w:pPr>
            <w:r>
              <w:t xml:space="preserve">pH, EC, temperature, DO/Eh</w:t>
            </w:r>
          </w:p>
        </w:tc>
        <w:tc>
          <w:tcPr/>
          <w:p>
            <w:pPr>
              <w:pStyle w:val="Compact"/>
            </w:pPr>
            <w:r>
              <w:t xml:space="preserve">field units</w:t>
            </w:r>
          </w:p>
        </w:tc>
        <w:tc>
          <w:tcPr/>
          <w:p>
            <w:pPr>
              <w:pStyle w:val="Compact"/>
            </w:pPr>
            <w:r>
              <w:t xml:space="preserve">recommended</w:t>
            </w:r>
          </w:p>
        </w:tc>
        <w:tc>
          <w:tcPr/>
          <w:p>
            <w:pPr>
              <w:pStyle w:val="Compact"/>
            </w:pPr>
            <w:r>
              <w:t xml:space="preserve">field range check</w:t>
            </w:r>
          </w:p>
        </w:tc>
        <w:tc>
          <w:tcPr/>
          <w:p>
            <w:pPr>
              <w:pStyle w:val="Compact"/>
            </w:pPr>
            <w:r>
              <w:t xml:space="preserve">geochemistry</w:t>
            </w:r>
          </w:p>
        </w:tc>
      </w:tr>
    </w:tbl>
    <w:bookmarkEnd w:id="9"/>
    <w:bookmarkStart w:id="10" w:name="Xc8e8900a601299b994538f3f4a5f7ff2439b28d"/>
    <w:p>
      <w:pPr>
        <w:pStyle w:val="Heading2"/>
      </w:pPr>
      <w:r>
        <w:t xml:space="preserve">Supplementary Table S2. Reaction dictionary (benchmark configuration)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Process family</w:t>
            </w:r>
          </w:p>
        </w:tc>
        <w:tc>
          <w:tcPr/>
          <w:p>
            <w:pPr>
              <w:pStyle w:val="Compact"/>
            </w:pPr>
            <w:r>
              <w:t xml:space="preserve">Reaction/process term</w:t>
            </w:r>
          </w:p>
        </w:tc>
        <w:tc>
          <w:tcPr/>
          <w:p>
            <w:pPr>
              <w:pStyle w:val="Compact"/>
            </w:pPr>
            <w:r>
              <w:t xml:space="preserve">Chemical signature</w:t>
            </w:r>
          </w:p>
        </w:tc>
        <w:tc>
          <w:tcPr/>
          <w:p>
            <w:pPr>
              <w:pStyle w:val="Compact"/>
            </w:pPr>
            <w:r>
              <w:t xml:space="preserve">PHREEQC/SI rule</w:t>
            </w:r>
          </w:p>
        </w:tc>
        <w:tc>
          <w:tcPr/>
          <w:p>
            <w:pPr>
              <w:pStyle w:val="Compact"/>
            </w:pPr>
            <w:r>
              <w:t xml:space="preserve">Allowed direction</w:t>
            </w:r>
          </w:p>
        </w:tc>
      </w:tr>
      <w:tr>
        <w:tc>
          <w:tcPr/>
          <w:p>
            <w:pPr>
              <w:pStyle w:val="Compact"/>
            </w:pPr>
            <w:r>
              <w:t xml:space="preserve">carbonate dissolution</w:t>
            </w:r>
          </w:p>
        </w:tc>
        <w:tc>
          <w:tcPr/>
          <w:p>
            <w:pPr>
              <w:pStyle w:val="Compact"/>
            </w:pPr>
            <w:r>
              <w:t xml:space="preserve">calcite</w:t>
            </w:r>
          </w:p>
        </w:tc>
        <w:tc>
          <w:tcPr/>
          <w:p>
            <w:pPr>
              <w:pStyle w:val="Compact"/>
            </w:pPr>
            <w:r>
              <w:t xml:space="preserve">Ca, HCO3</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carbonate dissolution</w:t>
            </w:r>
          </w:p>
        </w:tc>
        <w:tc>
          <w:tcPr/>
          <w:p>
            <w:pPr>
              <w:pStyle w:val="Compact"/>
            </w:pPr>
            <w:r>
              <w:t xml:space="preserve">dolomite</w:t>
            </w:r>
          </w:p>
        </w:tc>
        <w:tc>
          <w:tcPr/>
          <w:p>
            <w:pPr>
              <w:pStyle w:val="Compact"/>
            </w:pPr>
            <w:r>
              <w:t xml:space="preserve">Ca, HCO3, Mg</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evaporite dissolution</w:t>
            </w:r>
          </w:p>
        </w:tc>
        <w:tc>
          <w:tcPr/>
          <w:p>
            <w:pPr>
              <w:pStyle w:val="Compact"/>
            </w:pPr>
            <w:r>
              <w:t xml:space="preserve">gypsum</w:t>
            </w:r>
          </w:p>
        </w:tc>
        <w:tc>
          <w:tcPr/>
          <w:p>
            <w:pPr>
              <w:pStyle w:val="Compact"/>
            </w:pPr>
            <w:r>
              <w:t xml:space="preserve">Ca, SO4</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evaporite dissolution</w:t>
            </w:r>
          </w:p>
        </w:tc>
        <w:tc>
          <w:tcPr/>
          <w:p>
            <w:pPr>
              <w:pStyle w:val="Compact"/>
            </w:pPr>
            <w:r>
              <w:t xml:space="preserve">halite</w:t>
            </w:r>
          </w:p>
        </w:tc>
        <w:tc>
          <w:tcPr/>
          <w:p>
            <w:pPr>
              <w:pStyle w:val="Compact"/>
            </w:pPr>
            <w:r>
              <w:t xml:space="preserve">Cl, Na</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silicate weathering</w:t>
            </w:r>
          </w:p>
        </w:tc>
        <w:tc>
          <w:tcPr/>
          <w:p>
            <w:pPr>
              <w:pStyle w:val="Compact"/>
            </w:pPr>
            <w:r>
              <w:t xml:space="preserve">albite</w:t>
            </w:r>
          </w:p>
        </w:tc>
        <w:tc>
          <w:tcPr/>
          <w:p>
            <w:pPr>
              <w:pStyle w:val="Compact"/>
            </w:pPr>
            <w:r>
              <w:t xml:space="preserve">HCO3, Na</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redox process</w:t>
            </w:r>
          </w:p>
        </w:tc>
        <w:tc>
          <w:tcPr/>
          <w:p>
            <w:pPr>
              <w:pStyle w:val="Compact"/>
            </w:pPr>
            <w:r>
              <w:t xml:space="preserve">pyrite oxidation (pyrite_net)</w:t>
            </w:r>
          </w:p>
        </w:tc>
        <w:tc>
          <w:tcPr/>
          <w:p>
            <w:pPr>
              <w:pStyle w:val="Compact"/>
            </w:pPr>
            <w:r>
              <w:t xml:space="preserve">Fe, SO4</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nitrate input</w:t>
            </w:r>
          </w:p>
        </w:tc>
        <w:tc>
          <w:tcPr/>
          <w:p>
            <w:pPr>
              <w:pStyle w:val="Compact"/>
            </w:pPr>
            <w:r>
              <w:t xml:space="preserve">NO3src</w:t>
            </w:r>
          </w:p>
        </w:tc>
        <w:tc>
          <w:tcPr/>
          <w:p>
            <w:pPr>
              <w:pStyle w:val="Compact"/>
            </w:pPr>
            <w:r>
              <w:t xml:space="preserve">NO3</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redox process</w:t>
            </w:r>
          </w:p>
        </w:tc>
        <w:tc>
          <w:tcPr/>
          <w:p>
            <w:pPr>
              <w:pStyle w:val="Compact"/>
            </w:pPr>
            <w:r>
              <w:t xml:space="preserve">denitrification (denit)</w:t>
            </w:r>
          </w:p>
        </w:tc>
        <w:tc>
          <w:tcPr/>
          <w:p>
            <w:pPr>
              <w:pStyle w:val="Compact"/>
            </w:pPr>
            <w:r>
              <w:t xml:space="preserve">HCO3, NO3</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redox process</w:t>
            </w:r>
          </w:p>
        </w:tc>
        <w:tc>
          <w:tcPr/>
          <w:p>
            <w:pPr>
              <w:pStyle w:val="Compact"/>
            </w:pPr>
            <w:r>
              <w:t xml:space="preserve">sulfate_reduction, iron_reduction</w:t>
            </w:r>
          </w:p>
        </w:tc>
        <w:tc>
          <w:tcPr/>
          <w:p>
            <w:pPr>
              <w:pStyle w:val="Compact"/>
            </w:pPr>
            <w:r>
              <w:t xml:space="preserve">SO4, Fe</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ion exchange</w:t>
            </w:r>
          </w:p>
        </w:tc>
        <w:tc>
          <w:tcPr/>
          <w:p>
            <w:pPr>
              <w:pStyle w:val="Compact"/>
            </w:pPr>
            <w:r>
              <w:t xml:space="preserve">CaNa_exch</w:t>
            </w:r>
          </w:p>
        </w:tc>
        <w:tc>
          <w:tcPr/>
          <w:p>
            <w:pPr>
              <w:pStyle w:val="Compact"/>
            </w:pPr>
            <w:r>
              <w:t xml:space="preserve">Ca, Na</w:t>
            </w:r>
          </w:p>
        </w:tc>
        <w:tc>
          <w:tcPr/>
          <w:p>
            <w:pPr>
              <w:pStyle w:val="Compact"/>
            </w:pPr>
            <w:r>
              <w:t xml:space="preserve">SI/forward check when available</w:t>
            </w:r>
          </w:p>
        </w:tc>
        <w:tc>
          <w:tcPr/>
          <w:p>
            <w:pPr>
              <w:pStyle w:val="Compact"/>
            </w:pPr>
            <w:r>
              <w:t xml:space="preserve">signed</w:t>
            </w:r>
          </w:p>
        </w:tc>
      </w:tr>
      <w:tr>
        <w:tc>
          <w:tcPr/>
          <w:p>
            <w:pPr>
              <w:pStyle w:val="Compact"/>
            </w:pPr>
            <w:r>
              <w:t xml:space="preserve">ion exchange</w:t>
            </w:r>
          </w:p>
        </w:tc>
        <w:tc>
          <w:tcPr/>
          <w:p>
            <w:pPr>
              <w:pStyle w:val="Compact"/>
            </w:pPr>
            <w:r>
              <w:t xml:space="preserve">NaCa_exch</w:t>
            </w:r>
          </w:p>
        </w:tc>
        <w:tc>
          <w:tcPr/>
          <w:p>
            <w:pPr>
              <w:pStyle w:val="Compact"/>
            </w:pPr>
            <w:r>
              <w:t xml:space="preserve">Ca, Na</w:t>
            </w:r>
          </w:p>
        </w:tc>
        <w:tc>
          <w:tcPr/>
          <w:p>
            <w:pPr>
              <w:pStyle w:val="Compact"/>
            </w:pPr>
            <w:r>
              <w:t xml:space="preserve">SI/forward check when available</w:t>
            </w:r>
          </w:p>
        </w:tc>
        <w:tc>
          <w:tcPr/>
          <w:p>
            <w:pPr>
              <w:pStyle w:val="Compact"/>
            </w:pPr>
            <w:r>
              <w:t xml:space="preserve">nonnegative</w:t>
            </w:r>
          </w:p>
        </w:tc>
      </w:tr>
      <w:tr>
        <w:tc>
          <w:tcPr/>
          <w:p>
            <w:pPr>
              <w:pStyle w:val="Compact"/>
            </w:pPr>
            <w:r>
              <w:t xml:space="preserve">ion exchange</w:t>
            </w:r>
          </w:p>
        </w:tc>
        <w:tc>
          <w:tcPr/>
          <w:p>
            <w:pPr>
              <w:pStyle w:val="Compact"/>
            </w:pPr>
            <w:r>
              <w:t xml:space="preserve">MgNa_exch</w:t>
            </w:r>
          </w:p>
        </w:tc>
        <w:tc>
          <w:tcPr/>
          <w:p>
            <w:pPr>
              <w:pStyle w:val="Compact"/>
            </w:pPr>
            <w:r>
              <w:t xml:space="preserve">Mg, Na</w:t>
            </w:r>
          </w:p>
        </w:tc>
        <w:tc>
          <w:tcPr/>
          <w:p>
            <w:pPr>
              <w:pStyle w:val="Compact"/>
            </w:pPr>
            <w:r>
              <w:t xml:space="preserve">SI/forward check when available</w:t>
            </w:r>
          </w:p>
        </w:tc>
        <w:tc>
          <w:tcPr/>
          <w:p>
            <w:pPr>
              <w:pStyle w:val="Compact"/>
            </w:pPr>
            <w:r>
              <w:t xml:space="preserve">signed</w:t>
            </w:r>
          </w:p>
        </w:tc>
      </w:tr>
      <w:tr>
        <w:tc>
          <w:tcPr/>
          <w:p>
            <w:pPr>
              <w:pStyle w:val="Compact"/>
            </w:pPr>
            <w:r>
              <w:t xml:space="preserve">ion exchange</w:t>
            </w:r>
          </w:p>
        </w:tc>
        <w:tc>
          <w:tcPr/>
          <w:p>
            <w:pPr>
              <w:pStyle w:val="Compact"/>
            </w:pPr>
            <w:r>
              <w:t xml:space="preserve">NaMg_exch</w:t>
            </w:r>
          </w:p>
        </w:tc>
        <w:tc>
          <w:tcPr/>
          <w:p>
            <w:pPr>
              <w:pStyle w:val="Compact"/>
            </w:pPr>
            <w:r>
              <w:t xml:space="preserve">Mg, Na</w:t>
            </w:r>
          </w:p>
        </w:tc>
        <w:tc>
          <w:tcPr/>
          <w:p>
            <w:pPr>
              <w:pStyle w:val="Compact"/>
            </w:pPr>
            <w:r>
              <w:t xml:space="preserve">SI/forward check when available</w:t>
            </w:r>
          </w:p>
        </w:tc>
        <w:tc>
          <w:tcPr/>
          <w:p>
            <w:pPr>
              <w:pStyle w:val="Compact"/>
            </w:pPr>
            <w:r>
              <w:t xml:space="preserve">nonnegative</w:t>
            </w:r>
          </w:p>
        </w:tc>
      </w:tr>
    </w:tbl>
    <w:p>
      <w:pPr>
        <w:pStyle w:val="BodyText"/>
      </w:pPr>
      <w:r>
        <w:t xml:space="preserve">Note: the benchmark dictionary is 14 reactions × 11 ions (Ca, Mg, Na, K, HCO3, Cl, SO4, NO3, F, Fe, Br per the locked configuration). The dictionary is rank-deficient (rank 8 of 11, condition number infinite) — see Supplementary Tables S6-S8 and Section 4.2 of the main text.</w:t>
      </w:r>
    </w:p>
    <w:bookmarkEnd w:id="10"/>
    <w:bookmarkStart w:id="11" w:name="Xf451cc98b9b2c212a96be0f3bd39f7ee42cfa95"/>
    <w:p>
      <w:pPr>
        <w:pStyle w:val="Heading2"/>
      </w:pPr>
      <w:r>
        <w:t xml:space="preserve">Supplementary Table S3. Locked parameter defaults (main text Section 2 and Table S3)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Value/range</w:t>
            </w:r>
          </w:p>
        </w:tc>
        <w:tc>
          <w:tcPr/>
          <w:p>
            <w:pPr>
              <w:pStyle w:val="Compact"/>
            </w:pPr>
            <w:r>
              <w:t xml:space="preserve">Used in module</w:t>
            </w:r>
          </w:p>
        </w:tc>
        <w:tc>
          <w:tcPr/>
          <w:p>
            <w:pPr>
              <w:pStyle w:val="Compact"/>
            </w:pPr>
            <w:r>
              <w:t xml:space="preserve">Scientific rationale</w:t>
            </w:r>
          </w:p>
        </w:tc>
      </w:tr>
      <w:tr>
        <w:tc>
          <w:tcPr/>
          <w:p>
            <w:pPr>
              <w:pStyle w:val="Compact"/>
            </w:pPr>
            <w:r>
              <w:t xml:space="preserve">n_realisations</w:t>
            </w:r>
          </w:p>
        </w:tc>
        <w:tc>
          <w:tcPr/>
          <w:p>
            <w:pPr>
              <w:pStyle w:val="Compact"/>
            </w:pPr>
            <w:r>
              <w:t xml:space="preserve">100</w:t>
            </w:r>
          </w:p>
        </w:tc>
        <w:tc>
          <w:tcPr/>
          <w:p>
            <w:pPr>
              <w:pStyle w:val="Compact"/>
            </w:pPr>
            <w:r>
              <w:t xml:space="preserve">benchmark</w:t>
            </w:r>
          </w:p>
        </w:tc>
        <w:tc>
          <w:tcPr/>
          <w:p>
            <w:pPr>
              <w:pStyle w:val="Compact"/>
            </w:pPr>
            <w:r>
              <w:t xml:space="preserve">Monte Carlo recovery ensemble</w:t>
            </w:r>
          </w:p>
        </w:tc>
      </w:tr>
      <w:tr>
        <w:tc>
          <w:tcPr/>
          <w:p>
            <w:pPr>
              <w:pStyle w:val="Compact"/>
            </w:pPr>
            <w:r>
              <w:t xml:space="preserve">lambda_l1 (default)</w:t>
            </w:r>
          </w:p>
        </w:tc>
        <w:tc>
          <w:tcPr/>
          <w:p>
            <w:pPr>
              <w:pStyle w:val="Compact"/>
            </w:pPr>
            <w:r>
              <w:t xml:space="preserve">0.002</w:t>
            </w:r>
          </w:p>
        </w:tc>
        <w:tc>
          <w:tcPr/>
          <w:p>
            <w:pPr>
              <w:pStyle w:val="Compact"/>
            </w:pPr>
            <w:r>
              <w:t xml:space="preserve">sparse inversion</w:t>
            </w:r>
          </w:p>
        </w:tc>
        <w:tc>
          <w:tcPr/>
          <w:p>
            <w:pPr>
              <w:pStyle w:val="Compact"/>
            </w:pPr>
            <w:r>
              <w:t xml:space="preserve">default sparse-recovery penalty</w:t>
            </w:r>
          </w:p>
        </w:tc>
      </w:tr>
      <w:tr>
        <w:tc>
          <w:tcPr/>
          <w:p>
            <w:pPr>
              <w:pStyle w:val="Compact"/>
            </w:pPr>
            <w:r>
              <w:t xml:space="preserve">AICc-selected lambda</w:t>
            </w:r>
          </w:p>
        </w:tc>
        <w:tc>
          <w:tcPr/>
          <w:p>
            <w:pPr>
              <w:pStyle w:val="Compact"/>
            </w:pPr>
            <w:r>
              <w:t xml:space="preserve">0.0483 (both field sites)</w:t>
            </w:r>
          </w:p>
        </w:tc>
        <w:tc>
          <w:tcPr/>
          <w:p>
            <w:pPr>
              <w:pStyle w:val="Compact"/>
            </w:pPr>
            <w:r>
              <w:t xml:space="preserve">site model selection</w:t>
            </w:r>
          </w:p>
        </w:tc>
        <w:tc>
          <w:tcPr/>
          <w:p>
            <w:pPr>
              <w:pStyle w:val="Compact"/>
            </w:pPr>
            <w:r>
              <w:t xml:space="preserve">AICc minimum on the regularization path (generic dictionary)</w:t>
            </w:r>
          </w:p>
        </w:tc>
      </w:tr>
      <w:tr>
        <w:tc>
          <w:tcPr/>
          <w:p>
            <w:pPr>
              <w:pStyle w:val="Compact"/>
            </w:pPr>
            <w:r>
              <w:t xml:space="preserve">lambda_l2 (Tikhonov)</w:t>
            </w:r>
          </w:p>
        </w:tc>
        <w:tc>
          <w:tcPr/>
          <w:p>
            <w:pPr>
              <w:pStyle w:val="Compact"/>
            </w:pPr>
            <w:r>
              <w:t xml:space="preserve">0.0 (ridge floor ~1e-10 added)</w:t>
            </w:r>
          </w:p>
        </w:tc>
        <w:tc>
          <w:tcPr/>
          <w:p>
            <w:pPr>
              <w:pStyle w:val="Compact"/>
            </w:pPr>
            <w:r>
              <w:t xml:space="preserve">sparse inversion</w:t>
            </w:r>
          </w:p>
        </w:tc>
        <w:tc>
          <w:tcPr/>
          <w:p>
            <w:pPr>
              <w:pStyle w:val="Compact"/>
            </w:pPr>
            <w:r>
              <w:t xml:space="preserve">fixed stabilisation, not optimised with lambda_1</w:t>
            </w:r>
          </w:p>
        </w:tc>
      </w:tr>
      <w:tr>
        <w:tc>
          <w:tcPr/>
          <w:p>
            <w:pPr>
              <w:pStyle w:val="Compact"/>
            </w:pPr>
            <w:r>
              <w:t xml:space="preserve">major_ion_rel_sigma</w:t>
            </w:r>
          </w:p>
        </w:tc>
        <w:tc>
          <w:tcPr/>
          <w:p>
            <w:pPr>
              <w:pStyle w:val="Compact"/>
            </w:pPr>
            <w:r>
              <w:t xml:space="preserve">0.04</w:t>
            </w:r>
          </w:p>
        </w:tc>
        <w:tc>
          <w:tcPr/>
          <w:p>
            <w:pPr>
              <w:pStyle w:val="Compact"/>
            </w:pPr>
            <w:r>
              <w:t xml:space="preserve">synthetic data</w:t>
            </w:r>
          </w:p>
        </w:tc>
        <w:tc>
          <w:tcPr/>
          <w:p>
            <w:pPr>
              <w:pStyle w:val="Compact"/>
            </w:pPr>
            <w:r>
              <w:t xml:space="preserve">configurable default for routine major-ion analytical precision</w:t>
            </w:r>
          </w:p>
        </w:tc>
      </w:tr>
      <w:tr>
        <w:tc>
          <w:tcPr/>
          <w:p>
            <w:pPr>
              <w:pStyle w:val="Compact"/>
            </w:pPr>
            <w:r>
              <w:t xml:space="preserve">isotope_sigma_permil</w:t>
            </w:r>
          </w:p>
        </w:tc>
        <w:tc>
          <w:tcPr/>
          <w:p>
            <w:pPr>
              <w:pStyle w:val="Compact"/>
            </w:pPr>
            <w:r>
              <w:t xml:space="preserve">0.50</w:t>
            </w:r>
          </w:p>
        </w:tc>
        <w:tc>
          <w:tcPr/>
          <w:p>
            <w:pPr>
              <w:pStyle w:val="Compact"/>
            </w:pPr>
            <w:r>
              <w:t xml:space="preserve">isotope validation</w:t>
            </w:r>
          </w:p>
        </w:tc>
        <w:tc>
          <w:tcPr/>
          <w:p>
            <w:pPr>
              <w:pStyle w:val="Compact"/>
            </w:pPr>
            <w:r>
              <w:t xml:space="preserve">configurable default for stable-isotope measurement noise</w:t>
            </w:r>
          </w:p>
        </w:tc>
      </w:tr>
      <w:tr>
        <w:tc>
          <w:tcPr/>
          <w:p>
            <w:pPr>
              <w:pStyle w:val="Compact"/>
            </w:pPr>
            <w:r>
              <w:t xml:space="preserve">transport_models_enabled</w:t>
            </w:r>
          </w:p>
        </w:tc>
        <w:tc>
          <w:tcPr/>
          <w:p>
            <w:pPr>
              <w:pStyle w:val="Compact"/>
            </w:pPr>
            <w:r>
              <w:t xml:space="preserve">evap, mix</w:t>
            </w:r>
          </w:p>
        </w:tc>
        <w:tc>
          <w:tcPr/>
          <w:p>
            <w:pPr>
              <w:pStyle w:val="Compact"/>
            </w:pPr>
            <w:r>
              <w:t xml:space="preserve">edge fitting</w:t>
            </w:r>
          </w:p>
        </w:tc>
        <w:tc>
          <w:tcPr/>
          <w:p>
            <w:pPr>
              <w:pStyle w:val="Compact"/>
            </w:pPr>
            <w:r>
              <w:t xml:space="preserve">minimum transport alternatives; both fitted, better-fitting candidate selected by the combined weighted objective (transport + residual chemistry + L1/EC-TDS/isotope/kinetic penalties)</w:t>
            </w:r>
          </w:p>
        </w:tc>
      </w:tr>
      <w:tr>
        <w:tc>
          <w:tcPr/>
          <w:p>
            <w:pPr>
              <w:pStyle w:val="Compact"/>
            </w:pPr>
            <w:r>
              <w:t xml:space="preserve">edge_max_neighbors</w:t>
            </w:r>
          </w:p>
        </w:tc>
        <w:tc>
          <w:tcPr/>
          <w:p>
            <w:pPr>
              <w:pStyle w:val="Compact"/>
            </w:pPr>
            <w:r>
              <w:t xml:space="preserve">3</w:t>
            </w:r>
          </w:p>
        </w:tc>
        <w:tc>
          <w:tcPr/>
          <w:p>
            <w:pPr>
              <w:pStyle w:val="Compact"/>
            </w:pPr>
            <w:r>
              <w:t xml:space="preserve">graph construction</w:t>
            </w:r>
          </w:p>
        </w:tc>
        <w:tc>
          <w:tcPr/>
          <w:p>
            <w:pPr>
              <w:pStyle w:val="Compact"/>
            </w:pPr>
            <w:r>
              <w:t xml:space="preserve">bounds candidates (~3n), avoids long-range false edges, retains sparse-network coverage</w:t>
            </w:r>
          </w:p>
        </w:tc>
      </w:tr>
      <w:tr>
        <w:tc>
          <w:tcPr>
            <w:vAlign w:val="center"/>
          </w:tcPr>
          <w:p>
            <w:pPr>
              <w:spacing w:after="0" w:before="0"/>
            </w:pPr>
            <w:r>
              <w:rPr>
                <w:sz w:val="14"/>
              </w:rPr>
              <w:t>edge_radius_km (search radius)</w:t>
              <w:br/>
              <w:t>5.0 km</w:t>
              <w:br/>
              <w:t>graph construction</w:t>
              <w:br/>
              <w:t>a priori reproducibility-fixed benchmark default, not a site-calibrated hydraulic length scale; graph-stage sensitivity at 3, 5, 7.5 and 10 km is reported in Table S14, and field topology is conditional on this choice</w:t>
            </w:r>
          </w:p>
        </w:tc>
        <w:tc>
          <w:tcPr/>
          <w:p>
            <w:pPr>
              <w:pStyle w:val="Compact"/>
            </w:pPr>
            <w:r>
              <w:t xml:space="preserve">5.0 km</w:t>
            </w:r>
          </w:p>
        </w:tc>
        <w:tc>
          <w:tcPr/>
          <w:p>
            <w:pPr>
              <w:pStyle w:val="Compact"/>
            </w:pPr>
            <w:r>
              <w:t xml:space="preserve">graph construction</w:t>
            </w:r>
          </w:p>
        </w:tc>
        <w:tc>
          <w:tcPr/>
          <w:p>
            <w:pPr>
              <w:pStyle w:val="Compact"/>
            </w:pPr>
            <w:r>
              <w:t xml:space="preserve">hard cut-off on candidate haversine distance; also the length scale r of the Gaussian decay P(d) = exp(-d^2 / 2r^2) in the optional 3D probabilistic builder (P = 0.61 at r, 0.14 at 2r). Reset to the expected hydrogeochemical evolution length scale of the aquifer; the reported runs use the 2D builder, in which the radius acts as a cut-off and ranking tie-break only</w:t>
            </w:r>
          </w:p>
        </w:tc>
      </w:tr>
      <w:tr>
        <w:tc>
          <w:tcPr/>
          <w:p>
            <w:pPr>
              <w:pStyle w:val="Compact"/>
            </w:pPr>
            <w:r>
              <w:t xml:space="preserve">edge_p_min (edge confidence threshold)</w:t>
            </w:r>
          </w:p>
        </w:tc>
        <w:tc>
          <w:tcPr/>
          <w:p>
            <w:pPr>
              <w:pStyle w:val="Compact"/>
            </w:pPr>
            <w:r>
              <w:t xml:space="preserve">0.75</w:t>
            </w:r>
          </w:p>
        </w:tc>
        <w:tc>
          <w:tcPr/>
          <w:p>
            <w:pPr>
              <w:pStyle w:val="Compact"/>
            </w:pPr>
            <w:r>
              <w:t xml:space="preserve">graph construction</w:t>
            </w:r>
          </w:p>
        </w:tc>
        <w:tc>
          <w:tcPr/>
          <w:p>
            <w:pPr>
              <w:pStyle w:val="Compact"/>
            </w:pPr>
            <w:r>
              <w:t xml:space="preserve">minimum accepted directional confidence p_ij = Phi((h_i - h_j) / sigma_dh)</w:t>
            </w:r>
          </w:p>
        </w:tc>
      </w:tr>
      <w:tr>
        <w:tc>
          <w:tcPr/>
          <w:p>
            <w:pPr>
              <w:pStyle w:val="Compact"/>
            </w:pPr>
            <w:r>
              <w:t xml:space="preserve">edge_gradient_min (minimum hydraulic gradient)</w:t>
            </w:r>
          </w:p>
        </w:tc>
        <w:tc>
          <w:tcPr/>
          <w:p>
            <w:pPr>
              <w:pStyle w:val="Compact"/>
            </w:pPr>
            <w:r>
              <w:t xml:space="preserve">1e-4</w:t>
            </w:r>
          </w:p>
        </w:tc>
        <w:tc>
          <w:tcPr/>
          <w:p>
            <w:pPr>
              <w:pStyle w:val="Compact"/>
            </w:pPr>
            <w:r>
              <w:t xml:space="preserve">graph construction</w:t>
            </w:r>
          </w:p>
        </w:tc>
        <w:tc>
          <w:tcPr/>
          <w:p>
            <w:pPr>
              <w:pStyle w:val="Compact"/>
            </w:pPr>
            <w:r>
              <w:t xml:space="preserve">directional consistency floor; pairs below it but inside edge_radius_km are kept separately as lateral dispersive mixing candidates with p_ij shrunk toward 0.5</w:t>
            </w:r>
          </w:p>
        </w:tc>
      </w:tr>
      <w:tr>
        <w:tc>
          <w:tcPr/>
          <w:p>
            <w:pPr>
              <w:pStyle w:val="Compact"/>
            </w:pPr>
            <w:r>
              <w:t xml:space="preserve">edge_depth_mismatch</w:t>
            </w:r>
          </w:p>
        </w:tc>
        <w:tc>
          <w:tcPr/>
          <w:p>
            <w:pPr>
              <w:pStyle w:val="Compact"/>
            </w:pPr>
            <w:r>
              <w:t xml:space="preserve">20 m</w:t>
            </w:r>
          </w:p>
        </w:tc>
        <w:tc>
          <w:tcPr/>
          <w:p>
            <w:pPr>
              <w:pStyle w:val="Compact"/>
            </w:pPr>
            <w:r>
              <w:t xml:space="preserve">graph construction</w:t>
            </w:r>
          </w:p>
        </w:tc>
        <w:tc>
          <w:tcPr/>
          <w:p>
            <w:pPr>
              <w:pStyle w:val="Compact"/>
            </w:pPr>
            <w:r>
              <w:t xml:space="preserve">screen-depth difference beyond which an edge is flagged as depth-mismatched</w:t>
            </w:r>
          </w:p>
        </w:tc>
      </w:tr>
      <w:tr>
        <w:tc>
          <w:tcPr/>
          <w:p>
            <w:pPr>
              <w:pStyle w:val="Compact"/>
            </w:pPr>
            <w:r>
              <w:t xml:space="preserve">sigma_meas / sigma_elev / sigma_topo (head uncertainty by evidence tier)</w:t>
            </w:r>
          </w:p>
        </w:tc>
        <w:tc>
          <w:tcPr/>
          <w:p>
            <w:pPr>
              <w:pStyle w:val="Compact"/>
            </w:pPr>
            <w:r>
              <w:t xml:space="preserve">0.5 / 1.0 / 10.0 m</w:t>
            </w:r>
          </w:p>
        </w:tc>
        <w:tc>
          <w:tcPr/>
          <w:p>
            <w:pPr>
              <w:pStyle w:val="Compact"/>
            </w:pPr>
            <w:r>
              <w:t xml:space="preserve">graph construction</w:t>
            </w:r>
          </w:p>
        </w:tc>
        <w:tc>
          <w:tcPr/>
          <w:p>
            <w:pPr>
              <w:pStyle w:val="Compact"/>
            </w:pPr>
            <w:r>
              <w:t xml:space="preserve">per-node head sigma for measured head, elevation proxy and topographic fallback; sets sigma_dh = sqrt(sigma_i^2 + sigma_j^2) in p_ij when no head covariance matrix is supplied</w:t>
            </w:r>
          </w:p>
        </w:tc>
      </w:tr>
      <w:tr>
        <w:tc>
          <w:tcPr/>
          <w:p>
            <w:pPr>
              <w:pStyle w:val="Compact"/>
            </w:pPr>
            <w:r>
              <w:t xml:space="preserve">PSI trials</w:t>
            </w:r>
          </w:p>
        </w:tc>
        <w:tc>
          <w:tcPr/>
          <w:p>
            <w:pPr>
              <w:pStyle w:val="Compact"/>
            </w:pPr>
            <w:r>
              <w:t xml:space="preserve">30 default</w:t>
            </w:r>
          </w:p>
        </w:tc>
        <w:tc>
          <w:tcPr/>
          <w:p>
            <w:pPr>
              <w:pStyle w:val="Compact"/>
            </w:pPr>
            <w:r>
              <w:t xml:space="preserve">field uncertainty</w:t>
            </w:r>
          </w:p>
        </w:tc>
        <w:tc>
          <w:tcPr/>
          <w:p>
            <w:pPr>
              <w:pStyle w:val="Compact"/>
            </w:pPr>
            <w:r>
              <w:t xml:space="preserve">edge process stability under input perturbation</w:t>
            </w:r>
          </w:p>
        </w:tc>
      </w:tr>
      <w:tr>
        <w:tc>
          <w:tcPr/>
          <w:p>
            <w:pPr>
              <w:pStyle w:val="Compact"/>
            </w:pPr>
            <w:r>
              <w:t xml:space="preserve">SI threshold (diagnostic band)</w:t>
            </w:r>
          </w:p>
        </w:tc>
        <w:tc>
          <w:tcPr/>
          <w:p>
            <w:pPr>
              <w:pStyle w:val="Compact"/>
            </w:pPr>
            <w:r>
              <w:t xml:space="preserve">0.2</w:t>
            </w:r>
          </w:p>
        </w:tc>
        <w:tc>
          <w:tcPr/>
          <w:p>
            <w:pPr>
              <w:pStyle w:val="Compact"/>
            </w:pPr>
            <w:r>
              <w:t xml:space="preserve">PHREEQC/forward checks</w:t>
            </w:r>
          </w:p>
        </w:tc>
        <w:tc>
          <w:tcPr/>
          <w:p>
            <w:pPr>
              <w:pStyle w:val="Compact"/>
            </w:pPr>
            <w:r>
              <w:t xml:space="preserve">thermodynamic feasibility screening</w:t>
            </w:r>
          </w:p>
        </w:tc>
      </w:tr>
      <w:tr>
        <w:tc>
          <w:tcPr/>
          <w:p>
            <w:pPr>
              <w:pStyle w:val="Compact"/>
            </w:pPr>
            <w:r>
              <w:t xml:space="preserve">age-ordering min_downstream_increase (epsilon)</w:t>
            </w:r>
          </w:p>
        </w:tc>
        <w:tc>
          <w:tcPr/>
          <w:p>
            <w:pPr>
              <w:pStyle w:val="Compact"/>
            </w:pPr>
            <w:r>
              <w:t xml:space="preserve">0.0 y</w:t>
            </w:r>
          </w:p>
        </w:tc>
        <w:tc>
          <w:tcPr/>
          <w:p>
            <w:pPr>
              <w:pStyle w:val="Compact"/>
            </w:pPr>
            <w:r>
              <w:t xml:space="preserve">age constraint</w:t>
            </w:r>
          </w:p>
        </w:tc>
        <w:tc>
          <w:tcPr/>
          <w:p>
            <w:pPr>
              <w:pStyle w:val="Compact"/>
            </w:pPr>
            <w:r>
              <w:t xml:space="preserve">ordering evaluated on posterior intervals; interval overlap grades severity</w:t>
            </w:r>
          </w:p>
        </w:tc>
      </w:tr>
      <w:tr>
        <w:tc>
          <w:tcPr/>
          <w:p>
            <w:pPr>
              <w:pStyle w:val="Compact"/>
            </w:pPr>
            <w:r>
              <w:t xml:space="preserve">age severe log10 threshold</w:t>
            </w:r>
          </w:p>
        </w:tc>
        <w:tc>
          <w:tcPr/>
          <w:p>
            <w:pPr>
              <w:pStyle w:val="Compact"/>
            </w:pPr>
            <w:r>
              <w:t xml:space="preserve">0.3</w:t>
            </w:r>
          </w:p>
        </w:tc>
        <w:tc>
          <w:tcPr/>
          <w:p>
            <w:pPr>
              <w:pStyle w:val="Compact"/>
            </w:pPr>
            <w:r>
              <w:t xml:space="preserve">age constraint</w:t>
            </w:r>
          </w:p>
        </w:tc>
        <w:tc>
          <w:tcPr/>
          <w:p>
            <w:pPr>
              <w:pStyle w:val="Compact"/>
            </w:pPr>
            <w:r>
              <w:t xml:space="preserve">non-overlapping reversals beyond this are severe (failure codes)</w:t>
            </w:r>
          </w:p>
        </w:tc>
      </w:tr>
      <w:tr>
        <w:tc>
          <w:tcPr/>
          <w:p>
            <w:pPr>
              <w:pStyle w:val="Compact"/>
            </w:pPr>
            <w:r>
              <w:t xml:space="preserve">tau_agreement_tolerance</w:t>
            </w:r>
          </w:p>
        </w:tc>
        <w:tc>
          <w:tcPr/>
          <w:p>
            <w:pPr>
              <w:pStyle w:val="Compact"/>
            </w:pPr>
            <w:r>
              <w:t xml:space="preserve">0.4</w:t>
            </w:r>
          </w:p>
        </w:tc>
        <w:tc>
          <w:tcPr/>
          <w:p>
            <w:pPr>
              <w:pStyle w:val="Compact"/>
            </w:pPr>
            <w:r>
              <w:t xml:space="preserve">tracer inversion</w:t>
            </w:r>
          </w:p>
        </w:tc>
        <w:tc>
          <w:tcPr/>
          <w:p>
            <w:pPr>
              <w:pStyle w:val="Compact"/>
            </w:pPr>
            <w:r>
              <w:t xml:space="preserve">relative spread threshold for tau-ambiguous flags</w:t>
            </w:r>
          </w:p>
        </w:tc>
      </w:tr>
    </w:tbl>
    <w:bookmarkEnd w:id="11"/>
    <w:bookmarkStart w:id="12" w:name="supplementary-table-s4.-pilot-metadata"/>
    <w:p>
      <w:pPr>
        <w:pStyle w:val="Heading2"/>
      </w:pPr>
      <w:r>
        <w:t xml:space="preserve">Supplementary Table S4. Pilot metadata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Site</w:t>
            </w:r>
          </w:p>
        </w:tc>
        <w:tc>
          <w:tcPr/>
          <w:p>
            <w:pPr>
              <w:pStyle w:val="Compact"/>
            </w:pPr>
            <w:r>
              <w:t xml:space="preserve">Sample ID</w:t>
            </w:r>
          </w:p>
        </w:tc>
        <w:tc>
          <w:tcPr/>
          <w:p>
            <w:pPr>
              <w:pStyle w:val="Compact"/>
            </w:pPr>
            <w:r>
              <w:t xml:space="preserve">Latitude</w:t>
            </w:r>
          </w:p>
        </w:tc>
        <w:tc>
          <w:tcPr/>
          <w:p>
            <w:pPr>
              <w:pStyle w:val="Compact"/>
            </w:pPr>
            <w:r>
              <w:t xml:space="preserve">Longitude</w:t>
            </w:r>
          </w:p>
        </w:tc>
        <w:tc>
          <w:tcPr/>
          <w:p>
            <w:pPr>
              <w:pStyle w:val="Compact"/>
            </w:pPr>
            <w:r>
              <w:t xml:space="preserve">Elevation (m)</w:t>
            </w:r>
          </w:p>
        </w:tc>
        <w:tc>
          <w:tcPr/>
          <w:p>
            <w:pPr>
              <w:pStyle w:val="Compact"/>
            </w:pPr>
            <w:r>
              <w:t xml:space="preserve">Aquifer setting</w:t>
            </w:r>
          </w:p>
        </w:tc>
        <w:tc>
          <w:tcPr/>
          <w:p>
            <w:pPr>
              <w:pStyle w:val="Compact"/>
            </w:pPr>
            <w:r>
              <w:t xml:space="preserve">Land-use/mining influence</w:t>
            </w:r>
          </w:p>
        </w:tc>
        <w:tc>
          <w:tcPr/>
          <w:p>
            <w:pPr>
              <w:pStyle w:val="Compact"/>
            </w:pPr>
            <w:r>
              <w:t xml:space="preserve">Available tracers</w:t>
            </w:r>
          </w:p>
        </w:tc>
        <w:tc>
          <w:tcPr/>
          <w:p>
            <w:pPr>
              <w:pStyle w:val="Compact"/>
            </w:pPr>
            <w:r>
              <w:t xml:space="preserve">Completeness score</w:t>
            </w:r>
          </w:p>
        </w:tc>
      </w:tr>
      <w:tr>
        <w:tc>
          <w:tcPr/>
          <w:p>
            <w:pPr>
              <w:pStyle w:val="Compact"/>
            </w:pPr>
            <w:r>
              <w:t xml:space="preserve">Talensi</w:t>
            </w:r>
          </w:p>
        </w:tc>
        <w:tc>
          <w:tcPr/>
          <w:p>
            <w:pPr>
              <w:pStyle w:val="Compact"/>
            </w:pPr>
            <w:r>
              <w:t xml:space="preserve">TGW1</w:t>
            </w:r>
          </w:p>
        </w:tc>
        <w:tc>
          <w:tcPr/>
          <w:p>
            <w:pPr>
              <w:pStyle w:val="Compact"/>
            </w:pPr>
            <w:r>
              <w:t xml:space="preserve">10.71</w:t>
            </w:r>
          </w:p>
        </w:tc>
        <w:tc>
          <w:tcPr/>
          <w:p>
            <w:pPr>
              <w:pStyle w:val="Compact"/>
            </w:pPr>
            <w:r>
              <w:t xml:space="preserve">0.82</w:t>
            </w:r>
          </w:p>
        </w:tc>
        <w:tc>
          <w:tcPr/>
          <w:p>
            <w:pPr>
              <w:pStyle w:val="Compact"/>
            </w:pPr>
            <w:r>
              <w:t xml:space="preserve">217</w:t>
            </w:r>
          </w:p>
        </w:tc>
        <w:tc>
          <w:tcPr/>
          <w:p>
            <w:pPr>
              <w:pStyle w:val="Compact"/>
            </w:pPr>
            <w:r>
              <w:t xml:space="preserve">Crystalline basement</w:t>
            </w:r>
          </w:p>
        </w:tc>
        <w:tc>
          <w:tcPr/>
          <w:p>
            <w:pPr>
              <w:pStyle w:val="Compact"/>
            </w:pPr>
            <w:r>
              <w:t xml:space="preserve">Mining/Agri</w:t>
            </w:r>
          </w:p>
        </w:tc>
        <w:tc>
          <w:tcPr/>
          <w:p>
            <w:pPr>
              <w:pStyle w:val="Compact"/>
            </w:pPr>
            <w:r>
              <w:t xml:space="preserve">stable isotopes; no nuclear tracers</w:t>
            </w:r>
          </w:p>
        </w:tc>
        <w:tc>
          <w:tcPr/>
          <w:p>
            <w:pPr>
              <w:pStyle w:val="Compact"/>
            </w:pPr>
            <w:r>
              <w:t xml:space="preserve">1.00</w:t>
            </w:r>
          </w:p>
        </w:tc>
      </w:tr>
      <w:tr>
        <w:tc>
          <w:tcPr/>
          <w:p>
            <w:pPr>
              <w:pStyle w:val="Compact"/>
            </w:pPr>
            <w:r>
              <w:t xml:space="preserve">Talensi</w:t>
            </w:r>
          </w:p>
        </w:tc>
        <w:tc>
          <w:tcPr/>
          <w:p>
            <w:pPr>
              <w:pStyle w:val="Compact"/>
            </w:pPr>
            <w:r>
              <w:t xml:space="preserve">TGW2</w:t>
            </w:r>
          </w:p>
        </w:tc>
        <w:tc>
          <w:tcPr/>
          <w:p>
            <w:pPr>
              <w:pStyle w:val="Compact"/>
            </w:pPr>
            <w:r>
              <w:t xml:space="preserve">10.71</w:t>
            </w:r>
          </w:p>
        </w:tc>
        <w:tc>
          <w:tcPr/>
          <w:p>
            <w:pPr>
              <w:pStyle w:val="Compact"/>
            </w:pPr>
            <w:r>
              <w:t xml:space="preserve">0.81</w:t>
            </w:r>
          </w:p>
        </w:tc>
        <w:tc>
          <w:tcPr/>
          <w:p>
            <w:pPr>
              <w:pStyle w:val="Compact"/>
            </w:pPr>
            <w:r>
              <w:t xml:space="preserve">222</w:t>
            </w:r>
          </w:p>
        </w:tc>
        <w:tc>
          <w:tcPr/>
          <w:p>
            <w:pPr>
              <w:pStyle w:val="Compact"/>
            </w:pPr>
            <w:r>
              <w:t xml:space="preserve">Crystalline basement</w:t>
            </w:r>
          </w:p>
        </w:tc>
        <w:tc>
          <w:tcPr/>
          <w:p>
            <w:pPr>
              <w:pStyle w:val="Compact"/>
            </w:pPr>
            <w:r>
              <w:t xml:space="preserve">Mining/Agri</w:t>
            </w:r>
          </w:p>
        </w:tc>
        <w:tc>
          <w:tcPr/>
          <w:p>
            <w:pPr>
              <w:pStyle w:val="Compact"/>
            </w:pPr>
            <w:r>
              <w:t xml:space="preserve">stable isotopes; no nuclear tracers</w:t>
            </w:r>
          </w:p>
        </w:tc>
        <w:tc>
          <w:tcPr/>
          <w:p>
            <w:pPr>
              <w:pStyle w:val="Compact"/>
            </w:pPr>
            <w:r>
              <w:t xml:space="preserve">1.00</w:t>
            </w:r>
          </w:p>
        </w:tc>
      </w:tr>
      <w:tr>
        <w:tc>
          <w:tcPr/>
          <w:p>
            <w:pPr>
              <w:pStyle w:val="Compact"/>
            </w:pPr>
            <w:r>
              <w:t xml:space="preserve">Lower Anayari</w:t>
            </w:r>
          </w:p>
        </w:tc>
        <w:tc>
          <w:tcPr/>
          <w:p>
            <w:pPr>
              <w:pStyle w:val="Compact"/>
            </w:pPr>
            <w:r>
              <w:t xml:space="preserve">PUB1</w:t>
            </w:r>
          </w:p>
        </w:tc>
        <w:tc>
          <w:tcPr/>
          <w:p>
            <w:pPr>
              <w:pStyle w:val="Compact"/>
            </w:pPr>
            <w:r>
              <w:t xml:space="preserve">10.91</w:t>
            </w:r>
          </w:p>
        </w:tc>
        <w:tc>
          <w:tcPr/>
          <w:p>
            <w:pPr>
              <w:pStyle w:val="Compact"/>
            </w:pPr>
            <w:r>
              <w:t xml:space="preserve">-1.06</w:t>
            </w:r>
          </w:p>
        </w:tc>
        <w:tc>
          <w:tcPr/>
          <w:p>
            <w:pPr>
              <w:pStyle w:val="Compact"/>
            </w:pPr>
            <w:r>
              <w:t xml:space="preserve">217</w:t>
            </w:r>
          </w:p>
        </w:tc>
        <w:tc>
          <w:tcPr/>
          <w:p>
            <w:pPr>
              <w:pStyle w:val="Compact"/>
            </w:pPr>
            <w:r>
              <w:t xml:space="preserve">Alluvial/Basement</w:t>
            </w:r>
          </w:p>
        </w:tc>
        <w:tc>
          <w:tcPr/>
          <w:p>
            <w:pPr>
              <w:pStyle w:val="Compact"/>
            </w:pPr>
            <w:r>
              <w:t xml:space="preserve">Agriculture</w:t>
            </w:r>
          </w:p>
        </w:tc>
        <w:tc>
          <w:tcPr/>
          <w:p>
            <w:pPr>
              <w:pStyle w:val="Compact"/>
            </w:pPr>
            <w:r>
              <w:t xml:space="preserve">stable isotopes; no nuclear tracers</w:t>
            </w:r>
          </w:p>
        </w:tc>
        <w:tc>
          <w:tcPr/>
          <w:p>
            <w:pPr>
              <w:pStyle w:val="Compact"/>
            </w:pPr>
            <w:r>
              <w:t xml:space="preserve">1.00</w:t>
            </w:r>
          </w:p>
        </w:tc>
      </w:tr>
      <w:tr>
        <w:tc>
          <w:tcPr/>
          <w:p>
            <w:pPr>
              <w:pStyle w:val="Compact"/>
            </w:pPr>
            <w:r>
              <w:t xml:space="preserve">Lower Anayari</w:t>
            </w:r>
          </w:p>
        </w:tc>
        <w:tc>
          <w:tcPr/>
          <w:p>
            <w:pPr>
              <w:pStyle w:val="Compact"/>
            </w:pPr>
            <w:r>
              <w:t xml:space="preserve">PUB2</w:t>
            </w:r>
          </w:p>
        </w:tc>
        <w:tc>
          <w:tcPr/>
          <w:p>
            <w:pPr>
              <w:pStyle w:val="Compact"/>
            </w:pPr>
            <w:r>
              <w:t xml:space="preserve">10.91</w:t>
            </w:r>
          </w:p>
        </w:tc>
        <w:tc>
          <w:tcPr/>
          <w:p>
            <w:pPr>
              <w:pStyle w:val="Compact"/>
            </w:pPr>
            <w:r>
              <w:t xml:space="preserve">-1.06</w:t>
            </w:r>
          </w:p>
        </w:tc>
        <w:tc>
          <w:tcPr/>
          <w:p>
            <w:pPr>
              <w:pStyle w:val="Compact"/>
            </w:pPr>
            <w:r>
              <w:t xml:space="preserve">217</w:t>
            </w:r>
          </w:p>
        </w:tc>
        <w:tc>
          <w:tcPr/>
          <w:p>
            <w:pPr>
              <w:pStyle w:val="Compact"/>
            </w:pPr>
            <w:r>
              <w:t xml:space="preserve">Alluvial/Basement</w:t>
            </w:r>
          </w:p>
        </w:tc>
        <w:tc>
          <w:tcPr/>
          <w:p>
            <w:pPr>
              <w:pStyle w:val="Compact"/>
            </w:pPr>
            <w:r>
              <w:t xml:space="preserve">Agriculture</w:t>
            </w:r>
          </w:p>
        </w:tc>
        <w:tc>
          <w:tcPr/>
          <w:p>
            <w:pPr>
              <w:pStyle w:val="Compact"/>
            </w:pPr>
            <w:r>
              <w:t xml:space="preserve">stable isotopes; no nuclear tracers</w:t>
            </w:r>
          </w:p>
        </w:tc>
        <w:tc>
          <w:tcPr/>
          <w:p>
            <w:pPr>
              <w:pStyle w:val="Compact"/>
            </w:pPr>
            <w:r>
              <w:t xml:space="preserve">1.00</w:t>
            </w:r>
          </w:p>
        </w:tc>
      </w:tr>
    </w:tbl>
    <w:bookmarkEnd w:id="12"/>
    <w:bookmarkStart w:id="13" w:name="X72826504d860a4b5a1a40772339fbdbf95b5fc2"/>
    <w:p>
      <w:pPr>
        <w:pStyle w:val="Heading2"/>
      </w:pPr>
      <w:r>
        <w:t xml:space="preserve">Supplementary Table S5. Field edge outputs (top edges by rank score)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Edge ID</w:t>
            </w:r>
          </w:p>
        </w:tc>
        <w:tc>
          <w:tcPr/>
          <w:p>
            <w:pPr>
              <w:pStyle w:val="Compact"/>
            </w:pPr>
            <w:r>
              <w:t xml:space="preserve">From node</w:t>
            </w:r>
          </w:p>
        </w:tc>
        <w:tc>
          <w:tcPr/>
          <w:p>
            <w:pPr>
              <w:pStyle w:val="Compact"/>
            </w:pPr>
            <w:r>
              <w:t xml:space="preserve">To node</w:t>
            </w:r>
          </w:p>
        </w:tc>
        <w:tc>
          <w:tcPr/>
          <w:p>
            <w:pPr>
              <w:pStyle w:val="Compact"/>
            </w:pPr>
            <w:r>
              <w:t xml:space="preserve">Distance (km)</w:t>
            </w:r>
          </w:p>
        </w:tc>
        <w:tc>
          <w:tcPr/>
          <w:p>
            <w:pPr>
              <w:pStyle w:val="Compact"/>
            </w:pPr>
            <w:r>
              <w:t xml:space="preserve">Elevation/head relation</w:t>
            </w:r>
          </w:p>
        </w:tc>
        <w:tc>
          <w:tcPr/>
          <w:p>
            <w:pPr>
              <w:pStyle w:val="Compact"/>
            </w:pPr>
            <w:r>
              <w:t xml:space="preserve">Process stability (PSI)</w:t>
            </w:r>
          </w:p>
        </w:tc>
        <w:tc>
          <w:tcPr/>
          <w:p>
            <w:pPr>
              <w:pStyle w:val="Compact"/>
            </w:pPr>
            <w:r>
              <w:t xml:space="preserve">Age consistency</w:t>
            </w:r>
          </w:p>
        </w:tc>
        <w:tc>
          <w:tcPr/>
          <w:p>
            <w:pPr>
              <w:pStyle w:val="Compact"/>
            </w:pPr>
            <w:r>
              <w:t xml:space="preserve">Chemical match R2</w:t>
            </w:r>
          </w:p>
        </w:tc>
        <w:tc>
          <w:tcPr/>
          <w:p>
            <w:pPr>
              <w:pStyle w:val="Compact"/>
            </w:pPr>
            <w:r>
              <w:t xml:space="preserve">Dominant reaction</w:t>
            </w:r>
          </w:p>
        </w:tc>
        <w:tc>
          <w:tcPr/>
          <w:p>
            <w:pPr>
              <w:pStyle w:val="Compact"/>
            </w:pPr>
            <w:r>
              <w:t xml:space="preserve">Status</w:t>
            </w:r>
          </w:p>
        </w:tc>
      </w:tr>
      <w:tr>
        <w:tc>
          <w:tcPr/>
          <w:p>
            <w:pPr>
              <w:pStyle w:val="Compact"/>
            </w:pPr>
            <w:r>
              <w:t xml:space="preserve">Talensi_TGW49-&gt;TGW36</w:t>
            </w:r>
          </w:p>
        </w:tc>
        <w:tc>
          <w:tcPr/>
          <w:p>
            <w:pPr>
              <w:pStyle w:val="Compact"/>
            </w:pPr>
            <w:r>
              <w:t xml:space="preserve">TGW49</w:t>
            </w:r>
          </w:p>
        </w:tc>
        <w:tc>
          <w:tcPr/>
          <w:p>
            <w:pPr>
              <w:pStyle w:val="Compact"/>
            </w:pPr>
            <w:r>
              <w:t xml:space="preserve">TGW36</w:t>
            </w:r>
          </w:p>
        </w:tc>
        <w:tc>
          <w:tcPr/>
          <w:p>
            <w:pPr>
              <w:pStyle w:val="Compact"/>
            </w:pPr>
            <w:r>
              <w:t xml:space="preserve">3.19</w:t>
            </w:r>
          </w:p>
        </w:tc>
        <w:tc>
          <w:tcPr/>
          <w:p>
            <w:pPr>
              <w:pStyle w:val="Compact"/>
            </w:pPr>
            <w:r>
              <w:t xml:space="preserve">downgradient</w:t>
            </w:r>
          </w:p>
        </w:tc>
        <w:tc>
          <w:tcPr/>
          <w:p>
            <w:pPr>
              <w:pStyle w:val="Compact"/>
            </w:pPr>
            <w:r>
              <w:t xml:space="preserve">1.00</w:t>
            </w:r>
          </w:p>
        </w:tc>
        <w:tc>
          <w:tcPr/>
          <w:p>
            <w:pPr>
              <w:pStyle w:val="Compact"/>
            </w:pPr>
            <w:r>
              <w:t xml:space="preserve">field tracer absent</w:t>
            </w:r>
          </w:p>
        </w:tc>
        <w:tc>
          <w:tcPr/>
          <w:p>
            <w:pPr>
              <w:pStyle w:val="Compact"/>
            </w:pPr>
            <w:r>
              <w:t xml:space="preserve">1.00</w:t>
            </w:r>
          </w:p>
        </w:tc>
        <w:tc>
          <w:tcPr/>
          <w:p>
            <w:pPr>
              <w:pStyle w:val="Compact"/>
            </w:pPr>
            <w:r>
              <w:t xml:space="preserve">redox process</w:t>
            </w:r>
          </w:p>
        </w:tc>
        <w:tc>
          <w:tcPr/>
          <w:p>
            <w:pPr>
              <w:pStyle w:val="Compact"/>
            </w:pPr>
            <w:r>
              <w:t xml:space="preserve">screening-level demonstration</w:t>
            </w:r>
          </w:p>
        </w:tc>
      </w:tr>
      <w:tr>
        <w:tc>
          <w:tcPr/>
          <w:p>
            <w:pPr>
              <w:pStyle w:val="Compact"/>
            </w:pPr>
            <w:r>
              <w:t xml:space="preserve">Talensi_TGW34-&gt;TGW19</w:t>
            </w:r>
          </w:p>
        </w:tc>
        <w:tc>
          <w:tcPr/>
          <w:p>
            <w:pPr>
              <w:pStyle w:val="Compact"/>
            </w:pPr>
            <w:r>
              <w:t xml:space="preserve">TGW34</w:t>
            </w:r>
          </w:p>
        </w:tc>
        <w:tc>
          <w:tcPr/>
          <w:p>
            <w:pPr>
              <w:pStyle w:val="Compact"/>
            </w:pPr>
            <w:r>
              <w:t xml:space="preserve">TGW19</w:t>
            </w:r>
          </w:p>
        </w:tc>
        <w:tc>
          <w:tcPr/>
          <w:p>
            <w:pPr>
              <w:pStyle w:val="Compact"/>
            </w:pPr>
            <w:r>
              <w:t xml:space="preserve">4.62</w:t>
            </w:r>
          </w:p>
        </w:tc>
        <w:tc>
          <w:tcPr/>
          <w:p>
            <w:pPr>
              <w:pStyle w:val="Compact"/>
            </w:pPr>
            <w:r>
              <w:t xml:space="preserve">downgradient</w:t>
            </w:r>
          </w:p>
        </w:tc>
        <w:tc>
          <w:tcPr/>
          <w:p>
            <w:pPr>
              <w:pStyle w:val="Compact"/>
            </w:pPr>
            <w:r>
              <w:t xml:space="preserve">1.00</w:t>
            </w:r>
          </w:p>
        </w:tc>
        <w:tc>
          <w:tcPr/>
          <w:p>
            <w:pPr>
              <w:pStyle w:val="Compact"/>
            </w:pPr>
            <w:r>
              <w:t xml:space="preserve">field tracer absent</w:t>
            </w:r>
          </w:p>
        </w:tc>
        <w:tc>
          <w:tcPr/>
          <w:p>
            <w:pPr>
              <w:pStyle w:val="Compact"/>
            </w:pPr>
            <w:r>
              <w:t xml:space="preserve">1.00</w:t>
            </w:r>
          </w:p>
        </w:tc>
        <w:tc>
          <w:tcPr/>
          <w:p>
            <w:pPr>
              <w:pStyle w:val="Compact"/>
            </w:pPr>
            <w:r>
              <w:t xml:space="preserve">nitrate input</w:t>
            </w:r>
          </w:p>
        </w:tc>
        <w:tc>
          <w:tcPr/>
          <w:p>
            <w:pPr>
              <w:pStyle w:val="Compact"/>
            </w:pPr>
            <w:r>
              <w:t xml:space="preserve">screening-level demonstration</w:t>
            </w:r>
          </w:p>
        </w:tc>
      </w:tr>
      <w:tr>
        <w:tc>
          <w:tcPr/>
          <w:p>
            <w:pPr>
              <w:pStyle w:val="Compact"/>
            </w:pPr>
            <w:r>
              <w:t xml:space="preserve">Talensi_TGW42-&gt;TGW45</w:t>
            </w:r>
          </w:p>
        </w:tc>
        <w:tc>
          <w:tcPr/>
          <w:p>
            <w:pPr>
              <w:pStyle w:val="Compact"/>
            </w:pPr>
            <w:r>
              <w:t xml:space="preserve">TGW42</w:t>
            </w:r>
          </w:p>
        </w:tc>
        <w:tc>
          <w:tcPr/>
          <w:p>
            <w:pPr>
              <w:pStyle w:val="Compact"/>
            </w:pPr>
            <w:r>
              <w:t xml:space="preserve">TGW45</w:t>
            </w:r>
          </w:p>
        </w:tc>
        <w:tc>
          <w:tcPr/>
          <w:p>
            <w:pPr>
              <w:pStyle w:val="Compact"/>
            </w:pPr>
            <w:r>
              <w:t xml:space="preserve">3.36</w:t>
            </w:r>
          </w:p>
        </w:tc>
        <w:tc>
          <w:tcPr/>
          <w:p>
            <w:pPr>
              <w:pStyle w:val="Compact"/>
            </w:pPr>
            <w:r>
              <w:t xml:space="preserve">downgradient</w:t>
            </w:r>
          </w:p>
        </w:tc>
        <w:tc>
          <w:tcPr/>
          <w:p>
            <w:pPr>
              <w:pStyle w:val="Compact"/>
            </w:pPr>
            <w:r>
              <w:t xml:space="preserve">1.00</w:t>
            </w:r>
          </w:p>
        </w:tc>
        <w:tc>
          <w:tcPr/>
          <w:p>
            <w:pPr>
              <w:pStyle w:val="Compact"/>
            </w:pPr>
            <w:r>
              <w:t xml:space="preserve">field tracer absent</w:t>
            </w:r>
          </w:p>
        </w:tc>
        <w:tc>
          <w:tcPr/>
          <w:p>
            <w:pPr>
              <w:pStyle w:val="Compact"/>
            </w:pPr>
            <w:r>
              <w:t xml:space="preserve">1.00</w:t>
            </w:r>
          </w:p>
        </w:tc>
        <w:tc>
          <w:tcPr/>
          <w:p>
            <w:pPr>
              <w:pStyle w:val="Compact"/>
            </w:pPr>
            <w:r>
              <w:t xml:space="preserve">nitrate input</w:t>
            </w:r>
          </w:p>
        </w:tc>
        <w:tc>
          <w:tcPr/>
          <w:p>
            <w:pPr>
              <w:pStyle w:val="Compact"/>
            </w:pPr>
            <w:r>
              <w:t xml:space="preserve">screening-level demonstration</w:t>
            </w:r>
          </w:p>
        </w:tc>
      </w:tr>
      <w:tr>
        <w:tc>
          <w:tcPr/>
          <w:p>
            <w:pPr>
              <w:pStyle w:val="Compact"/>
            </w:pPr>
            <w:r>
              <w:t xml:space="preserve">Talensi_TGW3-&gt;TGW8</w:t>
            </w:r>
          </w:p>
        </w:tc>
        <w:tc>
          <w:tcPr/>
          <w:p>
            <w:pPr>
              <w:pStyle w:val="Compact"/>
            </w:pPr>
            <w:r>
              <w:t xml:space="preserve">TGW3</w:t>
            </w:r>
          </w:p>
        </w:tc>
        <w:tc>
          <w:tcPr/>
          <w:p>
            <w:pPr>
              <w:pStyle w:val="Compact"/>
            </w:pPr>
            <w:r>
              <w:t xml:space="preserve">TGW8</w:t>
            </w:r>
          </w:p>
        </w:tc>
        <w:tc>
          <w:tcPr/>
          <w:p>
            <w:pPr>
              <w:pStyle w:val="Compact"/>
            </w:pPr>
            <w:r>
              <w:t xml:space="preserve">4.93</w:t>
            </w:r>
          </w:p>
        </w:tc>
        <w:tc>
          <w:tcPr/>
          <w:p>
            <w:pPr>
              <w:pStyle w:val="Compact"/>
            </w:pPr>
            <w:r>
              <w:t xml:space="preserve">downgradient</w:t>
            </w:r>
          </w:p>
        </w:tc>
        <w:tc>
          <w:tcPr/>
          <w:p>
            <w:pPr>
              <w:pStyle w:val="Compact"/>
            </w:pPr>
            <w:r>
              <w:t xml:space="preserve">1.00</w:t>
            </w:r>
          </w:p>
        </w:tc>
        <w:tc>
          <w:tcPr/>
          <w:p>
            <w:pPr>
              <w:pStyle w:val="Compact"/>
            </w:pPr>
            <w:r>
              <w:t xml:space="preserve">field tracer absent</w:t>
            </w:r>
          </w:p>
        </w:tc>
        <w:tc>
          <w:tcPr/>
          <w:p>
            <w:pPr>
              <w:pStyle w:val="Compact"/>
            </w:pPr>
            <w:r>
              <w:t xml:space="preserve">1.00</w:t>
            </w:r>
          </w:p>
        </w:tc>
        <w:tc>
          <w:tcPr/>
          <w:p>
            <w:pPr>
              <w:pStyle w:val="Compact"/>
            </w:pPr>
            <w:r>
              <w:t xml:space="preserve">redox process</w:t>
            </w:r>
          </w:p>
        </w:tc>
        <w:tc>
          <w:tcPr/>
          <w:p>
            <w:pPr>
              <w:pStyle w:val="Compact"/>
            </w:pPr>
            <w:r>
              <w:t xml:space="preserve">screening-level demonstration</w:t>
            </w:r>
          </w:p>
        </w:tc>
      </w:tr>
      <w:tr>
        <w:tc>
          <w:tcPr/>
          <w:p>
            <w:pPr>
              <w:pStyle w:val="Compact"/>
            </w:pPr>
            <w:r>
              <w:t xml:space="preserve">Talensi_TGW32-&gt;TGW12</w:t>
            </w:r>
          </w:p>
        </w:tc>
        <w:tc>
          <w:tcPr/>
          <w:p>
            <w:pPr>
              <w:pStyle w:val="Compact"/>
            </w:pPr>
            <w:r>
              <w:t xml:space="preserve">TGW32</w:t>
            </w:r>
          </w:p>
        </w:tc>
        <w:tc>
          <w:tcPr/>
          <w:p>
            <w:pPr>
              <w:pStyle w:val="Compact"/>
            </w:pPr>
            <w:r>
              <w:t xml:space="preserve">TGW12</w:t>
            </w:r>
          </w:p>
        </w:tc>
        <w:tc>
          <w:tcPr/>
          <w:p>
            <w:pPr>
              <w:pStyle w:val="Compact"/>
            </w:pPr>
            <w:r>
              <w:t xml:space="preserve">4.68</w:t>
            </w:r>
          </w:p>
        </w:tc>
        <w:tc>
          <w:tcPr/>
          <w:p>
            <w:pPr>
              <w:pStyle w:val="Compact"/>
            </w:pPr>
            <w:r>
              <w:t xml:space="preserve">downgradient</w:t>
            </w:r>
          </w:p>
        </w:tc>
        <w:tc>
          <w:tcPr/>
          <w:p>
            <w:pPr>
              <w:pStyle w:val="Compact"/>
            </w:pPr>
            <w:r>
              <w:t xml:space="preserve">1.00</w:t>
            </w:r>
          </w:p>
        </w:tc>
        <w:tc>
          <w:tcPr/>
          <w:p>
            <w:pPr>
              <w:pStyle w:val="Compact"/>
            </w:pPr>
            <w:r>
              <w:t xml:space="preserve">field tracer absent</w:t>
            </w:r>
          </w:p>
        </w:tc>
        <w:tc>
          <w:tcPr/>
          <w:p>
            <w:pPr>
              <w:pStyle w:val="Compact"/>
            </w:pPr>
            <w:r>
              <w:t xml:space="preserve">1.00</w:t>
            </w:r>
          </w:p>
        </w:tc>
        <w:tc>
          <w:tcPr/>
          <w:p>
            <w:pPr>
              <w:pStyle w:val="Compact"/>
            </w:pPr>
            <w:r>
              <w:t xml:space="preserve">nitrate input</w:t>
            </w:r>
          </w:p>
        </w:tc>
        <w:tc>
          <w:tcPr/>
          <w:p>
            <w:pPr>
              <w:pStyle w:val="Compact"/>
            </w:pPr>
            <w:r>
              <w:t xml:space="preserve">screening-level demonstration</w:t>
            </w:r>
          </w:p>
        </w:tc>
      </w:tr>
      <w:tr>
        <w:tc>
          <w:tcPr/>
          <w:p>
            <w:pPr>
              <w:pStyle w:val="Compact"/>
            </w:pPr>
            <w:r>
              <w:t xml:space="preserve">Talensi_TGW44-&gt;TGW45</w:t>
            </w:r>
          </w:p>
        </w:tc>
        <w:tc>
          <w:tcPr/>
          <w:p>
            <w:pPr>
              <w:pStyle w:val="Compact"/>
            </w:pPr>
            <w:r>
              <w:t xml:space="preserve">TGW44</w:t>
            </w:r>
          </w:p>
        </w:tc>
        <w:tc>
          <w:tcPr/>
          <w:p>
            <w:pPr>
              <w:pStyle w:val="Compact"/>
            </w:pPr>
            <w:r>
              <w:t xml:space="preserve">TGW45</w:t>
            </w:r>
          </w:p>
        </w:tc>
        <w:tc>
          <w:tcPr/>
          <w:p>
            <w:pPr>
              <w:pStyle w:val="Compact"/>
            </w:pPr>
            <w:r>
              <w:t xml:space="preserve">2.70</w:t>
            </w:r>
          </w:p>
        </w:tc>
        <w:tc>
          <w:tcPr/>
          <w:p>
            <w:pPr>
              <w:pStyle w:val="Compact"/>
            </w:pPr>
            <w:r>
              <w:t xml:space="preserve">downgradient</w:t>
            </w:r>
          </w:p>
        </w:tc>
        <w:tc>
          <w:tcPr/>
          <w:p>
            <w:pPr>
              <w:pStyle w:val="Compact"/>
            </w:pPr>
            <w:r>
              <w:t xml:space="preserve">1.00</w:t>
            </w:r>
          </w:p>
        </w:tc>
        <w:tc>
          <w:tcPr/>
          <w:p>
            <w:pPr>
              <w:pStyle w:val="Compact"/>
            </w:pPr>
            <w:r>
              <w:t xml:space="preserve">field tracer absent</w:t>
            </w:r>
          </w:p>
        </w:tc>
        <w:tc>
          <w:tcPr/>
          <w:p>
            <w:pPr>
              <w:pStyle w:val="Compact"/>
            </w:pPr>
            <w:r>
              <w:t xml:space="preserve">1.00</w:t>
            </w:r>
          </w:p>
        </w:tc>
        <w:tc>
          <w:tcPr/>
          <w:p>
            <w:pPr>
              <w:pStyle w:val="Compact"/>
            </w:pPr>
            <w:r>
              <w:t xml:space="preserve">nitrate input</w:t>
            </w:r>
          </w:p>
        </w:tc>
        <w:tc>
          <w:tcPr/>
          <w:p>
            <w:pPr>
              <w:pStyle w:val="Compact"/>
            </w:pPr>
            <w:r>
              <w:t xml:space="preserve">screening-level demonstration</w:t>
            </w:r>
          </w:p>
        </w:tc>
      </w:tr>
    </w:tbl>
    <w:p>
      <w:pPr>
        <w:pStyle w:val="BodyText"/>
      </w:pPr>
      <w:r>
        <w:t xml:space="preserve">These are the six highest-ranked field edges by rank score (chemistry R2 x PSI), regenerated from the canonical run; they are the same six edges reported in main-text Table 6. Ranking is strictly ordered with no ties, so the selection is reproducible.</w:t>
      </w:r>
    </w:p>
    <w:p>
      <w:pPr>
        <w:pStyle w:val="BodyText"/>
      </w:pPr>
      <w:r>
        <w:t xml:space="preserve">Null edges: none. The seven zero-closure edges reported at the previous revision (Manu_9_11, Manu_10_11, Manu_12_11, Manu_19_11, Talensi_2_52, Talensi_3_52, Talensi_4_52), which converged on the sink wells NAB14 and THDW1 with chemistry R2 = 0.0 and all extents ~0, were artefacts of the unfiltered candidate graph used previously. They are rejected by the directional refinement and no unresolved null edge remains. Fourteen of the 258 retained edges return a negative chemistry R2 and are reported as poor fits rather than removed.</w:t>
      </w:r>
    </w:p>
    <w:p>
      <w:pPr>
        <w:pStyle w:val="BodyText"/>
      </w:pPr>
      <w:r>
        <w:t xml:space="preserve">Direction convention and column definitions. Neither field site has hydraulic-head records, so the directional confidence p_ij of Section 2.3 is evaluated on the elevation proxy using the elevation-tier sigma of 1.0 m (Table S3). Every retained edge therefore carries a real directional confidence: the median is 0.93 at Talensi and 0.50 at Lower Anayari. The 0.50 at Lower Anayari is not a missing value but the exact value of Phi(0) - station elevations there are recorded as constants, so most Lower Anayari pairs fall below the gradient floor and are retained as lateral, dispersive mixing candidates rather than as gradient-supported directed edges. No retained edge at either site runs against the elevation proxy. The column headed</w:t>
      </w:r>
      <w:r>
        <w:t xml:space="preserve"> </w:t>
      </w:r>
      <w:r>
        <w:t xml:space="preserve">“Process stability (PSI)”</w:t>
      </w:r>
      <w:r>
        <w:t xml:space="preserve"> </w:t>
      </w:r>
      <w:r>
        <w:t xml:space="preserve">is the Monte Carlo process-stability index of Equation 7, identical to the</w:t>
      </w:r>
      <w:r>
        <w:t xml:space="preserve"> </w:t>
      </w:r>
      <w:r>
        <w:t xml:space="preserve">“PSI probability”</w:t>
      </w:r>
      <w:r>
        <w:t xml:space="preserve"> </w:t>
      </w:r>
      <w:r>
        <w:t xml:space="preserve">column of main-text Table 6; it is not the directional confidence and asserts nothing about hydraulic plausibility.</w:t>
      </w:r>
    </w:p>
    <w:p>
      <w:pPr>
        <w:pStyle w:val="BodyText"/>
      </w:pPr>
      <w:r>
        <w:t xml:space="preserve">The column previously headed</w:t>
      </w:r>
      <w:r>
        <w:t xml:space="preserve"> </w:t>
      </w:r>
      <w:r>
        <w:t xml:space="preserve">“Edge confidence”</w:t>
      </w:r>
      <w:r>
        <w:t xml:space="preserve"> </w:t>
      </w:r>
      <w:r>
        <w:t xml:space="preserve">is renamed here to</w:t>
      </w:r>
      <w:r>
        <w:t xml:space="preserve"> </w:t>
      </w:r>
      <w:r>
        <w:t xml:space="preserve">“Process stability (PSI)”</w:t>
      </w:r>
      <w:r>
        <w:t xml:space="preserve">, because that is what the pipeline writes into it: the Monte Carlo process-stability index of Equation 7, identical to the</w:t>
      </w:r>
      <w:r>
        <w:t xml:space="preserve"> </w:t>
      </w:r>
      <w:r>
        <w:t xml:space="preserve">“PSI probability”</w:t>
      </w:r>
      <w:r>
        <w:t xml:space="preserve"> </w:t>
      </w:r>
      <w:r>
        <w:t xml:space="preserve">column of main-text Table 6. It is</w:t>
      </w:r>
      <w:r>
        <w:t xml:space="preserve"> </w:t>
      </w:r>
      <w:r>
        <w:rPr>
          <w:b/>
          <w:bCs/>
        </w:rPr>
        <w:t xml:space="preserve">not</w:t>
      </w:r>
      <w:r>
        <w:t xml:space="preserve"> </w:t>
      </w:r>
      <w:r>
        <w:t xml:space="preserve">a hydraulic confidence and is</w:t>
      </w:r>
      <w:r>
        <w:t xml:space="preserve"> </w:t>
      </w:r>
      <w:r>
        <w:rPr>
          <w:b/>
          <w:bCs/>
        </w:rPr>
        <w:t xml:space="preserve">not</w:t>
      </w:r>
      <w:r>
        <w:t xml:space="preserve"> </w:t>
      </w:r>
      <w:r>
        <w:t xml:space="preserve">derived from head data — no edge-confidence quantity is carried in the field results at all, because the directional confidence p_ij of Section 2.3 requires head or elevation uncertainties that these sites do not supply. A value of 1.00 therefore means that the dominant reaction was selected in every one of the 30 Monte Carlo perturbation trials for that edge; it carries no claim about the hydraulic plausibility of the connection. We thank the reviewer for pressing on this point: the original heading invited exactly the misreading that a confidence of 1.00 had been asserted for edges with no head data.</w:t>
      </w:r>
    </w:p>
    <w:bookmarkEnd w:id="13"/>
    <w:bookmarkStart w:id="14" w:name="X8b4787e49cfe84863ed52af1d90e8e2a340af5a"/>
    <w:p>
      <w:pPr>
        <w:pStyle w:val="Heading2"/>
      </w:pPr>
      <w:r>
        <w:t xml:space="preserve">Supplementary Table S6. Identifiability diagnostics: dictionary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n_reactions</w:t>
            </w:r>
          </w:p>
        </w:tc>
        <w:tc>
          <w:tcPr/>
          <w:p>
            <w:pPr>
              <w:pStyle w:val="Compact"/>
            </w:pPr>
            <w:r>
              <w:t xml:space="preserve">14</w:t>
            </w:r>
          </w:p>
        </w:tc>
      </w:tr>
      <w:tr>
        <w:tc>
          <w:tcPr/>
          <w:p>
            <w:pPr>
              <w:pStyle w:val="Compact"/>
            </w:pPr>
            <w:r>
              <w:t xml:space="preserve">n_ions</w:t>
            </w:r>
          </w:p>
        </w:tc>
        <w:tc>
          <w:tcPr/>
          <w:p>
            <w:pPr>
              <w:pStyle w:val="Compact"/>
            </w:pPr>
            <w:r>
              <w:t xml:space="preserve">11</w:t>
            </w:r>
          </w:p>
        </w:tc>
      </w:tr>
      <w:tr>
        <w:tc>
          <w:tcPr/>
          <w:p>
            <w:pPr>
              <w:pStyle w:val="Compact"/>
            </w:pPr>
            <w:r>
              <w:t xml:space="preserve">rank</w:t>
            </w:r>
          </w:p>
        </w:tc>
        <w:tc>
          <w:tcPr/>
          <w:p>
            <w:pPr>
              <w:pStyle w:val="Compact"/>
            </w:pPr>
            <w:r>
              <w:t xml:space="preserve">8</w:t>
            </w:r>
          </w:p>
        </w:tc>
      </w:tr>
      <w:tr>
        <w:tc>
          <w:tcPr/>
          <w:p>
            <w:pPr>
              <w:pStyle w:val="Compact"/>
            </w:pPr>
            <w:r>
              <w:t xml:space="preserve">rank deficiency</w:t>
            </w:r>
          </w:p>
        </w:tc>
        <w:tc>
          <w:tcPr/>
          <w:p>
            <w:pPr>
              <w:pStyle w:val="Compact"/>
            </w:pPr>
            <w:r>
              <w:t xml:space="preserve">3</w:t>
            </w:r>
          </w:p>
        </w:tc>
      </w:tr>
      <w:tr>
        <w:tc>
          <w:tcPr/>
          <w:p>
            <w:pPr>
              <w:pStyle w:val="Compact"/>
            </w:pPr>
            <w:r>
              <w:t xml:space="preserve">condition number</w:t>
            </w:r>
          </w:p>
        </w:tc>
        <w:tc>
          <w:tcPr/>
          <w:p>
            <w:pPr>
              <w:pStyle w:val="Compact"/>
            </w:pPr>
            <w:r>
              <w:t xml:space="preserve">infinite</w:t>
            </w:r>
          </w:p>
        </w:tc>
      </w:tr>
      <w:tr>
        <w:tc>
          <w:tcPr/>
          <w:p>
            <w:pPr>
              <w:pStyle w:val="Compact"/>
            </w:pPr>
            <w:r>
              <w:t xml:space="preserve">column pairs with</w:t>
            </w:r>
          </w:p>
        </w:tc>
        <w:tc>
          <w:tcPr/>
          <w:p>
            <w:pPr>
              <w:pStyle w:val="Compact"/>
            </w:pPr>
            <w:r>
              <w:t xml:space="preserve">cosine</w:t>
            </w:r>
          </w:p>
        </w:tc>
      </w:tr>
    </w:tbl>
    <w:bookmarkEnd w:id="14"/>
    <w:bookmarkStart w:id="15" w:name="X728d1279bb5f1e39ee417611c944c00d2e0ed6c"/>
    <w:p>
      <w:pPr>
        <w:pStyle w:val="Heading2"/>
      </w:pPr>
      <w:r>
        <w:t xml:space="preserve">Supplementary Table S7. Extent- and family-level recovery (canonical, 100 realisations)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active reaction rows</w:t>
            </w:r>
          </w:p>
        </w:tc>
        <w:tc>
          <w:tcPr/>
          <w:p>
            <w:pPr>
              <w:pStyle w:val="Compact"/>
            </w:pPr>
            <w:r>
              <w:t xml:space="preserve">2,100</w:t>
            </w:r>
          </w:p>
        </w:tc>
      </w:tr>
      <w:tr>
        <w:tc>
          <w:tcPr/>
          <w:p>
            <w:pPr>
              <w:pStyle w:val="Compact"/>
            </w:pPr>
            <w:r>
              <w:t xml:space="preserve">active correlation R2</w:t>
            </w:r>
          </w:p>
        </w:tc>
        <w:tc>
          <w:tcPr/>
          <w:p>
            <w:pPr>
              <w:pStyle w:val="Compact"/>
            </w:pPr>
            <w:r>
              <w:t xml:space="preserve">0.23</w:t>
            </w:r>
          </w:p>
        </w:tc>
      </w:tr>
      <w:tr>
        <w:tc>
          <w:tcPr/>
          <w:p>
            <w:pPr>
              <w:pStyle w:val="Compact"/>
            </w:pPr>
            <w:r>
              <w:t xml:space="preserve">active MAE</w:t>
            </w:r>
          </w:p>
        </w:tc>
        <w:tc>
          <w:tcPr/>
          <w:p>
            <w:pPr>
              <w:pStyle w:val="Compact"/>
            </w:pPr>
            <w:r>
              <w:t xml:space="preserve">0.37 mmol/L</w:t>
            </w:r>
          </w:p>
        </w:tc>
      </w:tr>
      <w:tr>
        <w:tc>
          <w:tcPr/>
          <w:p>
            <w:pPr>
              <w:pStyle w:val="Compact"/>
            </w:pPr>
            <w:r>
              <w:t xml:space="preserve">active RMSE</w:t>
            </w:r>
          </w:p>
        </w:tc>
        <w:tc>
          <w:tcPr/>
          <w:p>
            <w:pPr>
              <w:pStyle w:val="Compact"/>
            </w:pPr>
            <w:r>
              <w:t xml:space="preserve">0.62 mmol/L</w:t>
            </w:r>
          </w:p>
        </w:tc>
      </w:tr>
      <w:tr>
        <w:tc>
          <w:tcPr/>
          <w:p>
            <w:pPr>
              <w:pStyle w:val="Compact"/>
            </w:pPr>
            <w:r>
              <w:t xml:space="preserve">false-activation rate (&gt;0.05 mmol/L)</w:t>
            </w:r>
          </w:p>
        </w:tc>
        <w:tc>
          <w:tcPr/>
          <w:p>
            <w:pPr>
              <w:pStyle w:val="Compact"/>
            </w:pPr>
            <w:r>
              <w:t xml:space="preserve">54.1%</w:t>
            </w:r>
          </w:p>
        </w:tc>
      </w:tr>
      <w:tr>
        <w:tc>
          <w:tcPr/>
          <w:p>
            <w:pPr>
              <w:pStyle w:val="Compact"/>
            </w:pPr>
            <w:r>
              <w:t xml:space="preserve">active family rows</w:t>
            </w:r>
          </w:p>
        </w:tc>
        <w:tc>
          <w:tcPr/>
          <w:p>
            <w:pPr>
              <w:pStyle w:val="Compact"/>
            </w:pPr>
            <w:r>
              <w:t xml:space="preserve">1,700</w:t>
            </w:r>
          </w:p>
        </w:tc>
      </w:tr>
      <w:tr>
        <w:tc>
          <w:tcPr/>
          <w:p>
            <w:pPr>
              <w:pStyle w:val="Compact"/>
            </w:pPr>
            <w:r>
              <w:t xml:space="preserve">family correlation R2</w:t>
            </w:r>
          </w:p>
        </w:tc>
        <w:tc>
          <w:tcPr/>
          <w:p>
            <w:pPr>
              <w:pStyle w:val="Compact"/>
            </w:pPr>
            <w:r>
              <w:t xml:space="preserve">0.16</w:t>
            </w:r>
          </w:p>
        </w:tc>
      </w:tr>
      <w:tr>
        <w:tc>
          <w:tcPr/>
          <w:p>
            <w:pPr>
              <w:pStyle w:val="Compact"/>
            </w:pPr>
            <w:r>
              <w:t xml:space="preserve">family MAE</w:t>
            </w:r>
          </w:p>
        </w:tc>
        <w:tc>
          <w:tcPr/>
          <w:p>
            <w:pPr>
              <w:pStyle w:val="Compact"/>
            </w:pPr>
            <w:r>
              <w:t xml:space="preserve">0.47 mmol/L</w:t>
            </w:r>
          </w:p>
        </w:tc>
      </w:tr>
      <w:tr>
        <w:tc>
          <w:tcPr/>
          <w:p>
            <w:pPr>
              <w:pStyle w:val="Compact"/>
            </w:pPr>
            <w:r>
              <w:t xml:space="preserve">family sign-match rate</w:t>
            </w:r>
          </w:p>
        </w:tc>
        <w:tc>
          <w:tcPr/>
          <w:p>
            <w:pPr>
              <w:pStyle w:val="Compact"/>
            </w:pPr>
            <w:r>
              <w:t xml:space="preserve">36.5%</w:t>
            </w:r>
          </w:p>
        </w:tc>
      </w:tr>
      <w:tr>
        <w:tc>
          <w:tcPr/>
          <w:p>
            <w:pPr>
              <w:pStyle w:val="Compact"/>
            </w:pPr>
            <w:r>
              <w:t xml:space="preserve">dominant-family hit rate</w:t>
            </w:r>
          </w:p>
        </w:tc>
        <w:tc>
          <w:tcPr/>
          <w:p>
            <w:pPr>
              <w:pStyle w:val="Compact"/>
            </w:pPr>
            <w:r>
              <w:t xml:space="preserve">48%</w:t>
            </w:r>
          </w:p>
        </w:tc>
      </w:tr>
    </w:tbl>
    <w:bookmarkEnd w:id="15"/>
    <w:bookmarkStart w:id="16" w:name="X9988ef46a4596ad05f49b93a638c64e7916baac"/>
    <w:p>
      <w:pPr>
        <w:pStyle w:val="Heading2"/>
      </w:pPr>
      <w:r>
        <w:t xml:space="preserve">Supplementary Table S8. Dictionary sensitivity (leave-one-out, 5 locked realisations)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Dictionary variant</w:t>
            </w:r>
          </w:p>
        </w:tc>
        <w:tc>
          <w:tcPr/>
          <w:p>
            <w:pPr>
              <w:pStyle w:val="Compact"/>
            </w:pPr>
            <w:r>
              <w:t xml:space="preserve">n active rows</w:t>
            </w:r>
          </w:p>
        </w:tc>
        <w:tc>
          <w:tcPr/>
          <w:p>
            <w:pPr>
              <w:pStyle w:val="Compact"/>
            </w:pPr>
            <w:r>
              <w:t xml:space="preserve">active corr-R2</w:t>
            </w:r>
          </w:p>
        </w:tc>
        <w:tc>
          <w:tcPr/>
          <w:p>
            <w:pPr>
              <w:pStyle w:val="Compact"/>
            </w:pPr>
            <w:r>
              <w:t xml:space="preserve">active MAE (mmol/L)</w:t>
            </w:r>
          </w:p>
        </w:tc>
      </w:tr>
      <w:tr>
        <w:tc>
          <w:tcPr/>
          <w:p>
            <w:pPr>
              <w:pStyle w:val="Compact"/>
            </w:pPr>
            <w:r>
              <w:t xml:space="preserve">full dictionary</w:t>
            </w:r>
          </w:p>
        </w:tc>
        <w:tc>
          <w:tcPr/>
          <w:p>
            <w:pPr>
              <w:pStyle w:val="Compact"/>
            </w:pPr>
            <w:r>
              <w:t xml:space="preserve">441</w:t>
            </w:r>
          </w:p>
        </w:tc>
        <w:tc>
          <w:tcPr/>
          <w:p>
            <w:pPr>
              <w:pStyle w:val="Compact"/>
            </w:pPr>
            <w:r>
              <w:t xml:space="preserve">0.09</w:t>
            </w:r>
          </w:p>
        </w:tc>
        <w:tc>
          <w:tcPr/>
          <w:p>
            <w:pPr>
              <w:pStyle w:val="Compact"/>
            </w:pPr>
            <w:r>
              <w:t xml:space="preserve">0.40</w:t>
            </w:r>
          </w:p>
        </w:tc>
      </w:tr>
      <w:tr>
        <w:tc>
          <w:tcPr/>
          <w:p>
            <w:pPr>
              <w:pStyle w:val="Compact"/>
            </w:pPr>
            <w:r>
              <w:t xml:space="preserve">minus calcite</w:t>
            </w:r>
          </w:p>
        </w:tc>
        <w:tc>
          <w:tcPr/>
          <w:p>
            <w:pPr>
              <w:pStyle w:val="Compact"/>
            </w:pPr>
            <w:r>
              <w:t xml:space="preserve">291</w:t>
            </w:r>
          </w:p>
        </w:tc>
        <w:tc>
          <w:tcPr/>
          <w:p>
            <w:pPr>
              <w:pStyle w:val="Compact"/>
            </w:pPr>
            <w:r>
              <w:t xml:space="preserve">0.02</w:t>
            </w:r>
          </w:p>
        </w:tc>
        <w:tc>
          <w:tcPr/>
          <w:p>
            <w:pPr>
              <w:pStyle w:val="Compact"/>
            </w:pPr>
            <w:r>
              <w:t xml:space="preserve">0.32</w:t>
            </w:r>
          </w:p>
        </w:tc>
      </w:tr>
      <w:tr>
        <w:tc>
          <w:tcPr/>
          <w:p>
            <w:pPr>
              <w:pStyle w:val="Compact"/>
            </w:pPr>
            <w:r>
              <w:t xml:space="preserve">minus dolomite</w:t>
            </w:r>
          </w:p>
        </w:tc>
        <w:tc>
          <w:tcPr/>
          <w:p>
            <w:pPr>
              <w:pStyle w:val="Compact"/>
            </w:pPr>
            <w:r>
              <w:t xml:space="preserve">341</w:t>
            </w:r>
          </w:p>
        </w:tc>
        <w:tc>
          <w:tcPr/>
          <w:p>
            <w:pPr>
              <w:pStyle w:val="Compact"/>
            </w:pPr>
            <w:r>
              <w:t xml:space="preserve">0.14</w:t>
            </w:r>
          </w:p>
        </w:tc>
        <w:tc>
          <w:tcPr/>
          <w:p>
            <w:pPr>
              <w:pStyle w:val="Compact"/>
            </w:pPr>
            <w:r>
              <w:t xml:space="preserve">0.43</w:t>
            </w:r>
          </w:p>
        </w:tc>
      </w:tr>
      <w:tr>
        <w:tc>
          <w:tcPr/>
          <w:p>
            <w:pPr>
              <w:pStyle w:val="Compact"/>
            </w:pPr>
            <w:r>
              <w:t xml:space="preserve">minus gypsum</w:t>
            </w:r>
          </w:p>
        </w:tc>
        <w:tc>
          <w:tcPr/>
          <w:p>
            <w:pPr>
              <w:pStyle w:val="Compact"/>
            </w:pPr>
            <w:r>
              <w:t xml:space="preserve">400</w:t>
            </w:r>
          </w:p>
        </w:tc>
        <w:tc>
          <w:tcPr/>
          <w:p>
            <w:pPr>
              <w:pStyle w:val="Compact"/>
            </w:pPr>
            <w:r>
              <w:t xml:space="preserve">0.08</w:t>
            </w:r>
          </w:p>
        </w:tc>
        <w:tc>
          <w:tcPr/>
          <w:p>
            <w:pPr>
              <w:pStyle w:val="Compact"/>
            </w:pPr>
            <w:r>
              <w:t xml:space="preserve">0.42</w:t>
            </w:r>
          </w:p>
        </w:tc>
      </w:tr>
      <w:tr>
        <w:tc>
          <w:tcPr/>
          <w:p>
            <w:pPr>
              <w:pStyle w:val="Compact"/>
            </w:pPr>
            <w:r>
              <w:t xml:space="preserve">minus halite</w:t>
            </w:r>
          </w:p>
        </w:tc>
        <w:tc>
          <w:tcPr/>
          <w:p>
            <w:pPr>
              <w:pStyle w:val="Compact"/>
            </w:pPr>
            <w:r>
              <w:t xml:space="preserve">391</w:t>
            </w:r>
          </w:p>
        </w:tc>
        <w:tc>
          <w:tcPr/>
          <w:p>
            <w:pPr>
              <w:pStyle w:val="Compact"/>
            </w:pPr>
            <w:r>
              <w:t xml:space="preserve">0.10</w:t>
            </w:r>
          </w:p>
        </w:tc>
        <w:tc>
          <w:tcPr/>
          <w:p>
            <w:pPr>
              <w:pStyle w:val="Compact"/>
            </w:pPr>
            <w:r>
              <w:t xml:space="preserve">0.41</w:t>
            </w:r>
          </w:p>
        </w:tc>
      </w:tr>
      <w:tr>
        <w:tc>
          <w:tcPr/>
          <w:p>
            <w:pPr>
              <w:pStyle w:val="Compact"/>
            </w:pPr>
            <w:r>
              <w:t xml:space="preserve">minus albite</w:t>
            </w:r>
          </w:p>
        </w:tc>
        <w:tc>
          <w:tcPr/>
          <w:p>
            <w:pPr>
              <w:pStyle w:val="Compact"/>
            </w:pPr>
            <w:r>
              <w:t xml:space="preserve">441</w:t>
            </w:r>
          </w:p>
        </w:tc>
        <w:tc>
          <w:tcPr/>
          <w:p>
            <w:pPr>
              <w:pStyle w:val="Compact"/>
            </w:pPr>
            <w:r>
              <w:t xml:space="preserve">0.17</w:t>
            </w:r>
          </w:p>
        </w:tc>
        <w:tc>
          <w:tcPr/>
          <w:p>
            <w:pPr>
              <w:pStyle w:val="Compact"/>
            </w:pPr>
            <w:r>
              <w:t xml:space="preserve">0.34</w:t>
            </w:r>
          </w:p>
        </w:tc>
      </w:tr>
      <w:tr>
        <w:tc>
          <w:tcPr/>
          <w:p>
            <w:pPr>
              <w:pStyle w:val="Compact"/>
            </w:pPr>
            <w:r>
              <w:t xml:space="preserve">minus pyrite_oxidation_aerobic</w:t>
            </w:r>
          </w:p>
        </w:tc>
        <w:tc>
          <w:tcPr/>
          <w:p>
            <w:pPr>
              <w:pStyle w:val="Compact"/>
            </w:pPr>
            <w:r>
              <w:t xml:space="preserve">441</w:t>
            </w:r>
          </w:p>
        </w:tc>
        <w:tc>
          <w:tcPr/>
          <w:p>
            <w:pPr>
              <w:pStyle w:val="Compact"/>
            </w:pPr>
            <w:r>
              <w:t xml:space="preserve">0.05</w:t>
            </w:r>
          </w:p>
        </w:tc>
        <w:tc>
          <w:tcPr/>
          <w:p>
            <w:pPr>
              <w:pStyle w:val="Compact"/>
            </w:pPr>
            <w:r>
              <w:t xml:space="preserve">0.40</w:t>
            </w:r>
          </w:p>
        </w:tc>
      </w:tr>
    </w:tbl>
    <w:p>
      <w:pPr>
        <w:pStyle w:val="BodyText"/>
      </w:pPr>
      <w:r>
        <w:t xml:space="preserve">No single removal resolves the degeneracy; removing albite gives the largest improvement.</w:t>
      </w:r>
    </w:p>
    <w:bookmarkEnd w:id="16"/>
    <w:bookmarkStart w:id="17" w:name="Xa6825c34269cef3222b8d1df6e6f8698516f6bf"/>
    <w:p>
      <w:pPr>
        <w:pStyle w:val="Heading2"/>
      </w:pPr>
      <w:r>
        <w:t xml:space="preserve">Supplementary Table S8b. Reaction correlation and parameter-level uncertainty (recovered extents, 100 realisations)</w:t>
      </w:r>
    </w:p>
    <w:p>
      <w:pPr>
        <w:pStyle w:val="FirstParagraph"/>
      </w:pPr>
      <w:r>
        <w:t xml:space="preserve">Empirical correlations of recovered reaction extents across the synthetic benchmark (pairs with |r| &gt; 0.5):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Reaction A</w:t>
            </w:r>
          </w:p>
        </w:tc>
        <w:tc>
          <w:tcPr/>
          <w:p>
            <w:pPr>
              <w:pStyle w:val="Compact"/>
            </w:pPr>
            <w:r>
              <w:t xml:space="preserve">Reaction B</w:t>
            </w:r>
          </w:p>
        </w:tc>
        <w:tc>
          <w:tcPr/>
          <w:p>
            <w:pPr>
              <w:pStyle w:val="Compact"/>
            </w:pPr>
            <w:r>
              <w:t xml:space="preserve">Pearson r (recovered extents)</w:t>
            </w:r>
          </w:p>
        </w:tc>
      </w:tr>
      <w:tr>
        <w:tc>
          <w:tcPr/>
          <w:p>
            <w:pPr>
              <w:pStyle w:val="Compact"/>
            </w:pPr>
            <w:r>
              <w:t xml:space="preserve">albite</w:t>
            </w:r>
          </w:p>
        </w:tc>
        <w:tc>
          <w:tcPr/>
          <w:p>
            <w:pPr>
              <w:pStyle w:val="Compact"/>
            </w:pPr>
            <w:r>
              <w:t xml:space="preserve">pyrite_oxidation_aerobic</w:t>
            </w:r>
          </w:p>
        </w:tc>
        <w:tc>
          <w:tcPr/>
          <w:p>
            <w:pPr>
              <w:pStyle w:val="Compact"/>
            </w:pPr>
            <w:r>
              <w:t xml:space="preserve">−0.715</w:t>
            </w:r>
          </w:p>
        </w:tc>
      </w:tr>
      <w:tr>
        <w:tc>
          <w:tcPr/>
          <w:p>
            <w:pPr>
              <w:pStyle w:val="Compact"/>
            </w:pPr>
            <w:r>
              <w:t xml:space="preserve">CaNa_exch</w:t>
            </w:r>
          </w:p>
        </w:tc>
        <w:tc>
          <w:tcPr/>
          <w:p>
            <w:pPr>
              <w:pStyle w:val="Compact"/>
            </w:pPr>
            <w:r>
              <w:t xml:space="preserve">pyrite_oxidation_aerobic</w:t>
            </w:r>
          </w:p>
        </w:tc>
        <w:tc>
          <w:tcPr/>
          <w:p>
            <w:pPr>
              <w:pStyle w:val="Compact"/>
            </w:pPr>
            <w:r>
              <w:t xml:space="preserve">0.692</w:t>
            </w:r>
          </w:p>
        </w:tc>
      </w:tr>
      <w:tr>
        <w:tc>
          <w:tcPr/>
          <w:p>
            <w:pPr>
              <w:pStyle w:val="Compact"/>
            </w:pPr>
            <w:r>
              <w:t xml:space="preserve">calcite</w:t>
            </w:r>
          </w:p>
        </w:tc>
        <w:tc>
          <w:tcPr/>
          <w:p>
            <w:pPr>
              <w:pStyle w:val="Compact"/>
            </w:pPr>
            <w:r>
              <w:t xml:space="preserve">dolomite</w:t>
            </w:r>
          </w:p>
        </w:tc>
        <w:tc>
          <w:tcPr/>
          <w:p>
            <w:pPr>
              <w:pStyle w:val="Compact"/>
            </w:pPr>
            <w:r>
              <w:t xml:space="preserve">0.661</w:t>
            </w:r>
          </w:p>
        </w:tc>
      </w:tr>
      <w:tr>
        <w:tc>
          <w:tcPr/>
          <w:p>
            <w:pPr>
              <w:pStyle w:val="Compact"/>
            </w:pPr>
            <w:r>
              <w:t xml:space="preserve">CaNa_exch</w:t>
            </w:r>
          </w:p>
        </w:tc>
        <w:tc>
          <w:tcPr/>
          <w:p>
            <w:pPr>
              <w:pStyle w:val="Compact"/>
            </w:pPr>
            <w:r>
              <w:t xml:space="preserve">albite</w:t>
            </w:r>
          </w:p>
        </w:tc>
        <w:tc>
          <w:tcPr/>
          <w:p>
            <w:pPr>
              <w:pStyle w:val="Compact"/>
            </w:pPr>
            <w:r>
              <w:t xml:space="preserve">−0.575</w:t>
            </w:r>
          </w:p>
        </w:tc>
      </w:tr>
      <w:tr>
        <w:tc>
          <w:tcPr/>
          <w:p>
            <w:pPr>
              <w:pStyle w:val="Compact"/>
            </w:pPr>
            <w:r>
              <w:t xml:space="preserve">gypsum</w:t>
            </w:r>
          </w:p>
        </w:tc>
        <w:tc>
          <w:tcPr/>
          <w:p>
            <w:pPr>
              <w:pStyle w:val="Compact"/>
            </w:pPr>
            <w:r>
              <w:t xml:space="preserve">pyrite_oxidation_aerobic</w:t>
            </w:r>
          </w:p>
        </w:tc>
        <w:tc>
          <w:tcPr/>
          <w:p>
            <w:pPr>
              <w:pStyle w:val="Compact"/>
            </w:pPr>
            <w:r>
              <w:t xml:space="preserve">−0.508</w:t>
            </w:r>
          </w:p>
        </w:tc>
      </w:tr>
    </w:tbl>
    <w:p>
      <w:pPr>
        <w:pStyle w:val="BodyText"/>
      </w:pPr>
      <w:r>
        <w:t xml:space="preserve">Parameter-level precision of recovered extents over active reaction rows (mean and standard deviation across 100 realisations; the SD is the empirical precision of the penalised solver, not a formal posterior interval — a fully Bayesian alternative is available, Supplementary Method S5):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Reaction</w:t>
            </w:r>
          </w:p>
        </w:tc>
        <w:tc>
          <w:tcPr/>
          <w:p>
            <w:pPr>
              <w:pStyle w:val="Compact"/>
            </w:pPr>
            <w:r>
              <w:t xml:space="preserve">n active rows</w:t>
            </w:r>
          </w:p>
        </w:tc>
        <w:tc>
          <w:tcPr/>
          <w:p>
            <w:pPr>
              <w:pStyle w:val="Compact"/>
            </w:pPr>
            <w:r>
              <w:t xml:space="preserve">mean recovered extent (mmol/L)</w:t>
            </w:r>
          </w:p>
        </w:tc>
        <w:tc>
          <w:tcPr/>
          <w:p>
            <w:pPr>
              <w:pStyle w:val="Compact"/>
            </w:pPr>
            <w:r>
              <w:t xml:space="preserve">SD (mmol/L)</w:t>
            </w:r>
          </w:p>
        </w:tc>
      </w:tr>
      <w:tr>
        <w:tc>
          <w:tcPr/>
          <w:p>
            <w:pPr>
              <w:pStyle w:val="Compact"/>
            </w:pPr>
            <w:r>
              <w:t xml:space="preserve">calcite</w:t>
            </w:r>
          </w:p>
        </w:tc>
        <w:tc>
          <w:tcPr/>
          <w:p>
            <w:pPr>
              <w:pStyle w:val="Compact"/>
            </w:pPr>
            <w:r>
              <w:t xml:space="preserve">600</w:t>
            </w:r>
          </w:p>
        </w:tc>
        <w:tc>
          <w:tcPr/>
          <w:p>
            <w:pPr>
              <w:pStyle w:val="Compact"/>
            </w:pPr>
            <w:r>
              <w:t xml:space="preserve">+0.055</w:t>
            </w:r>
          </w:p>
        </w:tc>
        <w:tc>
          <w:tcPr/>
          <w:p>
            <w:pPr>
              <w:pStyle w:val="Compact"/>
            </w:pPr>
            <w:r>
              <w:t xml:space="preserve">0.137</w:t>
            </w:r>
          </w:p>
        </w:tc>
      </w:tr>
      <w:tr>
        <w:tc>
          <w:tcPr/>
          <w:p>
            <w:pPr>
              <w:pStyle w:val="Compact"/>
            </w:pPr>
            <w:r>
              <w:t xml:space="preserve">dolomite</w:t>
            </w:r>
          </w:p>
        </w:tc>
        <w:tc>
          <w:tcPr/>
          <w:p>
            <w:pPr>
              <w:pStyle w:val="Compact"/>
            </w:pPr>
            <w:r>
              <w:t xml:space="preserve">400</w:t>
            </w:r>
          </w:p>
        </w:tc>
        <w:tc>
          <w:tcPr/>
          <w:p>
            <w:pPr>
              <w:pStyle w:val="Compact"/>
            </w:pPr>
            <w:r>
              <w:t xml:space="preserve">+0.083</w:t>
            </w:r>
          </w:p>
        </w:tc>
        <w:tc>
          <w:tcPr/>
          <w:p>
            <w:pPr>
              <w:pStyle w:val="Compact"/>
            </w:pPr>
            <w:r>
              <w:t xml:space="preserve">0.109</w:t>
            </w:r>
          </w:p>
        </w:tc>
      </w:tr>
      <w:tr>
        <w:tc>
          <w:tcPr/>
          <w:p>
            <w:pPr>
              <w:pStyle w:val="Compact"/>
            </w:pPr>
            <w:r>
              <w:t xml:space="preserve">CaNa_exch</w:t>
            </w:r>
          </w:p>
        </w:tc>
        <w:tc>
          <w:tcPr/>
          <w:p>
            <w:pPr>
              <w:pStyle w:val="Compact"/>
            </w:pPr>
            <w:r>
              <w:t xml:space="preserve">400</w:t>
            </w:r>
          </w:p>
        </w:tc>
        <w:tc>
          <w:tcPr/>
          <w:p>
            <w:pPr>
              <w:pStyle w:val="Compact"/>
            </w:pPr>
            <w:r>
              <w:t xml:space="preserve">−0.057</w:t>
            </w:r>
          </w:p>
        </w:tc>
        <w:tc>
          <w:tcPr/>
          <w:p>
            <w:pPr>
              <w:pStyle w:val="Compact"/>
            </w:pPr>
            <w:r>
              <w:t xml:space="preserve">0.168</w:t>
            </w:r>
          </w:p>
        </w:tc>
      </w:tr>
      <w:tr>
        <w:tc>
          <w:tcPr/>
          <w:p>
            <w:pPr>
              <w:pStyle w:val="Compact"/>
            </w:pPr>
            <w:r>
              <w:t xml:space="preserve">gypsum</w:t>
            </w:r>
          </w:p>
        </w:tc>
        <w:tc>
          <w:tcPr/>
          <w:p>
            <w:pPr>
              <w:pStyle w:val="Compact"/>
            </w:pPr>
            <w:r>
              <w:t xml:space="preserve">400</w:t>
            </w:r>
          </w:p>
        </w:tc>
        <w:tc>
          <w:tcPr/>
          <w:p>
            <w:pPr>
              <w:pStyle w:val="Compact"/>
            </w:pPr>
            <w:r>
              <w:t xml:space="preserve">−0.032</w:t>
            </w:r>
          </w:p>
        </w:tc>
        <w:tc>
          <w:tcPr/>
          <w:p>
            <w:pPr>
              <w:pStyle w:val="Compact"/>
            </w:pPr>
            <w:r>
              <w:t xml:space="preserve">0.188</w:t>
            </w:r>
          </w:p>
        </w:tc>
      </w:tr>
      <w:tr>
        <w:tc>
          <w:tcPr/>
          <w:p>
            <w:pPr>
              <w:pStyle w:val="Compact"/>
            </w:pPr>
            <w:r>
              <w:t xml:space="preserve">halite</w:t>
            </w:r>
          </w:p>
        </w:tc>
        <w:tc>
          <w:tcPr/>
          <w:p>
            <w:pPr>
              <w:pStyle w:val="Compact"/>
            </w:pPr>
            <w:r>
              <w:t xml:space="preserve">300</w:t>
            </w:r>
          </w:p>
        </w:tc>
        <w:tc>
          <w:tcPr/>
          <w:p>
            <w:pPr>
              <w:pStyle w:val="Compact"/>
            </w:pPr>
            <w:r>
              <w:t xml:space="preserve">−0.019</w:t>
            </w:r>
          </w:p>
        </w:tc>
        <w:tc>
          <w:tcPr/>
          <w:p>
            <w:pPr>
              <w:pStyle w:val="Compact"/>
            </w:pPr>
            <w:r>
              <w:t xml:space="preserve">0.186</w:t>
            </w:r>
          </w:p>
        </w:tc>
      </w:tr>
    </w:tbl>
    <w:p>
      <w:pPr>
        <w:pStyle w:val="BodyText"/>
      </w:pPr>
      <w:r>
        <w:t xml:space="preserve">The strong calcite–dolomite and albite–exchange correlations are the empirical signature of the dictionary degeneracy quantified in Tables S6–S8 and explain the limited extent-level recovery reported in Section 4.2.</w:t>
      </w:r>
    </w:p>
    <w:bookmarkEnd w:id="17"/>
    <w:bookmarkStart w:id="18" w:name="Xd9c05828eeeee2e8657bb4db24d5863f023ba74"/>
    <w:p>
      <w:pPr>
        <w:pStyle w:val="Heading2"/>
      </w:pPr>
      <w:r>
        <w:t xml:space="preserve">Supplementary Table S9. Topology baseline comparison (Savage MODPATH reference, 174 directed edges, DOI 10.5066/F7J102FK)</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Baseline construction</w:t>
            </w:r>
          </w:p>
        </w:tc>
        <w:tc>
          <w:tcPr/>
          <w:p>
            <w:pPr>
              <w:pStyle w:val="Compact"/>
            </w:pPr>
            <w:r>
              <w:t xml:space="preserve">Candidates</w:t>
            </w:r>
          </w:p>
        </w:tc>
        <w:tc>
          <w:tcPr/>
          <w:p>
            <w:pPr>
              <w:pStyle w:val="Compact"/>
            </w:pPr>
            <w:r>
              <w:t xml:space="preserve">TP</w:t>
            </w:r>
          </w:p>
        </w:tc>
        <w:tc>
          <w:tcPr/>
          <w:p>
            <w:pPr>
              <w:pStyle w:val="Compact"/>
            </w:pPr>
            <w:r>
              <w:t xml:space="preserve">FP</w:t>
            </w:r>
          </w:p>
        </w:tc>
        <w:tc>
          <w:tcPr/>
          <w:p>
            <w:pPr>
              <w:pStyle w:val="Compact"/>
            </w:pPr>
            <w:r>
              <w:t xml:space="preserve">FN</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head-gradient (elevation-as-head, downhill, k=2) — framework no-prior</w:t>
            </w:r>
          </w:p>
        </w:tc>
        <w:tc>
          <w:tcPr/>
          <w:p>
            <w:pPr>
              <w:pStyle w:val="Compact"/>
            </w:pPr>
            <w:r>
              <w:t xml:space="preserve">302</w:t>
            </w:r>
          </w:p>
        </w:tc>
        <w:tc>
          <w:tcPr/>
          <w:p>
            <w:pPr>
              <w:pStyle w:val="Compact"/>
            </w:pPr>
            <w:r>
              <w:t xml:space="preserve">147</w:t>
            </w:r>
          </w:p>
        </w:tc>
        <w:tc>
          <w:tcPr/>
          <w:p>
            <w:pPr>
              <w:pStyle w:val="Compact"/>
            </w:pPr>
            <w:r>
              <w:t xml:space="preserve">155</w:t>
            </w:r>
          </w:p>
        </w:tc>
        <w:tc>
          <w:tcPr/>
          <w:p>
            <w:pPr>
              <w:pStyle w:val="Compact"/>
            </w:pPr>
            <w:r>
              <w:t xml:space="preserve">27</w:t>
            </w:r>
          </w:p>
        </w:tc>
        <w:tc>
          <w:tcPr/>
          <w:p>
            <w:pPr>
              <w:pStyle w:val="Compact"/>
            </w:pPr>
            <w:r>
              <w:t xml:space="preserve">0.49</w:t>
            </w:r>
          </w:p>
        </w:tc>
        <w:tc>
          <w:tcPr/>
          <w:p>
            <w:pPr>
              <w:pStyle w:val="Compact"/>
            </w:pPr>
            <w:r>
              <w:t xml:space="preserve">0.84</w:t>
            </w:r>
          </w:p>
        </w:tc>
        <w:tc>
          <w:tcPr/>
          <w:p>
            <w:pPr>
              <w:pStyle w:val="Compact"/>
            </w:pPr>
            <w:r>
              <w:t xml:space="preserve">0.62</w:t>
            </w:r>
          </w:p>
        </w:tc>
      </w:tr>
      <w:tr>
        <w:tc>
          <w:tcPr/>
          <w:p>
            <w:pPr>
              <w:pStyle w:val="Compact"/>
            </w:pPr>
            <w:r>
              <w:t xml:space="preserve">all-pairs elevation-drop</w:t>
            </w:r>
          </w:p>
        </w:tc>
        <w:tc>
          <w:tcPr/>
          <w:p>
            <w:pPr>
              <w:pStyle w:val="Compact"/>
            </w:pPr>
            <w:r>
              <w:t xml:space="preserve">452</w:t>
            </w:r>
          </w:p>
        </w:tc>
        <w:tc>
          <w:tcPr/>
          <w:p>
            <w:pPr>
              <w:pStyle w:val="Compact"/>
            </w:pPr>
            <w:r>
              <w:t xml:space="preserve">147</w:t>
            </w:r>
          </w:p>
        </w:tc>
        <w:tc>
          <w:tcPr/>
          <w:p>
            <w:pPr>
              <w:pStyle w:val="Compact"/>
            </w:pPr>
            <w:r>
              <w:t xml:space="preserve">305</w:t>
            </w:r>
          </w:p>
        </w:tc>
        <w:tc>
          <w:tcPr/>
          <w:p>
            <w:pPr>
              <w:pStyle w:val="Compact"/>
            </w:pPr>
            <w:r>
              <w:t xml:space="preserve">27</w:t>
            </w:r>
          </w:p>
        </w:tc>
        <w:tc>
          <w:tcPr/>
          <w:p>
            <w:pPr>
              <w:pStyle w:val="Compact"/>
            </w:pPr>
            <w:r>
              <w:t xml:space="preserve">0.33</w:t>
            </w:r>
          </w:p>
        </w:tc>
        <w:tc>
          <w:tcPr/>
          <w:p>
            <w:pPr>
              <w:pStyle w:val="Compact"/>
            </w:pPr>
            <w:r>
              <w:t xml:space="preserve">0.84</w:t>
            </w:r>
          </w:p>
        </w:tc>
        <w:tc>
          <w:tcPr/>
          <w:p>
            <w:pPr>
              <w:pStyle w:val="Compact"/>
            </w:pPr>
            <w:r>
              <w:t xml:space="preserve">0.47</w:t>
            </w:r>
          </w:p>
        </w:tc>
      </w:tr>
      <w:tr>
        <w:tc>
          <w:tcPr/>
          <w:p>
            <w:pPr>
              <w:pStyle w:val="Compact"/>
            </w:pPr>
            <w:r>
              <w:t xml:space="preserve">proximity kNN (k=2)</w:t>
            </w:r>
          </w:p>
        </w:tc>
        <w:tc>
          <w:tcPr/>
          <w:p>
            <w:pPr>
              <w:pStyle w:val="Compact"/>
            </w:pPr>
            <w:r>
              <w:t xml:space="preserve">306</w:t>
            </w:r>
          </w:p>
        </w:tc>
        <w:tc>
          <w:tcPr/>
          <w:p>
            <w:pPr>
              <w:pStyle w:val="Compact"/>
            </w:pPr>
            <w:r>
              <w:t xml:space="preserve">0</w:t>
            </w:r>
          </w:p>
        </w:tc>
        <w:tc>
          <w:tcPr/>
          <w:p>
            <w:pPr>
              <w:pStyle w:val="Compact"/>
            </w:pPr>
            <w:r>
              <w:t xml:space="preserve">306</w:t>
            </w:r>
          </w:p>
        </w:tc>
        <w:tc>
          <w:tcPr/>
          <w:p>
            <w:pPr>
              <w:pStyle w:val="Compact"/>
            </w:pPr>
            <w:r>
              <w:t xml:space="preserve">174</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t xml:space="preserve">conservative-tracer ordering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not evaluable on this archive (no hydrochemistry)</w:t>
            </w:r>
          </w:p>
        </w:tc>
      </w:tr>
    </w:tbl>
    <w:bookmarkEnd w:id="18"/>
    <w:bookmarkStart w:id="19" w:name="Xf4614f7afdbda633759a3fd0d0d6e6eab0df6fb"/>
    <w:p>
      <w:pPr>
        <w:pStyle w:val="Heading2"/>
      </w:pPr>
      <w:r>
        <w:t xml:space="preserve">Supplementary Table S10. PSI separation for degenerate reaction pairs (site-aggregated, canonical)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Site</w:t>
            </w:r>
          </w:p>
        </w:tc>
        <w:tc>
          <w:tcPr/>
          <w:p>
            <w:pPr>
              <w:pStyle w:val="Compact"/>
            </w:pPr>
            <w:r>
              <w:t xml:space="preserve">Pair</w:t>
            </w:r>
          </w:p>
        </w:tc>
        <w:tc>
          <w:tcPr/>
          <w:p>
            <w:pPr>
              <w:pStyle w:val="Compact"/>
            </w:pPr>
            <w:r>
              <w:t xml:space="preserve">PSI (member A)</w:t>
            </w:r>
          </w:p>
        </w:tc>
        <w:tc>
          <w:tcPr/>
          <w:p>
            <w:pPr>
              <w:pStyle w:val="Compact"/>
            </w:pPr>
            <w:r>
              <w:t xml:space="preserve">PSI (member B)</w:t>
            </w:r>
          </w:p>
        </w:tc>
        <w:tc>
          <w:tcPr/>
          <w:p>
            <w:pPr>
              <w:pStyle w:val="Compact"/>
            </w:pPr>
            <w:r>
              <w:t xml:space="preserve">Separation</w:t>
            </w:r>
          </w:p>
        </w:tc>
      </w:tr>
      <w:tr>
        <w:tc>
          <w:tcPr/>
          <w:p>
            <w:pPr>
              <w:pStyle w:val="Compact"/>
            </w:pPr>
            <w:r>
              <w:t xml:space="preserve">Lower Anayari</w:t>
            </w:r>
          </w:p>
        </w:tc>
        <w:tc>
          <w:tcPr/>
          <w:p>
            <w:pPr>
              <w:pStyle w:val="Compact"/>
            </w:pPr>
            <w:r>
              <w:t xml:space="preserve">CaNa_exch ~ NaCa_exch</w:t>
            </w:r>
          </w:p>
        </w:tc>
        <w:tc>
          <w:tcPr/>
          <w:p>
            <w:pPr>
              <w:pStyle w:val="Compact"/>
            </w:pPr>
            <w:r>
              <w:t xml:space="preserve">0.73</w:t>
            </w:r>
          </w:p>
        </w:tc>
        <w:tc>
          <w:tcPr/>
          <w:p>
            <w:pPr>
              <w:pStyle w:val="Compact"/>
            </w:pPr>
            <w:r>
              <w:t xml:space="preserve">0.46</w:t>
            </w:r>
          </w:p>
        </w:tc>
        <w:tc>
          <w:tcPr/>
          <w:p>
            <w:pPr>
              <w:pStyle w:val="Compact"/>
            </w:pPr>
            <w:r>
              <w:t xml:space="preserve">CaNa &gt; NaCa by 0.27</w:t>
            </w:r>
          </w:p>
        </w:tc>
      </w:tr>
      <w:tr>
        <w:tc>
          <w:tcPr/>
          <w:p>
            <w:pPr>
              <w:pStyle w:val="Compact"/>
            </w:pPr>
            <w:r>
              <w:t xml:space="preserve">Talensi</w:t>
            </w:r>
          </w:p>
        </w:tc>
        <w:tc>
          <w:tcPr/>
          <w:p>
            <w:pPr>
              <w:pStyle w:val="Compact"/>
            </w:pPr>
            <w:r>
              <w:t xml:space="preserve">CaNa_exch ~ NaCa_exch</w:t>
            </w:r>
          </w:p>
        </w:tc>
        <w:tc>
          <w:tcPr/>
          <w:p>
            <w:pPr>
              <w:pStyle w:val="Compact"/>
            </w:pPr>
            <w:r>
              <w:t xml:space="preserve">0.83</w:t>
            </w:r>
          </w:p>
        </w:tc>
        <w:tc>
          <w:tcPr/>
          <w:p>
            <w:pPr>
              <w:pStyle w:val="Compact"/>
            </w:pPr>
            <w:r>
              <w:t xml:space="preserve">0.42</w:t>
            </w:r>
          </w:p>
        </w:tc>
        <w:tc>
          <w:tcPr/>
          <w:p>
            <w:pPr>
              <w:pStyle w:val="Compact"/>
            </w:pPr>
            <w:r>
              <w:t xml:space="preserve">CaNa &gt; NaCa by 0.41</w:t>
            </w:r>
          </w:p>
        </w:tc>
      </w:tr>
      <w:tr>
        <w:tc>
          <w:tcPr/>
          <w:p>
            <w:pPr>
              <w:pStyle w:val="Compact"/>
            </w:pPr>
            <w:r>
              <w:t xml:space="preserve">Lower Anayari</w:t>
            </w:r>
          </w:p>
        </w:tc>
        <w:tc>
          <w:tcPr/>
          <w:p>
            <w:pPr>
              <w:pStyle w:val="Compact"/>
            </w:pPr>
            <w:r>
              <w:t xml:space="preserve">calcite ~ dolomite</w:t>
            </w:r>
          </w:p>
        </w:tc>
        <w:tc>
          <w:tcPr/>
          <w:p>
            <w:pPr>
              <w:pStyle w:val="Compact"/>
            </w:pPr>
            <w:r>
              <w:t xml:space="preserve">0.05</w:t>
            </w:r>
          </w:p>
        </w:tc>
        <w:tc>
          <w:tcPr/>
          <w:p>
            <w:pPr>
              <w:pStyle w:val="Compact"/>
            </w:pPr>
            <w:r>
              <w:t xml:space="preserve">0.002</w:t>
            </w:r>
          </w:p>
        </w:tc>
        <w:tc>
          <w:tcPr/>
          <w:p>
            <w:pPr>
              <w:pStyle w:val="Compact"/>
            </w:pPr>
            <w:r>
              <w:t xml:space="preserve">both near zero</w:t>
            </w:r>
          </w:p>
        </w:tc>
      </w:tr>
      <w:tr>
        <w:tc>
          <w:tcPr/>
          <w:p>
            <w:pPr>
              <w:pStyle w:val="Compact"/>
            </w:pPr>
            <w:r>
              <w:t xml:space="preserve">Talensi</w:t>
            </w:r>
          </w:p>
        </w:tc>
        <w:tc>
          <w:tcPr/>
          <w:p>
            <w:pPr>
              <w:pStyle w:val="Compact"/>
            </w:pPr>
            <w:r>
              <w:t xml:space="preserve">calcite ~ dolomite</w:t>
            </w:r>
          </w:p>
        </w:tc>
        <w:tc>
          <w:tcPr/>
          <w:p>
            <w:pPr>
              <w:pStyle w:val="Compact"/>
            </w:pPr>
            <w:r>
              <w:t xml:space="preserve">0.06</w:t>
            </w:r>
          </w:p>
        </w:tc>
        <w:tc>
          <w:tcPr/>
          <w:p>
            <w:pPr>
              <w:pStyle w:val="Compact"/>
            </w:pPr>
            <w:r>
              <w:t xml:space="preserve">0.04</w:t>
            </w:r>
          </w:p>
        </w:tc>
        <w:tc>
          <w:tcPr/>
          <w:p>
            <w:pPr>
              <w:pStyle w:val="Compact"/>
            </w:pPr>
            <w:r>
              <w:t xml:space="preserve">both near zero</w:t>
            </w:r>
          </w:p>
        </w:tc>
      </w:tr>
    </w:tbl>
    <w:p>
      <w:pPr>
        <w:pStyle w:val="BodyText"/>
      </w:pPr>
      <w:r>
        <w:t xml:space="preserve">Values are the site-aggregated per-mineral inclusion probabilities (mean Monte Carlo inclusion probability across that site’s edges), identical to the values plotted in Figure 7. PSI separates the directional exchange pair (CaNa_exch consistently higher than NaCa_exch at both sites), whereas both carbonate members remain near zero, so the metric does not falsely promote either carbonate when carbonates are not stably active. PSI measures stability to input perturbation, not the correctness of process attribution.</w:t>
      </w:r>
    </w:p>
    <w:bookmarkEnd w:id="19"/>
    <w:bookmarkStart w:id="20" w:name="X91bba70ccc9c31d61f6a64468a8ac818c8b3f1f"/>
    <w:p>
      <w:pPr>
        <w:pStyle w:val="Heading2"/>
      </w:pPr>
      <w:r>
        <w:t xml:space="preserve">Supplementary Table S11. Multi-endmember mixing + reaction stress test (canonical)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edges x realisations</w:t>
            </w:r>
          </w:p>
        </w:tc>
        <w:tc>
          <w:tcPr/>
          <w:p>
            <w:pPr>
              <w:pStyle w:val="Compact"/>
            </w:pPr>
            <w:r>
              <w:t xml:space="preserve">10 x 20</w:t>
            </w:r>
          </w:p>
        </w:tc>
      </w:tr>
      <w:tr>
        <w:tc>
          <w:tcPr/>
          <w:p>
            <w:pPr>
              <w:pStyle w:val="Compact"/>
            </w:pPr>
            <w:r>
              <w:t xml:space="preserve">true mixing fraction (two endmembers)</w:t>
            </w:r>
          </w:p>
        </w:tc>
        <w:tc>
          <w:tcPr/>
          <w:p>
            <w:pPr>
              <w:pStyle w:val="Compact"/>
            </w:pPr>
            <w:r>
              <w:t xml:space="preserve">0.35 (f1 = 0.20, f2 = 0.15)</w:t>
            </w:r>
          </w:p>
        </w:tc>
      </w:tr>
      <w:tr>
        <w:tc>
          <w:tcPr/>
          <w:p>
            <w:pPr>
              <w:pStyle w:val="Compact"/>
            </w:pPr>
            <w:r>
              <w:t xml:space="preserve">true halite extent</w:t>
            </w:r>
          </w:p>
        </w:tc>
        <w:tc>
          <w:tcPr/>
          <w:p>
            <w:pPr>
              <w:pStyle w:val="Compact"/>
            </w:pPr>
            <w:r>
              <w:t xml:space="preserve">0.40 mmol/L</w:t>
            </w:r>
          </w:p>
        </w:tc>
      </w:tr>
      <w:tr>
        <w:tc>
          <w:tcPr/>
          <w:p>
            <w:pPr>
              <w:pStyle w:val="Compact"/>
            </w:pPr>
            <w:r>
              <w:t xml:space="preserve">true calcite extent</w:t>
            </w:r>
          </w:p>
        </w:tc>
        <w:tc>
          <w:tcPr/>
          <w:p>
            <w:pPr>
              <w:pStyle w:val="Compact"/>
            </w:pPr>
            <w:r>
              <w:t xml:space="preserve">0.20 mmol/L</w:t>
            </w:r>
          </w:p>
        </w:tc>
      </w:tr>
      <w:tr>
        <w:tc>
          <w:tcPr/>
          <w:p>
            <w:pPr>
              <w:pStyle w:val="Compact"/>
            </w:pPr>
            <w:r>
              <w:t xml:space="preserve">mix model selected</w:t>
            </w:r>
          </w:p>
        </w:tc>
        <w:tc>
          <w:tcPr/>
          <w:p>
            <w:pPr>
              <w:pStyle w:val="Compact"/>
            </w:pPr>
            <w:r>
              <w:t xml:space="preserve">73.1% of edges</w:t>
            </w:r>
          </w:p>
        </w:tc>
      </w:tr>
      <w:tr>
        <w:tc>
          <w:tcPr/>
          <w:p>
            <w:pPr>
              <w:pStyle w:val="Compact"/>
            </w:pPr>
            <w:r>
              <w:t xml:space="preserve">median recovered mixing fraction</w:t>
            </w:r>
          </w:p>
        </w:tc>
        <w:tc>
          <w:tcPr/>
          <w:p>
            <w:pPr>
              <w:pStyle w:val="Compact"/>
            </w:pPr>
            <w:r>
              <w:t xml:space="preserve">0.24</w:t>
            </w:r>
          </w:p>
        </w:tc>
      </w:tr>
      <w:tr>
        <w:tc>
          <w:tcPr/>
          <w:p>
            <w:pPr>
              <w:pStyle w:val="Compact"/>
            </w:pPr>
            <w:r>
              <w:t xml:space="preserve">median chemistry R2</w:t>
            </w:r>
          </w:p>
        </w:tc>
        <w:tc>
          <w:tcPr/>
          <w:p>
            <w:pPr>
              <w:pStyle w:val="Compact"/>
            </w:pPr>
            <w:r>
              <w:t xml:space="preserve">0.999</w:t>
            </w:r>
          </w:p>
        </w:tc>
      </w:tr>
      <w:tr>
        <w:tc>
          <w:tcPr/>
          <w:p>
            <w:pPr>
              <w:pStyle w:val="Compact"/>
            </w:pPr>
            <w:r>
              <w:t xml:space="preserve">median recovered halite extent</w:t>
            </w:r>
          </w:p>
        </w:tc>
        <w:tc>
          <w:tcPr/>
          <w:p>
            <w:pPr>
              <w:pStyle w:val="Compact"/>
            </w:pPr>
            <w:r>
              <w:t xml:space="preserve">0.04 mmol/L</w:t>
            </w:r>
          </w:p>
        </w:tc>
      </w:tr>
      <w:tr>
        <w:tc>
          <w:tcPr/>
          <w:p>
            <w:pPr>
              <w:pStyle w:val="Compact"/>
            </w:pPr>
            <w:r>
              <w:t xml:space="preserve">median recovered calcite extent</w:t>
            </w:r>
          </w:p>
        </w:tc>
        <w:tc>
          <w:tcPr/>
          <w:p>
            <w:pPr>
              <w:pStyle w:val="Compact"/>
            </w:pPr>
            <w:r>
              <w:t xml:space="preserve">0.00 mmol/L</w:t>
            </w:r>
          </w:p>
        </w:tc>
      </w:tr>
      <w:tr>
        <w:tc>
          <w:tcPr/>
          <w:p>
            <w:pPr>
              <w:pStyle w:val="Compact"/>
            </w:pPr>
            <w:r>
              <w:t xml:space="preserve">median family evaporite extent</w:t>
            </w:r>
          </w:p>
        </w:tc>
        <w:tc>
          <w:tcPr/>
          <w:p>
            <w:pPr>
              <w:pStyle w:val="Compact"/>
            </w:pPr>
            <w:r>
              <w:t xml:space="preserve">0.23 mmol/L</w:t>
            </w:r>
          </w:p>
        </w:tc>
      </w:tr>
    </w:tbl>
    <w:p>
      <w:pPr>
        <w:pStyle w:val="BodyText"/>
      </w:pPr>
      <w:r>
        <w:t xml:space="preserve">Single-endmember transport absorbs most of the reaction signal when the true mixing is two-endmember: mixing–reaction coupling is quantified and discussed in Section 5.5.</w:t>
      </w:r>
    </w:p>
    <w:bookmarkEnd w:id="20"/>
    <w:bookmarkStart w:id="21" w:name="Xdf99ba39f5bc3f96ffd8880e395b1a82453bd03"/>
    <w:p>
      <w:pPr>
        <w:pStyle w:val="Heading2"/>
      </w:pPr>
      <w:r>
        <w:t xml:space="preserve">Supplementary Table S12. Age-ordering with wide posterior intervals (canonical, synthetic benchmark network)</w:t>
      </w:r>
    </w:p>
    <w:p>
      <w:pPr>
        <w:pStyle w:val="FirstParagraph"/>
      </w:pPr>
      <w:r>
        <w:t xml:space="preserve">The age-ordering audit is run on the 13 directed edges of the synthetic benchmark network in each of 100 realisations (1,300 edge-checks in total); the fractions below are means over the 100 realisations.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directed edges per realisation</w:t>
            </w:r>
          </w:p>
        </w:tc>
        <w:tc>
          <w:tcPr/>
          <w:p>
            <w:pPr>
              <w:pStyle w:val="Compact"/>
            </w:pPr>
            <w:r>
              <w:t xml:space="preserve">13 (× 100 realisations = 1,300 edge-checks)</w:t>
            </w:r>
          </w:p>
        </w:tc>
      </w:tr>
      <w:tr>
        <w:tc>
          <w:tcPr/>
          <w:p>
            <w:pPr>
              <w:pStyle w:val="Compact"/>
            </w:pPr>
            <w:r>
              <w:t xml:space="preserve">violation fraction (point-estimate ordering)</w:t>
            </w:r>
          </w:p>
        </w:tc>
        <w:tc>
          <w:tcPr/>
          <w:p>
            <w:pPr>
              <w:pStyle w:val="Compact"/>
            </w:pPr>
            <w:r>
              <w:t xml:space="preserve">15.2%</w:t>
            </w:r>
          </w:p>
        </w:tc>
      </w:tr>
      <w:tr>
        <w:tc>
          <w:tcPr/>
          <w:p>
            <w:pPr>
              <w:pStyle w:val="Compact"/>
            </w:pPr>
            <w:r>
              <w:t xml:space="preserve">severe violations (non-overlapping reversal beyond log10 0.3)</w:t>
            </w:r>
          </w:p>
        </w:tc>
        <w:tc>
          <w:tcPr/>
          <w:p>
            <w:pPr>
              <w:pStyle w:val="Compact"/>
            </w:pPr>
            <w:r>
              <w:t xml:space="preserve">2.4%</w:t>
            </w:r>
          </w:p>
        </w:tc>
      </w:tr>
      <w:tr>
        <w:tc>
          <w:tcPr/>
          <w:p>
            <w:pPr>
              <w:pStyle w:val="Compact"/>
            </w:pPr>
            <w:r>
              <w:t xml:space="preserve">share of violations with overlapping intervals (retained, flagged</w:t>
            </w:r>
            <w:r>
              <w:t xml:space="preserve"> </w:t>
            </w:r>
            <w:r>
              <w:t xml:space="preserve">“unresolved at stated uncertainty”</w:t>
            </w:r>
            <w:r>
              <w:t xml:space="preserve">)</w:t>
            </w:r>
          </w:p>
        </w:tc>
        <w:tc>
          <w:tcPr/>
          <w:p>
            <w:pPr>
              <w:pStyle w:val="Compact"/>
            </w:pPr>
            <w:r>
              <w:t xml:space="preserve">84.3%</w:t>
            </w:r>
          </w:p>
        </w:tc>
      </w:tr>
      <w:tr>
        <w:tc>
          <w:tcPr/>
          <w:p>
            <w:pPr>
              <w:pStyle w:val="Compact"/>
            </w:pPr>
            <w:r>
              <w:t xml:space="preserve">age-order consistency index</w:t>
            </w:r>
          </w:p>
        </w:tc>
        <w:tc>
          <w:tcPr/>
          <w:p>
            <w:pPr>
              <w:pStyle w:val="Compact"/>
            </w:pPr>
            <w:r>
              <w:t xml:space="preserve">0.85</w:t>
            </w:r>
          </w:p>
        </w:tc>
      </w:tr>
    </w:tbl>
    <w:bookmarkEnd w:id="21"/>
    <w:bookmarkStart w:id="22" w:name="X0552c9f65732c28f9d4fa7c19f930e68e780c82"/>
    <w:p>
      <w:pPr>
        <w:pStyle w:val="Heading2"/>
      </w:pPr>
      <w:r>
        <w:t xml:space="preserve">Supplementary Table S13. Runtime scaling of candidate-edge construction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n_nodes</w:t>
            </w:r>
          </w:p>
        </w:tc>
        <w:tc>
          <w:tcPr/>
          <w:p>
            <w:pPr>
              <w:pStyle w:val="Compact"/>
            </w:pPr>
            <w:r>
              <w:t xml:space="preserve">n_candidate_edges</w:t>
            </w:r>
          </w:p>
        </w:tc>
        <w:tc>
          <w:tcPr/>
          <w:p>
            <w:pPr>
              <w:pStyle w:val="Compact"/>
            </w:pPr>
            <w:r>
              <w:t xml:space="preserve">wall_seconds</w:t>
            </w:r>
          </w:p>
        </w:tc>
        <w:tc>
          <w:tcPr/>
          <w:p>
            <w:pPr>
              <w:pStyle w:val="Compact"/>
            </w:pPr>
            <w:r>
              <w:t xml:space="preserve">edges_per_node</w:t>
            </w:r>
          </w:p>
        </w:tc>
      </w:tr>
      <w:tr>
        <w:tc>
          <w:tcPr/>
          <w:p>
            <w:pPr>
              <w:pStyle w:val="Compact"/>
            </w:pPr>
            <w:r>
              <w:t xml:space="preserve">10</w:t>
            </w:r>
          </w:p>
        </w:tc>
        <w:tc>
          <w:tcPr/>
          <w:p>
            <w:pPr>
              <w:pStyle w:val="Compact"/>
            </w:pPr>
            <w:r>
              <w:t xml:space="preserve">24</w:t>
            </w:r>
          </w:p>
        </w:tc>
        <w:tc>
          <w:tcPr/>
          <w:p>
            <w:pPr>
              <w:pStyle w:val="Compact"/>
            </w:pPr>
            <w:r>
              <w:t xml:space="preserve">0.0001</w:t>
            </w:r>
          </w:p>
        </w:tc>
        <w:tc>
          <w:tcPr/>
          <w:p>
            <w:pPr>
              <w:pStyle w:val="Compact"/>
            </w:pPr>
            <w:r>
              <w:t xml:space="preserve">2.40</w:t>
            </w:r>
          </w:p>
        </w:tc>
      </w:tr>
      <w:tr>
        <w:tc>
          <w:tcPr/>
          <w:p>
            <w:pPr>
              <w:pStyle w:val="Compact"/>
            </w:pPr>
            <w:r>
              <w:t xml:space="preserve">20</w:t>
            </w:r>
          </w:p>
        </w:tc>
        <w:tc>
          <w:tcPr/>
          <w:p>
            <w:pPr>
              <w:pStyle w:val="Compact"/>
            </w:pPr>
            <w:r>
              <w:t xml:space="preserve">54</w:t>
            </w:r>
          </w:p>
        </w:tc>
        <w:tc>
          <w:tcPr/>
          <w:p>
            <w:pPr>
              <w:pStyle w:val="Compact"/>
            </w:pPr>
            <w:r>
              <w:t xml:space="preserve">0.0003</w:t>
            </w:r>
          </w:p>
        </w:tc>
        <w:tc>
          <w:tcPr/>
          <w:p>
            <w:pPr>
              <w:pStyle w:val="Compact"/>
            </w:pPr>
            <w:r>
              <w:t xml:space="preserve">2.70</w:t>
            </w:r>
          </w:p>
        </w:tc>
      </w:tr>
      <w:tr>
        <w:tc>
          <w:tcPr/>
          <w:p>
            <w:pPr>
              <w:pStyle w:val="Compact"/>
            </w:pPr>
            <w:r>
              <w:t xml:space="preserve">40</w:t>
            </w:r>
          </w:p>
        </w:tc>
        <w:tc>
          <w:tcPr/>
          <w:p>
            <w:pPr>
              <w:pStyle w:val="Compact"/>
            </w:pPr>
            <w:r>
              <w:t xml:space="preserve">114</w:t>
            </w:r>
          </w:p>
        </w:tc>
        <w:tc>
          <w:tcPr/>
          <w:p>
            <w:pPr>
              <w:pStyle w:val="Compact"/>
            </w:pPr>
            <w:r>
              <w:t xml:space="preserve">0.0010</w:t>
            </w:r>
          </w:p>
        </w:tc>
        <w:tc>
          <w:tcPr/>
          <w:p>
            <w:pPr>
              <w:pStyle w:val="Compact"/>
            </w:pPr>
            <w:r>
              <w:t xml:space="preserve">2.85</w:t>
            </w:r>
          </w:p>
        </w:tc>
      </w:tr>
      <w:tr>
        <w:tc>
          <w:tcPr/>
          <w:p>
            <w:pPr>
              <w:pStyle w:val="Compact"/>
            </w:pPr>
            <w:r>
              <w:t xml:space="preserve">80</w:t>
            </w:r>
          </w:p>
        </w:tc>
        <w:tc>
          <w:tcPr/>
          <w:p>
            <w:pPr>
              <w:pStyle w:val="Compact"/>
            </w:pPr>
            <w:r>
              <w:t xml:space="preserve">234</w:t>
            </w:r>
          </w:p>
        </w:tc>
        <w:tc>
          <w:tcPr/>
          <w:p>
            <w:pPr>
              <w:pStyle w:val="Compact"/>
            </w:pPr>
            <w:r>
              <w:t xml:space="preserve">0.0035</w:t>
            </w:r>
          </w:p>
        </w:tc>
        <w:tc>
          <w:tcPr/>
          <w:p>
            <w:pPr>
              <w:pStyle w:val="Compact"/>
            </w:pPr>
            <w:r>
              <w:t xml:space="preserve">2.92</w:t>
            </w:r>
          </w:p>
        </w:tc>
      </w:tr>
      <w:tr>
        <w:tc>
          <w:tcPr/>
          <w:p>
            <w:pPr>
              <w:pStyle w:val="Compact"/>
            </w:pPr>
            <w:r>
              <w:t xml:space="preserve">160</w:t>
            </w:r>
          </w:p>
        </w:tc>
        <w:tc>
          <w:tcPr/>
          <w:p>
            <w:pPr>
              <w:pStyle w:val="Compact"/>
            </w:pPr>
            <w:r>
              <w:t xml:space="preserve">474</w:t>
            </w:r>
          </w:p>
        </w:tc>
        <w:tc>
          <w:tcPr/>
          <w:p>
            <w:pPr>
              <w:pStyle w:val="Compact"/>
            </w:pPr>
            <w:r>
              <w:t xml:space="preserve">0.0145</w:t>
            </w:r>
          </w:p>
        </w:tc>
        <w:tc>
          <w:tcPr/>
          <w:p>
            <w:pPr>
              <w:pStyle w:val="Compact"/>
            </w:pPr>
            <w:r>
              <w:t xml:space="preserve">2.96</w:t>
            </w:r>
          </w:p>
        </w:tc>
      </w:tr>
      <w:tr>
        <w:tc>
          <w:tcPr/>
          <w:p>
            <w:pPr>
              <w:pStyle w:val="Compact"/>
            </w:pPr>
            <w:r>
              <w:t xml:space="preserve">320</w:t>
            </w:r>
          </w:p>
        </w:tc>
        <w:tc>
          <w:tcPr/>
          <w:p>
            <w:pPr>
              <w:pStyle w:val="Compact"/>
            </w:pPr>
            <w:r>
              <w:t xml:space="preserve">954</w:t>
            </w:r>
          </w:p>
        </w:tc>
        <w:tc>
          <w:tcPr/>
          <w:p>
            <w:pPr>
              <w:pStyle w:val="Compact"/>
            </w:pPr>
            <w:r>
              <w:t xml:space="preserve">0.0619</w:t>
            </w:r>
          </w:p>
        </w:tc>
        <w:tc>
          <w:tcPr/>
          <w:p>
            <w:pPr>
              <w:pStyle w:val="Compact"/>
            </w:pPr>
            <w:r>
              <w:t xml:space="preserve">2.98</w:t>
            </w:r>
          </w:p>
        </w:tc>
      </w:tr>
    </w:tbl>
    <w:p>
      <w:pPr>
        <w:pStyle w:val="BodyText"/>
      </w:pPr>
      <w:r>
        <w:t xml:space="preserve">Candidate counts grow ~linearly (~3n) thanks to the maximum-neighbour pruning (default 3). Measured end-to-end wall times for the canonical runs on a 16-logical-core workstation: the full 100-realisation M2 synthetic benchmark (4 scenarios x 4 topology variants, including generation and evaluation) completed the realisation loop in ~1.7 minutes (start-to-finish including setup under 5 minutes), and the 1,272-row M3 public-age benchmark completed in ~7 minutes (16 processes).</w:t>
      </w:r>
    </w:p>
    <w:bookmarkEnd w:id="22"/>
    <w:bookmarkStart w:id="23" w:name="X3de4daa48b41eca63dbccc9afdebba871efaa81"/>
    <w:p>
      <w:pPr>
        <w:pStyle w:val="Heading2"/>
      </w:pPr>
      <w:r>
        <w:t>Supplementary Table S14. Graph-stage sensitivity to the edge search radius</w:t>
      </w:r>
    </w:p>
    <w:p>
      <w:r>
        <w:t>The documented probabilistic builder and sheaf-inspired selection stage were rerun at four search radii. Chemistry fitting was not rerun, so these are topology-sensitivity results, not new field-performance estimates.</w:t>
      </w:r>
    </w:p>
    <w:tbl>
      <w:tblPr>
        <w:tblW w:type="dxa" w:w="8300"/>
        <w:jc w:val="center"/>
        <w:tblLayout w:type="fixed"/>
        <w:tblLook w:firstColumn="1" w:firstRow="1" w:lastColumn="0" w:lastRow="0" w:noHBand="0" w:noVBand="1" w:val="04A0"/>
      </w:tblPr>
      <w:tblGrid>
        <w:gridCol w:w="1900"/>
        <w:gridCol w:w="800"/>
        <w:gridCol w:w="1250"/>
        <w:gridCol w:w="1250"/>
        <w:gridCol w:w="800"/>
        <w:gridCol w:w="800"/>
        <w:gridCol w:w="1500"/>
      </w:tblGrid>
      <w:tr>
        <w:trPr>
          <w:tblHeader w:val="true"/>
        </w:trPr>
        <w:tc>
          <w:tcPr>
            <w:tcW w:type="dxa" w:w="1900"/>
            <w:vAlign w:val="center"/>
          </w:tcPr>
          <w:p>
            <w:pPr>
              <w:spacing w:after="0" w:before="0"/>
            </w:pPr>
            <w:r>
              <w:rPr>
                <w:sz w:val="14"/>
              </w:rPr>
              <w:t>Site</w:t>
            </w:r>
          </w:p>
        </w:tc>
        <w:tc>
          <w:tcPr>
            <w:tcW w:type="dxa" w:w="800"/>
            <w:vAlign w:val="center"/>
          </w:tcPr>
          <w:p>
            <w:pPr>
              <w:spacing w:after="0" w:before="0"/>
            </w:pPr>
            <w:r>
              <w:rPr>
                <w:sz w:val="14"/>
              </w:rPr>
              <w:t>Radius (km)</w:t>
            </w:r>
          </w:p>
        </w:tc>
        <w:tc>
          <w:tcPr>
            <w:tcW w:type="dxa" w:w="1250"/>
            <w:vAlign w:val="center"/>
          </w:tcPr>
          <w:p>
            <w:pPr>
              <w:spacing w:after="0" w:before="0"/>
            </w:pPr>
            <w:r>
              <w:rPr>
                <w:sz w:val="14"/>
              </w:rPr>
              <w:t>Candidate edges</w:t>
            </w:r>
          </w:p>
        </w:tc>
        <w:tc>
          <w:tcPr>
            <w:tcW w:type="dxa" w:w="1250"/>
            <w:vAlign w:val="center"/>
          </w:tcPr>
          <w:p>
            <w:pPr>
              <w:spacing w:after="0" w:before="0"/>
            </w:pPr>
            <w:r>
              <w:rPr>
                <w:sz w:val="14"/>
              </w:rPr>
              <w:t>Retained edges</w:t>
            </w:r>
          </w:p>
        </w:tc>
        <w:tc>
          <w:tcPr>
            <w:tcW w:type="dxa" w:w="800"/>
            <w:vAlign w:val="center"/>
          </w:tcPr>
          <w:p>
            <w:pPr>
              <w:spacing w:after="0" w:before="0"/>
            </w:pPr>
            <w:r>
              <w:rPr>
                <w:sz w:val="14"/>
              </w:rPr>
              <w:t>Primary</w:t>
            </w:r>
          </w:p>
        </w:tc>
        <w:tc>
          <w:tcPr>
            <w:tcW w:type="dxa" w:w="800"/>
            <w:vAlign w:val="center"/>
          </w:tcPr>
          <w:p>
            <w:pPr>
              <w:spacing w:after="0" w:before="0"/>
            </w:pPr>
            <w:r>
              <w:rPr>
                <w:sz w:val="14"/>
              </w:rPr>
              <w:t>Lateral</w:t>
            </w:r>
          </w:p>
        </w:tc>
        <w:tc>
          <w:tcPr>
            <w:tcW w:type="dxa" w:w="1500"/>
            <w:vAlign w:val="center"/>
          </w:tcPr>
          <w:p>
            <w:pPr>
              <w:spacing w:after="0" w:before="0"/>
            </w:pPr>
            <w:r>
              <w:rPr>
                <w:sz w:val="14"/>
              </w:rPr>
              <w:t>Jaccard vs 5 km</w:t>
            </w:r>
          </w:p>
        </w:tc>
      </w:tr>
      <w:tr>
        <w:tc>
          <w:tcPr>
            <w:tcW w:type="dxa" w:w="1900"/>
            <w:vAlign w:val="center"/>
          </w:tcPr>
          <w:p>
            <w:pPr>
              <w:spacing w:after="0" w:before="0"/>
            </w:pPr>
            <w:r>
              <w:rPr>
                <w:sz w:val="14"/>
              </w:rPr>
              <w:t>Lower Anayari (Manu)</w:t>
            </w:r>
          </w:p>
        </w:tc>
        <w:tc>
          <w:tcPr>
            <w:tcW w:type="dxa" w:w="800"/>
            <w:vAlign w:val="center"/>
          </w:tcPr>
          <w:p>
            <w:pPr>
              <w:spacing w:after="0" w:before="0"/>
            </w:pPr>
            <w:r>
              <w:rPr>
                <w:sz w:val="14"/>
              </w:rPr>
              <w:t>3.0</w:t>
            </w:r>
          </w:p>
        </w:tc>
        <w:tc>
          <w:tcPr>
            <w:tcW w:type="dxa" w:w="1250"/>
            <w:vAlign w:val="center"/>
          </w:tcPr>
          <w:p>
            <w:pPr>
              <w:spacing w:after="0" w:before="0"/>
            </w:pPr>
            <w:r>
              <w:rPr>
                <w:sz w:val="14"/>
              </w:rPr>
              <w:t>265</w:t>
            </w:r>
          </w:p>
        </w:tc>
        <w:tc>
          <w:tcPr>
            <w:tcW w:type="dxa" w:w="1250"/>
            <w:vAlign w:val="center"/>
          </w:tcPr>
          <w:p>
            <w:pPr>
              <w:spacing w:after="0" w:before="0"/>
            </w:pPr>
            <w:r>
              <w:rPr>
                <w:sz w:val="14"/>
              </w:rPr>
              <w:t>117</w:t>
            </w:r>
          </w:p>
        </w:tc>
        <w:tc>
          <w:tcPr>
            <w:tcW w:type="dxa" w:w="800"/>
            <w:vAlign w:val="center"/>
          </w:tcPr>
          <w:p>
            <w:pPr>
              <w:spacing w:after="0" w:before="0"/>
            </w:pPr>
            <w:r>
              <w:rPr>
                <w:sz w:val="14"/>
              </w:rPr>
              <w:t>12</w:t>
            </w:r>
          </w:p>
        </w:tc>
        <w:tc>
          <w:tcPr>
            <w:tcW w:type="dxa" w:w="800"/>
            <w:vAlign w:val="center"/>
          </w:tcPr>
          <w:p>
            <w:pPr>
              <w:spacing w:after="0" w:before="0"/>
            </w:pPr>
            <w:r>
              <w:rPr>
                <w:sz w:val="14"/>
              </w:rPr>
              <w:t>105</w:t>
            </w:r>
          </w:p>
        </w:tc>
        <w:tc>
          <w:tcPr>
            <w:tcW w:type="dxa" w:w="1500"/>
            <w:vAlign w:val="center"/>
          </w:tcPr>
          <w:p>
            <w:pPr>
              <w:spacing w:after="0" w:before="0"/>
            </w:pPr>
            <w:r>
              <w:rPr>
                <w:sz w:val="14"/>
              </w:rPr>
              <w:t>0.442</w:t>
            </w:r>
          </w:p>
        </w:tc>
      </w:tr>
      <w:tr>
        <w:tc>
          <w:tcPr>
            <w:tcW w:type="dxa" w:w="1900"/>
            <w:vAlign w:val="center"/>
          </w:tcPr>
          <w:p>
            <w:pPr>
              <w:spacing w:after="0" w:before="0"/>
            </w:pPr>
            <w:r>
              <w:rPr>
                <w:sz w:val="14"/>
              </w:rPr>
              <w:t>Lower Anayari (Manu)</w:t>
            </w:r>
          </w:p>
        </w:tc>
        <w:tc>
          <w:tcPr>
            <w:tcW w:type="dxa" w:w="800"/>
            <w:vAlign w:val="center"/>
          </w:tcPr>
          <w:p>
            <w:pPr>
              <w:spacing w:after="0" w:before="0"/>
            </w:pPr>
            <w:r>
              <w:rPr>
                <w:sz w:val="14"/>
              </w:rPr>
              <w:t>5.0</w:t>
            </w:r>
          </w:p>
        </w:tc>
        <w:tc>
          <w:tcPr>
            <w:tcW w:type="dxa" w:w="1250"/>
            <w:vAlign w:val="center"/>
          </w:tcPr>
          <w:p>
            <w:pPr>
              <w:spacing w:after="0" w:before="0"/>
            </w:pPr>
            <w:r>
              <w:rPr>
                <w:sz w:val="14"/>
              </w:rPr>
              <w:t>422</w:t>
            </w:r>
          </w:p>
        </w:tc>
        <w:tc>
          <w:tcPr>
            <w:tcW w:type="dxa" w:w="1250"/>
            <w:vAlign w:val="center"/>
          </w:tcPr>
          <w:p>
            <w:pPr>
              <w:spacing w:after="0" w:before="0"/>
            </w:pPr>
            <w:r>
              <w:rPr>
                <w:sz w:val="14"/>
              </w:rPr>
              <w:t>121</w:t>
            </w:r>
          </w:p>
        </w:tc>
        <w:tc>
          <w:tcPr>
            <w:tcW w:type="dxa" w:w="800"/>
            <w:vAlign w:val="center"/>
          </w:tcPr>
          <w:p>
            <w:pPr>
              <w:spacing w:after="0" w:before="0"/>
            </w:pPr>
            <w:r>
              <w:rPr>
                <w:sz w:val="14"/>
              </w:rPr>
              <w:t>21</w:t>
            </w:r>
          </w:p>
        </w:tc>
        <w:tc>
          <w:tcPr>
            <w:tcW w:type="dxa" w:w="800"/>
            <w:vAlign w:val="center"/>
          </w:tcPr>
          <w:p>
            <w:pPr>
              <w:spacing w:after="0" w:before="0"/>
            </w:pPr>
            <w:r>
              <w:rPr>
                <w:sz w:val="14"/>
              </w:rPr>
              <w:t>100</w:t>
            </w:r>
          </w:p>
        </w:tc>
        <w:tc>
          <w:tcPr>
            <w:tcW w:type="dxa" w:w="1500"/>
            <w:vAlign w:val="center"/>
          </w:tcPr>
          <w:p>
            <w:pPr>
              <w:spacing w:after="0" w:before="0"/>
            </w:pPr>
            <w:r>
              <w:rPr>
                <w:sz w:val="14"/>
              </w:rPr>
              <w:t>1.000</w:t>
            </w:r>
          </w:p>
        </w:tc>
      </w:tr>
      <w:tr>
        <w:tc>
          <w:tcPr>
            <w:tcW w:type="dxa" w:w="1900"/>
            <w:vAlign w:val="center"/>
          </w:tcPr>
          <w:p>
            <w:pPr>
              <w:spacing w:after="0" w:before="0"/>
            </w:pPr>
            <w:r>
              <w:rPr>
                <w:sz w:val="14"/>
              </w:rPr>
              <w:t>Lower Anayari (Manu)</w:t>
            </w:r>
          </w:p>
        </w:tc>
        <w:tc>
          <w:tcPr>
            <w:tcW w:type="dxa" w:w="800"/>
            <w:vAlign w:val="center"/>
          </w:tcPr>
          <w:p>
            <w:pPr>
              <w:spacing w:after="0" w:before="0"/>
            </w:pPr>
            <w:r>
              <w:rPr>
                <w:sz w:val="14"/>
              </w:rPr>
              <w:t>7.5</w:t>
            </w:r>
          </w:p>
        </w:tc>
        <w:tc>
          <w:tcPr>
            <w:tcW w:type="dxa" w:w="1250"/>
            <w:vAlign w:val="center"/>
          </w:tcPr>
          <w:p>
            <w:pPr>
              <w:spacing w:after="0" w:before="0"/>
            </w:pPr>
            <w:r>
              <w:rPr>
                <w:sz w:val="14"/>
              </w:rPr>
              <w:t>480</w:t>
            </w:r>
          </w:p>
        </w:tc>
        <w:tc>
          <w:tcPr>
            <w:tcW w:type="dxa" w:w="1250"/>
            <w:vAlign w:val="center"/>
          </w:tcPr>
          <w:p>
            <w:pPr>
              <w:spacing w:after="0" w:before="0"/>
            </w:pPr>
            <w:r>
              <w:rPr>
                <w:sz w:val="14"/>
              </w:rPr>
              <w:t>123</w:t>
            </w:r>
          </w:p>
        </w:tc>
        <w:tc>
          <w:tcPr>
            <w:tcW w:type="dxa" w:w="800"/>
            <w:vAlign w:val="center"/>
          </w:tcPr>
          <w:p>
            <w:pPr>
              <w:spacing w:after="0" w:before="0"/>
            </w:pPr>
            <w:r>
              <w:rPr>
                <w:sz w:val="14"/>
              </w:rPr>
              <w:t>45</w:t>
            </w:r>
          </w:p>
        </w:tc>
        <w:tc>
          <w:tcPr>
            <w:tcW w:type="dxa" w:w="800"/>
            <w:vAlign w:val="center"/>
          </w:tcPr>
          <w:p>
            <w:pPr>
              <w:spacing w:after="0" w:before="0"/>
            </w:pPr>
            <w:r>
              <w:rPr>
                <w:sz w:val="14"/>
              </w:rPr>
              <w:t>78</w:t>
            </w:r>
          </w:p>
        </w:tc>
        <w:tc>
          <w:tcPr>
            <w:tcW w:type="dxa" w:w="1500"/>
            <w:vAlign w:val="center"/>
          </w:tcPr>
          <w:p>
            <w:pPr>
              <w:spacing w:after="0" w:before="0"/>
            </w:pPr>
            <w:r>
              <w:rPr>
                <w:sz w:val="14"/>
              </w:rPr>
              <w:t>0.671</w:t>
            </w:r>
          </w:p>
        </w:tc>
      </w:tr>
      <w:tr>
        <w:tc>
          <w:tcPr>
            <w:tcW w:type="dxa" w:w="1900"/>
            <w:vAlign w:val="center"/>
          </w:tcPr>
          <w:p>
            <w:pPr>
              <w:spacing w:after="0" w:before="0"/>
            </w:pPr>
            <w:r>
              <w:rPr>
                <w:sz w:val="14"/>
              </w:rPr>
              <w:t>Lower Anayari (Manu)</w:t>
            </w:r>
          </w:p>
        </w:tc>
        <w:tc>
          <w:tcPr>
            <w:tcW w:type="dxa" w:w="800"/>
            <w:vAlign w:val="center"/>
          </w:tcPr>
          <w:p>
            <w:pPr>
              <w:spacing w:after="0" w:before="0"/>
            </w:pPr>
            <w:r>
              <w:rPr>
                <w:sz w:val="14"/>
              </w:rPr>
              <w:t>10.0</w:t>
            </w:r>
          </w:p>
        </w:tc>
        <w:tc>
          <w:tcPr>
            <w:tcW w:type="dxa" w:w="1250"/>
            <w:vAlign w:val="center"/>
          </w:tcPr>
          <w:p>
            <w:pPr>
              <w:spacing w:after="0" w:before="0"/>
            </w:pPr>
            <w:r>
              <w:rPr>
                <w:sz w:val="14"/>
              </w:rPr>
              <w:t>485</w:t>
            </w:r>
          </w:p>
        </w:tc>
        <w:tc>
          <w:tcPr>
            <w:tcW w:type="dxa" w:w="1250"/>
            <w:vAlign w:val="center"/>
          </w:tcPr>
          <w:p>
            <w:pPr>
              <w:spacing w:after="0" w:before="0"/>
            </w:pPr>
            <w:r>
              <w:rPr>
                <w:sz w:val="14"/>
              </w:rPr>
              <w:t>123</w:t>
            </w:r>
          </w:p>
        </w:tc>
        <w:tc>
          <w:tcPr>
            <w:tcW w:type="dxa" w:w="800"/>
            <w:vAlign w:val="center"/>
          </w:tcPr>
          <w:p>
            <w:pPr>
              <w:spacing w:after="0" w:before="0"/>
            </w:pPr>
            <w:r>
              <w:rPr>
                <w:sz w:val="14"/>
              </w:rPr>
              <w:t>50</w:t>
            </w:r>
          </w:p>
        </w:tc>
        <w:tc>
          <w:tcPr>
            <w:tcW w:type="dxa" w:w="800"/>
            <w:vAlign w:val="center"/>
          </w:tcPr>
          <w:p>
            <w:pPr>
              <w:spacing w:after="0" w:before="0"/>
            </w:pPr>
            <w:r>
              <w:rPr>
                <w:sz w:val="14"/>
              </w:rPr>
              <w:t>73</w:t>
            </w:r>
          </w:p>
        </w:tc>
        <w:tc>
          <w:tcPr>
            <w:tcW w:type="dxa" w:w="1500"/>
            <w:vAlign w:val="center"/>
          </w:tcPr>
          <w:p>
            <w:pPr>
              <w:spacing w:after="0" w:before="0"/>
            </w:pPr>
            <w:r>
              <w:rPr>
                <w:sz w:val="14"/>
              </w:rPr>
              <w:t>0.616</w:t>
            </w:r>
          </w:p>
        </w:tc>
      </w:tr>
      <w:tr>
        <w:tc>
          <w:tcPr>
            <w:tcW w:type="dxa" w:w="1900"/>
            <w:vAlign w:val="center"/>
          </w:tcPr>
          <w:p>
            <w:pPr>
              <w:spacing w:after="0" w:before="0"/>
            </w:pPr>
            <w:r>
              <w:rPr>
                <w:sz w:val="14"/>
              </w:rPr>
              <w:t>Talensi</w:t>
            </w:r>
          </w:p>
        </w:tc>
        <w:tc>
          <w:tcPr>
            <w:tcW w:type="dxa" w:w="800"/>
            <w:vAlign w:val="center"/>
          </w:tcPr>
          <w:p>
            <w:pPr>
              <w:spacing w:after="0" w:before="0"/>
            </w:pPr>
            <w:r>
              <w:rPr>
                <w:sz w:val="14"/>
              </w:rPr>
              <w:t>3.0</w:t>
            </w:r>
          </w:p>
        </w:tc>
        <w:tc>
          <w:tcPr>
            <w:tcW w:type="dxa" w:w="1250"/>
            <w:vAlign w:val="center"/>
          </w:tcPr>
          <w:p>
            <w:pPr>
              <w:spacing w:after="0" w:before="0"/>
            </w:pPr>
            <w:r>
              <w:rPr>
                <w:sz w:val="14"/>
              </w:rPr>
              <w:t>89</w:t>
            </w:r>
          </w:p>
        </w:tc>
        <w:tc>
          <w:tcPr>
            <w:tcW w:type="dxa" w:w="1250"/>
            <w:vAlign w:val="center"/>
          </w:tcPr>
          <w:p>
            <w:pPr>
              <w:spacing w:after="0" w:before="0"/>
            </w:pPr>
            <w:r>
              <w:rPr>
                <w:sz w:val="14"/>
              </w:rPr>
              <w:t>85</w:t>
            </w:r>
          </w:p>
        </w:tc>
        <w:tc>
          <w:tcPr>
            <w:tcW w:type="dxa" w:w="800"/>
            <w:vAlign w:val="center"/>
          </w:tcPr>
          <w:p>
            <w:pPr>
              <w:spacing w:after="0" w:before="0"/>
            </w:pPr>
            <w:r>
              <w:rPr>
                <w:sz w:val="14"/>
              </w:rPr>
              <w:t>78</w:t>
            </w:r>
          </w:p>
        </w:tc>
        <w:tc>
          <w:tcPr>
            <w:tcW w:type="dxa" w:w="800"/>
            <w:vAlign w:val="center"/>
          </w:tcPr>
          <w:p>
            <w:pPr>
              <w:spacing w:after="0" w:before="0"/>
            </w:pPr>
            <w:r>
              <w:rPr>
                <w:sz w:val="14"/>
              </w:rPr>
              <w:t>7</w:t>
            </w:r>
          </w:p>
        </w:tc>
        <w:tc>
          <w:tcPr>
            <w:tcW w:type="dxa" w:w="1500"/>
            <w:vAlign w:val="center"/>
          </w:tcPr>
          <w:p>
            <w:pPr>
              <w:spacing w:after="0" w:before="0"/>
            </w:pPr>
            <w:r>
              <w:rPr>
                <w:sz w:val="14"/>
              </w:rPr>
              <w:t>0.291</w:t>
            </w:r>
          </w:p>
        </w:tc>
      </w:tr>
      <w:tr>
        <w:tc>
          <w:tcPr>
            <w:tcW w:type="dxa" w:w="1900"/>
            <w:vAlign w:val="center"/>
          </w:tcPr>
          <w:p>
            <w:pPr>
              <w:spacing w:after="0" w:before="0"/>
            </w:pPr>
            <w:r>
              <w:rPr>
                <w:sz w:val="14"/>
              </w:rPr>
              <w:t>Talensi</w:t>
            </w:r>
          </w:p>
        </w:tc>
        <w:tc>
          <w:tcPr>
            <w:tcW w:type="dxa" w:w="800"/>
            <w:vAlign w:val="center"/>
          </w:tcPr>
          <w:p>
            <w:pPr>
              <w:spacing w:after="0" w:before="0"/>
            </w:pPr>
            <w:r>
              <w:rPr>
                <w:sz w:val="14"/>
              </w:rPr>
              <w:t>5.0</w:t>
            </w:r>
          </w:p>
        </w:tc>
        <w:tc>
          <w:tcPr>
            <w:tcW w:type="dxa" w:w="1250"/>
            <w:vAlign w:val="center"/>
          </w:tcPr>
          <w:p>
            <w:pPr>
              <w:spacing w:after="0" w:before="0"/>
            </w:pPr>
            <w:r>
              <w:rPr>
                <w:sz w:val="14"/>
              </w:rPr>
              <w:t>150</w:t>
            </w:r>
          </w:p>
        </w:tc>
        <w:tc>
          <w:tcPr>
            <w:tcW w:type="dxa" w:w="1250"/>
            <w:vAlign w:val="center"/>
          </w:tcPr>
          <w:p>
            <w:pPr>
              <w:spacing w:after="0" w:before="0"/>
            </w:pPr>
            <w:r>
              <w:rPr>
                <w:sz w:val="14"/>
              </w:rPr>
              <w:t>137</w:t>
            </w:r>
          </w:p>
        </w:tc>
        <w:tc>
          <w:tcPr>
            <w:tcW w:type="dxa" w:w="800"/>
            <w:vAlign w:val="center"/>
          </w:tcPr>
          <w:p>
            <w:pPr>
              <w:spacing w:after="0" w:before="0"/>
            </w:pPr>
            <w:r>
              <w:rPr>
                <w:sz w:val="14"/>
              </w:rPr>
              <w:t>131</w:t>
            </w:r>
          </w:p>
        </w:tc>
        <w:tc>
          <w:tcPr>
            <w:tcW w:type="dxa" w:w="800"/>
            <w:vAlign w:val="center"/>
          </w:tcPr>
          <w:p>
            <w:pPr>
              <w:spacing w:after="0" w:before="0"/>
            </w:pPr>
            <w:r>
              <w:rPr>
                <w:sz w:val="14"/>
              </w:rPr>
              <w:t>6</w:t>
            </w:r>
          </w:p>
        </w:tc>
        <w:tc>
          <w:tcPr>
            <w:tcW w:type="dxa" w:w="1500"/>
            <w:vAlign w:val="center"/>
          </w:tcPr>
          <w:p>
            <w:pPr>
              <w:spacing w:after="0" w:before="0"/>
            </w:pPr>
            <w:r>
              <w:rPr>
                <w:sz w:val="14"/>
              </w:rPr>
              <w:t>1.000</w:t>
            </w:r>
          </w:p>
        </w:tc>
      </w:tr>
      <w:tr>
        <w:tc>
          <w:tcPr>
            <w:tcW w:type="dxa" w:w="1900"/>
            <w:vAlign w:val="center"/>
          </w:tcPr>
          <w:p>
            <w:pPr>
              <w:spacing w:after="0" w:before="0"/>
            </w:pPr>
            <w:r>
              <w:rPr>
                <w:sz w:val="14"/>
              </w:rPr>
              <w:t>Talensi</w:t>
            </w:r>
          </w:p>
        </w:tc>
        <w:tc>
          <w:tcPr>
            <w:tcW w:type="dxa" w:w="800"/>
            <w:vAlign w:val="center"/>
          </w:tcPr>
          <w:p>
            <w:pPr>
              <w:spacing w:after="0" w:before="0"/>
            </w:pPr>
            <w:r>
              <w:rPr>
                <w:sz w:val="14"/>
              </w:rPr>
              <w:t>7.5</w:t>
            </w:r>
          </w:p>
        </w:tc>
        <w:tc>
          <w:tcPr>
            <w:tcW w:type="dxa" w:w="1250"/>
            <w:vAlign w:val="center"/>
          </w:tcPr>
          <w:p>
            <w:pPr>
              <w:spacing w:after="0" w:before="0"/>
            </w:pPr>
            <w:r>
              <w:rPr>
                <w:sz w:val="14"/>
              </w:rPr>
              <w:t>177</w:t>
            </w:r>
          </w:p>
        </w:tc>
        <w:tc>
          <w:tcPr>
            <w:tcW w:type="dxa" w:w="1250"/>
            <w:vAlign w:val="center"/>
          </w:tcPr>
          <w:p>
            <w:pPr>
              <w:spacing w:after="0" w:before="0"/>
            </w:pPr>
            <w:r>
              <w:rPr>
                <w:sz w:val="14"/>
              </w:rPr>
              <w:t>151</w:t>
            </w:r>
          </w:p>
        </w:tc>
        <w:tc>
          <w:tcPr>
            <w:tcW w:type="dxa" w:w="800"/>
            <w:vAlign w:val="center"/>
          </w:tcPr>
          <w:p>
            <w:pPr>
              <w:spacing w:after="0" w:before="0"/>
            </w:pPr>
            <w:r>
              <w:rPr>
                <w:sz w:val="14"/>
              </w:rPr>
              <w:t>143</w:t>
            </w:r>
          </w:p>
        </w:tc>
        <w:tc>
          <w:tcPr>
            <w:tcW w:type="dxa" w:w="800"/>
            <w:vAlign w:val="center"/>
          </w:tcPr>
          <w:p>
            <w:pPr>
              <w:spacing w:after="0" w:before="0"/>
            </w:pPr>
            <w:r>
              <w:rPr>
                <w:sz w:val="14"/>
              </w:rPr>
              <w:t>8</w:t>
            </w:r>
          </w:p>
        </w:tc>
        <w:tc>
          <w:tcPr>
            <w:tcW w:type="dxa" w:w="1500"/>
            <w:vAlign w:val="center"/>
          </w:tcPr>
          <w:p>
            <w:pPr>
              <w:spacing w:after="0" w:before="0"/>
            </w:pPr>
            <w:r>
              <w:rPr>
                <w:sz w:val="14"/>
              </w:rPr>
              <w:t>0.258</w:t>
            </w:r>
          </w:p>
        </w:tc>
      </w:tr>
      <w:tr>
        <w:tc>
          <w:tcPr>
            <w:tcW w:type="dxa" w:w="1900"/>
            <w:vAlign w:val="center"/>
          </w:tcPr>
          <w:p>
            <w:pPr>
              <w:spacing w:after="0" w:before="0"/>
            </w:pPr>
            <w:r>
              <w:rPr>
                <w:sz w:val="14"/>
              </w:rPr>
              <w:t>Talensi</w:t>
            </w:r>
          </w:p>
        </w:tc>
        <w:tc>
          <w:tcPr>
            <w:tcW w:type="dxa" w:w="800"/>
            <w:vAlign w:val="center"/>
          </w:tcPr>
          <w:p>
            <w:pPr>
              <w:spacing w:after="0" w:before="0"/>
            </w:pPr>
            <w:r>
              <w:rPr>
                <w:sz w:val="14"/>
              </w:rPr>
              <w:t>10.0</w:t>
            </w:r>
          </w:p>
        </w:tc>
        <w:tc>
          <w:tcPr>
            <w:tcW w:type="dxa" w:w="1250"/>
            <w:vAlign w:val="center"/>
          </w:tcPr>
          <w:p>
            <w:pPr>
              <w:spacing w:after="0" w:before="0"/>
            </w:pPr>
            <w:r>
              <w:rPr>
                <w:sz w:val="14"/>
              </w:rPr>
              <w:t>192</w:t>
            </w:r>
          </w:p>
        </w:tc>
        <w:tc>
          <w:tcPr>
            <w:tcW w:type="dxa" w:w="1250"/>
            <w:vAlign w:val="center"/>
          </w:tcPr>
          <w:p>
            <w:pPr>
              <w:spacing w:after="0" w:before="0"/>
            </w:pPr>
            <w:r>
              <w:rPr>
                <w:sz w:val="14"/>
              </w:rPr>
              <w:t>162</w:t>
            </w:r>
          </w:p>
        </w:tc>
        <w:tc>
          <w:tcPr>
            <w:tcW w:type="dxa" w:w="800"/>
            <w:vAlign w:val="center"/>
          </w:tcPr>
          <w:p>
            <w:pPr>
              <w:spacing w:after="0" w:before="0"/>
            </w:pPr>
            <w:r>
              <w:rPr>
                <w:sz w:val="14"/>
              </w:rPr>
              <w:t>152</w:t>
            </w:r>
          </w:p>
        </w:tc>
        <w:tc>
          <w:tcPr>
            <w:tcW w:type="dxa" w:w="800"/>
            <w:vAlign w:val="center"/>
          </w:tcPr>
          <w:p>
            <w:pPr>
              <w:spacing w:after="0" w:before="0"/>
            </w:pPr>
            <w:r>
              <w:rPr>
                <w:sz w:val="14"/>
              </w:rPr>
              <w:t>10</w:t>
            </w:r>
          </w:p>
        </w:tc>
        <w:tc>
          <w:tcPr>
            <w:tcW w:type="dxa" w:w="1500"/>
            <w:vAlign w:val="center"/>
          </w:tcPr>
          <w:p>
            <w:pPr>
              <w:spacing w:after="0" w:before="0"/>
            </w:pPr>
            <w:r>
              <w:rPr>
                <w:sz w:val="14"/>
              </w:rPr>
              <w:t>0.182</w:t>
            </w:r>
          </w:p>
        </w:tc>
      </w:tr>
    </w:tbl>
    <w:p>
      <w:r>
        <w:t>The 5-km setting is therefore a reproducibility-fixed benchmark default. The changes in retained topology show why field metrics should be interpreted conditionally and recalculated when a site-specific hydrogeological length scale is justified.</w:t>
      </w:r>
    </w:p>
    <w:p>
      <w:pPr>
        <w:pStyle w:val="Heading2"/>
      </w:pPr>
      <w:r>
        <w:t xml:space="preserve">Supplementary Method S1. Multi-criteria edge selection and sheaf-cohomology diagnostics (derivation)</w:t>
      </w:r>
    </w:p>
    <w:p>
      <w:pPr>
        <w:pStyle w:val="FirstParagraph"/>
      </w:pPr>
      <w:r>
        <w:t xml:space="preserve">Let the groundwater sampling network be the directed graph G = (V, E) with nodes V and candidate directed edges E. Each node v carries a stalk s_v in R^d, the local observation vector of d measured quantities (major-ion concentrations in mmol/L, stable-isotope values in permil, and hydraulic head or elevation in m). Each directed edge e = (u -&gt; v) carries an affine restriction map</w:t>
      </w:r>
    </w:p>
    <w:p>
      <w:pPr>
        <w:pStyle w:val="BodyText"/>
      </w:pPr>
      <w:r>
        <w:t xml:space="preserve">f_e(s_u) = alpha_e * s_u + delta_e,</w:t>
      </w:r>
    </w:p>
    <w:p>
      <w:pPr>
        <w:pStyle w:val="BodyText"/>
      </w:pPr>
      <w:r>
        <w:t xml:space="preserve">where alpha_e is an edge scale parameter and delta_e the expected offset along each dimension (e.g., the sign-consistent change in head or age). The maps are prescribed from the transport and age evidence for that edge: alpha_e absorbs bulk concentration scaling (evaporation factor or mixing dilution on the anchor ions) and delta_e encodes expected directional changes (head drop, age increase). The edge consistency residual is</w:t>
      </w:r>
    </w:p>
    <w:p>
      <w:pPr>
        <w:pStyle w:val="BodyText"/>
      </w:pPr>
      <w:r>
        <w:t xml:space="preserve">rho(e) = sqrt( sum_d w_d ( alpha_e s_u,d + delta_e,d - s_v,d )^2 ),</w:t>
      </w:r>
    </w:p>
    <w:p>
      <w:pPr>
        <w:pStyle w:val="BodyText"/>
      </w:pPr>
      <w:r>
        <w:t xml:space="preserve">with weights w_d on observation dimensions (higher weight on conservative tracers). A candidate edge is consistent when rho(e) is small relative to the observation uncertainty.</w:t>
      </w:r>
    </w:p>
    <w:p>
      <w:pPr>
        <w:pStyle w:val="BodyText"/>
      </w:pPr>
      <w:r>
        <w:t xml:space="preserve">Global consistency aggregates residuals over retained edges:</w:t>
      </w:r>
    </w:p>
    <w:p>
      <w:pPr>
        <w:pStyle w:val="BodyText"/>
      </w:pPr>
      <w:r>
        <w:t xml:space="preserve">rho_G = (1/|E|) sum_{e in E} rho(e)^2.</w:t>
      </w:r>
    </w:p>
    <w:p>
      <w:pPr>
        <w:pStyle w:val="BodyText"/>
      </w:pPr>
      <w:r>
        <w:rPr>
          <w:b/>
          <w:bCs/>
        </w:rPr>
        <w:t xml:space="preserve">Edge selection.</w:t>
      </w:r>
      <w:r>
        <w:t xml:space="preserve"> </w:t>
      </w:r>
      <w:r>
        <w:t xml:space="preserve">Each candidate edge receives a weighted multi-criteria score from the four evidence streams, and the retained set is chosen per node by a soft (inverse-temperature) selection,</w:t>
      </w:r>
      <w:r>
        <w:t xml:space="preserve"> </w:t>
      </w:r>
      <w:r>
        <w:rPr>
          <w:rStyle w:val="VerbatimChar"/>
        </w:rPr>
        <w:t xml:space="preserve">sheaf_soft_beta</w:t>
      </w:r>
      <w:r>
        <w:t xml:space="preserve"> </w:t>
      </w:r>
      <w:r>
        <w:t xml:space="preserve">default 2.0, capped at</w:t>
      </w:r>
      <w:r>
        <w:t xml:space="preserve"> </w:t>
      </w:r>
      <w:r>
        <w:rPr>
          <w:rStyle w:val="VerbatimChar"/>
        </w:rPr>
        <w:t xml:space="preserve">edge_max_neighbors</w:t>
      </w:r>
      <w:r>
        <w:t xml:space="preserve">. This step is a weighted multi-criteria score and is implemented as such (</w:t>
      </w:r>
      <w:r>
        <w:rPr>
          <w:rStyle w:val="VerbatimChar"/>
        </w:rPr>
        <w:t xml:space="preserve">hydrosheaf/sheaf/topology_refine.py</w:t>
      </w:r>
      <w:r>
        <w:t xml:space="preserve">); it involves no coboundary and no Laplacian, and we do not claim it outperforms an equivalent hand-designed score.</w:t>
      </w:r>
    </w:p>
    <w:p>
      <w:pPr>
        <w:pStyle w:val="BodyText"/>
      </w:pPr>
      <w:r>
        <w:rPr>
          <w:b/>
          <w:bCs/>
        </w:rPr>
        <w:t xml:space="preserve">Coboundary and cohomology.</w:t>
      </w:r>
      <w:r>
        <w:t xml:space="preserve"> </w:t>
      </w:r>
      <w:r>
        <w:t xml:space="preserve">The sheaf structure is a diagnostic layer computed on the retained graph (</w:t>
      </w:r>
      <w:r>
        <w:rPr>
          <w:rStyle w:val="VerbatimChar"/>
        </w:rPr>
        <w:t xml:space="preserve">hydrosheaf/sheaf/cohomology.py</w:t>
      </w:r>
      <w:r>
        <w:t xml:space="preserve">). Stacking the edge relations gives the affine coboundary operator D with one row per (edge, observation dimension):</w:t>
      </w:r>
    </w:p>
    <w:p>
      <w:pPr>
        <w:pStyle w:val="BodyText"/>
      </w:pPr>
      <w:r>
        <w:t xml:space="preserve">D[(e,d), (u,d)] = sqrt(w_e) * alpha_e, D[(e,d), (v,d)] = -sqrt(w_e), b[(e,d)] = -sqrt(w_e) * delta_{e,d}</w:t>
      </w:r>
    </w:p>
    <w:p>
      <w:pPr>
        <w:pStyle w:val="BodyText"/>
      </w:pPr>
      <w:r>
        <w:t>so that D has shape (|E|·d) × (|V|·d) and the affine edge relations are represented by Dx = b. This is a cellular-sheaf coboundary matrix with d-dimensional node stalks and an upstream restriction map alpha_e I. The reported quantities are the homogeneous nullity H0 = dim ker D, the first cohomology dimension H1 = |E|·d − rank D, the affine obstruction energy min_x ||Dx − b||², the per-edge leverage (the increase in obstruction energy attributable to each edge), and the maximum cycle obstruction. H0 is therefore the dimension of the homogeneous nullspace, not by itself the dimension of an affine global-section set. An exact affine global section exists only when the obstruction energy is zero within numerical tolerance; if the system is consistent, its affine solution set has dimension H0, whereas a positive obstruction energy means that the affine solution set is empty. In particular, H0 = 0 means that the homogeneous system has only the zero solution, not that no affine node assignment exists. We do not compute a spectral decomposition of any Laplacian: localisation is performed by the leave-one-edge-out leverage statistic, not by eigenvectors.</w:t>
      </w:r>
    </w:p>
    <w:p>
      <w:pPr>
        <w:pStyle w:val="BodyText"/>
      </w:pPr>
      <w:r>
        <w:t>H0 = dim ker D (homogeneous nullity)</w:t>
      </w:r>
      <w:r>
        <w:t xml:space="preserve"> </w:t>
      </w:r>
      <w:r>
        <w:t xml:space="preserve">H1 = |E| * d - rank D (first cohomology dimension)</w:t>
      </w:r>
      <w:r>
        <w:t xml:space="preserve"> </w:t>
      </w:r>
      <w:r>
        <w:t xml:space="preserve">obstruction energy = min_x ||D x - b||^2 (affine failure of global closure)</w:t>
      </w:r>
      <w:r>
        <w:t xml:space="preserve"> </w:t>
      </w:r>
      <w:r>
        <w:t xml:space="preserve">edge leverage(e) = obstruction(G) - obstruction(G  {e})</w:t>
      </w:r>
      <w:r>
        <w:t xml:space="preserve"> </w:t>
      </w:r>
      <w:r>
        <w:t xml:space="preserve">cycle obstruction = maximum residual around an independent cycle</w:t>
      </w:r>
    </w:p>
    <w:p>
      <w:pPr>
        <w:pStyle w:val="BodyText"/>
      </w:pPr>
      <w:r>
        <w:t>H0 = 0 means that the homogeneous system has only the zero solution; it does not by itself mean that no affine node assignment exists. The affine obstruction energy is the separate test of whether Dx = b has an exact solution, and the leverage statistic localises which edges carry any inconsistency. Localisation is therefore a leave-one-edge-out computation,</w:t>
      </w:r>
      <w:r>
        <w:t xml:space="preserve"> </w:t>
      </w:r>
      <w:r>
        <w:rPr>
          <w:b/>
          <w:bCs/>
        </w:rPr>
        <w:t xml:space="preserve">not</w:t>
      </w:r>
      <w:r>
        <w:t xml:space="preserve"> </w:t>
      </w:r>
      <w:r>
        <w:t xml:space="preserve">a spectral decomposition: no eigendecomposition of any Laplacian is performed anywhere in the framework, and earlier versions of this manuscript described one in error.</w:t>
      </w:r>
    </w:p>
    <w:p>
      <w:pPr>
        <w:pStyle w:val="BodyText"/>
      </w:pPr>
      <w:r>
        <w:rPr>
          <w:b/>
          <w:bCs/>
        </w:rPr>
        <w:t>What this adds. Edge selection is a weighted multi-criteria score and adds nothing over an equivalent well-designed score. The coboundary layer adds a network-level closure diagnostic: it tests whether the affine right-hand side b is compatible with the retained relations, measures the residual obstruction when it is not, and localises that obstruction with leave-one-edge-out leverage. H0 describes the homogeneous nullspace, not a yes/no test for affine solvability. Section 4.6 reports positive obstruction energies for both field networks, so neither has an exact affine global section at the reported numerical tolerance.</w:t>
      </w:r>
      <w:r/>
      <w:r/>
    </w:p>
    <w:bookmarkEnd w:id="23"/>
    <w:bookmarkStart w:id="24" w:name="Xdb229df52a2d9afef5588c879f3956366085600"/>
    <w:p>
      <w:pPr>
        <w:pStyle w:val="Heading2"/>
      </w:pPr>
      <w:r>
        <w:t xml:space="preserve">Supplementary Method S2. Transport decomposition details</w:t>
      </w:r>
    </w:p>
    <w:p>
      <w:pPr>
        <w:pStyle w:val="FirstParagraph"/>
      </w:pPr>
      <w:r>
        <w:t xml:space="preserve">For each retained edge, the upstream concentration vector x_u is transformed by one of two operators. Under the evaporation model, x_T = gamma x_u with gamma &gt;= 1. Under the mixing model, x_T = (1 - f) x_u + f x_e with 0 &lt;= f &lt;= 1 and x_e a configured endmember vector. Both gamma and f are fitted by unconstrained weighted least squares, with the transport fit weighted towards the conservative anchor signals (EC/TDS, Cl, Br); the better-fitting candidate is selected per edge as the one minimising the combined weighted objective — the transport and residual-chemistry mismatch plus the L1, EC/TDS, isotope and kinetic penalties (identical to the rule stated in Section 2.6). The transport-corrected residual r = x_v - x_T is the chemistry attributed to reactive processes alone. Caveats: Cl and EC are treated as conservative anchors only where halite dissolution, agricultural chloride input, or anthropogenic salinity is not indicated; the multi-endmember stress test (Table S11) quantifies the coupling limit when the true mixing involves two endmembers.</w:t>
      </w:r>
    </w:p>
    <w:bookmarkEnd w:id="24"/>
    <w:bookmarkStart w:id="25" w:name="X8a958d5a284670f3c0717428da224194eecca83"/>
    <w:p>
      <w:pPr>
        <w:pStyle w:val="Heading2"/>
      </w:pPr>
      <w:r>
        <w:t xml:space="preserve">Supplementary Method S3. 3H/3He apparent ages</w:t>
      </w:r>
    </w:p>
    <w:p>
      <w:pPr>
        <w:pStyle w:val="FirstParagraph"/>
      </w:pPr>
      <w:r>
        <w:t xml:space="preserve">Where 3H/3He data are available, tritiogenic helium ingrowth is used to compute apparent ages without reliance on historical input reconstruction: the tritiogenic 3He concentration is estimated from measured 3He/4He and neon excess-air corrections, and the apparent age follows from the 3H decay equation with the tritium half-life of 12.32 yr (Lucas &amp; Unterweger, 2000).</w:t>
      </w:r>
    </w:p>
    <w:bookmarkEnd w:id="25"/>
    <w:bookmarkStart w:id="26" w:name="Xfaf0e12b7ae948b670c94ec13769f4866b43ea3"/>
    <w:p>
      <w:pPr>
        <w:pStyle w:val="Heading2"/>
      </w:pPr>
      <w:r>
        <w:t xml:space="preserve">Supplementary Method S4. Network Bayesian age update</w:t>
      </w:r>
    </w:p>
    <w:p>
      <w:pPr>
        <w:pStyle w:val="FirstParagraph"/>
      </w:pPr>
      <w:r>
        <w:t>Node posterior ages are obtained from single-node LPM inversion expressed as probability distributions. The directed graph imposes ordering constraints tau_j &gt;= tau_i - epsilon for each retained edge (u_i -&gt; v_j); the network Bayesian update conditions each node posterior on all incident constraints via a sequential factor-graph update, shrinking posterior width where constraints are informative. Constraint evaluation is interval-aware: violations whose intervals overlap are flagged "not resolved at stated uncertainty" and excluded from the severe set; non-overlapping reversals beyond the log10 severity threshold (0.3) receive a severe age-coherence flag. The current audit does not apply a continuous overlap-proportional weight, and any downstream exclusion or penalty based on these flags is not applied to the field results reported here.</w:t>
      </w:r>
      <w:r/>
      <w:r/>
      <w:r/>
      <w:r/>
    </w:p>
    <w:bookmarkEnd w:id="26"/>
    <w:bookmarkStart w:id="27" w:name="Xd30d4218f8c3de55249bd6f24e0592efec61c7b"/>
    <w:p>
      <w:pPr>
        <w:pStyle w:val="Heading2"/>
      </w:pPr>
      <w:r>
        <w:t xml:space="preserve">Supplementary Method S5. Bayesian alternative</w:t>
      </w:r>
    </w:p>
    <w:p>
      <w:pPr>
        <w:pStyle w:val="FirstParagraph"/>
      </w:pPr>
      <w:r>
        <w:t xml:space="preserve">A fully Bayesian edge-fitting alternative is supported (Markov-chain Monte Carlo over reaction extents with the same dictionary and gates), providing posterior extent distributions and R-hat/ESS diagnostics; the results reported in the main text use the penalised weighted least-squares solver with Monte Carlo input perturbation for the PSI analysis.</w:t>
      </w:r>
    </w:p>
    <w:bookmarkEnd w:id="27"/>
    <w:bookmarkStart w:id="28" w:name="provenance-manifest-schema-and-example"/>
    <w:p>
      <w:pPr>
        <w:pStyle w:val="Heading2"/>
      </w:pPr>
      <w:r>
        <w:t xml:space="preserve">Provenance manifest: schema and example</w:t>
      </w:r>
    </w:p>
    <w:p>
      <w:pPr>
        <w:pStyle w:val="FirstParagraph"/>
      </w:pPr>
      <w:r>
        <w:t xml:space="preserve">The pipeline writes a JSON provenance manifest for each run, recording the run timestamp, configuration path, output paths, and the effective parameters. Schema (fields written by the benchmark runners):</w:t>
      </w:r>
    </w:p>
    <w:p>
      <w:pPr>
        <w:pStyle w:val="SourceCode"/>
      </w:pPr>
      <w:r>
        <w:rPr>
          <w:rStyle w:val="FunctionTok"/>
        </w:rPr>
        <w:t xml:space="preserve">{</w:t>
      </w:r>
      <w:r>
        <w:br/>
      </w:r>
      <w:r>
        <w:rPr>
          <w:rStyle w:val="NormalTok"/>
        </w:rPr>
        <w:t xml:space="preserve">  </w:t>
      </w:r>
      <w:r>
        <w:rPr>
          <w:rStyle w:val="DataTypeTok"/>
        </w:rPr>
        <w:t xml:space="preserve">"run_utc"</w:t>
      </w:r>
      <w:r>
        <w:rPr>
          <w:rStyle w:val="FunctionTok"/>
        </w:rPr>
        <w:t xml:space="preserve">:</w:t>
      </w:r>
      <w:r>
        <w:rPr>
          <w:rStyle w:val="NormalTok"/>
        </w:rPr>
        <w:t xml:space="preserve"> </w:t>
      </w:r>
      <w:r>
        <w:rPr>
          <w:rStyle w:val="StringTok"/>
        </w:rPr>
        <w:t xml:space="preserve">"ISO-8601 UTC timestamp"</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StringTok"/>
        </w:rPr>
        <w:t xml:space="preserve">"path to locked configuration file"</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"path to primary output CSV"</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"path to summary CSV (when produced)"</w:t>
      </w:r>
      <w:r>
        <w:rPr>
          <w:rStyle w:val="FunctionTok"/>
        </w:rPr>
        <w:t xml:space="preserve">,</w:t>
      </w:r>
      <w:r>
        <w:br/>
      </w:r>
      <w:r>
        <w:rPr>
          <w:rStyle w:val="NormalTok"/>
        </w:rPr>
        <w:t xml:space="preserve">  </w:t>
      </w:r>
      <w:r>
        <w:rPr>
          <w:rStyle w:val="DataTypeTok"/>
        </w:rPr>
        <w:t xml:space="preserve">"max_rows"</w:t>
      </w:r>
      <w:r>
        <w:rPr>
          <w:rStyle w:val="FunctionTok"/>
        </w:rPr>
        <w:t xml:space="preserve">:</w:t>
      </w:r>
      <w:r>
        <w:rPr>
          <w:rStyle w:val="NormalTok"/>
        </w:rPr>
        <w:t xml:space="preserve"> </w:t>
      </w:r>
      <w:r>
        <w:rPr>
          <w:rStyle w:val="StringTok"/>
        </w:rPr>
        <w:t xml:space="preserve">"row cap or null"</w:t>
      </w:r>
      <w:r>
        <w:rPr>
          <w:rStyle w:val="FunctionTok"/>
        </w:rPr>
        <w:t xml:space="preserve">,</w:t>
      </w:r>
      <w:r>
        <w:br/>
      </w:r>
      <w:r>
        <w:rPr>
          <w:rStyle w:val="NormalTok"/>
        </w:rPr>
        <w:t xml:space="preserve">  </w:t>
      </w:r>
      <w:r>
        <w:rPr>
          <w:rStyle w:val="DataTypeTok"/>
        </w:rPr>
        <w:t xml:space="preserve">"age_steps"</w:t>
      </w:r>
      <w:r>
        <w:rPr>
          <w:rStyle w:val="FunctionTok"/>
        </w:rPr>
        <w:t xml:space="preserve">:</w:t>
      </w:r>
      <w:r>
        <w:rPr>
          <w:rStyle w:val="NormalTok"/>
        </w:rPr>
        <w:t xml:space="preserve"> </w:t>
      </w:r>
      <w:r>
        <w:rPr>
          <w:rStyle w:val="StringTok"/>
        </w:rPr>
        <w:t xml:space="preserve">"age discretisation steps (when applicable)"</w:t>
      </w:r>
      <w:r>
        <w:rPr>
          <w:rStyle w:val="FunctionTok"/>
        </w:rPr>
        <w:t xml:space="preserve">,</w:t>
      </w:r>
      <w:r>
        <w:br/>
      </w:r>
      <w:r>
        <w:rPr>
          <w:rStyle w:val="NormalTok"/>
        </w:rPr>
        <w:t xml:space="preserve">  </w:t>
      </w:r>
      <w:r>
        <w:rPr>
          <w:rStyle w:val="DataTypeTok"/>
        </w:rPr>
        <w:t xml:space="preserve">"scenario_ids"</w:t>
      </w:r>
      <w:r>
        <w:rPr>
          <w:rStyle w:val="FunctionTok"/>
        </w:rPr>
        <w:t xml:space="preserve">:</w:t>
      </w:r>
      <w:r>
        <w:rPr>
          <w:rStyle w:val="NormalTok"/>
        </w:rPr>
        <w:t xml:space="preserve"> </w:t>
      </w:r>
      <w:r>
        <w:rPr>
          <w:rStyle w:val="OtherTok"/>
        </w:rPr>
        <w:t xml:space="preserve">[</w:t>
      </w:r>
      <w:r>
        <w:rPr>
          <w:rStyle w:val="StringTok"/>
        </w:rPr>
        <w:t xml:space="preserve">"scenario identifiers executed"</w:t>
      </w:r>
      <w:r>
        <w:rPr>
          <w:rStyle w:val="OtherTok"/>
        </w:rPr>
        <w:t xml:space="preserve">]</w:t>
      </w:r>
      <w:r>
        <w:rPr>
          <w:rStyle w:val="FunctionTok"/>
        </w:rPr>
        <w:t xml:space="preserve">,</w:t>
      </w:r>
      <w:r>
        <w:br/>
      </w:r>
      <w:r>
        <w:rPr>
          <w:rStyle w:val="NormalTok"/>
        </w:rPr>
        <w:t xml:space="preserve">  </w:t>
      </w:r>
      <w:r>
        <w:rPr>
          <w:rStyle w:val="DataTypeTok"/>
        </w:rPr>
        <w:t xml:space="preserve">"include_withdrawn"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"n_output_rows"</w:t>
      </w:r>
      <w:r>
        <w:rPr>
          <w:rStyle w:val="FunctionTok"/>
        </w:rPr>
        <w:t xml:space="preserve">:</w:t>
      </w:r>
      <w:r>
        <w:rPr>
          <w:rStyle w:val="NormalTok"/>
        </w:rPr>
        <w:t xml:space="preserve"> </w:t>
      </w:r>
      <w:r>
        <w:rPr>
          <w:rStyle w:val="DecValTok"/>
        </w:rPr>
        <w:t xml:space="preserve">1272</w:t>
      </w:r>
      <w:r>
        <w:rPr>
          <w:rStyle w:val="FunctionTok"/>
        </w:rPr>
        <w:t xml:space="preserve">,</w:t>
      </w:r>
      <w:r>
        <w:br/>
      </w:r>
      <w:r>
        <w:rPr>
          <w:rStyle w:val="NormalTok"/>
        </w:rPr>
        <w:t xml:space="preserve">  </w:t>
      </w:r>
      <w:r>
        <w:rPr>
          <w:rStyle w:val="DataTypeTok"/>
        </w:rPr>
        <w:t xml:space="preserve">"pairwise_baseline"</w:t>
      </w:r>
      <w:r>
        <w:rPr>
          <w:rStyle w:val="FunctionTok"/>
        </w:rPr>
        <w:t xml:space="preserve">:</w:t>
      </w:r>
      <w:r>
        <w:rPr>
          <w:rStyle w:val="NormalTok"/>
        </w:rPr>
        <w:t xml:space="preserve"> </w:t>
      </w:r>
      <w:r>
        <w:rPr>
          <w:rStyle w:val="StringTok"/>
        </w:rPr>
        <w:t xml:space="preserve">"scenario id used as pairwise baseline"</w:t>
      </w:r>
      <w:r>
        <w:br/>
      </w:r>
      <w:r>
        <w:rPr>
          <w:rStyle w:val="FunctionTok"/>
        </w:rPr>
        <w:t xml:space="preserve">}</w:t>
      </w:r>
    </w:p>
    <w:p>
      <w:pPr>
        <w:pStyle w:val="FirstParagraph"/>
      </w:pPr>
      <w:r>
        <w:t xml:space="preserve">Example from the canonical public-age run (reproduced in this revision, 2026-08-19):</w:t>
      </w:r>
    </w:p>
    <w:p>
      <w:pPr>
        <w:pStyle w:val="SourceCode"/>
      </w:pPr>
      <w:r>
        <w:rPr>
          <w:rStyle w:val="FunctionTok"/>
        </w:rPr>
        <w:t xml:space="preserve">{</w:t>
      </w:r>
      <w:r>
        <w:br/>
      </w:r>
      <w:r>
        <w:rPr>
          <w:rStyle w:val="NormalTok"/>
        </w:rPr>
        <w:t xml:space="preserve">  </w:t>
      </w:r>
      <w:r>
        <w:rPr>
          <w:rStyle w:val="DataTypeTok"/>
        </w:rPr>
        <w:t xml:space="preserve">"run_utc"</w:t>
      </w:r>
      <w:r>
        <w:rPr>
          <w:rStyle w:val="FunctionTok"/>
        </w:rPr>
        <w:t xml:space="preserve">:</w:t>
      </w:r>
      <w:r>
        <w:rPr>
          <w:rStyle w:val="NormalTok"/>
        </w:rPr>
        <w:t xml:space="preserve"> </w:t>
      </w:r>
      <w:r>
        <w:rPr>
          <w:rStyle w:val="StringTok"/>
        </w:rPr>
        <w:t xml:space="preserve">"2026-08-19T14:42:45.290054+00:00"</w:t>
      </w: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StringTok"/>
        </w:rPr>
        <w:t xml:space="preserve">"M3/m3_age_benchmark/configs/design_matrix.yaml"</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StringTok"/>
        </w:rPr>
        <w:t xml:space="preserve">"M3/m3_age_benchmark/results/m3_tracerlpm_parity_agefractions_full.csv"</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"M3/m3_age_benchmark/results/m3_tracerlpm_parity_agefractions_full_summary.csv"</w:t>
      </w:r>
      <w:r>
        <w:rPr>
          <w:rStyle w:val="FunctionTok"/>
        </w:rPr>
        <w:t xml:space="preserve">,</w:t>
      </w:r>
      <w:r>
        <w:br/>
      </w:r>
      <w:r>
        <w:rPr>
          <w:rStyle w:val="NormalTok"/>
        </w:rPr>
        <w:t xml:space="preserve">  </w:t>
      </w:r>
      <w:r>
        <w:rPr>
          <w:rStyle w:val="DataTypeTok"/>
        </w:rPr>
        <w:t xml:space="preserve">"max_rows"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"age_steps"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"scenario_ids"</w:t>
      </w:r>
      <w:r>
        <w:rPr>
          <w:rStyle w:val="FunctionTok"/>
        </w:rPr>
        <w:t xml:space="preserve">:</w:t>
      </w:r>
      <w:r>
        <w:rPr>
          <w:rStyle w:val="NormalTok"/>
        </w:rPr>
        <w:t xml:space="preserve"> </w:t>
      </w:r>
      <w:r>
        <w:rPr>
          <w:rStyle w:val="OtherTok"/>
        </w:rPr>
        <w:t xml:space="preserve">[</w:t>
      </w:r>
      <w:r>
        <w:rPr>
          <w:rStyle w:val="StringTok"/>
        </w:rPr>
        <w:t xml:space="preserve">"tracerlpm_parity_agefractions"</w:t>
      </w:r>
      <w:r>
        <w:rPr>
          <w:rStyle w:val="OtherTok"/>
        </w:rPr>
        <w:t xml:space="preserve">]</w:t>
      </w:r>
      <w:r>
        <w:rPr>
          <w:rStyle w:val="FunctionTok"/>
        </w:rPr>
        <w:t xml:space="preserve">,</w:t>
      </w:r>
      <w:r>
        <w:br/>
      </w:r>
      <w:r>
        <w:rPr>
          <w:rStyle w:val="NormalTok"/>
        </w:rPr>
        <w:t xml:space="preserve">  </w:t>
      </w:r>
      <w:r>
        <w:rPr>
          <w:rStyle w:val="DataTypeTok"/>
        </w:rPr>
        <w:t xml:space="preserve">"include_withdrawn"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"n_output_rows"</w:t>
      </w:r>
      <w:r>
        <w:rPr>
          <w:rStyle w:val="FunctionTok"/>
        </w:rPr>
        <w:t xml:space="preserve">:</w:t>
      </w:r>
      <w:r>
        <w:rPr>
          <w:rStyle w:val="NormalTok"/>
        </w:rPr>
        <w:t xml:space="preserve"> </w:t>
      </w:r>
      <w:r>
        <w:rPr>
          <w:rStyle w:val="DecValTok"/>
        </w:rPr>
        <w:t xml:space="preserve">1272</w:t>
      </w:r>
      <w:r>
        <w:br/>
      </w:r>
      <w:r>
        <w:rPr>
          <w:rStyle w:val="FunctionTok"/>
        </w:rPr>
        <w:t xml:space="preserve">}</w:t>
      </w:r>
    </w:p>
    <w:bookmarkEnd w:id="28"/>
    <w:bookmarkStart w:id="29" w:name="X40368e06d7289d524557b0f64fd2d13b90ef1ae"/>
    <w:p>
      <w:pPr>
        <w:pStyle w:val="Heading2"/>
      </w:pPr>
      <w:r>
        <w:t xml:space="preserve">Supplementary Figure S1. Public USGS residence-time parity check (identifiability-gated)</w:t>
      </w:r>
    </w:p>
    <w:p>
      <w:pPr>
        <w:pStyle w:val="FirstParagraph"/>
      </w:pPr>
      <w:r>
        <w:t xml:space="preserve">Among 1,272 rows, 356 fits passed the identifiability gate (916 flagged non-identifiable); among identifiable fits, median absolute log10 error = 0.022, log10 RMSE = 0.235, 91.9% within a factor of two and 98.6% within a factor of ten (log10 R2 = 0.960). These are the same values quoted in main-text Section 4.4, Table 2, Table 4 and the Figure 5b annotation. The USGS ages and age fractions are reported model outputs, so this is screening-level parity rather than direct true-age validation.</w:t>
      </w:r>
    </w:p>
    <w:bookmarkEnd w:id="29"/>
    <w:bookmarkStart w:id="30" w:name="X93fc06d0505ac4636e9a4f951c59870600919a1"/>
    <w:p>
      <w:pPr>
        <w:pStyle w:val="Heading2"/>
      </w:pPr>
      <w:r>
        <w:t xml:space="preserve">Supplementary Figure S2. PHREEQC-compatible forward-feasibility proxy</w:t>
      </w:r>
    </w:p>
    <w:p>
      <w:pPr>
        <w:pStyle w:val="FirstParagraph"/>
      </w:pPr>
      <w:r>
        <w:t xml:space="preserve">Panel (a) shows the RMSE distribution (median 0.02 mmol/L); panel (b) relates RMSE to Nash-Sutcliffe efficiency (median NSE = 1.00); panel (c) shows the thermodynamic-feasible fraction (0.88). The simulator uses locked PHREEQC-consistent saturation fields; live PHREEQC kinetic execution remains pending.</w:t>
      </w:r>
    </w:p>
    <w:bookmarkEnd w:id="30"/>
    <w:bookmarkStart w:id="31" w:name="X48309a383fa4eed61fa19ec25c1a8b7e79e09d5"/>
    <w:p>
      <w:pPr>
        <w:pStyle w:val="Heading2"/>
      </w:pPr>
      <w:r>
        <w:t xml:space="preserve">Supplementary Figure S3. Field-scale chemical discovery fit</w:t>
      </w:r>
    </w:p>
    <w:p>
      <w:pPr>
        <w:pStyle w:val="FirstParagraph"/>
      </w:pPr>
      <w:r>
        <w:t xml:space="preserve">Edge-level chemistry R2 for the retained field graphs: median R2 = 0.53 for Lower Anayari (121 edges) and 0.82 for Talensi (137 edges), overall median 0.70 over 258 retained edges. These fits describe hydrochemical closure of a field demonstration and do not provide independent process-truth validation.</w:t>
      </w:r>
    </w:p>
    <w:bookmarkEnd w:id="31"/>
    <w:bookmarkEnd w:id="32"/>
    <w:p>
      <w:pPr>
        <w:jc w:val="center"/>
      </w:pPr>
      <w:r>
        <w:drawing>
          <wp:inline>
            <wp:extent cx="5943600" cy="5492938"/>
            <wp:docPr id="1" name="Picture 1"/>
            <wp:cNvGraphicFramePr>
              <a:graphicFrameLocks noChangeAspect="1"/>
            </wp:cNvGraphicFramePr>
            <a:graphic>
              <a:graphicData uri="http://schemas.openxmlformats.org/drawingml/2006/picture">
                <pic:pic>
                  <pic:nvPicPr>
                    <pic:cNvPr id="0" name="Manuscript_Supp_FigS1_Public_Age_Validation.png"/>
                    <pic:cNvPicPr/>
                  </pic:nvPicPr>
                  <pic:blipFill>
                    <a:blip r:embed="rId9"/>
                    <a:stretch>
                      <a:fillRect/>
                    </a:stretch>
                  </pic:blipFill>
                  <pic:spPr>
                    <a:xfrm>
                      <a:off x="0" y="0"/>
                      <a:ext cx="5943600" cy="5492938"/>
                    </a:xfrm>
                    <a:prstGeom prst="rect"/>
                  </pic:spPr>
                </pic:pic>
              </a:graphicData>
            </a:graphic>
          </wp:inline>
        </w:drawing>
      </w:r>
    </w:p>
    <w:p>
      <w:r>
        <w:br w:type="page"/>
      </w:r>
    </w:p>
    <w:p>
      <w:pPr>
        <w:jc w:val="center"/>
      </w:pPr>
      <w:r>
        <w:drawing>
          <wp:inline>
            <wp:extent cx="5943600" cy="2229317"/>
            <wp:docPr id="2" name="Picture 2"/>
            <wp:cNvGraphicFramePr>
              <a:graphicFrameLocks noChangeAspect="1"/>
            </wp:cNvGraphicFramePr>
            <a:graphic>
              <a:graphicData uri="http://schemas.openxmlformats.org/drawingml/2006/picture">
                <pic:pic>
                  <pic:nvPicPr>
                    <pic:cNvPr id="0" name="Manuscript_Supp_FigS2_Geochemical_Validation.png"/>
                    <pic:cNvPicPr/>
                  </pic:nvPicPr>
                  <pic:blipFill>
                    <a:blip r:embed="rId10"/>
                    <a:stretch>
                      <a:fillRect/>
                    </a:stretch>
                  </pic:blipFill>
                  <pic:spPr>
                    <a:xfrm>
                      <a:off x="0" y="0"/>
                      <a:ext cx="5943600" cy="2229317"/>
                    </a:xfrm>
                    <a:prstGeom prst="rect"/>
                  </pic:spPr>
                </pic:pic>
              </a:graphicData>
            </a:graphic>
          </wp:inline>
        </w:drawing>
      </w:r>
    </w:p>
    <w:p>
      <w:r>
        <w:br w:type="page"/>
      </w:r>
    </w:p>
    <w:p>
      <w:pPr>
        <w:jc w:val="center"/>
      </w:pPr>
      <w:r>
        <w:drawing>
          <wp:inline>
            <wp:extent cx="5943600" cy="2939065"/>
            <wp:docPr id="3" name="Picture 3"/>
            <wp:cNvGraphicFramePr>
              <a:graphicFrameLocks noChangeAspect="1"/>
            </wp:cNvGraphicFramePr>
            <a:graphic>
              <a:graphicData uri="http://schemas.openxmlformats.org/drawingml/2006/picture">
                <pic:pic>
                  <pic:nvPicPr>
                    <pic:cNvPr id="0" name="Manuscript_Supp_FigS3_Ghana_Field_Residuals.png"/>
                    <pic:cNvPicPr/>
                  </pic:nvPicPr>
                  <pic:blipFill>
                    <a:blip r:embed="rId11"/>
                    <a:stretch>
                      <a:fillRect/>
                    </a:stretch>
                  </pic:blipFill>
                  <pic:spPr>
                    <a:xfrm>
                      <a:off x="0" y="0"/>
                      <a:ext cx="5943600" cy="2939065"/>
                    </a:xfrm>
                    <a:prstGeom prst="rect"/>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2026-08-20T21:04:08Z</dcterms:created>
  <dcterms:modified xsi:type="dcterms:W3CDTF">2026-08-20T21:04:08Z</dcterms:modified>
</cp:coreProperties>
</file>

<file path=docProps/custom.xml><?xml version="1.0" encoding="utf-8"?>
<Properties xmlns="http://schemas.openxmlformats.org/officeDocument/2006/custom-properties" xmlns:vt="http://schemas.openxmlformats.org/officeDocument/2006/docPropsVTypes"/>
</file>