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E9698" w14:textId="77777777" w:rsidR="00A402FB" w:rsidRDefault="00A402FB">
      <w:pPr>
        <w:rPr>
          <w:rFonts w:cs="Times New Roman"/>
          <w:sz w:val="22"/>
        </w:rPr>
      </w:pPr>
    </w:p>
    <w:p w14:paraId="612A3EC2" w14:textId="463AFA4C" w:rsidR="00046477" w:rsidRPr="00046477" w:rsidRDefault="00803184" w:rsidP="00046477">
      <w:pPr>
        <w:spacing w:after="240" w:line="259" w:lineRule="auto"/>
        <w:rPr>
          <w:sz w:val="24"/>
          <w:szCs w:val="24"/>
        </w:rPr>
      </w:pPr>
      <w:r>
        <w:t>28 July 2026</w:t>
      </w:r>
    </w:p>
    <w:p w14:paraId="7160C51A" w14:textId="77777777" w:rsidR="00803184" w:rsidRPr="00803184" w:rsidRDefault="00803184" w:rsidP="00803184">
      <w:pPr>
        <w:spacing w:before="100" w:beforeAutospacing="1" w:after="100" w:afterAutospacing="1"/>
        <w:rPr>
          <w:rFonts w:cs="Times New Roman"/>
          <w:sz w:val="24"/>
          <w:szCs w:val="24"/>
          <w:lang w:val="en-GB" w:eastAsia="en-GB"/>
        </w:rPr>
      </w:pPr>
      <w:r w:rsidRPr="00803184">
        <w:rPr>
          <w:rFonts w:cs="Times New Roman"/>
          <w:sz w:val="24"/>
          <w:szCs w:val="24"/>
          <w:lang w:val="en-GB" w:eastAsia="en-GB"/>
        </w:rPr>
        <w:t>The Editor-in-Chief</w:t>
      </w:r>
      <w:r w:rsidRPr="00803184">
        <w:rPr>
          <w:rFonts w:cs="Times New Roman"/>
          <w:sz w:val="24"/>
          <w:szCs w:val="24"/>
          <w:lang w:val="en-GB" w:eastAsia="en-GB"/>
        </w:rPr>
        <w:br/>
        <w:t>Applied Geochemistry</w:t>
      </w:r>
      <w:r w:rsidRPr="00803184">
        <w:rPr>
          <w:rFonts w:cs="Times New Roman"/>
          <w:sz w:val="24"/>
          <w:szCs w:val="24"/>
          <w:lang w:val="en-GB" w:eastAsia="en-GB"/>
        </w:rPr>
        <w:br/>
        <w:t>Elsevier</w:t>
      </w:r>
    </w:p>
    <w:p w14:paraId="28765921" w14:textId="77777777" w:rsidR="00803184" w:rsidRPr="00803184" w:rsidRDefault="00803184" w:rsidP="00803184">
      <w:pPr>
        <w:spacing w:before="100" w:beforeAutospacing="1" w:after="100" w:afterAutospacing="1"/>
        <w:rPr>
          <w:rFonts w:cs="Times New Roman"/>
          <w:sz w:val="24"/>
          <w:szCs w:val="24"/>
          <w:lang w:val="en-GB" w:eastAsia="en-GB"/>
        </w:rPr>
      </w:pPr>
      <w:r w:rsidRPr="00803184">
        <w:rPr>
          <w:rFonts w:cs="Times New Roman"/>
          <w:sz w:val="24"/>
          <w:szCs w:val="24"/>
          <w:lang w:val="en-GB" w:eastAsia="en-GB"/>
        </w:rPr>
        <w:t>Dear Editor-in-Chief,</w:t>
      </w:r>
    </w:p>
    <w:p w14:paraId="5F460301" w14:textId="77777777" w:rsidR="00803184" w:rsidRPr="00803184" w:rsidRDefault="00803184" w:rsidP="00803184">
      <w:pPr>
        <w:spacing w:before="100" w:beforeAutospacing="1" w:after="100" w:afterAutospacing="1"/>
        <w:jc w:val="both"/>
        <w:rPr>
          <w:rFonts w:cs="Times New Roman"/>
          <w:sz w:val="24"/>
          <w:szCs w:val="24"/>
          <w:lang w:val="en-GB" w:eastAsia="en-GB"/>
        </w:rPr>
      </w:pPr>
      <w:r w:rsidRPr="00803184">
        <w:rPr>
          <w:rFonts w:cs="Times New Roman"/>
          <w:sz w:val="24"/>
          <w:szCs w:val="24"/>
          <w:lang w:val="en-GB" w:eastAsia="en-GB"/>
        </w:rPr>
        <w:t xml:space="preserve">We are pleased to submit our manuscript entitled </w:t>
      </w:r>
      <w:r w:rsidRPr="00803184">
        <w:rPr>
          <w:rFonts w:cs="Times New Roman"/>
          <w:b/>
          <w:bCs/>
          <w:sz w:val="24"/>
          <w:szCs w:val="24"/>
          <w:lang w:val="en-GB" w:eastAsia="en-GB"/>
        </w:rPr>
        <w:t>“Conditional Value of Graph Priors in Multi-Tracer Groundwater-Age Inference: A Hydrosheaf Benchmark of Public Aquifer Datasets”</w:t>
      </w:r>
      <w:r w:rsidRPr="00803184">
        <w:rPr>
          <w:rFonts w:cs="Times New Roman"/>
          <w:sz w:val="24"/>
          <w:szCs w:val="24"/>
          <w:lang w:val="en-GB" w:eastAsia="en-GB"/>
        </w:rPr>
        <w:t xml:space="preserve"> for consideration as a Research Article in </w:t>
      </w:r>
      <w:r w:rsidRPr="00803184">
        <w:rPr>
          <w:rFonts w:cs="Times New Roman"/>
          <w:i/>
          <w:iCs/>
          <w:sz w:val="24"/>
          <w:szCs w:val="24"/>
          <w:lang w:val="en-GB" w:eastAsia="en-GB"/>
        </w:rPr>
        <w:t>Applied Geochemistry</w:t>
      </w:r>
      <w:r w:rsidRPr="00803184">
        <w:rPr>
          <w:rFonts w:cs="Times New Roman"/>
          <w:sz w:val="24"/>
          <w:szCs w:val="24"/>
          <w:lang w:val="en-GB" w:eastAsia="en-GB"/>
        </w:rPr>
        <w:t>.</w:t>
      </w:r>
    </w:p>
    <w:p w14:paraId="1BEE2A29" w14:textId="64D444F1" w:rsidR="00803184" w:rsidRDefault="00803184" w:rsidP="00803184">
      <w:pPr>
        <w:spacing w:before="100" w:beforeAutospacing="1" w:after="100" w:afterAutospacing="1"/>
        <w:jc w:val="both"/>
        <w:rPr>
          <w:rFonts w:cs="Times New Roman"/>
          <w:sz w:val="24"/>
          <w:szCs w:val="24"/>
          <w:lang w:val="en-GB" w:eastAsia="en-GB"/>
        </w:rPr>
      </w:pPr>
      <w:r w:rsidRPr="00803184">
        <w:rPr>
          <w:rFonts w:cs="Times New Roman"/>
          <w:sz w:val="24"/>
          <w:szCs w:val="24"/>
          <w:lang w:val="en-GB" w:eastAsia="en-GB"/>
        </w:rPr>
        <w:t xml:space="preserve">This manuscript presents a controlled benchmark of the residence-time and graph-prior component of </w:t>
      </w:r>
      <w:r w:rsidRPr="00497AD7">
        <w:rPr>
          <w:rFonts w:cs="Times New Roman"/>
          <w:sz w:val="24"/>
          <w:szCs w:val="24"/>
          <w:lang w:val="en-GB" w:eastAsia="en-GB"/>
        </w:rPr>
        <w:t>Hydrosheaf,</w:t>
      </w:r>
      <w:r w:rsidRPr="00803184">
        <w:rPr>
          <w:rFonts w:cs="Times New Roman"/>
          <w:sz w:val="24"/>
          <w:szCs w:val="24"/>
          <w:lang w:val="en-GB" w:eastAsia="en-GB"/>
        </w:rPr>
        <w:t xml:space="preserve"> an open Python framework for graph-constrained hydrogeochemical inference from sparse multi-tracer groundwater data. The study addresses a central challenge in groundwater dating: the non-uniqueness of residence-time interpretation when measured tracer concentrations can be explained by different transit-time distributions, correction assumptions, tracer subsets, and spatial-connectivity hypotheses.</w:t>
      </w:r>
    </w:p>
    <w:p w14:paraId="01F1787B" w14:textId="3E8C27AE" w:rsidR="00A84D18" w:rsidRPr="00803184" w:rsidRDefault="00A84D18" w:rsidP="00803184">
      <w:pPr>
        <w:spacing w:before="100" w:beforeAutospacing="1" w:after="100" w:afterAutospacing="1"/>
        <w:jc w:val="both"/>
        <w:rPr>
          <w:rFonts w:cs="Times New Roman"/>
          <w:sz w:val="24"/>
          <w:szCs w:val="24"/>
          <w:lang w:val="en-GB" w:eastAsia="en-GB"/>
        </w:rPr>
      </w:pPr>
      <w:r w:rsidRPr="00A84D18">
        <w:rPr>
          <w:rFonts w:cs="Times New Roman"/>
          <w:sz w:val="24"/>
          <w:szCs w:val="24"/>
          <w:lang w:eastAsia="en-GB"/>
        </w:rPr>
        <w:t>This submission forms part of a broader Hydrosheaf research programme. Two companion manuscripts that develop the conceptual foundation and wider framework architecture are currently under review. However, the present manuscript has been written and structured as a fully standalone benchmark paper. It provides all necessary methodological context for the residence-time and graph-prior module evaluated here and does not require acceptance or prior reading of the companion manuscripts. The specific contribution of this submission is the public-data benchmarking of graph-prior behaviour in multi-tracer groundwater-age inference, including negative controls, tracer-withholding validation, and explicit rejection of physically implausible topology.</w:t>
      </w:r>
    </w:p>
    <w:p w14:paraId="1AD436D8" w14:textId="77777777" w:rsidR="00803184" w:rsidRPr="00803184" w:rsidRDefault="00803184" w:rsidP="00803184">
      <w:pPr>
        <w:spacing w:before="100" w:beforeAutospacing="1" w:after="100" w:afterAutospacing="1"/>
        <w:jc w:val="both"/>
        <w:rPr>
          <w:rFonts w:cs="Times New Roman"/>
          <w:sz w:val="24"/>
          <w:szCs w:val="24"/>
          <w:lang w:val="en-GB" w:eastAsia="en-GB"/>
        </w:rPr>
      </w:pPr>
      <w:r w:rsidRPr="00803184">
        <w:rPr>
          <w:rFonts w:cs="Times New Roman"/>
          <w:sz w:val="24"/>
          <w:szCs w:val="24"/>
          <w:lang w:val="en-GB" w:eastAsia="en-GB"/>
        </w:rPr>
        <w:t xml:space="preserve">The work is well suited to </w:t>
      </w:r>
      <w:r w:rsidRPr="00803184">
        <w:rPr>
          <w:rFonts w:cs="Times New Roman"/>
          <w:i/>
          <w:iCs/>
          <w:sz w:val="24"/>
          <w:szCs w:val="24"/>
          <w:lang w:val="en-GB" w:eastAsia="en-GB"/>
        </w:rPr>
        <w:t>Applied Geochemistry</w:t>
      </w:r>
      <w:r w:rsidRPr="00803184">
        <w:rPr>
          <w:rFonts w:cs="Times New Roman"/>
          <w:sz w:val="24"/>
          <w:szCs w:val="24"/>
          <w:lang w:val="en-GB" w:eastAsia="en-GB"/>
        </w:rPr>
        <w:t xml:space="preserve"> because it directly concerns isotope and dissolved-gas tracers used in groundwater-age interpretation, including tritium, tritiogenic helium, SF₆, CFCs, radiocarbon, and radiogenic helium. Rather than treating groundwater age as a single deterministic output, the manuscript evaluates how tracer physics, age-fraction constraints, old-water indicators, gas-tracer uncertainty, and physically plausible aquifer topology interact in residence-time inference. This focus aligns with the journal’s interest in geochemical processes, environmental tracers, hydrogeochemistry, and quantitative interpretation of subsurface systems.</w:t>
      </w:r>
    </w:p>
    <w:p w14:paraId="5A48CF0A" w14:textId="77777777" w:rsidR="00803184" w:rsidRPr="00803184" w:rsidRDefault="00803184" w:rsidP="00803184">
      <w:pPr>
        <w:spacing w:before="100" w:beforeAutospacing="1" w:after="100" w:afterAutospacing="1"/>
        <w:jc w:val="both"/>
        <w:rPr>
          <w:rFonts w:cs="Times New Roman"/>
          <w:sz w:val="24"/>
          <w:szCs w:val="24"/>
          <w:lang w:val="en-GB" w:eastAsia="en-GB"/>
        </w:rPr>
      </w:pPr>
      <w:r>
        <w:t>The manuscript presents an explicitly bounded result. Only fits passing a reference-free reportability guard are interpreted. On 329 reportable nodes, no candidate graph robustly improved the reference benchmark: the smallest RMSE change was −0.00135 log₁₀ but within-factor-two agreement deteriorated. Leakage-guarded withholding of ³H, SF₆, and ¹⁴C likewise showed no meaningful candidate-graph gain, while CFC graph effects were non-estimable because no eligible edges remained. Reported age fractions improved agreement with shared-provenance USGS LPM outputs and are therefore a non-independent sensitivity rather than true-age validation. The hierarchical old-water prior and unsupported gas-correction comparison were withdrawn. The contribution is a reproducible framework for reportability screening and topology falsification, not universal predictive superiority.</w:t>
      </w:r>
    </w:p>
    <w:p w14:paraId="363B92EB" w14:textId="77777777" w:rsidR="00803184" w:rsidRPr="00803184" w:rsidRDefault="00803184" w:rsidP="00803184">
      <w:pPr>
        <w:spacing w:before="100" w:beforeAutospacing="1" w:after="100" w:afterAutospacing="1"/>
        <w:jc w:val="both"/>
        <w:rPr>
          <w:rFonts w:cs="Times New Roman"/>
          <w:sz w:val="24"/>
          <w:szCs w:val="24"/>
          <w:lang w:val="en-GB" w:eastAsia="en-GB"/>
        </w:rPr>
      </w:pPr>
      <w:r w:rsidRPr="00803184">
        <w:rPr>
          <w:rFonts w:cs="Times New Roman"/>
          <w:sz w:val="24"/>
          <w:szCs w:val="24"/>
          <w:lang w:val="en-GB" w:eastAsia="en-GB"/>
        </w:rPr>
        <w:t>The manuscript therefore makes a deliberately cautious but important contribution: Hydrosheaf should not be interpreted as a universal replacement for well-wise lumped-parameter modelling. Instead, it provides a reproducible diagnostic framework for testing when tracer evidence and physically plausible topology jointly support defensible groundwater-age interpretation, and when graph assumptions or tracer discordance should be rejected. This is especially relevant for data-</w:t>
      </w:r>
      <w:r w:rsidRPr="00803184">
        <w:rPr>
          <w:rFonts w:cs="Times New Roman"/>
          <w:sz w:val="24"/>
          <w:szCs w:val="24"/>
          <w:lang w:val="en-GB" w:eastAsia="en-GB"/>
        </w:rPr>
        <w:lastRenderedPageBreak/>
        <w:t>limited aquifers, where sparse tracer datasets are often used to support decisions about aquifer vulnerability, recharge timing, and groundwater-resource resilience.</w:t>
      </w:r>
    </w:p>
    <w:p w14:paraId="26800482" w14:textId="77777777" w:rsidR="00803184" w:rsidRPr="00803184" w:rsidRDefault="00803184" w:rsidP="00803184">
      <w:pPr>
        <w:spacing w:before="100" w:beforeAutospacing="1" w:after="100" w:afterAutospacing="1"/>
        <w:jc w:val="both"/>
        <w:rPr>
          <w:rFonts w:cs="Times New Roman"/>
          <w:sz w:val="24"/>
          <w:szCs w:val="24"/>
          <w:lang w:val="en-GB" w:eastAsia="en-GB"/>
        </w:rPr>
      </w:pPr>
      <w:r w:rsidRPr="00803184">
        <w:rPr>
          <w:rFonts w:cs="Times New Roman"/>
          <w:sz w:val="24"/>
          <w:szCs w:val="24"/>
          <w:lang w:val="en-GB" w:eastAsia="en-GB"/>
        </w:rPr>
        <w:t>We confirm that this manuscript is original, has not been published previously, and is not under consideration for publication elsewhere. All authors have reviewed and approved the submitted version. The authors declare no competing interests. The benchmark uses publicly available groundwater-age datasets, and the Hydrosheaf implementation and reproducibility materials are available through the public repository identified in the manuscript.</w:t>
      </w:r>
    </w:p>
    <w:p w14:paraId="1839BF7A" w14:textId="77777777" w:rsidR="00803184" w:rsidRPr="00803184" w:rsidRDefault="00803184" w:rsidP="00803184">
      <w:pPr>
        <w:spacing w:before="100" w:beforeAutospacing="1" w:after="100" w:afterAutospacing="1"/>
        <w:jc w:val="both"/>
        <w:rPr>
          <w:rFonts w:cs="Times New Roman"/>
          <w:sz w:val="24"/>
          <w:szCs w:val="24"/>
          <w:lang w:val="en-GB" w:eastAsia="en-GB"/>
        </w:rPr>
      </w:pPr>
      <w:r w:rsidRPr="00803184">
        <w:rPr>
          <w:rFonts w:cs="Times New Roman"/>
          <w:sz w:val="24"/>
          <w:szCs w:val="24"/>
          <w:lang w:val="en-GB" w:eastAsia="en-GB"/>
        </w:rPr>
        <w:t xml:space="preserve">Thank you for considering our submission. We believe the manuscript will be of interest to readers of </w:t>
      </w:r>
      <w:r w:rsidRPr="00803184">
        <w:rPr>
          <w:rFonts w:cs="Times New Roman"/>
          <w:i/>
          <w:iCs/>
          <w:sz w:val="24"/>
          <w:szCs w:val="24"/>
          <w:lang w:val="en-GB" w:eastAsia="en-GB"/>
        </w:rPr>
        <w:t>Applied Geochemistry</w:t>
      </w:r>
      <w:r w:rsidRPr="00803184">
        <w:rPr>
          <w:rFonts w:cs="Times New Roman"/>
          <w:sz w:val="24"/>
          <w:szCs w:val="24"/>
          <w:lang w:val="en-GB" w:eastAsia="en-GB"/>
        </w:rPr>
        <w:t>, particularly those working on groundwater dating, isotope hydrogeochemistry, environmental tracers, residence-time uncertainty, and quantitative hydrogeochemical modelling.</w:t>
      </w:r>
    </w:p>
    <w:p w14:paraId="7A737366" w14:textId="77777777" w:rsidR="00803184" w:rsidRPr="00803184" w:rsidRDefault="00803184" w:rsidP="00803184">
      <w:pPr>
        <w:spacing w:before="100" w:beforeAutospacing="1" w:after="100" w:afterAutospacing="1"/>
        <w:rPr>
          <w:rFonts w:cs="Times New Roman"/>
          <w:sz w:val="24"/>
          <w:szCs w:val="24"/>
          <w:lang w:val="en-GB" w:eastAsia="en-GB"/>
        </w:rPr>
      </w:pPr>
      <w:r w:rsidRPr="00803184">
        <w:rPr>
          <w:rFonts w:cs="Times New Roman"/>
          <w:sz w:val="24"/>
          <w:szCs w:val="24"/>
          <w:lang w:val="en-GB" w:eastAsia="en-GB"/>
        </w:rPr>
        <w:t>Sincerely,</w:t>
      </w:r>
    </w:p>
    <w:p w14:paraId="3A1F0638" w14:textId="20CFC196" w:rsidR="00803184" w:rsidRPr="00803184" w:rsidRDefault="00803184" w:rsidP="00803184">
      <w:pPr>
        <w:spacing w:before="100" w:beforeAutospacing="1" w:after="100" w:afterAutospacing="1"/>
        <w:rPr>
          <w:rFonts w:cs="Times New Roman"/>
          <w:sz w:val="24"/>
          <w:szCs w:val="24"/>
          <w:lang w:val="en-GB" w:eastAsia="en-GB"/>
        </w:rPr>
      </w:pPr>
      <w:r w:rsidRPr="00803184">
        <w:rPr>
          <w:rFonts w:cs="Times New Roman"/>
          <w:sz w:val="24"/>
          <w:szCs w:val="24"/>
          <w:lang w:val="en-GB" w:eastAsia="en-GB"/>
        </w:rPr>
        <w:t>Dickson Abdul-Wahab</w:t>
      </w:r>
      <w:r w:rsidRPr="00803184">
        <w:rPr>
          <w:rFonts w:cs="Times New Roman"/>
          <w:sz w:val="24"/>
          <w:szCs w:val="24"/>
          <w:lang w:val="en-GB" w:eastAsia="en-GB"/>
        </w:rPr>
        <w:br/>
        <w:t>Corresponding Author</w:t>
      </w:r>
      <w:r w:rsidRPr="00803184">
        <w:rPr>
          <w:rFonts w:cs="Times New Roman"/>
          <w:sz w:val="24"/>
          <w:szCs w:val="24"/>
          <w:lang w:val="en-GB" w:eastAsia="en-GB"/>
        </w:rPr>
        <w:br/>
        <w:t>Department of Nuclear Science and Applications</w:t>
      </w:r>
      <w:r w:rsidRPr="00803184">
        <w:rPr>
          <w:rFonts w:cs="Times New Roman"/>
          <w:sz w:val="24"/>
          <w:szCs w:val="24"/>
          <w:lang w:val="en-GB" w:eastAsia="en-GB"/>
        </w:rPr>
        <w:br/>
        <w:t>School of Nuclear and Allied Sciences</w:t>
      </w:r>
      <w:r w:rsidRPr="00803184">
        <w:rPr>
          <w:rFonts w:cs="Times New Roman"/>
          <w:sz w:val="24"/>
          <w:szCs w:val="24"/>
          <w:lang w:val="en-GB" w:eastAsia="en-GB"/>
        </w:rPr>
        <w:br/>
        <w:t>University of Ghana, Atomic-Kwabenya, Accra, Ghana</w:t>
      </w:r>
      <w:r w:rsidRPr="00803184">
        <w:rPr>
          <w:rFonts w:cs="Times New Roman"/>
          <w:sz w:val="24"/>
          <w:szCs w:val="24"/>
          <w:lang w:val="en-GB" w:eastAsia="en-GB"/>
        </w:rPr>
        <w:br/>
        <w:t xml:space="preserve">Email: </w:t>
      </w:r>
      <w:hyperlink r:id="rId6" w:history="1">
        <w:r w:rsidRPr="00803184">
          <w:rPr>
            <w:rFonts w:cs="Times New Roman"/>
            <w:color w:val="0000FF"/>
            <w:sz w:val="24"/>
            <w:szCs w:val="24"/>
            <w:u w:val="single"/>
            <w:lang w:val="en-GB" w:eastAsia="en-GB"/>
          </w:rPr>
          <w:t>dabdul_wahab11@yahoo.com</w:t>
        </w:r>
      </w:hyperlink>
      <w:r w:rsidRPr="00803184">
        <w:rPr>
          <w:rFonts w:cs="Times New Roman"/>
          <w:sz w:val="24"/>
          <w:szCs w:val="24"/>
          <w:lang w:val="en-GB" w:eastAsia="en-GB"/>
        </w:rPr>
        <w:br/>
        <w:t xml:space="preserve">ORCID: </w:t>
      </w:r>
      <w:hyperlink r:id="rId7" w:history="1">
        <w:r w:rsidRPr="00803184">
          <w:rPr>
            <w:rFonts w:cs="Times New Roman"/>
            <w:color w:val="0000FF"/>
            <w:sz w:val="24"/>
            <w:szCs w:val="24"/>
            <w:u w:val="single"/>
            <w:lang w:val="en-GB" w:eastAsia="en-GB"/>
          </w:rPr>
          <w:t>https://orcid.org/0000-0001-7446-5909</w:t>
        </w:r>
      </w:hyperlink>
    </w:p>
    <w:p w14:paraId="37CDA141" w14:textId="5DA6DD1A" w:rsidR="002F0C2D" w:rsidRPr="004E0AFB" w:rsidRDefault="002F0C2D">
      <w:pPr>
        <w:spacing w:after="60"/>
        <w:rPr>
          <w:rFonts w:cs="Times New Roman"/>
          <w:sz w:val="22"/>
        </w:rPr>
      </w:pPr>
    </w:p>
    <w:sectPr w:rsidR="002F0C2D" w:rsidRPr="004E0AFB"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F62B86"/>
    <w:multiLevelType w:val="multilevel"/>
    <w:tmpl w:val="CA30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9650806">
    <w:abstractNumId w:val="8"/>
  </w:num>
  <w:num w:numId="2" w16cid:durableId="43648859">
    <w:abstractNumId w:val="6"/>
  </w:num>
  <w:num w:numId="3" w16cid:durableId="2019573895">
    <w:abstractNumId w:val="5"/>
  </w:num>
  <w:num w:numId="4" w16cid:durableId="1883400080">
    <w:abstractNumId w:val="4"/>
  </w:num>
  <w:num w:numId="5" w16cid:durableId="527522620">
    <w:abstractNumId w:val="7"/>
  </w:num>
  <w:num w:numId="6" w16cid:durableId="207034602">
    <w:abstractNumId w:val="3"/>
  </w:num>
  <w:num w:numId="7" w16cid:durableId="1095782666">
    <w:abstractNumId w:val="2"/>
  </w:num>
  <w:num w:numId="8" w16cid:durableId="1289242139">
    <w:abstractNumId w:val="1"/>
  </w:num>
  <w:num w:numId="9" w16cid:durableId="484322265">
    <w:abstractNumId w:val="0"/>
  </w:num>
  <w:num w:numId="10" w16cid:durableId="1822387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C2"/>
    <w:rsid w:val="00034616"/>
    <w:rsid w:val="00046477"/>
    <w:rsid w:val="0006063C"/>
    <w:rsid w:val="000C0473"/>
    <w:rsid w:val="00131EF6"/>
    <w:rsid w:val="0013467F"/>
    <w:rsid w:val="0015074B"/>
    <w:rsid w:val="00191350"/>
    <w:rsid w:val="001B0F70"/>
    <w:rsid w:val="00290D05"/>
    <w:rsid w:val="0029639D"/>
    <w:rsid w:val="002F0C2D"/>
    <w:rsid w:val="00326F90"/>
    <w:rsid w:val="00497AD7"/>
    <w:rsid w:val="004E0AFB"/>
    <w:rsid w:val="004E50A5"/>
    <w:rsid w:val="00530409"/>
    <w:rsid w:val="005308D6"/>
    <w:rsid w:val="00612F01"/>
    <w:rsid w:val="006161DB"/>
    <w:rsid w:val="006324A9"/>
    <w:rsid w:val="006D7EC6"/>
    <w:rsid w:val="007413A2"/>
    <w:rsid w:val="007C5470"/>
    <w:rsid w:val="00803184"/>
    <w:rsid w:val="008277A7"/>
    <w:rsid w:val="009A2E2B"/>
    <w:rsid w:val="00A03B28"/>
    <w:rsid w:val="00A242AF"/>
    <w:rsid w:val="00A33FA9"/>
    <w:rsid w:val="00A402FB"/>
    <w:rsid w:val="00A57ECE"/>
    <w:rsid w:val="00A84D18"/>
    <w:rsid w:val="00AA1D8D"/>
    <w:rsid w:val="00B47730"/>
    <w:rsid w:val="00B83781"/>
    <w:rsid w:val="00BA00EF"/>
    <w:rsid w:val="00BC0549"/>
    <w:rsid w:val="00BE6AF7"/>
    <w:rsid w:val="00C03CE5"/>
    <w:rsid w:val="00CB0664"/>
    <w:rsid w:val="00CE7206"/>
    <w:rsid w:val="00D03D84"/>
    <w:rsid w:val="00D347DC"/>
    <w:rsid w:val="00D8284D"/>
    <w:rsid w:val="00D920AE"/>
    <w:rsid w:val="00DF0D1C"/>
    <w:rsid w:val="00E60A06"/>
    <w:rsid w:val="00F13D8D"/>
    <w:rsid w:val="00FB1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3A8C8"/>
  <w14:defaultImageDpi w14:val="300"/>
  <w15:docId w15:val="{4CBA6B95-1D53-437E-9B05-0B1B7B2CD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161DB"/>
    <w:pPr>
      <w:spacing w:before="100" w:beforeAutospacing="1" w:after="100" w:afterAutospacing="1"/>
    </w:pPr>
    <w:rPr>
      <w:rFonts w:cs="Times New Roman"/>
      <w:sz w:val="24"/>
      <w:szCs w:val="24"/>
      <w:lang w:val="en-GB" w:eastAsia="en-GB"/>
    </w:rPr>
  </w:style>
  <w:style w:type="paragraph" w:customStyle="1" w:styleId="isselectedend">
    <w:name w:val="isselectedend"/>
    <w:basedOn w:val="Normal"/>
    <w:rsid w:val="00D920AE"/>
    <w:pPr>
      <w:spacing w:before="100" w:beforeAutospacing="1" w:after="100" w:afterAutospacing="1"/>
    </w:pPr>
    <w:rPr>
      <w:rFonts w:cs="Times New Roman"/>
      <w:sz w:val="24"/>
      <w:szCs w:val="24"/>
      <w:lang w:val="en-GB" w:eastAsia="en-GB"/>
    </w:rPr>
  </w:style>
  <w:style w:type="character" w:styleId="Hyperlink">
    <w:name w:val="Hyperlink"/>
    <w:basedOn w:val="DefaultParagraphFont"/>
    <w:uiPriority w:val="99"/>
    <w:semiHidden/>
    <w:unhideWhenUsed/>
    <w:rsid w:val="00D920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rcid.org/0000-0001-7446-590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bdul_wahab11@yahoo.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Dickson Abdul-Wahab</cp:lastModifiedBy>
  <cp:revision>35</cp:revision>
  <dcterms:created xsi:type="dcterms:W3CDTF">2013-12-23T23:15:00Z</dcterms:created>
  <dcterms:modified xsi:type="dcterms:W3CDTF">2026-07-28T06:34:00Z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2026-05-13T07:23:59Z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36e430e6-ce28-4357-9092-ea6420965b77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