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84B7" w14:textId="0DC139E0" w:rsidR="001F607B" w:rsidRPr="00381924" w:rsidRDefault="00836C02" w:rsidP="004860E9">
      <w:pPr>
        <w:pStyle w:val="Title"/>
      </w:pPr>
      <w:bookmarkStart w:id="0" w:name="X1eb3cb86bcdf190a57992506f024149db3e96c4"/>
      <w:r w:rsidRPr="00381924">
        <w:t>Competing Geochemical Drivers and Probabilistic Health Risks of Groundwater in the Semi-Arid Voltaian Sedimentary Basin, Ghana</w:t>
      </w:r>
    </w:p>
    <w:p w14:paraId="5D45161B" w14:textId="166CE6C0" w:rsidR="0038053E" w:rsidRPr="00381924" w:rsidRDefault="0038053E" w:rsidP="004860E9">
      <w:pPr>
        <w:pStyle w:val="Author"/>
        <w:rPr>
          <w:b w:val="0"/>
          <w:bCs/>
        </w:rPr>
      </w:pPr>
      <w:r w:rsidRPr="00381924">
        <w:rPr>
          <w:b w:val="0"/>
          <w:bCs/>
        </w:rPr>
        <w:t>Dickson A</w:t>
      </w:r>
      <w:r w:rsidR="00E230AD" w:rsidRPr="00381924">
        <w:rPr>
          <w:b w:val="0"/>
          <w:bCs/>
        </w:rPr>
        <w:t>bdul-Wahab</w:t>
      </w:r>
      <w:r w:rsidR="00405899" w:rsidRPr="00381924">
        <w:rPr>
          <w:b w:val="0"/>
          <w:bCs/>
          <w:vertAlign w:val="superscript"/>
        </w:rPr>
        <w:t>a</w:t>
      </w:r>
      <w:r w:rsidR="00E230AD" w:rsidRPr="00381924">
        <w:rPr>
          <w:b w:val="0"/>
          <w:bCs/>
        </w:rPr>
        <w:t xml:space="preserve">, Emmanuel Daanoba </w:t>
      </w:r>
      <w:proofErr w:type="spellStart"/>
      <w:r w:rsidR="00E230AD" w:rsidRPr="00381924">
        <w:rPr>
          <w:b w:val="0"/>
          <w:bCs/>
        </w:rPr>
        <w:t>Sunkari</w:t>
      </w:r>
      <w:r w:rsidR="00405899" w:rsidRPr="00381924">
        <w:rPr>
          <w:b w:val="0"/>
          <w:bCs/>
          <w:vertAlign w:val="superscript"/>
        </w:rPr>
        <w:t>b,c,d</w:t>
      </w:r>
      <w:proofErr w:type="spellEnd"/>
      <w:r w:rsidR="004860E9" w:rsidRPr="00381924">
        <w:rPr>
          <w:b w:val="0"/>
          <w:bCs/>
          <w:vertAlign w:val="superscript"/>
        </w:rPr>
        <w:t>*</w:t>
      </w:r>
      <w:r w:rsidR="00E230AD" w:rsidRPr="00381924">
        <w:rPr>
          <w:b w:val="0"/>
          <w:bCs/>
        </w:rPr>
        <w:t xml:space="preserve">, </w:t>
      </w:r>
      <w:r w:rsidR="00A86C01" w:rsidRPr="00381924">
        <w:rPr>
          <w:b w:val="0"/>
          <w:bCs/>
        </w:rPr>
        <w:t xml:space="preserve">Celestina Akasi </w:t>
      </w:r>
      <w:proofErr w:type="spellStart"/>
      <w:r w:rsidR="00A86C01" w:rsidRPr="00381924">
        <w:rPr>
          <w:b w:val="0"/>
          <w:bCs/>
        </w:rPr>
        <w:t>Yalley</w:t>
      </w:r>
      <w:r w:rsidR="00A86C01" w:rsidRPr="00381924">
        <w:rPr>
          <w:b w:val="0"/>
          <w:bCs/>
          <w:vertAlign w:val="superscript"/>
        </w:rPr>
        <w:t>e</w:t>
      </w:r>
      <w:proofErr w:type="spellEnd"/>
      <w:r w:rsidR="00A86C01" w:rsidRPr="00381924">
        <w:rPr>
          <w:b w:val="0"/>
          <w:bCs/>
        </w:rPr>
        <w:t xml:space="preserve">, </w:t>
      </w:r>
      <w:r w:rsidR="00AC4BDA" w:rsidRPr="00381924">
        <w:rPr>
          <w:b w:val="0"/>
          <w:bCs/>
        </w:rPr>
        <w:t>Ebenezer Aquisman Asare</w:t>
      </w:r>
      <w:r w:rsidR="00A86C01" w:rsidRPr="00381924">
        <w:rPr>
          <w:b w:val="0"/>
          <w:bCs/>
          <w:vertAlign w:val="superscript"/>
        </w:rPr>
        <w:t>f</w:t>
      </w:r>
      <w:r w:rsidR="00AC4BDA" w:rsidRPr="00381924">
        <w:rPr>
          <w:b w:val="0"/>
          <w:bCs/>
        </w:rPr>
        <w:t xml:space="preserve">, </w:t>
      </w:r>
      <w:r w:rsidR="00F07042" w:rsidRPr="00381924">
        <w:rPr>
          <w:b w:val="0"/>
          <w:bCs/>
        </w:rPr>
        <w:t>Cynthia Laar</w:t>
      </w:r>
      <w:r w:rsidR="00A86C01" w:rsidRPr="00381924">
        <w:rPr>
          <w:b w:val="0"/>
          <w:bCs/>
          <w:vertAlign w:val="superscript"/>
        </w:rPr>
        <w:t>g</w:t>
      </w:r>
      <w:r w:rsidR="004860E9" w:rsidRPr="00381924">
        <w:rPr>
          <w:b w:val="0"/>
          <w:bCs/>
        </w:rPr>
        <w:t xml:space="preserve">, Tulika </w:t>
      </w:r>
      <w:proofErr w:type="spellStart"/>
      <w:r w:rsidR="004860E9" w:rsidRPr="00381924">
        <w:rPr>
          <w:b w:val="0"/>
          <w:bCs/>
        </w:rPr>
        <w:t>Chakrabarti</w:t>
      </w:r>
      <w:r w:rsidR="004860E9" w:rsidRPr="00381924">
        <w:rPr>
          <w:b w:val="0"/>
          <w:bCs/>
          <w:vertAlign w:val="superscript"/>
        </w:rPr>
        <w:t>b</w:t>
      </w:r>
      <w:proofErr w:type="spellEnd"/>
      <w:r w:rsidR="004860E9" w:rsidRPr="00381924">
        <w:rPr>
          <w:b w:val="0"/>
          <w:bCs/>
          <w:vertAlign w:val="superscript"/>
        </w:rPr>
        <w:t xml:space="preserve">, </w:t>
      </w:r>
      <w:r w:rsidR="00A86C01" w:rsidRPr="00381924">
        <w:rPr>
          <w:b w:val="0"/>
          <w:bCs/>
          <w:vertAlign w:val="superscript"/>
        </w:rPr>
        <w:t>h</w:t>
      </w:r>
      <w:r w:rsidR="004860E9" w:rsidRPr="00381924">
        <w:rPr>
          <w:b w:val="0"/>
          <w:bCs/>
        </w:rPr>
        <w:t xml:space="preserve">, &amp; Abayneh </w:t>
      </w:r>
      <w:proofErr w:type="spellStart"/>
      <w:r w:rsidR="004860E9" w:rsidRPr="00381924">
        <w:rPr>
          <w:b w:val="0"/>
          <w:bCs/>
        </w:rPr>
        <w:t>Ataro</w:t>
      </w:r>
      <w:proofErr w:type="spellEnd"/>
      <w:r w:rsidR="004860E9" w:rsidRPr="00381924">
        <w:rPr>
          <w:b w:val="0"/>
          <w:bCs/>
        </w:rPr>
        <w:t xml:space="preserve"> Ambushe</w:t>
      </w:r>
      <w:r w:rsidR="004860E9" w:rsidRPr="00381924">
        <w:rPr>
          <w:b w:val="0"/>
          <w:bCs/>
          <w:vertAlign w:val="superscript"/>
        </w:rPr>
        <w:t>d</w:t>
      </w:r>
    </w:p>
    <w:p w14:paraId="4F82669B" w14:textId="20600436" w:rsidR="00F07042" w:rsidRPr="00381924" w:rsidRDefault="00E2776E" w:rsidP="004860E9">
      <w:pPr>
        <w:spacing w:line="360" w:lineRule="auto"/>
        <w:jc w:val="center"/>
      </w:pPr>
      <w:proofErr w:type="spellStart"/>
      <w:r w:rsidRPr="00381924">
        <w:rPr>
          <w:vertAlign w:val="superscript"/>
        </w:rPr>
        <w:t>a</w:t>
      </w:r>
      <w:r w:rsidRPr="00381924">
        <w:t>Department</w:t>
      </w:r>
      <w:proofErr w:type="spellEnd"/>
      <w:r w:rsidRPr="00381924">
        <w:t xml:space="preserve"> of Nuclear Science and Applications, School of Nuclear and Allied Sciences, University of Ghana, Atomic-Kwabenya, Accra, Ghana</w:t>
      </w:r>
    </w:p>
    <w:p w14:paraId="5635917F" w14:textId="287DDFA0" w:rsidR="004860E9" w:rsidRPr="00381924" w:rsidRDefault="004860E9" w:rsidP="004860E9">
      <w:pPr>
        <w:spacing w:line="360" w:lineRule="auto"/>
        <w:jc w:val="center"/>
      </w:pPr>
      <w:proofErr w:type="spellStart"/>
      <w:r w:rsidRPr="00381924">
        <w:rPr>
          <w:vertAlign w:val="superscript"/>
        </w:rPr>
        <w:t>b</w:t>
      </w:r>
      <w:r w:rsidRPr="00381924">
        <w:t>Centre</w:t>
      </w:r>
      <w:proofErr w:type="spellEnd"/>
      <w:r w:rsidRPr="00381924">
        <w:t xml:space="preserve"> of Excellence in Environmental Science and Sustainability, Sir </w:t>
      </w:r>
      <w:proofErr w:type="spellStart"/>
      <w:r w:rsidRPr="00381924">
        <w:t>Padampat</w:t>
      </w:r>
      <w:proofErr w:type="spellEnd"/>
      <w:r w:rsidRPr="00381924">
        <w:t xml:space="preserve"> Singhania University, Udaipur 313 601, Rajasthan, India</w:t>
      </w:r>
    </w:p>
    <w:p w14:paraId="667DFB69" w14:textId="2188BBD9" w:rsidR="002149B8" w:rsidRPr="00381924" w:rsidRDefault="004860E9" w:rsidP="004860E9">
      <w:pPr>
        <w:spacing w:line="360" w:lineRule="auto"/>
        <w:jc w:val="center"/>
      </w:pPr>
      <w:proofErr w:type="spellStart"/>
      <w:r w:rsidRPr="00381924">
        <w:rPr>
          <w:vertAlign w:val="superscript"/>
        </w:rPr>
        <w:t>c</w:t>
      </w:r>
      <w:r w:rsidR="002149B8" w:rsidRPr="00381924">
        <w:t>Mining</w:t>
      </w:r>
      <w:proofErr w:type="spellEnd"/>
      <w:r w:rsidR="002149B8" w:rsidRPr="00381924">
        <w:t xml:space="preserve"> Engineering, Faculty of Integrated and Advanced Technology, Sir </w:t>
      </w:r>
      <w:proofErr w:type="spellStart"/>
      <w:r w:rsidR="002149B8" w:rsidRPr="00381924">
        <w:t>Padampat</w:t>
      </w:r>
      <w:proofErr w:type="spellEnd"/>
      <w:r w:rsidR="002149B8" w:rsidRPr="00381924">
        <w:t xml:space="preserve"> Singhania University, Udaipur 313601, Rajasthan, India</w:t>
      </w:r>
    </w:p>
    <w:p w14:paraId="419D5742" w14:textId="63123C42" w:rsidR="002149B8" w:rsidRPr="00381924" w:rsidRDefault="004860E9" w:rsidP="004860E9">
      <w:pPr>
        <w:spacing w:line="360" w:lineRule="auto"/>
        <w:jc w:val="center"/>
      </w:pPr>
      <w:proofErr w:type="spellStart"/>
      <w:r w:rsidRPr="00381924">
        <w:rPr>
          <w:vertAlign w:val="superscript"/>
        </w:rPr>
        <w:t>d</w:t>
      </w:r>
      <w:r w:rsidR="002149B8" w:rsidRPr="00381924">
        <w:t>Department</w:t>
      </w:r>
      <w:proofErr w:type="spellEnd"/>
      <w:r w:rsidR="002149B8" w:rsidRPr="00381924">
        <w:t xml:space="preserve"> of Chemical Sciences, Faculty of Science, University of Johannesburg, Auckland Park 2006, P.O. Box 524, Johannesburg, South Africa</w:t>
      </w:r>
    </w:p>
    <w:p w14:paraId="04F98EAA" w14:textId="5C6FA586" w:rsidR="00A86C01" w:rsidRPr="00381924" w:rsidRDefault="00A86C01" w:rsidP="004860E9">
      <w:pPr>
        <w:spacing w:line="360" w:lineRule="auto"/>
        <w:jc w:val="center"/>
      </w:pPr>
      <w:proofErr w:type="spellStart"/>
      <w:r w:rsidRPr="00381924">
        <w:rPr>
          <w:vertAlign w:val="superscript"/>
        </w:rPr>
        <w:t>e</w:t>
      </w:r>
      <w:r w:rsidRPr="00381924">
        <w:t>Department</w:t>
      </w:r>
      <w:proofErr w:type="spellEnd"/>
      <w:r w:rsidRPr="00381924">
        <w:t xml:space="preserve"> of Geological Engineering, Faculty of Geosciences and Environmental Studies, University of Mines and Technology, P.O. Box 237, Tarkwa, Ghana</w:t>
      </w:r>
    </w:p>
    <w:p w14:paraId="0D45162B" w14:textId="277090FB" w:rsidR="00405899" w:rsidRPr="00381924" w:rsidRDefault="00A86C01" w:rsidP="004860E9">
      <w:pPr>
        <w:spacing w:line="360" w:lineRule="auto"/>
        <w:jc w:val="center"/>
      </w:pPr>
      <w:proofErr w:type="spellStart"/>
      <w:r w:rsidRPr="00381924">
        <w:rPr>
          <w:vertAlign w:val="superscript"/>
        </w:rPr>
        <w:t>f</w:t>
      </w:r>
      <w:r w:rsidR="00405899" w:rsidRPr="00381924">
        <w:t>Nuclear</w:t>
      </w:r>
      <w:proofErr w:type="spellEnd"/>
      <w:r w:rsidR="00405899" w:rsidRPr="00381924">
        <w:t xml:space="preserve"> Chemistry and Environmental Research Centre, National Nuclear Research Institute (NNRI), Ghana Atomic Energy Commission (GAEC), Box LG 80, Legon, Accra, Ghana</w:t>
      </w:r>
    </w:p>
    <w:p w14:paraId="513E14F4" w14:textId="37B03775" w:rsidR="00B23C49" w:rsidRPr="00381924" w:rsidRDefault="00A86C01" w:rsidP="004860E9">
      <w:pPr>
        <w:spacing w:line="360" w:lineRule="auto"/>
        <w:jc w:val="center"/>
      </w:pPr>
      <w:proofErr w:type="spellStart"/>
      <w:r w:rsidRPr="00381924">
        <w:rPr>
          <w:vertAlign w:val="superscript"/>
        </w:rPr>
        <w:t>g</w:t>
      </w:r>
      <w:r w:rsidR="004750BD" w:rsidRPr="00381924">
        <w:t>Water</w:t>
      </w:r>
      <w:proofErr w:type="spellEnd"/>
      <w:r w:rsidR="004750BD" w:rsidRPr="00381924">
        <w:t xml:space="preserve"> Resources Research Centre, National Nuclear Research Institute, Ghana Atomic Energy Commission, Box LG 80, Legon, Accra, Ghana</w:t>
      </w:r>
    </w:p>
    <w:p w14:paraId="4602AE27" w14:textId="4970114A" w:rsidR="004860E9" w:rsidRPr="00381924" w:rsidRDefault="00A86C01" w:rsidP="004860E9">
      <w:pPr>
        <w:spacing w:line="360" w:lineRule="auto"/>
        <w:jc w:val="center"/>
      </w:pPr>
      <w:proofErr w:type="spellStart"/>
      <w:r w:rsidRPr="00381924">
        <w:rPr>
          <w:vertAlign w:val="superscript"/>
        </w:rPr>
        <w:t>h</w:t>
      </w:r>
      <w:r w:rsidR="004860E9" w:rsidRPr="00381924">
        <w:t>Chemistry</w:t>
      </w:r>
      <w:proofErr w:type="spellEnd"/>
      <w:r w:rsidR="004860E9" w:rsidRPr="00381924">
        <w:t xml:space="preserve">, Faculty of Applied Sciences, Sir </w:t>
      </w:r>
      <w:proofErr w:type="spellStart"/>
      <w:r w:rsidR="004860E9" w:rsidRPr="00381924">
        <w:t>Padampat</w:t>
      </w:r>
      <w:proofErr w:type="spellEnd"/>
      <w:r w:rsidR="004860E9" w:rsidRPr="00381924">
        <w:t xml:space="preserve"> Singhania University, Udaipur 313601, Rajasthan, India</w:t>
      </w:r>
    </w:p>
    <w:p w14:paraId="5E127F85" w14:textId="3369B947" w:rsidR="004860E9" w:rsidRPr="00381924" w:rsidRDefault="004860E9" w:rsidP="004860E9">
      <w:pPr>
        <w:spacing w:line="360" w:lineRule="auto"/>
        <w:jc w:val="center"/>
        <w:rPr>
          <w:rFonts w:cs="Times New Roman"/>
        </w:rPr>
      </w:pPr>
      <w:bookmarkStart w:id="1" w:name="_Hlk192580618"/>
      <w:r w:rsidRPr="00381924">
        <w:rPr>
          <w:rFonts w:cs="Times New Roman"/>
        </w:rPr>
        <w:t>*Corresponding Author: emmanueldaanobasunkari@gmail.com</w:t>
      </w:r>
    </w:p>
    <w:p w14:paraId="06B2FC18" w14:textId="77777777" w:rsidR="004860E9" w:rsidRPr="00381924" w:rsidRDefault="004860E9" w:rsidP="004860E9">
      <w:pPr>
        <w:spacing w:line="360" w:lineRule="auto"/>
        <w:jc w:val="center"/>
        <w:rPr>
          <w:rFonts w:cs="Times New Roman"/>
        </w:rPr>
      </w:pPr>
      <w:r w:rsidRPr="00381924">
        <w:rPr>
          <w:rFonts w:cs="Times New Roman"/>
        </w:rPr>
        <w:t>*ORCID: 0000-0002-0898-2286</w:t>
      </w:r>
      <w:bookmarkEnd w:id="1"/>
    </w:p>
    <w:p w14:paraId="59422983" w14:textId="77777777" w:rsidR="004860E9" w:rsidRPr="00381924" w:rsidRDefault="004860E9" w:rsidP="004860E9">
      <w:pPr>
        <w:spacing w:line="360" w:lineRule="auto"/>
        <w:jc w:val="center"/>
      </w:pPr>
    </w:p>
    <w:p w14:paraId="5ABF78C9" w14:textId="385E2FCD" w:rsidR="00836C02" w:rsidRPr="00381924" w:rsidRDefault="00312D3F" w:rsidP="004860E9">
      <w:pPr>
        <w:pStyle w:val="AbstractTitle"/>
        <w:spacing w:line="360" w:lineRule="auto"/>
        <w:jc w:val="both"/>
        <w:rPr>
          <w:sz w:val="24"/>
          <w:szCs w:val="24"/>
        </w:rPr>
      </w:pPr>
      <w:r w:rsidRPr="00381924">
        <w:rPr>
          <w:sz w:val="24"/>
          <w:szCs w:val="24"/>
        </w:rPr>
        <w:lastRenderedPageBreak/>
        <w:t>Abstract</w:t>
      </w:r>
    </w:p>
    <w:p w14:paraId="4E165609" w14:textId="64F71518" w:rsidR="00312D3F" w:rsidRPr="00381924" w:rsidRDefault="00EC0BE2" w:rsidP="004860E9">
      <w:pPr>
        <w:pStyle w:val="Abstract"/>
        <w:spacing w:line="360" w:lineRule="auto"/>
        <w:rPr>
          <w:sz w:val="24"/>
          <w:szCs w:val="24"/>
        </w:rPr>
      </w:pPr>
      <w:r w:rsidRPr="00381924">
        <w:rPr>
          <w:sz w:val="24"/>
          <w:szCs w:val="24"/>
        </w:rPr>
        <w:t xml:space="preserve">Groundwater in semi-arid sedimentary basins serves as a critical resource, yet its quality is often shaped by complex and competing geochemical drivers. This study evaluates groundwater quality and health risks within the Voltaian sedimentary basin of northern Ghana. </w:t>
      </w:r>
      <w:r w:rsidR="004860E9" w:rsidRPr="00381924">
        <w:rPr>
          <w:sz w:val="24"/>
          <w:szCs w:val="24"/>
        </w:rPr>
        <w:t>A</w:t>
      </w:r>
      <w:r w:rsidRPr="00381924">
        <w:rPr>
          <w:sz w:val="24"/>
          <w:szCs w:val="24"/>
        </w:rPr>
        <w:t xml:space="preserve">n integrated compositional data analysis and uncertainty-aware framework </w:t>
      </w:r>
      <w:r w:rsidR="004860E9" w:rsidRPr="00381924">
        <w:rPr>
          <w:sz w:val="24"/>
          <w:szCs w:val="24"/>
        </w:rPr>
        <w:t xml:space="preserve">was applied </w:t>
      </w:r>
      <w:r w:rsidRPr="00381924">
        <w:rPr>
          <w:sz w:val="24"/>
          <w:szCs w:val="24"/>
        </w:rPr>
        <w:t>to 34 dry-season groundwater samples. Results indicate that groundwater is predominantly of the Na-HCO</w:t>
      </w:r>
      <w:r w:rsidRPr="00381924">
        <w:rPr>
          <w:sz w:val="24"/>
          <w:szCs w:val="24"/>
          <w:vertAlign w:val="subscript"/>
        </w:rPr>
        <w:t>3</w:t>
      </w:r>
      <w:r w:rsidRPr="00381924">
        <w:rPr>
          <w:sz w:val="24"/>
          <w:szCs w:val="24"/>
        </w:rPr>
        <w:t xml:space="preserve"> type, governed largely by silicate weathering and forward ion exchange. A neutrosophic groundwater quality index classified most samples as excellent, though a subset proved unsuitable due to intense mineralisation. Bayesian driver profiling revealed that fluoride enrichment is inherently multicausal, driven by competing conductivity enrichment and ion-exchange suppression. Probabilistic health risk assessments identified children as the most vulnerable group, showing a 69</w:t>
      </w:r>
      <w:r w:rsidR="004860E9" w:rsidRPr="00381924">
        <w:rPr>
          <w:sz w:val="24"/>
          <w:szCs w:val="24"/>
        </w:rPr>
        <w:t>%</w:t>
      </w:r>
      <w:r w:rsidRPr="00381924">
        <w:rPr>
          <w:sz w:val="24"/>
          <w:szCs w:val="24"/>
        </w:rPr>
        <w:t xml:space="preserve"> probability of exceeding the skeletal-dental hazard threshold under the </w:t>
      </w:r>
      <w:r w:rsidR="00590391" w:rsidRPr="00381924">
        <w:rPr>
          <w:sz w:val="24"/>
          <w:szCs w:val="24"/>
        </w:rPr>
        <w:t>modelled</w:t>
      </w:r>
      <w:r w:rsidRPr="00381924">
        <w:rPr>
          <w:sz w:val="24"/>
          <w:szCs w:val="24"/>
        </w:rPr>
        <w:t xml:space="preserve"> dry-season exposure scenario. However, these probabilistic estimates are constrained by the single-season nature of the sampling and represent a temporal snapshot rather than a definitive annual baseline. Ultimately, this approach successfully uncovers the competing geochemical mechanisms governing water quality, offering a transferable evaluation tool for analogous sedimentary environments. </w:t>
      </w:r>
    </w:p>
    <w:p w14:paraId="05CCF4FF" w14:textId="29C8DEEC" w:rsidR="00E73BFE" w:rsidRPr="00381924" w:rsidRDefault="00386E24" w:rsidP="004860E9">
      <w:pPr>
        <w:spacing w:line="360" w:lineRule="auto"/>
      </w:pPr>
      <w:r w:rsidRPr="00381924">
        <w:rPr>
          <w:b/>
          <w:bCs/>
        </w:rPr>
        <w:t>Keywords:</w:t>
      </w:r>
      <w:r w:rsidRPr="00381924">
        <w:t xml:space="preserve"> Compositional data analysis</w:t>
      </w:r>
      <w:r w:rsidR="004860E9" w:rsidRPr="00381924">
        <w:t>;</w:t>
      </w:r>
      <w:r w:rsidRPr="00381924">
        <w:t xml:space="preserve"> Neutrosophic logic</w:t>
      </w:r>
      <w:r w:rsidR="004860E9" w:rsidRPr="00381924">
        <w:t>;</w:t>
      </w:r>
      <w:r w:rsidRPr="00381924">
        <w:t xml:space="preserve"> Fluoride contamination</w:t>
      </w:r>
      <w:r w:rsidR="004860E9" w:rsidRPr="00381924">
        <w:t>;</w:t>
      </w:r>
      <w:r w:rsidRPr="00381924">
        <w:t xml:space="preserve"> Irrigation suitability</w:t>
      </w:r>
      <w:r w:rsidR="004860E9" w:rsidRPr="00381924">
        <w:t>;</w:t>
      </w:r>
      <w:r w:rsidRPr="00381924">
        <w:t xml:space="preserve"> </w:t>
      </w:r>
      <w:r w:rsidR="009E567B" w:rsidRPr="00381924">
        <w:t>Bayesian regression</w:t>
      </w:r>
    </w:p>
    <w:p w14:paraId="505E5691" w14:textId="55CCF78F" w:rsidR="001F607B" w:rsidRPr="00381924" w:rsidRDefault="00000000" w:rsidP="004860E9">
      <w:pPr>
        <w:pStyle w:val="Heading1"/>
        <w:spacing w:line="360" w:lineRule="auto"/>
      </w:pPr>
      <w:bookmarkStart w:id="2" w:name="introduction"/>
      <w:bookmarkEnd w:id="0"/>
      <w:r w:rsidRPr="00381924">
        <w:t>Introduction</w:t>
      </w:r>
    </w:p>
    <w:p w14:paraId="09A05A5A" w14:textId="71C2E243" w:rsidR="00E121A4" w:rsidRPr="00381924" w:rsidRDefault="00000000" w:rsidP="004860E9">
      <w:pPr>
        <w:spacing w:line="360" w:lineRule="auto"/>
      </w:pPr>
      <w:bookmarkStart w:id="3" w:name="X17af0c54da46079e97ac3a8e116e4a2bc9cdf4f"/>
      <w:r w:rsidRPr="00381924">
        <w:t xml:space="preserve">Groundwater serves as the principal source of domestic water supply across rural northern Ghana, where piped water infrastructure remains limited or unreliable and borehole water is often the sole accessible resource for everyday consumption and household sanitation </w:t>
      </w:r>
      <w:r w:rsidR="00EA5C06" w:rsidRPr="00381924">
        <w:fldChar w:fldCharType="begin" w:fldLock="1"/>
      </w:r>
      <w:r w:rsidR="00C63B09">
        <w:instrText>ADDIN CSL_CITATION {"citationItems":[{"id":"ITEM-1","itemData":{"DOI":"10.1016/j.igd.2023.100033","ISSN":"29497531","abstract":"Water supports livelihoods through consumption, agricultural and industrial activities, sanitation and environmental services. The impact of water supply on health has been widely accepted, though these impacts are poorly documented. This study assessed the impacts of improved water supply on rural livelihoods in two communities (Doba and Nayagnia) in the Upper East Region, Ghana. Using structured questionnaires and statistical assessments, the positive impacts of improved water supply on health, hygiene, time-saving, productivity, food supply and nutrition, school performance and reduced stress on people especially women and expenditure on health were identified. A strong significant relationship (P = 0.001) between household income and the availability of improved water. Though there was a significant relationship between water tariff and access to potable water (P = 0.010), household income and water consumption were uncorrelated. Occupation and income, and availability of improved water were respectively significant. Income and availability of water also presented a significant value (P = 0.004). The study showed a progressive decline in water-related diseases after the provision and increasing access to improved water. Appropriate operational and maintenance schemes should be emphasized to ensure the proper sustainability of water supply systems to promote livelihoods in both communities. Training elected community members and making the necessary equipment available to facilitate regular maintenance and repairs were determined as the way forward to also ensure these positive impacts on livelihoods.","author":[{"dropping-particle":"","family":"Abanyie","given":"Samuel Kojo","non-dropping-particle":"","parse-names":false,"suffix":""},{"dropping-particle":"","family":"Ampadu","given":"Boateng","non-dropping-particle":"","parse-names":false,"suffix":""},{"dropping-particle":"","family":"Frimpong","given":"Nana Adwoa","non-dropping-particle":"","parse-names":false,"suffix":""},{"dropping-particle":"","family":"Yahans Amuah","given":"Ebenezer Ebo","non-dropping-particle":"","parse-names":false,"suffix":""}],"container-title":"Innovation and Green Development","id":"ITEM-1","issue":"1","issued":{"date-parts":[["2023"]]},"page":"100033","title":"Impact of improved water supply on livelihood and health: Emphasis on Doba and Nayagnia, Ghana","type":"article-journal","volume":"2"},"uris":["http://www.mendeley.com/documents/?uuid=2e8679d0-5b79-4ee2-9ecb-822de0b3329d"]}],"mendeley":{"formattedCitation":"&lt;sup&gt;1&lt;/sup&gt;","plainTextFormattedCitation":"1","previouslyFormattedCitation":"&lt;sup&gt;1&lt;/sup&gt;"},"properties":{"noteIndex":0},"schema":"https://github.com/citation-style-language/schema/raw/master/csl-citation.json"}</w:instrText>
      </w:r>
      <w:r w:rsidR="00EA5C06" w:rsidRPr="00381924">
        <w:fldChar w:fldCharType="separate"/>
      </w:r>
      <w:r w:rsidR="009622BA" w:rsidRPr="009622BA">
        <w:rPr>
          <w:noProof/>
          <w:vertAlign w:val="superscript"/>
        </w:rPr>
        <w:t>1</w:t>
      </w:r>
      <w:r w:rsidR="00EA5C06" w:rsidRPr="00381924">
        <w:fldChar w:fldCharType="end"/>
      </w:r>
      <w:r w:rsidR="00EA5C06" w:rsidRPr="00381924">
        <w:t>.</w:t>
      </w:r>
      <w:r w:rsidRPr="00381924">
        <w:t xml:space="preserve"> In districts such as </w:t>
      </w:r>
      <w:proofErr w:type="spellStart"/>
      <w:r w:rsidRPr="00381924">
        <w:t>Karaga</w:t>
      </w:r>
      <w:proofErr w:type="spellEnd"/>
      <w:r w:rsidRPr="00381924">
        <w:t xml:space="preserve">, the same groundwater resource also underpins dry-season smallholder irrigation, with local knowledge guiding well siting and seasonal water management in ways that demonstrate a dual domestic–productive dependency rather than a strictly potable function </w:t>
      </w:r>
      <w:r w:rsidR="00EA5C06" w:rsidRPr="00381924">
        <w:fldChar w:fldCharType="begin" w:fldLock="1"/>
      </w:r>
      <w:r w:rsidR="00C63B09">
        <w:instrText>ADDIN CSL_CITATION {"citationItems":[{"id":"ITEM-1","itemData":{"DOI":"10.3390/w10121724","ISSN":"20734441","abstract":"The use of groundwater resources for dry season irrigation has gained currency in Ghana. The north-east of the country has seen the cultivation of vegetables using groundwater from shallow aquifers; an emerging livelihood activity which lessens food insecurity and stems the tide of rural-urban migration. This practice in northern Ghana is deeply rooted in local knowledge. Using the Atankwidi catchment, this paper examines the role of local knowledge in understanding and exploiting groundwater for irrigation. A qualitative approach was used which allowed for in-depth catchment-level investigations, using group discussions, key informant interviews and informal discussions with irrigators, traditional leaders, earth priests, men, and women. Evidence from analysis revealed that local knowledge enabled farmers to locate groundwater points and determine the source and timing of groundwater recharge. Traditional communities are also able to identify the period for constructing wells. In addition, local knowledge enabled farmers to adopt strategies of conjunctively using groundwater with alternative water to cope with insufficient groundwater resources. We argue that local knowledge serves as a useful tool in sustaining dry season irrigation despite the challenges of a lack of government support and threats of global change.","author":[{"dropping-particle":"","family":"Kwoyiga","given":"Lydia","non-dropping-particle":"","parse-names":false,"suffix":""},{"dropping-particle":"","family":"Stefan","given":"Catalin","non-dropping-particle":"","parse-names":false,"suffix":""}],"container-title":"Water (Switzerland)","id":"ITEM-1","issue":"12","issued":{"date-parts":[["2018"]]},"title":"Groundwater development for dry season irrigation in North East Ghana: The place of local knowledge","type":"article-journal","volume":"10"},"uris":["http://www.mendeley.com/documents/?uuid=4172bea6-a245-3700-89d9-d18fb8111665"]}],"mendeley":{"formattedCitation":"&lt;sup&gt;2&lt;/sup&gt;","plainTextFormattedCitation":"2","previouslyFormattedCitation":"&lt;sup&gt;2&lt;/sup&gt;"},"properties":{"noteIndex":0},"schema":"https://github.com/citation-style-language/schema/raw/master/csl-citation.json"}</w:instrText>
      </w:r>
      <w:r w:rsidR="00EA5C06" w:rsidRPr="00381924">
        <w:fldChar w:fldCharType="separate"/>
      </w:r>
      <w:r w:rsidR="009622BA" w:rsidRPr="009622BA">
        <w:rPr>
          <w:noProof/>
          <w:vertAlign w:val="superscript"/>
        </w:rPr>
        <w:t>2</w:t>
      </w:r>
      <w:r w:rsidR="00EA5C06" w:rsidRPr="00381924">
        <w:fldChar w:fldCharType="end"/>
      </w:r>
      <w:r w:rsidRPr="00381924">
        <w:t>. This dependence acquires immediate public-health significance in the context of the Voltaian sedimentary basin, where national-scale hazard modelling estimates that approximately 15% of Ghana’s land area</w:t>
      </w:r>
      <w:r w:rsidR="00B537FE" w:rsidRPr="00381924">
        <w:t xml:space="preserve">, </w:t>
      </w:r>
      <w:r w:rsidRPr="00381924">
        <w:t xml:space="preserve"> concentrated in the northeast</w:t>
      </w:r>
      <w:r w:rsidR="00B537FE" w:rsidRPr="00381924">
        <w:t xml:space="preserve">, </w:t>
      </w:r>
      <w:r w:rsidRPr="00381924">
        <w:t xml:space="preserve"> carries </w:t>
      </w:r>
      <w:r w:rsidRPr="00381924">
        <w:lastRenderedPageBreak/>
        <w:t xml:space="preserve">elevated fluoride risk, placing an estimated 920,000 people in proximity to potentially unsafe groundwater </w:t>
      </w:r>
      <w:r w:rsidR="002364D1" w:rsidRPr="00381924">
        <w:fldChar w:fldCharType="begin" w:fldLock="1"/>
      </w:r>
      <w:r w:rsidR="00C63B09">
        <w:instrText>ADDIN CSL_CITATION {"citationItems":[{"id":"ITEM-1","itemData":{"DOI":"10.1016/j.watres.2022.118083","ISSN":"18792448","PMID":"35101693","abstract":"Most people in Ghana have no or only basic access to safely managed water. Especially in rural areas, much of the population relies on groundwater for drinking, which can be contaminated with fluoride and lead to dental fluorosis. Children under the age of two are particularly susceptible to the adverse effects of fluoride and can retain 80–90% of a fluoride dose, compared to 60% in adults. Despite numerous local studies, no spatially continuous picture exists of the fluoride contamination across Ghana, nor is there any estimate of what proportion of the population is potentially exposed to unsafe fluoride levels. Here, we spatially model the probability of fluoride concentrations exceeding 1.0 mg/L in groundwater across Ghana to identify risk areas and estimate the number of children and adults exposed to unsafe fluoride levels in drinking water. We use a set of geospatial predictor variables with random forest modeling and evaluate the model performance through spatial cross-validation. We found that approximately 15% of the area of Ghana, mainly in the northeast, has a high probability of fluoride contamination. The total at-risk population is about 920,000 persons, or 3% of the population, with an estimated 240,000 children (0–9 years) in at-risk areas. In some districts, such as Karaga, Gushiegu, Tamale and Mion, 4 out of 10 children are potentially exposed to fluoride poisoning. Geology and high evapotranspiration are the main drivers of fluoride enrichment in groundwater. Consequently, climate change might put even greater pressure on the area's water resources. Our hazard maps should raise awareness and understanding of geogenic fluoride contamination in Ghana and can advise decision making at local levels to avoid or mitigate fluoride-related risks.","author":[{"dropping-particle":"","family":"Araya","given":"Dahyann","non-dropping-particle":"","parse-names":false,"suffix":""},{"dropping-particle":"","family":"Podgorski","given":"Joel","non-dropping-particle":"","parse-names":false,"suffix":""},{"dropping-particle":"","family":"Kumi","given":"Michael","non-dropping-particle":"","parse-names":false,"suffix":""},{"dropping-particle":"","family":"Mainoo","given":"Patrick A.","non-dropping-particle":"","parse-names":false,"suffix":""},{"dropping-particle":"","family":"Berg","given":"Michael","non-dropping-particle":"","parse-names":false,"suffix":""}],"container-title":"Water Research","id":"ITEM-1","issue":"September 2021","issued":{"date-parts":[["2022","4"]]},"page":". [","publisher":"Elsevier","title":"Fluoride contamination of groundwater resources in Ghana: Country-wide hazard modeling and estimated population at risk","type":"article-journal","volume":"212"},"uris":["http://www.mendeley.com/documents/?uuid=4a30ac80-b085-4d21-a893-718fe9a689f6"]}],"mendeley":{"formattedCitation":"&lt;sup&gt;3&lt;/sup&gt;","plainTextFormattedCitation":"3","previouslyFormattedCitation":"&lt;sup&gt;3&lt;/sup&gt;"},"properties":{"noteIndex":0},"schema":"https://github.com/citation-style-language/schema/raw/master/csl-citation.json"}</w:instrText>
      </w:r>
      <w:r w:rsidR="002364D1" w:rsidRPr="00381924">
        <w:fldChar w:fldCharType="separate"/>
      </w:r>
      <w:r w:rsidR="009622BA" w:rsidRPr="009622BA">
        <w:rPr>
          <w:noProof/>
          <w:vertAlign w:val="superscript"/>
        </w:rPr>
        <w:t>3</w:t>
      </w:r>
      <w:r w:rsidR="002364D1" w:rsidRPr="00381924">
        <w:fldChar w:fldCharType="end"/>
      </w:r>
      <w:r w:rsidRPr="00381924">
        <w:t xml:space="preserve">. </w:t>
      </w:r>
      <w:r w:rsidR="00891D4B" w:rsidRPr="00381924">
        <w:t xml:space="preserve">Locally, empirical studies in adjacent Voltaian-setting districts confirm that hydrochemistry is heterogeneous even over short distances. In districts such as </w:t>
      </w:r>
      <w:proofErr w:type="spellStart"/>
      <w:r w:rsidR="00891D4B" w:rsidRPr="00381924">
        <w:t>Karaga</w:t>
      </w:r>
      <w:proofErr w:type="spellEnd"/>
      <w:r w:rsidR="00891D4B" w:rsidRPr="00381924">
        <w:t xml:space="preserve">, predominantly underlain by the siliciclastic </w:t>
      </w:r>
      <w:proofErr w:type="spellStart"/>
      <w:r w:rsidR="00891D4B" w:rsidRPr="00381924">
        <w:t>Bimbila</w:t>
      </w:r>
      <w:proofErr w:type="spellEnd"/>
      <w:r w:rsidR="00891D4B" w:rsidRPr="00381924">
        <w:t xml:space="preserve"> Formation, silicate and carbonate mineral weathering act as the primary geogenic controls on major-ion and fluoride evolution</w:t>
      </w:r>
      <w:r w:rsidR="00BE7C67" w:rsidRPr="00381924">
        <w:t xml:space="preserve"> (</w:t>
      </w:r>
      <w:proofErr w:type="spellStart"/>
      <w:r w:rsidR="00BE7C67" w:rsidRPr="00381924">
        <w:t>Sunkari</w:t>
      </w:r>
      <w:proofErr w:type="spellEnd"/>
      <w:r w:rsidR="00BE7C67" w:rsidRPr="00381924">
        <w:t xml:space="preserve"> et al., </w:t>
      </w:r>
      <w:r w:rsidR="00381924" w:rsidRPr="00381924">
        <w:t xml:space="preserve">2025, </w:t>
      </w:r>
      <w:r w:rsidR="00BE7C67" w:rsidRPr="00381924">
        <w:t>2026)</w:t>
      </w:r>
      <w:r w:rsidR="00891D4B" w:rsidRPr="00381924">
        <w:t xml:space="preserve">. This rock-water interaction is frequently modified by forward ion exchange and semi-arid concentration effects. Furthermore, the reliance on subsistence agriculture introduces localized anthropogenic pressures, such as potential nitrate enrichment from pit latrines and agricultural runoff, which superimpose a secondary contamination signal onto the natural geogenic template </w:t>
      </w:r>
      <w:r w:rsidR="00891D4B" w:rsidRPr="00381924">
        <w:fldChar w:fldCharType="begin" w:fldLock="1"/>
      </w:r>
      <w:r w:rsidR="00C63B09">
        <w:instrText>ADDIN CSL_CITATION {"citationItems":[{"id":"ITEM-1","itemData":{"DOI":"10.1155/2020/8450860","ISSN":"1537744X","PMID":"32327941","abstract":"A comprehensive chemical quality assessment of groundwater resources in the Talensi District has been conducted using conventional graphical methods and multivariate statistical techniques. The study sought to determine the main controls of groundwater chemistry and its suitability for domestic and irrigation purposes in the district. Silicate and carbonate mineral weathering were identified as the main controls on groundwater chemistry in the district, with reverse ion exchange also playing a role. High nitrate and lead levels observed have been associated with agrochemicals and wastewater from farms and homes. Three main flow regimes have been identified with Q-mode cluster analysis, in which mixed cation water types have been revealed, where areas designated as recharge zones are dominated by Na+ + K+-Mg2+-HCO3- fresh water types characterised by low mineralisation and pH, which evolve into Mg2+- Na+ + K+- HCO3- fresh water type with corresponding increased mineralisation of the groundwater. Based on the water quality index (WQI) technique modified for the district and an interpolation technique using ordinary kriging developed from a well-fitted exponential semivariogram for the estimated WQIs, the groundwater quality has been spatially classified as generally 'good' to 'excellent' for domestic purposes. Generally, the quality of groundwater for domestic usage deteriorates as one moves towards the north of the district, whereas waters in the east and west present the best quality. Classifications based on the United States Salinity Laboratory (USSL), Wilcox, and Doneen diagrams suggest that groundwater from the unconfined aquifers of the district is of excellent quality for irrigation purposes.","author":[{"dropping-particle":"","family":"Chegbeleh","given":"Larry Pax","non-dropping-particle":"","parse-names":false,"suffix":""},{"dropping-particle":"","family":"Akurugu","given":"Bismark Awinbire","non-dropping-particle":"","parse-names":false,"suffix":""},{"dropping-particle":"","family":"Yidana","given":"Sandow Mark","non-dropping-particle":"","parse-names":false,"suffix":""}],"container-title":"Scientific World Journal","id":"ITEM-1","issued":{"date-parts":[["2020"]]},"page":". [","title":"Assessment of Groundwater Quality in the Talensi District, Northern Ghana","type":"article-journal","volume":"2020"},"uris":["http://www.mendeley.com/documents/?uuid=3f45049d-05d4-47b8-b50e-57b5d9686626"]},{"id":"ITEM-2","itemData":{"DOI":"10.1016/j.gsd.2024.101352","ISSN":"2352801X","abstract":"Groundwater quality is globally threatened by geogenic and human activities. These activities release high levels of potentially toxic elements, such as fluoride (F−), which pose significant threats to human health. This has become a global issue, especially in developing countries such as Ghana. Despite efforts to address this issue, knowledge gaps still need to be addressed to ensure safe and healthy drinking water for all Ghanaians. Moreover, Ghana has been reported to be a fluorosis-endemic country but the sources and exact hotspots of F− enrichment in the aquifers on a countrywide scale are lacking in the available literature. Understanding the quality of water used for diverse purposes in Ghana is necessary to achieve the United Nations Sustainable Development Goals like good health and well-being (SDG 3) and clean water and sanitation (SDG 6), among others. Therefore, this study synthesized all previous studies on groundwater F− contamination in Ghana, to identify the sources of F− enrichment in groundwater, delineate the hotspots for fluorosis, assess the associated human health risks, identify the best sustainable defluoridation methods, and recommend policy intervention for high groundwater F− threat to aquifers in Ghana. In the Ghanaian context, F− contamination in groundwater is largely from geogenic sources like the weathering of fluoride-bearing rocks (granitoids and carbonate sedimentary lithologies) from the Birimian and Voltaian Supergroups and the dissolution of fluoride-rich minerals (fluorapatite, amphiboles, fluorite, biotite, and muscovite). Hotspots for high groundwater F− in Ghana are mainly restricted to the Upper East Region (0.10–5.00 mg/L), North East Region (0.01–13.29 mg/L), Northern Region (0.1–11.6 mg/L), and the White Volta River Basin (0.04–3.79 mg/L). The mean and maximum values of F− in these hotspots exceed the maximum permissible level (1.5 mg/L) set by the World Health Organization and Ghana Standards Authority. Most people in these areas suffer from dental fluorosis. Therefore, affordable and sustainable defluoridation technologies as well as community-based initiatives are recommended to deal with this menace.","author":[{"dropping-particle":"","family":"Sunkari","given":"Emmanuel Daanoba","non-dropping-particle":"","parse-names":false,"suffix":""},{"dropping-particle":"","family":"Ambushe","given":"Abayneh Ataro","non-dropping-particle":"","parse-names":false,"suffix":""}],"container-title":"Groundwater for Sustainable Development","id":"ITEM-2","issued":{"date-parts":[["2024"]]},"page":". [","title":"Groundwater fluoride contamination, sources, hotspots, health hazards, and sustainable containment measures: A systematic review of the Ghanaian context","type":"article-journal","volume":"27"},"uris":["http://www.mendeley.com/documents/?uuid=d0d3d081-aa01-40d4-acef-fcbc400a7cb0"]},{"id":"ITEM-3","itemData":{"DOI":"10.1016/j.gsd.2024.101132","ISSN":"2352801X","abstract":"This study was aimed at appraising the hydrogeochemistry of groundwater and the possible health hazards linked to elevated fluoride (F−) levels in the Saboba District within the Oti sub-basin of the Volta River Basin of northern Ghana. Multivariate statistical analysis, hydrogeochemistry, thermodynamic calculation of mineral saturation indices, and an evaluation of the risk to human health were all used in this assessment. A tFrilinear Piper diagram revealed that K–HCO3 was the predominant water type, reflecting the local geology. Groundwater F− content varied, with an average of 1.33 mg/L and a range of 0.6–4.7 mg/L, with elevated values mainly in the northwestern fringe of the district. Groundwater F− is mostly enriched by geogenic processes including mineral dissolution, ion exchange, and water-rock interaction. The non-carcinogenic risk of F− exposure followed the pattern: children &gt; teenagers &gt; adults &gt; infants, indicating that children are more susceptible to health risks such as dental fluorosis that come with exposure to F−. Therefore, expert-led community education programs can be extremely important in spreading this important knowledge and sustainable F− remediation measures should be urgently put in place to curb the menace.","author":[{"dropping-particle":"","family":"Sunkari","given":"Emmanuel Daanoba","non-dropping-particle":"","parse-names":false,"suffix":""},{"dropping-particle":"","family":"Hudu","given":"Abdallah","non-dropping-particle":"","parse-names":false,"suffix":""},{"dropping-particle":"","family":"Fosu","given":"Shadrack","non-dropping-particle":"","parse-names":false,"suffix":""},{"dropping-particle":"","family":"Gyimah","given":"Eric","non-dropping-particle":"","parse-names":false,"suffix":""},{"dropping-particle":"","family":"Oppong","given":"Obed","non-dropping-particle":"","parse-names":false,"suffix":""}],"container-title":"Groundwater for Sustainable Development","id":"ITEM-3","issue":"February","issued":{"date-parts":[["2024"]]},"page":". [","publisher":"Elsevier B.V.","title":"Hydrogeochemistry, sources, enrichment mechanism and human health risk assessment of groundwater fluoride in Saboba District in the Oti sub-basin of the Volta River Basin, northern Ghana","type":"article-journal","volume":"25"},"uris":["http://www.mendeley.com/documents/?uuid=09404b0a-6baa-4cac-8698-17d4d84e59ae"]}],"mendeley":{"formattedCitation":"&lt;sup&gt;4–6&lt;/sup&gt;","plainTextFormattedCitation":"4–6","previouslyFormattedCitation":"&lt;sup&gt;4–6&lt;/sup&gt;"},"properties":{"noteIndex":0},"schema":"https://github.com/citation-style-language/schema/raw/master/csl-citation.json"}</w:instrText>
      </w:r>
      <w:r w:rsidR="00891D4B" w:rsidRPr="00381924">
        <w:fldChar w:fldCharType="separate"/>
      </w:r>
      <w:r w:rsidR="009622BA" w:rsidRPr="009622BA">
        <w:rPr>
          <w:noProof/>
          <w:vertAlign w:val="superscript"/>
        </w:rPr>
        <w:t>4–6</w:t>
      </w:r>
      <w:r w:rsidR="00891D4B" w:rsidRPr="00381924">
        <w:fldChar w:fldCharType="end"/>
      </w:r>
      <w:r w:rsidR="00891D4B" w:rsidRPr="00381924">
        <w:t>. Crucially, navigating this complex dependence demands a framework that does not conflate drinking-water quality, human health risk, and irrigation suitability.</w:t>
      </w:r>
    </w:p>
    <w:p w14:paraId="0CD613C2" w14:textId="62E27634" w:rsidR="001F607B" w:rsidRPr="00381924" w:rsidRDefault="00000000" w:rsidP="004860E9">
      <w:pPr>
        <w:spacing w:line="360" w:lineRule="auto"/>
      </w:pPr>
      <w:r w:rsidRPr="00381924">
        <w:t xml:space="preserve">Crucially, this dependence demands a framework that does not conflate drinking-water quality, human health risk, and irrigation suitability, as these are three distinct evaluative questions requiring different indicators and thresholds. Ghana-based evidence consistently demonstrates that a groundwater source acceptable for smallholder crop production may simultaneously pose a chronic fluoride exposure risk, particularly for children, who face disproportionately higher non-carcinogenic hazard owing to lower body weight and higher relative fluid intake </w:t>
      </w:r>
      <w:r w:rsidR="005363CA" w:rsidRPr="00381924">
        <w:fldChar w:fldCharType="begin" w:fldLock="1"/>
      </w:r>
      <w:r w:rsidR="00C63B09">
        <w:instrText>ADDIN CSL_CITATION {"citationItems":[{"id":"ITEM-1","itemData":{"DOI":"10.1016/j.heliyon.2024.e27554","ISSN":"24058440","abstract":"Access to potable water is a significant concern due to the increasing global threat posed by fluoride contamination in groundwater sources. This study investigated the concentrations of fluoride (F−), the suitability of groundwater for human consumption, the physicochemical characteristics affecting the water quality, and non-carcinogenic adverse health risks to both children and adults in the Bongo district in Northern Ghana. The findings revealed that the groundwater had a mean pH, salinity, TDS, conductivity, and turbidity below the WHO guideline values with a mean fluoride concentration of 1.76 mg/L above the guideline limit of 1.5 mg/L. The study also found that there was no strong relationship between fluoride and the measured water parameters, which may be attributed to poor control of distribution, transport mechanisms, and sources. The WQI scores ranged from 42.62% to 70.72%, indicating that all borehole water samples were of good and excellent quality. The average chronic daily intake showed that children are often more exposed to the harmful impact of fluoride than adults. The average HQ &gt; 1 indicates the probability of dental and skeletal fluorosis after continuous exposure over time in adults and children. The study recommends taking immediate action to mitigate high groundwater fluoride concentrations, implementing appropriate water management strategies, and raising public awareness of the health risks. These measures can guide future groundwater management practices and help policymakers address contamination and protect local communities.","author":[{"dropping-particle":"","family":"Ashong","given":"Gerheart Winfred","non-dropping-particle":"","parse-names":false,"suffix":""},{"dropping-particle":"","family":"Ababio","given":"Boansi Adu","non-dropping-particle":"","parse-names":false,"suffix":""},{"dropping-particle":"","family":"Kwaansa-Ansah","given":"Edward Ebow","non-dropping-particle":"","parse-names":false,"suffix":""},{"dropping-particle":"","family":"Koranteng","given":"Simon Konadu","non-dropping-particle":"","parse-names":false,"suffix":""},{"dropping-particle":"","family":"Muktar","given":"Gwalley Diyawul Haqq","non-dropping-particle":"","parse-names":false,"suffix":""}],"container-title":"Heliyon","id":"ITEM-1","issue":"6","issued":{"date-parts":[["2024"]]},"page":"), e27554. [","title":"Investigation of fluoride concentrations, water quality, and non-carcinogenic health risks of borehole water in bongo district, northern Ghana","type":"article-journal","volume":"10"},"uris":["http://www.mendeley.com/documents/?uuid=40f6ae8e-27f9-4bfc-a20c-49cfd62772bd"]},{"id":"ITEM-2","itemData":{"DOI":"10.1016/j.chemosphere.2019.05.276","ISSN":"18791298","PMID":"31340412","abstract":"Groundwater fluoride contamination has long been recognized as a water-related health issue in some parts of Ghana. However, the extent of fluoride contamination and the related human health risk to the communities in the fluoride endemic areas are not adequately studied. In this paper, fluoride concentrations in existing and newly drilled wells were assessed. Probabilistic non carcinogenic human health risk assessment, uncertainty and sensitivity analysis for three age groups (Group A: 0–10 years; Group B: 11–20 years; Group C: 21–72 years) was also carried out using Monte Carlo simulation technique. The results showed that, 27.27% and 15.38% of the existing wells in the Bongo and Kassena Nankana West districts have fluoride values above the guideline value 1.5 mg L−1 respectively. The non-carcinogenic risk of fluoride associated with oral ingestion recorded a mean Hazard Quotient (HQ) &gt; 1 for younger age group (0–10 years) in all the study areas signifying potential health risk to this age group. Additionally, when the upper 95th percentile is used for the HQ, the oral ingestion for all the age categories recorded an HQ &gt; 1. Sensitivity analyses indicated that fluoride concentration in the drinking water and ingestion rate were the most relevant variables in the model to reduce the potential health effect. The study established the basis for a strong advocacy and public awareness on the effect of water quality on human health and proposed some management strategies to guide future groundwater resources management to reduce the potential health risk to the population.","author":[{"dropping-particle":"","family":"Ganyaglo","given":"Samuel Y.","non-dropping-particle":"","parse-names":false,"suffix":""},{"dropping-particle":"","family":"Gibrilla","given":"Abass","non-dropping-particle":"","parse-names":false,"suffix":""},{"dropping-particle":"","family":"Teye","given":"Emmanuel M.","non-dropping-particle":"","parse-names":false,"suffix":""},{"dropping-particle":"","family":"Owusu-Ansah","given":"Emmanuel De Graft Johnson","non-dropping-particle":"","parse-names":false,"suffix":""},{"dropping-particle":"","family":"Tettey","given":"Sampson","non-dropping-particle":"","parse-names":false,"suffix":""},{"dropping-particle":"","family":"Diabene","given":"Perpetual Y.","non-dropping-particle":"","parse-names":false,"suffix":""},{"dropping-particle":"","family":"Asimah","given":"Seyram","non-dropping-particle":"","parse-names":false,"suffix":""}],"container-title":"Chemosphere","id":"ITEM-2","issued":{"date-parts":[["2019","10"]]},"page":"862-872","publisher":"Elsevier","title":"Groundwater fluoride contamination and probabilistic health risk assessment in fluoride endemic areas of the Upper East Region, Ghana","type":"article-journal","volume":"233"},"uris":["http://www.mendeley.com/documents/?uuid=df1579f0-9614-41bc-b2b7-2858eb07d64a"]}],"mendeley":{"formattedCitation":"&lt;sup&gt;7,8&lt;/sup&gt;","plainTextFormattedCitation":"7,8","previouslyFormattedCitation":"&lt;sup&gt;7,8&lt;/sup&gt;"},"properties":{"noteIndex":0},"schema":"https://github.com/citation-style-language/schema/raw/master/csl-citation.json"}</w:instrText>
      </w:r>
      <w:r w:rsidR="005363CA" w:rsidRPr="00381924">
        <w:fldChar w:fldCharType="separate"/>
      </w:r>
      <w:r w:rsidR="009622BA" w:rsidRPr="009622BA">
        <w:rPr>
          <w:noProof/>
          <w:vertAlign w:val="superscript"/>
        </w:rPr>
        <w:t>7,8</w:t>
      </w:r>
      <w:r w:rsidR="005363CA" w:rsidRPr="00381924">
        <w:fldChar w:fldCharType="end"/>
      </w:r>
      <w:r w:rsidRPr="00381924">
        <w:t xml:space="preserve">. </w:t>
      </w:r>
      <w:r w:rsidR="00BE7C67" w:rsidRPr="00381924">
        <w:t>Treating these evaluative dimensions as interchangeable can distort risk characterization. It may overstate safety in some use categories while understating risk in others. This approach can also obscure opportunities for targeted management responses, such as source substitution or protective treatment (</w:t>
      </w:r>
      <w:proofErr w:type="spellStart"/>
      <w:r w:rsidR="00BE7C67" w:rsidRPr="00381924">
        <w:t>Ganyaglo</w:t>
      </w:r>
      <w:proofErr w:type="spellEnd"/>
      <w:r w:rsidR="00BE7C67" w:rsidRPr="00381924">
        <w:t xml:space="preserve"> et al., 2019; Araya et al., 2022).</w:t>
      </w:r>
    </w:p>
    <w:p w14:paraId="7A92547B" w14:textId="4100E03B" w:rsidR="001F607B" w:rsidRPr="00381924" w:rsidRDefault="00000000" w:rsidP="004860E9">
      <w:pPr>
        <w:spacing w:line="360" w:lineRule="auto"/>
      </w:pPr>
      <w:bookmarkStart w:id="4" w:name="Xbee900f6ee106775a43f2043369c288cf2a630b"/>
      <w:bookmarkEnd w:id="3"/>
      <w:r w:rsidRPr="00381924">
        <w:t xml:space="preserve">Conventional arithmetic groundwater quality indices represent a widely adopted screening tool yet carry systematic methodological limitations that become consequential when management decisions rely on them. Their construction typically fixes weights, thresholds, and sub-index functions without accounting for threshold ambiguity, measurement uncertainty, or variable reliability, so the final quality class can be sensitive to arbitrary design choices and can imply more certainty than the underlying data justify </w:t>
      </w:r>
      <w:r w:rsidR="008874E3" w:rsidRPr="00381924">
        <w:fldChar w:fldCharType="begin" w:fldLock="1"/>
      </w:r>
      <w:r w:rsidR="00C63B09">
        <w:instrText>ADDIN CSL_CITATION {"citationItems":[{"id":"ITEM-1","itemData":{"DOI":"10.1007/s11157-023-09650-7","ISSN":"15729826","abstract":"Water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Biotechnology","id":"ITEM-1","issue":"2","issued":{"date-parts":[["2023"]]},"page":"349-395","title":"A comprehensive review of water quality indices (WQIs): history, models, attempts and perspectives","type":"article-journal","volume":"22"},"uris":["http://www.mendeley.com/documents/?uuid=0e7b5a47-cc86-4c31-88ee-97779d810587"]},{"id":"ITEM-2","itemData":{"DOI":"10.1016/j.ecolind.2020.106653","ISSN":"1470160X","abstract":"Water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Indicators","id":"ITEM-2","issued":{"date-parts":[["2020"]]},"title":"Uncertainty analysis of water quality index (WQI) for groundwater quality evaluation: Application of Monte-Carlo method for weight allocation","type":"article-journal","volume":"117"},"uris":["http://www.mendeley.com/documents/?uuid=03883274-81ed-4abb-9c71-3ec0c6a0abb5"]}],"mendeley":{"formattedCitation":"&lt;sup&gt;9,10&lt;/sup&gt;","plainTextFormattedCitation":"9,10","previouslyFormattedCitation":"&lt;sup&gt;9,10&lt;/sup&gt;"},"properties":{"noteIndex":0},"schema":"https://github.com/citation-style-language/schema/raw/master/csl-citation.json"}</w:instrText>
      </w:r>
      <w:r w:rsidR="008874E3" w:rsidRPr="00381924">
        <w:fldChar w:fldCharType="separate"/>
      </w:r>
      <w:r w:rsidR="009622BA" w:rsidRPr="009622BA">
        <w:rPr>
          <w:noProof/>
          <w:vertAlign w:val="superscript"/>
        </w:rPr>
        <w:t>9,10</w:t>
      </w:r>
      <w:r w:rsidR="008874E3" w:rsidRPr="00381924">
        <w:fldChar w:fldCharType="end"/>
      </w:r>
      <w:r w:rsidRPr="00381924">
        <w:t>. Monte Carlo uncertainty analysis of conventional water quality index structures demonstrates that weight uncertainty alone is large enough to alter class membership, while Bayesian model-averaging results confirm that multi-</w:t>
      </w:r>
      <w:r w:rsidRPr="00381924">
        <w:lastRenderedPageBreak/>
        <w:t xml:space="preserve">model combination materially improves reliability over any single deterministic index </w:t>
      </w:r>
      <w:r w:rsidR="001622C7" w:rsidRPr="00381924">
        <w:fldChar w:fldCharType="begin" w:fldLock="1"/>
      </w:r>
      <w:r w:rsidR="00C63B09">
        <w:instrText>ADDIN CSL_CITATION {"citationItems":[{"id":"ITEM-1","itemData":{"DOI":"10.1016/j.ecolind.2020.106653","ISSN":"1470160X","abstract":"Water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Indicators","id":"ITEM-1","issued":{"date-parts":[["2020"]]},"title":"Uncertainty analysis of water quality index (WQI) for groundwater quality evaluation: Application of Monte-Carlo method for weight allocation","type":"article-journal","volume":"117"},"uris":["http://www.mendeley.com/documents/?uuid=03883274-81ed-4abb-9c71-3ec0c6a0abb5"]},{"id":"ITEM-2","itemData":{"DOI":"10.3389/fenvs.2023.1086300","ISSN":"2296665X","abstract":"Prediction and assessment of water quality are important aspects of water resource management. To date, several water quality index (WQI) models have been developed and improved for effective water quality assessment and management. However, the application of these models is limited because of their inherent uncertainty. To improve the reliability of the WQI model and quantify its uncertainty, we developed a WQI-Bayesian model averaging (BMA) model based on the BMA method to merge different WQI models for comprehensive groundwater quality assessment. This model comprised two stages: i) WQI model stage, four traditional WQI models were used to calculate WQI values, and ii) BMA model stage for integrating the results from multiple WQI models to determine the final groundwater quality status. In this study, a machine learning method, namely, the extreme gradient boosting algorithm was also adopted to systematically assign weights to the sub-index functions and calculate the aggregation function. It can avoid time consumption and computational effort required to find the most effective parameters. The results showed that the groundwater quality status in the study area was mainly maintained in the fair and good categories. The WQI values ranged from 35.01 to 98.45 based on the BMA prediction in the study area. Temporally, the groundwater quality category in the study area exhibited seasonal fluctuations from 2015 to 2020, with the highest percentage in the fair category and lowest percentage in the marginal category. Spatially, most sites fell under the fair-to-good category, with a few scattered areas falling under the marginal category, indicating that groundwater quality of the study area has been well maintained. The WQI-BMA model developed in this study is relatively easy to implement and interpret, which has significant implications for regional groundwater management.","author":[{"dropping-particle":"","family":"Wang","given":"Xin","non-dropping-particle":"","parse-names":false,"suffix":""},{"dropping-particle":"","family":"Tian","given":"Yong","non-dropping-particle":"","parse-names":false,"suffix":""},{"dropping-particle":"","family":"Liu","given":"Chongxuan","non-dropping-particle":"","parse-names":false,"suffix":""}],"container-title":"Frontiers in Environmental Science","id":"ITEM-2","issued":{"date-parts":[["2023"]]},"page":". [","title":"Assessment of groundwater quality in a highly urbanized coastal city using water quality index model and bayesian model averaging","type":"article-journal","volume":"11"},"uris":["http://www.mendeley.com/documents/?uuid=f81e6e00-f389-408a-8997-7c14fe83d571"]}],"mendeley":{"formattedCitation":"&lt;sup&gt;10,11&lt;/sup&gt;","plainTextFormattedCitation":"10,11","previouslyFormattedCitation":"&lt;sup&gt;10,11&lt;/sup&gt;"},"properties":{"noteIndex":0},"schema":"https://github.com/citation-style-language/schema/raw/master/csl-citation.json"}</w:instrText>
      </w:r>
      <w:r w:rsidR="001622C7" w:rsidRPr="00381924">
        <w:fldChar w:fldCharType="separate"/>
      </w:r>
      <w:r w:rsidR="009622BA" w:rsidRPr="009622BA">
        <w:rPr>
          <w:noProof/>
          <w:vertAlign w:val="superscript"/>
        </w:rPr>
        <w:t>10,11</w:t>
      </w:r>
      <w:r w:rsidR="001622C7" w:rsidRPr="00381924">
        <w:fldChar w:fldCharType="end"/>
      </w:r>
      <w:r w:rsidRPr="00381924">
        <w:t xml:space="preserve">. When threshold ambiguity and variable reliability are left unaddressed, arithmetic indices can mask which variables drive impairment, create false precision around class boundaries, and collapse structurally uncertain evidence into one overconfident score </w:t>
      </w:r>
      <w:r w:rsidR="00D46825" w:rsidRPr="00381924">
        <w:fldChar w:fldCharType="begin" w:fldLock="1"/>
      </w:r>
      <w:r w:rsidR="00C63B09">
        <w:instrText>ADDIN CSL_CITATION {"citationItems":[{"id":"ITEM-1","itemData":{"DOI":"10.1007/s11157-023-09650-7","ISSN":"15729826","abstract":"Water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Biotechnology","id":"ITEM-1","issue":"2","issued":{"date-parts":[["2023"]]},"page":"349-395","title":"A comprehensive review of water quality indices (WQIs): history, models, attempts and perspectives","type":"article-journal","volume":"22"},"uris":["http://www.mendeley.com/documents/?uuid=0e7b5a47-cc86-4c31-88ee-97779d810587"]}],"mendeley":{"formattedCitation":"&lt;sup&gt;9&lt;/sup&gt;","plainTextFormattedCitation":"9","previouslyFormattedCitation":"&lt;sup&gt;9&lt;/sup&gt;"},"properties":{"noteIndex":0},"schema":"https://github.com/citation-style-language/schema/raw/master/csl-citation.json"}</w:instrText>
      </w:r>
      <w:r w:rsidR="00D46825" w:rsidRPr="00381924">
        <w:fldChar w:fldCharType="separate"/>
      </w:r>
      <w:r w:rsidR="009622BA" w:rsidRPr="009622BA">
        <w:rPr>
          <w:noProof/>
          <w:vertAlign w:val="superscript"/>
        </w:rPr>
        <w:t>9</w:t>
      </w:r>
      <w:r w:rsidR="00D46825" w:rsidRPr="00381924">
        <w:fldChar w:fldCharType="end"/>
      </w:r>
      <w:r w:rsidRPr="00381924">
        <w:t>.</w:t>
      </w:r>
    </w:p>
    <w:p w14:paraId="5ABFEC24" w14:textId="79950C49" w:rsidR="001F607B" w:rsidRPr="00381924" w:rsidRDefault="00000000" w:rsidP="004860E9">
      <w:pPr>
        <w:spacing w:line="360" w:lineRule="auto"/>
      </w:pPr>
      <w:r w:rsidRPr="00381924">
        <w:t>A second methodological problem arises in the multivariate interpretation of hydrochemical data. Groundwater chemistry is compositional: major-ion concentrations are constrained by the sum of dissolved solids and carry relative rather than absolute information. Application of Euclidean-based methods</w:t>
      </w:r>
      <w:r w:rsidR="00B537FE" w:rsidRPr="00381924">
        <w:t xml:space="preserve">, </w:t>
      </w:r>
      <w:r w:rsidRPr="00381924">
        <w:t xml:space="preserve"> principal component analysis, hierarchical clustering, or correlation analysis</w:t>
      </w:r>
      <w:r w:rsidR="00B537FE" w:rsidRPr="00381924">
        <w:t xml:space="preserve">, </w:t>
      </w:r>
      <w:r w:rsidRPr="00381924">
        <w:t xml:space="preserve"> to untransformed raw-ion data can therefore generate spurious correlations, distorted inter-sample distances, and component loadings that reflect the geometry of closure rather than genuine hydrogeochemical structure </w:t>
      </w:r>
      <w:r w:rsidR="00F63791" w:rsidRPr="00381924">
        <w:fldChar w:fldCharType="begin" w:fldLock="1"/>
      </w:r>
      <w:r w:rsidR="00C63B09">
        <w:instrText>ADDIN CSL_CITATION {"citationItems":[{"id":"ITEM-1","itemData":{"DOI":"10.1038/s41598-024-63178-6","ISSN":"20452322","PMID":"38806627","abstract":"This study introduces a novel groundwater pollution index (GPI) formulated through compositional data analysis (CoDa) and robust principal component analysis (RPCA) to enhance groundwater quality assessment. Using groundwater quality monitoring data from sites impacted by the 2010–2011 foot-and-mouth disease outbreak in South Korea, CoDa uncovers critical hydrochemical differences between leachate-influenced and background groundwater. The GPI was developed by selecting key subcompositional parts (NH4+-N, Cl-, and NO3--N) using RPCA, performing the isometric log-ratio (ILR) transformation, and normalizing the results to environmental standards, thereby providing a more precise and accurate assessment of pollution. Validated against government criteria, the GPI has shown its potential as an alternative assessment tool, with its reliability confirmed by receiver operating characteristic curve analysis. This study highlights the essential role of CoDa, especially the ILR -transformation, in overcoming the limitations of traditional statistical methods that often neglect the relative nature of hydrochemical data. Our results emphasize the utility of the GPI in significantly advancing groundwater quality monitoring and management by addressing a methodological gap in the quantitative assessment of groundwater pollution.","author":[{"dropping-particle":"","family":"Oh","given":"Junseop","non-dropping-particle":"","parse-names":false,"suffix":""},{"dropping-particle":"","family":"Kim","given":"Kyoung Ho","non-dropping-particle":"","parse-names":false,"suffix":""},{"dropping-particle":"","family":"Kim","given":"Ho Rim","non-dropping-particle":"","parse-names":false,"suffix":""},{"dropping-particle":"","family":"Park","given":"Sunhwa","non-dropping-particle":"","parse-names":false,"suffix":""},{"dropping-particle":"","family":"Yun","given":"Seong Taek","non-dropping-particle":"","parse-names":false,"suffix":""}],"container-title":"Scientific Reports","id":"ITEM-1","issue":"1","issued":{"date-parts":[["2024","5","28"]]},"page":". [","title":"Using isometric log-ratio in compositional data analysis for developing a groundwater pollution index","type":"article-journal","volume":"14"},"uris":["http://www.mendeley.com/documents/?uuid=71a23dc9-ad11-4ec1-82ed-17ec70275170"]}],"mendeley":{"formattedCitation":"&lt;sup&gt;12&lt;/sup&gt;","plainTextFormattedCitation":"12","previouslyFormattedCitation":"&lt;sup&gt;12&lt;/sup&gt;"},"properties":{"noteIndex":0},"schema":"https://github.com/citation-style-language/schema/raw/master/csl-citation.json"}</w:instrText>
      </w:r>
      <w:r w:rsidR="00F63791" w:rsidRPr="00381924">
        <w:fldChar w:fldCharType="separate"/>
      </w:r>
      <w:r w:rsidR="009622BA" w:rsidRPr="009622BA">
        <w:rPr>
          <w:noProof/>
          <w:vertAlign w:val="superscript"/>
        </w:rPr>
        <w:t>12</w:t>
      </w:r>
      <w:r w:rsidR="00F63791" w:rsidRPr="00381924">
        <w:fldChar w:fldCharType="end"/>
      </w:r>
      <w:r w:rsidRPr="00381924">
        <w:t xml:space="preserve">. Isometric log-ratio transformation addresses closure by projecting compositions into unconstrained Euclidean space, and recent groundwater studies demonstrate that </w:t>
      </w:r>
      <w:r w:rsidR="00D756DE" w:rsidRPr="00381924">
        <w:t>isometric log-ratio (ILR) transformation</w:t>
      </w:r>
      <w:r w:rsidRPr="00381924">
        <w:t xml:space="preserve">-based approaches improve discrimination of facies contrasts and polluted versus background groundwater compared with their raw-space counterparts </w:t>
      </w:r>
      <w:r w:rsidR="0088762C" w:rsidRPr="00381924">
        <w:fldChar w:fldCharType="begin" w:fldLock="1"/>
      </w:r>
      <w:r w:rsidR="00C63B09">
        <w:instrText>ADDIN CSL_CITATION {"citationItems":[{"id":"ITEM-1","itemData":{"DOI":"10.1038/s41598-024-63178-6","ISSN":"20452322","PMID":"38806627","abstract":"This study introduces a novel groundwater pollution index (GPI) formulated through compositional data analysis (CoDa) and robust principal component analysis (RPCA) to enhance groundwater quality assessment. Using groundwater quality monitoring data from sites impacted by the 2010–2011 foot-and-mouth disease outbreak in South Korea, CoDa uncovers critical hydrochemical differences between leachate-influenced and background groundwater. The GPI was developed by selecting key subcompositional parts (NH4+-N, Cl-, and NO3--N) using RPCA, performing the isometric log-ratio (ILR) transformation, and normalizing the results to environmental standards, thereby providing a more precise and accurate assessment of pollution. Validated against government criteria, the GPI has shown its potential as an alternative assessment tool, with its reliability confirmed by receiver operating characteristic curve analysis. This study highlights the essential role of CoDa, especially the ILR -transformation, in overcoming the limitations of traditional statistical methods that often neglect the relative nature of hydrochemical data. Our results emphasize the utility of the GPI in significantly advancing groundwater quality monitoring and management by addressing a methodological gap in the quantitative assessment of groundwater pollution.","author":[{"dropping-particle":"","family":"Oh","given":"Junseop","non-dropping-particle":"","parse-names":false,"suffix":""},{"dropping-particle":"","family":"Kim","given":"Kyoung Ho","non-dropping-particle":"","parse-names":false,"suffix":""},{"dropping-particle":"","family":"Kim","given":"Ho Rim","non-dropping-particle":"","parse-names":false,"suffix":""},{"dropping-particle":"","family":"Park","given":"Sunhwa","non-dropping-particle":"","parse-names":false,"suffix":""},{"dropping-particle":"","family":"Yun","given":"Seong Taek","non-dropping-particle":"","parse-names":false,"suffix":""}],"container-title":"Scientific Reports","id":"ITEM-1","issue":"1","issued":{"date-parts":[["2024","5","28"]]},"page":". [","title":"Using isometric log-ratio in compositional data analysis for developing a groundwater pollution index","type":"article-journal","volume":"14"},"uris":["http://www.mendeley.com/documents/?uuid=71a23dc9-ad11-4ec1-82ed-17ec70275170"]},{"id":"ITEM-2","itemData":{"DOI":"10.1016/j.gexplo.2018.03.003","ISSN":"03756742","abstract":"The Piper diagram has been a staple for the analysis of water chemistry data since its introduction in 1944. It was conceived to be a method for water classification, determination of potential water mixing between end-members, and to aid in the identification of chemical reactions controlling a sample set. This study uses the information gleaned over the years since the release of the Piper diagram and proposes an alternative to it, capturing the strengths of the original diagram while adding new ideas to increase its robustness. The new method uses compositional data analysis to create 4 isometric log-ratio coordinates for the 6 major chemical species analyzed in the Piper diagram and transforms the data to a 4-field bi-plot, the ilr-ion plot. This ilr-ion plot conveys all of the information in the Piper diagram (water mixing, water types, and chemical reactions) while also visualizing additional data, the ability to examine Ca2+/Mg2+ versus Cl-/SO42−. The Piper and the ilr-ion plot were also compared using multiple synthetic and real datasets in order to illustrate the caveats and the advantages of using either diagram to analyze water chemistry data. Although there are challenges with using the ilr-ion plot (e.g., missing or zero values zeros in the dataset must be imputed by positive real numbers), it appears that the use of compositional data analysis coupled with the ilr-ion plot provides a more in-depth and complete analysis of water quality data compared to the original Piper diagram.","author":[{"dropping-particle":"","family":"Shelton","given":"Jenna L.","non-dropping-particle":"","parse-names":false,"suffix":""},{"dropping-particle":"","family":"Engle","given":"Mark A.","non-dropping-particle":"","parse-names":false,"suffix":""},{"dropping-particle":"","family":"Buccianti","given":"Antonella","non-dropping-particle":"","parse-names":false,"suffix":""},{"dropping-particle":"","family":"Blondes","given":"Madalyn S.","non-dropping-particle":"","parse-names":false,"suffix":""}],"container-title":"Journal of Geochemical Exploration","id":"ITEM-2","issued":{"date-parts":[["2018"]]},"page":"130-141","title":"The isometric log-ratio (ilr)-ion plot: A proposed alternative to the Piper diagram","type":"article-journal","volume":"190"},"uris":["http://www.mendeley.com/documents/?uuid=6c971657-a279-4076-a5f1-656c115484df"]}],"mendeley":{"formattedCitation":"&lt;sup&gt;12,13&lt;/sup&gt;","plainTextFormattedCitation":"12,13","previouslyFormattedCitation":"&lt;sup&gt;12,13&lt;/sup&gt;"},"properties":{"noteIndex":0},"schema":"https://github.com/citation-style-language/schema/raw/master/csl-citation.json"}</w:instrText>
      </w:r>
      <w:r w:rsidR="0088762C" w:rsidRPr="00381924">
        <w:fldChar w:fldCharType="separate"/>
      </w:r>
      <w:r w:rsidR="009622BA" w:rsidRPr="009622BA">
        <w:rPr>
          <w:noProof/>
          <w:vertAlign w:val="superscript"/>
        </w:rPr>
        <w:t>12,13</w:t>
      </w:r>
      <w:r w:rsidR="0088762C" w:rsidRPr="00381924">
        <w:fldChar w:fldCharType="end"/>
      </w:r>
      <w:r w:rsidRPr="00381924">
        <w:t>.</w:t>
      </w:r>
    </w:p>
    <w:p w14:paraId="0FD30BDB" w14:textId="7499AA82" w:rsidR="001F607B" w:rsidRPr="00381924" w:rsidRDefault="00000000" w:rsidP="004860E9">
      <w:pPr>
        <w:spacing w:line="360" w:lineRule="auto"/>
      </w:pPr>
      <w:r w:rsidRPr="00381924">
        <w:t xml:space="preserve">Deterministic hazard quotient and hazard index methods constitute a third limitation when applied as the sole characterisation of non-carcinogenic health risk. Point-estimate </w:t>
      </w:r>
      <w:r w:rsidR="00BE7C67" w:rsidRPr="00381924">
        <w:t>hazard quotient (</w:t>
      </w:r>
      <w:r w:rsidRPr="00381924">
        <w:t>HQ</w:t>
      </w:r>
      <w:r w:rsidR="00BE7C67" w:rsidRPr="00381924">
        <w:t>)</w:t>
      </w:r>
      <w:r w:rsidRPr="00381924">
        <w:t xml:space="preserve"> and </w:t>
      </w:r>
      <w:r w:rsidR="00BE7C67" w:rsidRPr="00381924">
        <w:t>hazard index (</w:t>
      </w:r>
      <w:r w:rsidRPr="00381924">
        <w:t>HI</w:t>
      </w:r>
      <w:r w:rsidR="00BE7C67" w:rsidRPr="00381924">
        <w:t>)</w:t>
      </w:r>
      <w:r w:rsidRPr="00381924">
        <w:t xml:space="preserve"> values conceal the variability attributable to population-level differences in body weight and ingestion rate, seasonal fluctuations in contaminant concentration, and pathway-specific exposure uncertainty. </w:t>
      </w:r>
      <w:r w:rsidR="00BE7C67" w:rsidRPr="00381924">
        <w:t xml:space="preserve">Probabilistic approaches such as Monte Carlo simulation and Bayesian hierarchical modelling explicitly propagate uncertainty into full risk distributions and exceedance probabilities. Comparisons between deterministic and probabilistic estimates consistently show that deterministic methods communicate a more certain, and sometimes misleading, risk picture than the available data support </w:t>
      </w:r>
      <w:r w:rsidR="0071152F">
        <w:fldChar w:fldCharType="begin" w:fldLock="1"/>
      </w:r>
      <w:r w:rsidR="00035024">
        <w:instrText>ADDIN CSL_CITATION {"citationItems":[{"id":"ITEM-1","itemData":{"DOI":"10.1016/j.envpol.2019.113711","ISSN":"18736424","PMID":"31891909","abstract":"Human interferences have caused groundwater contamination in alluvial aquifers which subsequently affects the health of exposed population. In the present study, 74 groundwater samples from the semi-arid region of Panipat district, falling under Yamuna sub-basin, India was evaluated to know the potential non-carcinogenic human health risk in local adult and child population. The major objective of the present study was to know the non-carcinogenic human health risk due to intake of fluoride and nitrate contaminated water, using two different approaches: deterministic and probabilistic (Monte Carlo simulation). The values of hazard quotient (HQ) determined by deterministic as well as probabilistic approach were nearly identical. The hazard index (HI) value of 40.8% samples was above the unity in case of adults while 69.7% samples indicated HI value greater than unity for children thus indicating children are more prone to non-carcinogenic health risk than the adult population. Sensitivity analysis was performed to identify the influence of the non-carcinogenic human health risk predictor variables for the prediction of risk and concentration factor (CF) was the most influential variable. Multivariate statistical techniques were employed to know the positive and negative relationship of fluoride and nitrate with other parameters. Results of principal component analysis/factor analysis (PCA/FA) indicated that the concentration of fluoride is controlled by the presence of calcium due to their negative correlation in groundwater samples. The hierarchical agglomerative cluster analysis (HCA) also supported the outcome of PCA/FA and both indicated anthropogenic sources of fluoride and nitrate in groundwater.","author":[{"dropping-particle":"","family":"Kaur","given":"Lakhvinder","non-dropping-particle":"","parse-names":false,"suffix":""},{"dropping-particle":"","family":"Rishi","given":"Madhuri S.","non-dropping-particle":"","parse-names":false,"suffix":""},{"dropping-particle":"","family":"Siddiqui","given":"Azeem Uddin","non-dropping-particle":"","parse-names":false,"suffix":""}],"container-title":"Environmental Pollution","id":"ITEM-1","issued":{"date-parts":[["2020"]]},"page":". [","title":"Deterministic and probabilistic health risk assessment techniques to evaluate non-carcinogenic human health risk (NHHR) due to fluoride and nitrate in groundwater of Panipat, Haryana, India","type":"article-journal","volume":"259"},"uris":["http://www.mendeley.com/documents/?uuid=a663995a-0d3d-4990-a019-a405bc7fbb8e"]},{"id":"ITEM-2","itemData":{"DOI":"10.1016/j.jclepro.2022.131567","ISSN":"09596526","abstract":"Intense anthropogenic activities have led to deterioration of groundwater quality worldwide. Scientific assessments of groundwater quality and human health risks are the premise to ensure water safety and residents’ health. Based on 321 groundwater samples collected from the Guanzhong Basin (GB), this study comprehensively assessed the groundwater quality and potential risks of As, F−, NO3–N, and Cr6+ to human health for the first time in GB. With differences in hydrogeological settings and human activities, the chemical composition of groundwater in GB exhibited wide spatial variability. Results of the integrated-weight water quality index (IWQI) showed that Cr6+, As, NO3–N, and F− have stronger effects on groundwater quality than other ions. Except for As, other pollutants (Cr6+, NO3–N, and F−) distributed mainly in the north of the Wei River, with northeast part of GB had much poorer groundwater quality than other areas. The human health risk assessment showed that carcinogenic risks associated with As and Cr6+ were higher for adults than for children, whereas non-carcinogenic risks posed by As, F−, NO3–N, and Cr6+ were higher for children. The primary exposure pathway for both carcinogenic and non-carcinogenic risks was daily oral ingestion. According to the spatial distribution of total carcinogenic and non-carcinogenic hazard indices, both adults and children living in the north of GB are at high risk. Monte Carlo simulations were used to assess model uncertainty and to determine pollutant treatment priority. The probability of non-carcinogenic risk for children is up to 92.25%. Sensitivity analysis results indicated that the main threat to residents' health is the high concentrations of F− and Cr6+ in groundwater. Hydrogeochemical analyses revealed that the poor quality of groundwater in the northeast of GB is mainly controlled by the geological background and extensive evaporation due to long-term irrigation activities. The findings of this study laid the foundation for the rational development and utilization of groundwater resources and the protection of residents' health in GB. It can also be used as references for the study of groundwater environment and human health risks in other similar areas.","author":[{"dropping-particle":"","family":"Gao","given":"Yanyan","non-dropping-particle":"","parse-names":false,"suffix":""},{"dropping-particle":"","family":"Qian","given":"Hui","non-dropping-particle":"","parse-names":false,"suffix":""},{"dropping-particle":"","family":"Zhou","given":"Yahong","non-dropping-particle":"","parse-names":false,"suffix":""},{"dropping-particle":"","family":"Chen","given":"Jie","non-dropping-particle":"","parse-names":false,"suffix":""},{"dropping-particle":"","family":"Wang","given":"Haike","non-dropping-particle":"","parse-names":false,"suffix":""},{"dropping-particle":"","family":"Ren","given":"Wenhao","non-dropping-particle":"","parse-names":false,"suffix":""},{"dropping-particle":"","family":"Qu","given":"Wengang","non-dropping-particle":"","parse-names":false,"suffix":""}],"container-title":"Journal of Cleaner Production","id":"ITEM-2","issued":{"date-parts":[["2022"]]},"title":"Cumulative health risk assessment of multiple chemicals in groundwater based on deterministic and Monte Carlo models in a large semiarid basin","type":"article-journal","volume":"352"},"uris":["http://www.mendeley.com/documents/?uuid=6799e1a0-6c03-4ed7-9500-5fbf20b548bc"]},{"id":"ITEM-3","itemData":{"DOI":"10.3390/w14152419","ISSN":"20734441","abstract":"Groundwater is an important resource for domestic use and irrigation in the Yinchuan region of northwest China. However, the quality of groundwater in this region is declining due to human activities, with adverse effects on human health. In order to study the effects of chemical elements in groundwater on human health, the human health risk of drinking groundwater was calculated based on the actual situation in China and on the U.S. Environmental Protection Agency (USEPA) model. Moreover, the sensitivity of contaminant exposure in drinking water wells was quantified using Monte Carlo simulation to minimize uncertainty in conjunction with USEPA risk assessment techniques, with the aim to identify the major carcinogenic factors. In addition, Visual Minteq was used to analyze the possible ionic forms of the major factors in the hydrogeological environment of the study area. The results showed that the mean CR values for As were 2.94 × 10−0.5 and 5.93 × 10−0.5 for the dry and rainy seasons, respectively, while for 2018 they were 5.48 × 10−0.5 and 3.59 × 10−0.5, respectively. In parallel, the CR values for children for 2017 were 6.28 × 10−0.5 and 1.27 × 10−0.4, respectively, and 1.17 × 10−0.4 and 7.67 × 10−0.5, respectively, indicating a considerably higher carcinogenic risk for children than for adults. results of the sensitivity analysis of Cr6+ and As using Crystal Ball software showed association values of 0.9958 and 1 for As and 0.0948 and 0 for Cr in the dry and rainy seasons in 2017, and 0.7424 and 0.5759 for As and 0.6237 and 0.8128 for Cr in the dry and rainy seasons in 2018, respectively. Only in the rainy season of 2018, the association values for As were lower than those for Cr, indicating that As is more sensitive to total carcinogenic risk. The results of the visual coinage model analysis showed that among all the possible ionic forms of As, the activity of HAsO42− had the largest logarithmic value and that of H3AsO4 had the smallest value, regardless of pH changes. This indicates that HAsO42− is the ionic form of As with the main carcinogenic factor in the hydrogeological environment of the study area. Therefore, corresponding environmental control measures need to be taken in time to strengthen the monitoring and control of As, especially HAsO42−, in the groundwater of the study area. This study is of great significance for Yinchuan city to formulate groundwater pollution risk management and recovery.","author":[{"dropping-particle":"","family":"Ma","given":"Zhiyuan","non-dropping-particle":"","parse-names":false,"suffix":""},{"dropping-particle":"","family":"Li","given":"Junfeng","non-dropping-particle":"","parse-names":false,"suffix":""},{"dropping-particle":"","family":"Zhang","given":"Man","non-dropping-particle":"","parse-names":false,"suffix":""},{"dropping-particle":"","family":"You","given":"Di","non-dropping-particle":"","parse-names":false,"suffix":""},{"dropping-particle":"","family":"Zhou","given":"Yahong","non-dropping-particle":"","parse-names":false,"suffix":""},{"dropping-particle":"","family":"Gong","given":"Zhiqiang","non-dropping-particle":"","parse-names":false,"suffix":""}],"container-title":"Water (Switzerland)","id":"ITEM-3","issue":"15","issued":{"date-parts":[["2022"]]},"page":"2419","title":"Groundwater Health Risk Assessment Based on Monte Carlo Model Sensitivity Analysis of Cr and As—A Case Study of Yinchuan City","type":"article-journal","volume":"14"},"uris":["http://www.mendeley.com/documents/?uuid=4df69112-474a-4064-be9c-98fc1304c243"]},{"id":"ITEM-4","itemData":{"DOI":"10.1016/j.watres.2023.120379","ISSN":"18792448","PMID":"37516079","abstract":"Excessive amounts of fluoride (F−) and nitrate (NO3−) in groundwater pose a significant threat to human health. However, a quantitative approach to assessing the human health risks caused by these harmful substances is lacking. To optimize the probabilistic assessment process for human health risk (HHR), this study introduced kernel density estimation (KDE) into the stochastic simulation of F− and NO3− content in groundwater samples. The potential HHRs caused by F− and NO3− in Songyuan City were summarized by combining the probabilistic and deterministic assessments. This study found that the concentrations of F− and NO3− did not follow common probability density functions (PDFs), but the KDE method passed the Kolmogorov–Smirnov test with the critical value of 0.067 and 0.062, showing high fitting accuracy. Monte Carlo simulation indicated that the probability of NO3− for children and adult exceeding the standard is 21.95% and 15.14%, respectively, which is comparable with the results of the deterministic assessment, but the probabilistic assessment emphasized lower probability of HHRs in children caused by excess F−(4.14%). Global sensitivity analysis revealed that excessive NO3− in groundwater has the highest sensitivity of the HHR (&gt;0.1), followed by other factors representing water use habits (&gt;0.01). This study presents a refined probabilistic assessment method for HHR and provides a scientific reference for understanding the state of groundwater environments.","author":[{"dropping-particle":"","family":"Yan","given":"Jiaheng","non-dropping-particle":"","parse-names":false,"suffix":""},{"dropping-particle":"","family":"Chen","given":"Jiansheng","non-dropping-particle":"","parse-names":false,"suffix":""},{"dropping-particle":"","family":"Zhang","given":"Wenqing","non-dropping-particle":"","parse-names":false,"suffix":""}],"container-title":"Water Research","id":"ITEM-4","issued":{"date-parts":[["2023"]]},"page":". [","title":"A new probabilistic assessment process for human health risk (HHR) in groundwater with extensive fluoride and nitrate optimized by non parametric estimation method","type":"article-journal","volume":"243"},"uris":["http://www.mendeley.com/documents/?uuid=e500d07c-89cb-4a61-8f34-15e4e4f8f9de"]}],"mendeley":{"formattedCitation":"&lt;sup&gt;14–17&lt;/sup&gt;","plainTextFormattedCitation":"14–17","previouslyFormattedCitation":"&lt;sup&gt;14–17&lt;/sup&gt;"},"properties":{"noteIndex":0},"schema":"https://github.com/citation-style-language/schema/raw/master/csl-citation.json"}</w:instrText>
      </w:r>
      <w:r w:rsidR="0071152F">
        <w:fldChar w:fldCharType="separate"/>
      </w:r>
      <w:r w:rsidR="0071152F" w:rsidRPr="00B7117E">
        <w:rPr>
          <w:noProof/>
          <w:vertAlign w:val="superscript"/>
        </w:rPr>
        <w:t>14–17</w:t>
      </w:r>
      <w:r w:rsidR="0071152F">
        <w:fldChar w:fldCharType="end"/>
      </w:r>
      <w:r w:rsidR="00BE7C67" w:rsidRPr="00B7117E">
        <w:t xml:space="preserve">. </w:t>
      </w:r>
      <w:r w:rsidR="009D2F96" w:rsidRPr="00381924">
        <w:t>However, while probabilistic simulations excel at propagating documented parameter variability, they are not a panacea for data scarcity; they remain fundamentally constrained by the accuracy of the underlying exposure distributions. If local dietary habits, seasonal ingestion variations, or alternative exposure pathways are unmeasured, Bayesian frameworks can inadvertently generate a false sense of security by quantifying uncertainty around an inaccurate baseline.</w:t>
      </w:r>
    </w:p>
    <w:p w14:paraId="2C3989AD" w14:textId="2A898F3E" w:rsidR="001F607B" w:rsidRPr="00381924" w:rsidRDefault="00000000" w:rsidP="004860E9">
      <w:pPr>
        <w:spacing w:line="360" w:lineRule="auto"/>
      </w:pPr>
      <w:bookmarkStart w:id="5" w:name="methodological-contribution"/>
      <w:bookmarkEnd w:id="4"/>
      <w:r w:rsidRPr="00381924">
        <w:lastRenderedPageBreak/>
        <w:t xml:space="preserve">The literature documents an established pattern of integrated groundwater assessment studies that combine hydrochemical facies diagnosis with drinking-water indexing, health-risk evaluation, and irrigation suitability assessment in a sequential pipeline </w:t>
      </w:r>
      <w:r w:rsidR="00AD1994" w:rsidRPr="00381924">
        <w:fldChar w:fldCharType="begin" w:fldLock="1"/>
      </w:r>
      <w:r w:rsidR="00035024">
        <w:instrText>ADDIN CSL_CITATION {"citationItems":[{"id":"ITEM-1","itemData":{"DOI":"10.1007/s11356-024-33768-y","ISSN":"16147499","PMID":"38809406","abstract":"An in-depth understanding of nitrate-contaminated surface water and groundwater quality and associated risks is important for groundwater management. Hydrochemical characteristics and driving forces of groundwater quality and non-carcinogenic risks of nitrate were revealed by the integrated approaches of self-organizing map analysis, spatial visualization by geography information system, entropy and irrigation water quality indices, and human health risk model. Groundwater samples were categorized into two clusters by SOM analysis. Cluster I including three samples were Ca-SO4 type and cluster II of remaining 136 samples were Ca-HCO3 type. Hydrochemical compositions of two cluster samples were dominated by water–rock interaction: (1) calcite and gypsum dissolution for cluster I samples and (2) calcite dissolution, silicate weathering, and positive cation exchange for cluster II samples. Nitrate contamination occurred in both cluster I and II samples, primarily induced by agricultural nitrogen fertilizer. The EWQI results showed that 90.97% in total groundwater samples were suitable for drinking purpose, while the IWQI results demonstrated that 65.03% in total groundwater samples were appropriate for irrigation purpose. The HHR model and Monte Carlo simulation indicated that the non-carcinogenic nitrated risk was highest in children. Exposure frequency was the most sensitive factor (86.33% in total) influencing the total non-carcinogenic risk, indicated by sensitivity analysis. Compared with the two clusters of groundwater, surface water has a shorter circulation cycle and lower ion concentrations resulting in better water quality. This study can provide scientific basis for groundwater quality evaluation in other parts of the world.","author":[{"dropping-particle":"","family":"Yan","given":"Yuting","non-dropping-particle":"","parse-names":false,"suffix":""},{"dropping-particle":"","family":"Zhang","given":"Yunhui","non-dropping-particle":"","parse-names":false,"suffix":""},{"dropping-particle":"","family":"Yao","given":"Rongwen","non-dropping-particle":"","parse-names":false,"suffix":""},{"dropping-particle":"","family":"Wei","given":"Changli","non-dropping-particle":"","parse-names":false,"suffix":""},{"dropping-particle":"","family":"Luo","given":"Ming","non-dropping-particle":"","parse-names":false,"suffix":""},{"dropping-particle":"","family":"Yang","given":"Chang","non-dropping-particle":"","parse-names":false,"suffix":""},{"dropping-particle":"","family":"Chen","given":"Si","non-dropping-particle":"","parse-names":false,"suffix":""},{"dropping-particle":"","family":"Huang","given":"Xun","non-dropping-particle":"","parse-names":false,"suffix":""}],"container-title":"Environmental Science and Pollution Research","id":"ITEM-1","issue":"27","issued":{"date-parts":[["2024"]]},"page":"39155-39176","title":"Groundwater suitability assessment for irrigation and drinking purposes by integrating spatial analysis, machine learning, water quality index, and health risk model","type":"article-journal","volume":"31"},"uris":["http://www.mendeley.com/documents/?uuid=c245e7a4-5612-414b-856b-3da8ebe03492"]},{"id":"ITEM-2","itemData":{"DOI":"10.3390/w15223917","ISSN":"20734441","abstract":"Groundwater plays an important role in ecological environment protection in arid and semi-arid areas. Therefore, understanding the characteristics of hydrochemical evolution is of great significance for the sustainable use of groundwater in the area of the Tailan River Basin. The Tailan River Basin is located in an arid, ecologically sensitive area in western China. In this study, we collected 42 groups of representative water samples from the Tailan River Basin and analyzed the chemical distribution in the groundwater using mathematical statistics, Piper and Gibbs diagrams, ion ratio analysis, and hydrogeochemical simulation methods. We also discussed the water–rock interactions in the groundwater hydrochemical evolutionary process. The results were as follows: (1) The chemical types of groundwater changed from HCO3·SO4-Ca·Na to SO4·Cl-Na·Ca, Cl·SO4-Na, and Cl-Na, and the total dissolved solids content increased from less than 1 g/L to more than 40 g/L from the gravel plain to the fine soil plain. (2) The Gibbs diagram, the ion ratio analysis, and the saturation index showed that the groundwater chemical characteristics in the study area were mainly controlled by water–rock interactions, as well as evaporation and concentration. Along the runoff of groundwater, halite and gypsum were dissolved. Nevertheless, dolomite and calcite precipitated. The relationship between the chlor-alkali index and [(Na+ + K+)-Cl−] and [(Ca2+ + Mg2+)-(HCO3− + SO42−)] indicated that cation exchange also affects the chemical composition of groundwater in the area. (3) Through reverse hydrogeochemical simulation, the main water–rock effect of the groundwater runoff process revealed by qualitative analysis was quantitatively verified.","author":[{"dropping-particle":"","family":"Liu","given":"Lei","non-dropping-particle":"","parse-names":false,"suffix":""},{"dropping-particle":"","family":"Lu","given":"Yudong","non-dropping-particle":"","parse-names":false,"suffix":""},{"dropping-particle":"","family":"Yin","given":"Lihe","non-dropping-particle":"","parse-names":false,"suffix":""},{"dropping-particle":"","family":"Yang","given":"Zhi","non-dropping-particle":"","parse-names":false,"suffix":""},{"dropping-particle":"","family":"Bian","given":"Jiaxin","non-dropping-particle":"","parse-names":false,"suffix":""},{"dropping-particle":"","family":"Cui","given":"Liyang","non-dropping-particle":"","parse-names":false,"suffix":""}],"container-title":"Water (Switzerland)","id":"ITEM-2","issue":"22","issued":{"date-parts":[["2023"]]},"page":"3917","title":"Chemical Characteristics-Based Evolution of Groundwater in Tailan River Basin, Xinjiang, China","type":"article-journal","volume":"15"},"uris":["http://www.mendeley.com/documents/?uuid=6cb260eb-5e5d-4e98-b236-0fc1751397e1"]},{"id":"ITEM-3","itemData":{"DOI":"10.1007/s11356-024-34046-7","ISSN":"16147499","PMID":"38918296","abstract":"Renowned for its agriculture, livestock, and mining, Zhob district, Pakistan, faces the urgent problem of declining groundwater quality due to natural and human-induced factors. This deterioration poses significant challenges for residents who rely on groundwater for drinking, domestic, and irrigation purposes. Therefore, this novel study aimed to carry out a comprehensive assessment of groundwater quality in Zhob district, considering various aspects such as hydrochemical characteristics, human health risks, and suitability for drinking and irrigation purposes. While previous studies may have focused on one or a few of these aspects, this study integrates multiple analyses to provide a holistic understanding of the groundwater quality situation in the region. Additionally, the study applies a range of common hydrochemical analysis methods (acid–base titration, flame atomic absorption spectrometry, and ion chromatography), drinking water quality index (WQI), irrigation indices, and health risk assessment models, using 19 water quality parameters. This multi-method approach enhances the robustness and accuracy of the assessment, providing valuable insights for decision-makers and stakeholders. The results revealed that means of the majority of water quality parameters, such as pH (7.64), electrical conductivity (830.13 μScm–1), total dissolved solids (562.83 mgL–1), as well as various anions, and cations, were in line with drinking water norms. However, the water quality index (WQI) predominantly indicated poor drinking water quality (range = 51–75) at 50% sites, followed by good quality (range = 26–50) at 37% of the sites, with 10% of the sites exhibiting very poor quality (range = 76–100). For irrigation purposes, indices such as sodium percent (mean = 31.37%), sodium adsorption ratio (mean = 0.98 meqL–1), residual sodium carbonate (– 3.15 meqL–1), Kelley’s index (mean = 0.49), and permeability (mean = 49.11%) indicated suitability without immediate treatment. However, the magnesium hazard (mean = 46.11%) and potential salinity (mean = 3.93) demonstrated that prolonged application of groundwater for irrigation needs soil management to avoid soil compaction and salinity. Water samples exhibit characteristics of medium salinity and low alkalinity (C2S1) as well as high salinity and low alkalinity (C3S1) categories. The Gibbs diagram results revealed that rock weathering, including silicate weathering and cation exchange, is the primary factor governing t…","author":[{"dropping-particle":"","family":"Jadoon","given":"Waqar Azeem","non-dropping-particle":"","parse-names":false,"suffix":""},{"dropping-particle":"","family":"Zaheer","given":"Muhammad","non-dropping-particle":"","parse-names":false,"suffix":""},{"dropping-particle":"","family":"Tariq","given":"Abdul","non-dropping-particle":"","parse-names":false,"suffix":""},{"dropping-particle":"","family":"Sajjad","given":"Raja Umer","non-dropping-particle":"","parse-names":false,"suffix":""},{"dropping-particle":"","family":"Varol","given":"Memet","non-dropping-particle":"","parse-names":false,"suffix":""}],"container-title":"Environmental Science and Pollution Research","id":"ITEM-3","issue":"31","issued":{"date-parts":[["2024"]]},"page":"43967-43986","title":"Assessment of hydrochemical characteristics, health risks and quality of groundwater for drinking and irrigation purposes in a mountainous region of Pakistan","type":"article-journal","volume":"31"},"uris":["http://www.mendeley.com/documents/?uuid=0147ca74-41c2-47d4-a5cf-729083e64e31"]},{"id":"ITEM-4","itemData":{"DOI":"10.3390/su162410928","ISSN":"20711050","abstract":"Groundwater is essential for water resources, serving as a key drinking source in China. It supports daily needs for urban and rural residents, aids development, and maintains ecological balance. This study conducted a sampling survey of groundwater in the Wen River basin (WRB), assessing hydrochemical features, genesis mechanisms, water quality, and health risks. The findings reveal that groundwater in the WRB is weakly alkaline, with an average total dissolved solids (TDS) concentration of 755.24 mg/L. Freshwater constitutes approximately 81.48% of the groundwater, with the following order of concentration for cations: Ca2+ &gt; Na+ &gt; Mg2+ &gt; K+, and for anions: HCO3− &gt; SO42− &gt; NO3− &gt; Cl−. The predominant hydrochemical types are SO4·Cl-Ca·Mg and HCO3-Ca·Mg. The chemical composition of the groundwater is primarily influenced by silicate rock weathering, dissolution processes, cation exchange, and human activities. The average Environmental Water Quality Index (EWQI) value of 74.65 for the WRB signifies that the overall quality of the groundwater is quite good, indicating that the majority of the groundwater is suitable for drinking purposes. Notably, the inferior quality water is predominantly found downstream of the Wen River. Calculations of the sodium adsorption ratio (SAR), residual sodium carbonate (RSC), and percentage of sodium (%Na) indicate that groundwater at most sampling points is suitable for irrigation. Furthermore, the human health risk assessment (HRA) reveals that oral intake presents a greater health risk to individuals than dermal contact. The mean Hazard Index (HI) for children is 3.24, with a staggering 79.89% of non-carcinogenic health risk (NHR) values surpassing the acceptable standards. For adults, the mean HI is 1.39, with 53.44% of NHR values exceeding the standards. These data indicate that children are more susceptible to health risks than adults and that the midstream and downstream of the river exhibit higher health risks compared to the upper reaches. These findings can provide critical data for groundwater quality assessment and risk management in the WRB and offer guidance for future groundwater resource management and pollution control efforts.","author":[{"dropping-particle":"","family":"Tan","given":"Menghan","non-dropping-particle":"","parse-names":false,"suffix":""},{"dropping-particle":"","family":"Gao","given":"Zongjun","non-dropping-particle":"","parse-names":false,"suffix":""},{"dropping-particle":"","family":"Jiang","given":"Bing","non-dropping-particle":"","parse-names":false,"suffix":""}],"container-title":"Sustainability (Switzerland)","id":"ITEM-4","issue":"24","issued":{"date-parts":[["2024"]]},"page":"), 10928. [","title":"Comprehensive Assessment of Groundwater Hydrochemistry, Driving Forces, Water Quality, and Associated Health Hazards in the Wen River Basin, Northern China","type":"article-journal","volume":"16"},"uris":["http://www.mendeley.com/documents/?uuid=7720c25c-522d-4a48-a236-af0b46155ba7"]}],"mendeley":{"formattedCitation":"&lt;sup&gt;18–21&lt;/sup&gt;","plainTextFormattedCitation":"18–21","previouslyFormattedCitation":"&lt;sup&gt;18–21&lt;/sup&gt;"},"properties":{"noteIndex":0},"schema":"https://github.com/citation-style-language/schema/raw/master/csl-citation.json"}</w:instrText>
      </w:r>
      <w:r w:rsidR="00AD1994" w:rsidRPr="00381924">
        <w:fldChar w:fldCharType="separate"/>
      </w:r>
      <w:r w:rsidR="0071152F" w:rsidRPr="0071152F">
        <w:rPr>
          <w:noProof/>
          <w:vertAlign w:val="superscript"/>
        </w:rPr>
        <w:t>18–21</w:t>
      </w:r>
      <w:r w:rsidR="00AD1994" w:rsidRPr="00381924">
        <w:fldChar w:fldCharType="end"/>
      </w:r>
      <w:r w:rsidRPr="00381924">
        <w:t xml:space="preserve">. </w:t>
      </w:r>
      <w:r w:rsidR="00BE7C67" w:rsidRPr="00381924">
        <w:t xml:space="preserve">However, these frameworks are typically stacked rather than structurally coupled. Process discovery is conducted in conventional hydrochemical space using Piper diagrams, raw-ion correlations, and standard multivariate methods. Downstream risk and suitability modelling then proceeds without formally importing the compositional structure identified in the preceding step. </w:t>
      </w:r>
      <w:r w:rsidRPr="00381924">
        <w:t xml:space="preserve">Reviews of groundwater quality assessment and groundwater pollution analytics consistently identify the absence of a single architecture linking compositional process discovery to uncertainty-aware decision modelling as an outstanding methodological gap </w:t>
      </w:r>
      <w:r w:rsidR="00F77F39" w:rsidRPr="00381924">
        <w:fldChar w:fldCharType="begin" w:fldLock="1"/>
      </w:r>
      <w:r w:rsidR="00035024">
        <w:instrText>ADDIN CSL_CITATION {"citationItems":[{"id":"ITEM-1","itemData":{"DOI":"10.1080/03067319.2021.1982922","ISSN":"10290397","abstract":"Quality of groundwater plays a vital role in the protection and sustainable development of a country, which also reflects on the human health. Groundwater in the industrial zone of arid and semi-arid regions contains more minerals such as calcium, magnesium, sodium, potassium and contains excess concentrations of heavy metals, namely As, Ni, Cu, Cd, Cr, etc., which can cause carcinogenic and non-carcinogenic risk for health. The present review aims to assess the source of contamination of groundwater, health effects and novel technique to evaluate the risk due to carcinogenic and non-carcinogenic factors, which cause cancer and serious health effects in human. The effective tools namely geographical information system (GIS) and AMOS software were used to determine the spatial distribution of various minerals and to perform statistical analysis of groundwater parameters. In addition, the study reveals the water quality assessment indices developed over the years and its applicability in various environmental conditions and it also reveals the effectiveness of integrated method analysis of GIS and AMOS in the field of water resources management. This review detailed about the temporary solution for reducing heavy metals in groundwater, such as reverse osmosis, ion exchanged activated alumina, activated carbon, distillation and nanoparticle filtration to treat the contaminated groundwater in the arid and semi-arid regions.","author":[{"dropping-particle":"","family":"Rajendran","given":"Gopinath","non-dropping-particle":"","parse-names":false,"suffix":""},{"dropping-particle":"","family":"Rooby","given":"Jessy","non-dropping-particle":"","parse-names":false,"suffix":""},{"dropping-particle":"","family":"Govindan","given":"Venkatesan","non-dropping-particle":"","parse-names":false,"suffix":""}],"container-title":"International Journal of Environmental Analytical Chemistry","id":"ITEM-1","issue":"19","issued":{"date-parts":[["2023"]]},"page":"8110-8128","title":"Influence of groundwater quality on human health and its suitability for drinking and irrigation uses: a review","type":"article-journal","volume":"103"},"uris":["http://www.mendeley.com/documents/?uuid=599d705d-2bfe-4149-b8b3-8a4acc8ef237"]},{"id":"ITEM-2","itemData":{"DOI":"10.1016/j.envres.2024.120683","ISSN":"10960953","PMID":"39710236","abstract":"Groundwater pollution has become a global challenge, posing significant threats to human health and ecological environments. Machine learning, with its superior ability to capture non-linear relationships in data, has shown significant potential in addressing groundwater pollution issues. This review presents a comprehensive bibliometric analysis of 1462 articles published between 2000 and 2023, offering an overview of the current state of research, analyzing development trends, and suggesting future directions. The analysis reveals a growing trend in publications over the 24-year period, with a sharp expansion since 2020. China, the USA, India, and Iran are identified as the leading contributors to publications and citations, with prominent institutions such as Jilin University, the United States Geological Survey, and the University of Tabriz. Moreover, keyword frequency analysis indicates that principal component analysis (PCA) is the most commonly used method, followed by artificial neural network (ANN) and hierarchical clustering analysis (HCA). The most studied groundwater pollutants include nitrate, arsenic, heavy metals, and fluoride. As machine learning has rapidly advanced, research focuses have evolved from fundamental tasks like hydrochemical evolution analysis, water quality index evaluation, and groundwater vulnerability assessments to more complex issues, such as pollutant concentration prediction, pollution risk assessment, and pollution source identification. Despite these advances, challenges related to data quality, data scarcity, model generalization, and interpretability remain. Future research should prioritize data sharing, improving model interpretability, broadening research horizons and advancing theory-guided machine learning. These will enhance our understanding of groundwater pollution mechanisms, and ultimately facilitate more effective pollution control and remediation strategies. In summary, this review provides valuable insights and suggestions for researchers and policymakers working in this critical field.","author":[{"dropping-particle":"","family":"Li","given":"Xuan","non-dropping-particle":"","parse-names":false,"suffix":""},{"dropping-particle":"","family":"Liang","given":"Guohua","non-dropping-particle":"","parse-names":false,"suffix":""},{"dropping-particle":"","family":"He","given":"Bin","non-dropping-particle":"","parse-names":false,"suffix":""},{"dropping-particle":"","family":"Ning","given":"Yawei","non-dropping-particle":"","parse-names":false,"suffix":""},{"dropping-particle":"","family":"Yang","given":"Yuesuo","non-dropping-particle":"","parse-names":false,"suffix":""},{"dropping-particle":"","family":"Wang","given":"Lei","non-dropping-particle":"","parse-names":false,"suffix":""},{"dropping-particle":"","family":"Wang","given":"Guoli","non-dropping-particle":"","parse-names":false,"suffix":""}],"container-title":"Environmental Research","id":"ITEM-2","issued":{"date-parts":[["2025"]]},"title":"Recent advances in groundwater pollution research using machine learning from 2000 to 2023: A bibliometric analysis","type":"article-journal","volume":"267"},"uris":["http://www.mendeley.com/documents/?uuid=3c1bc75f-c229-46fc-b788-1c8648e45fee"]},{"id":"ITEM-3","itemData":{"DOI":"10.21523/gcj3.2025090103","abstract":"Groundwater quality assessment is crucial for providing safe drinking water and supportive sustainable irrigation, especially in areas facing water scarcity and contamination risks. This review analyses 45 studies that used different techniques to evaluate groundwater quality in varied hydrogeological settings. The main objectives are to: 1) identify common assessment methods 2) examine their applications for drinking and irrigation purposes, and 3) highlight gaps and future directions. The findings show that most studies focus on physiochemical parameters such as pH, Electrical Conductivity (EC), Total Dissolved Solids (TDS), Total Hardness (TH), and major ions like Ca²⁺, Mg²⁺, Na⁺, K⁺, Cl⁻, HCO₃⁻, SO₄²⁻, NO₃⁻, and F⁻, as they strongly influence the water usability. The water quality index (WQI) is the most widely applied method, used in about 93% of studies, because it combines multiple parameters into a single value for drinking suitability. Hydrochemical classification methods like Piper Diagram (84%) and Gibbs Diagram (62%) are also common for identifying water types and geochemical process. For irrigation, indices such as Sodium Adsorption Ratio (SAR) (60 %), Residual Sodium Carbonate (RSC), Magnesium Hazard (MH) (27%), Permeability Index (PI) (31%), Kelly’s Ratio (KR) (24%), and graphical tools like the Wilcox Diagram (40%) are frequently used. Advance statistical methods, including Principal Components Analysis (PCA) and cluster analysis, along with GIS and Remote Sensing are increasingly applied for spatial mapping and source identification. The synthesis indicates that while traditional hydrochemical and index-based methods dominate groundwater quality evaluation, significant research gaps persist in the integration of emerging contaminants, real-time monitoring, and machine learning-based prediction models. Future studies should adopt hybrid frameworks combining chemical, biological, and spatial datasets to improve groundwater quality forecasting and resource management. The findings of this review provide a consolidated reference for developing standardized, data-driven approaches for groundwater quality assessment and sustainable utilization.","author":[{"dropping-particle":"","family":"Aware","given":"Sonali","non-dropping-particle":"","parse-names":false,"suffix":""},{"dropping-particle":"","family":"Zolekar","given":"Rajendra","non-dropping-particle":"","parse-names":false,"suffix":""},{"dropping-particle":"","family":"Kasar","given":"Snehal","non-dropping-particle":"","parse-names":false,"suffix":""}],"container-title":"Hydrospatial Analysis","id":"ITEM-3","issue":"9","issued":{"date-parts":[["2025"]]},"page":"20","title":"Techniques and Indices for Groundwater Quality Assessment: A Comprehensive Review","type":"article-journal","volume":"1"},"uris":["http://www.mendeley.com/documents/?uuid=690f875a-71a4-4ed5-a0e8-e151e86d68c5"]}],"mendeley":{"formattedCitation":"&lt;sup&gt;22–24&lt;/sup&gt;","plainTextFormattedCitation":"22–24","previouslyFormattedCitation":"&lt;sup&gt;22–24&lt;/sup&gt;"},"properties":{"noteIndex":0},"schema":"https://github.com/citation-style-language/schema/raw/master/csl-citation.json"}</w:instrText>
      </w:r>
      <w:r w:rsidR="00F77F39" w:rsidRPr="00381924">
        <w:fldChar w:fldCharType="separate"/>
      </w:r>
      <w:r w:rsidR="0071152F" w:rsidRPr="0071152F">
        <w:rPr>
          <w:noProof/>
          <w:vertAlign w:val="superscript"/>
        </w:rPr>
        <w:t>22–24</w:t>
      </w:r>
      <w:r w:rsidR="00F77F39" w:rsidRPr="00381924">
        <w:fldChar w:fldCharType="end"/>
      </w:r>
      <w:r w:rsidRPr="00381924">
        <w:t xml:space="preserve">. </w:t>
      </w:r>
      <w:r w:rsidR="006F361D" w:rsidRPr="00381924">
        <w:t xml:space="preserve">Reviews of groundwater quality assessment and groundwater pollution analytics consistently identify the absence of a single architecture linking compositional process discovery to uncertainty-aware decision modelling as an outstanding methodological gap </w:t>
      </w:r>
      <w:r w:rsidR="006F361D" w:rsidRPr="00381924">
        <w:fldChar w:fldCharType="begin" w:fldLock="1"/>
      </w:r>
      <w:r w:rsidR="00035024">
        <w:instrText>ADDIN CSL_CITATION {"citationItems":[{"id":"ITEM-1","itemData":{"DOI":"10.1080/03067319.2021.1982922","ISSN":"10290397","abstract":"Quality of groundwater plays a vital role in the protection and sustainable development of a country, which also reflects on the human health. Groundwater in the industrial zone of arid and semi-arid regions contains more minerals such as calcium, magnesium, sodium, potassium and contains excess concentrations of heavy metals, namely As, Ni, Cu, Cd, Cr, etc., which can cause carcinogenic and non-carcinogenic risk for health. The present review aims to assess the source of contamination of groundwater, health effects and novel technique to evaluate the risk due to carcinogenic and non-carcinogenic factors, which cause cancer and serious health effects in human. The effective tools namely geographical information system (GIS) and AMOS software were used to determine the spatial distribution of various minerals and to perform statistical analysis of groundwater parameters. In addition, the study reveals the water quality assessment indices developed over the years and its applicability in various environmental conditions and it also reveals the effectiveness of integrated method analysis of GIS and AMOS in the field of water resources management. This review detailed about the temporary solution for reducing heavy metals in groundwater, such as reverse osmosis, ion exchanged activated alumina, activated carbon, distillation and nanoparticle filtration to treat the contaminated groundwater in the arid and semi-arid regions.","author":[{"dropping-particle":"","family":"Rajendran","given":"Gopinath","non-dropping-particle":"","parse-names":false,"suffix":""},{"dropping-particle":"","family":"Rooby","given":"Jessy","non-dropping-particle":"","parse-names":false,"suffix":""},{"dropping-particle":"","family":"Govindan","given":"Venkatesan","non-dropping-particle":"","parse-names":false,"suffix":""}],"container-title":"International Journal of Environmental Analytical Chemistry","id":"ITEM-1","issue":"19","issued":{"date-parts":[["2023"]]},"page":"8110-8128","title":"Influence of groundwater quality on human health and its suitability for drinking and irrigation uses: a review","type":"article-journal","volume":"103"},"uris":["http://www.mendeley.com/documents/?uuid=599d705d-2bfe-4149-b8b3-8a4acc8ef237"]},{"id":"ITEM-2","itemData":{"DOI":"10.1016/j.envres.2024.120683","ISSN":"10960953","PMID":"39710236","abstract":"Groundwater pollution has become a global challenge, posing significant threats to human health and ecological environments. Machine learning, with its superior ability to capture non-linear relationships in data, has shown significant potential in addressing groundwater pollution issues. This review presents a comprehensive bibliometric analysis of 1462 articles published between 2000 and 2023, offering an overview of the current state of research, analyzing development trends, and suggesting future directions. The analysis reveals a growing trend in publications over the 24-year period, with a sharp expansion since 2020. China, the USA, India, and Iran are identified as the leading contributors to publications and citations, with prominent institutions such as Jilin University, the United States Geological Survey, and the University of Tabriz. Moreover, keyword frequency analysis indicates that principal component analysis (PCA) is the most commonly used method, followed by artificial neural network (ANN) and hierarchical clustering analysis (HCA). The most studied groundwater pollutants include nitrate, arsenic, heavy metals, and fluoride. As machine learning has rapidly advanced, research focuses have evolved from fundamental tasks like hydrochemical evolution analysis, water quality index evaluation, and groundwater vulnerability assessments to more complex issues, such as pollutant concentration prediction, pollution risk assessment, and pollution source identification. Despite these advances, challenges related to data quality, data scarcity, model generalization, and interpretability remain. Future research should prioritize data sharing, improving model interpretability, broadening research horizons and advancing theory-guided machine learning. These will enhance our understanding of groundwater pollution mechanisms, and ultimately facilitate more effective pollution control and remediation strategies. In summary, this review provides valuable insights and suggestions for researchers and policymakers working in this critical field.","author":[{"dropping-particle":"","family":"Li","given":"Xuan","non-dropping-particle":"","parse-names":false,"suffix":""},{"dropping-particle":"","family":"Liang","given":"Guohua","non-dropping-particle":"","parse-names":false,"suffix":""},{"dropping-particle":"","family":"He","given":"Bin","non-dropping-particle":"","parse-names":false,"suffix":""},{"dropping-particle":"","family":"Ning","given":"Yawei","non-dropping-particle":"","parse-names":false,"suffix":""},{"dropping-particle":"","family":"Yang","given":"Yuesuo","non-dropping-particle":"","parse-names":false,"suffix":""},{"dropping-particle":"","family":"Wang","given":"Lei","non-dropping-particle":"","parse-names":false,"suffix":""},{"dropping-particle":"","family":"Wang","given":"Guoli","non-dropping-particle":"","parse-names":false,"suffix":""}],"container-title":"Environmental Research","id":"ITEM-2","issued":{"date-parts":[["2025"]]},"title":"Recent advances in groundwater pollution research using machine learning from 2000 to 2023: A bibliometric analysis","type":"article-journal","volume":"267"},"uris":["http://www.mendeley.com/documents/?uuid=3c1bc75f-c229-46fc-b788-1c8648e45fee"]},{"id":"ITEM-3","itemData":{"DOI":"10.21523/gcj3.2025090103","abstract":"Groundwater quality assessment is crucial for providing safe drinking water and supportive sustainable irrigation, especially in areas facing water scarcity and contamination risks. This review analyses 45 studies that used different techniques to evaluate groundwater quality in varied hydrogeological settings. The main objectives are to: 1) identify common assessment methods 2) examine their applications for drinking and irrigation purposes, and 3) highlight gaps and future directions. The findings show that most studies focus on physiochemical parameters such as pH, Electrical Conductivity (EC), Total Dissolved Solids (TDS), Total Hardness (TH), and major ions like Ca²⁺, Mg²⁺, Na⁺, K⁺, Cl⁻, HCO₃⁻, SO₄²⁻, NO₃⁻, and F⁻, as they strongly influence the water usability. The water quality index (WQI) is the most widely applied method, used in about 93% of studies, because it combines multiple parameters into a single value for drinking suitability. Hydrochemical classification methods like Piper Diagram (84%) and Gibbs Diagram (62%) are also common for identifying water types and geochemical process. For irrigation, indices such as Sodium Adsorption Ratio (SAR) (60 %), Residual Sodium Carbonate (RSC), Magnesium Hazard (MH) (27%), Permeability Index (PI) (31%), Kelly’s Ratio (KR) (24%), and graphical tools like the Wilcox Diagram (40%) are frequently used. Advance statistical methods, including Principal Components Analysis (PCA) and cluster analysis, along with GIS and Remote Sensing are increasingly applied for spatial mapping and source identification. The synthesis indicates that while traditional hydrochemical and index-based methods dominate groundwater quality evaluation, significant research gaps persist in the integration of emerging contaminants, real-time monitoring, and machine learning-based prediction models. Future studies should adopt hybrid frameworks combining chemical, biological, and spatial datasets to improve groundwater quality forecasting and resource management. The findings of this review provide a consolidated reference for developing standardized, data-driven approaches for groundwater quality assessment and sustainable utilization.","author":[{"dropping-particle":"","family":"Aware","given":"Sonali","non-dropping-particle":"","parse-names":false,"suffix":""},{"dropping-particle":"","family":"Zolekar","given":"Rajendra","non-dropping-particle":"","parse-names":false,"suffix":""},{"dropping-particle":"","family":"Kasar","given":"Snehal","non-dropping-particle":"","parse-names":false,"suffix":""}],"container-title":"Hydrospatial Analysis","id":"ITEM-3","issue":"9","issued":{"date-parts":[["2025"]]},"page":"20","title":"Techniques and Indices for Groundwater Quality Assessment: A Comprehensive Review","type":"article-journal","volume":"1"},"uris":["http://www.mendeley.com/documents/?uuid=690f875a-71a4-4ed5-a0e8-e151e86d68c5"]}],"mendeley":{"formattedCitation":"&lt;sup&gt;22–24&lt;/sup&gt;","plainTextFormattedCitation":"22–24","previouslyFormattedCitation":"&lt;sup&gt;22–24&lt;/sup&gt;"},"properties":{"noteIndex":0},"schema":"https://github.com/citation-style-language/schema/raw/master/csl-citation.json"}</w:instrText>
      </w:r>
      <w:r w:rsidR="006F361D" w:rsidRPr="00381924">
        <w:fldChar w:fldCharType="separate"/>
      </w:r>
      <w:r w:rsidR="0071152F" w:rsidRPr="0071152F">
        <w:rPr>
          <w:noProof/>
          <w:vertAlign w:val="superscript"/>
        </w:rPr>
        <w:t>22–24</w:t>
      </w:r>
      <w:r w:rsidR="006F361D" w:rsidRPr="00381924">
        <w:fldChar w:fldCharType="end"/>
      </w:r>
      <w:r w:rsidR="006F361D" w:rsidRPr="00381924">
        <w:t xml:space="preserve">. The practical consequence of this uncoupled approach is that downstream management decisions are often based on distorted driver profiles. For example, applying conventional regression or Euclidean indexing to raw closed-sum major ions can produce spurious correlations where a harmless ion appears as a primary pollution driver simply due to the dilution of a genuine contaminant. If this flawed compositional structure is fed blindly into a health-risk or suitability model, regulators risk misdirecting limited remediation resources toward the wrong hydrochemical target. </w:t>
      </w:r>
      <w:r w:rsidRPr="00381924">
        <w:t xml:space="preserve">A further fragmentation is evident within the advanced-method literature itself: ILR-based compositional data analysis, fuzzy and neutrosophic water quality indexing, Bayesian driver modelling, and probabilistic health-risk assessment have each been developed in largely separate research streams, with few studies integrating all four into one reproducible workflow </w:t>
      </w:r>
      <w:r w:rsidR="000F712A" w:rsidRPr="00381924">
        <w:fldChar w:fldCharType="begin" w:fldLock="1"/>
      </w:r>
      <w:r w:rsidR="00035024">
        <w:instrText>ADDIN CSL_CITATION {"citationItems":[{"id":"ITEM-1","itemData":{"DOI":"10.21523/gcj3.2025090103","abstract":"Groundwater quality assessment is crucial for providing safe drinking water and supportive sustainable irrigation, especially in areas facing water scarcity and contamination risks. This review analyses 45 studies that used different techniques to evaluate groundwater quality in varied hydrogeological settings. The main objectives are to: 1) identify common assessment methods 2) examine their applications for drinking and irrigation purposes, and 3) highlight gaps and future directions. The findings show that most studies focus on physiochemical parameters such as pH, Electrical Conductivity (EC), Total Dissolved Solids (TDS), Total Hardness (TH), and major ions like Ca²⁺, Mg²⁺, Na⁺, K⁺, Cl⁻, HCO₃⁻, SO₄²⁻, NO₃⁻, and F⁻, as they strongly influence the water usability. The water quality index (WQI) is the most widely applied method, used in about 93% of studies, because it combines multiple parameters into a single value for drinking suitability. Hydrochemical classification methods like Piper Diagram (84%) and Gibbs Diagram (62%) are also common for identifying water types and geochemical process. For irrigation, indices such as Sodium Adsorption Ratio (SAR) (60 %), Residual Sodium Carbonate (RSC), Magnesium Hazard (MH) (27%), Permeability Index (PI) (31%), Kelly’s Ratio (KR) (24%), and graphical tools like the Wilcox Diagram (40%) are frequently used. Advance statistical methods, including Principal Components Analysis (PCA) and cluster analysis, along with GIS and Remote Sensing are increasingly applied for spatial mapping and source identification. The synthesis indicates that while traditional hydrochemical and index-based methods dominate groundwater quality evaluation, significant research gaps persist in the integration of emerging contaminants, real-time monitoring, and machine learning-based prediction models. Future studies should adopt hybrid frameworks combining chemical, biological, and spatial datasets to improve groundwater quality forecasting and resource management. The findings of this review provide a consolidated reference for developing standardized, data-driven approaches for groundwater quality assessment and sustainable utilization.","author":[{"dropping-particle":"","family":"Aware","given":"Sonali","non-dropping-particle":"","parse-names":false,"suffix":""},{"dropping-particle":"","family":"Zolekar","given":"Rajendra","non-dropping-particle":"","parse-names":false,"suffix":""},{"dropping-particle":"","family":"Kasar","given":"Snehal","non-dropping-particle":"","parse-names":false,"suffix":""}],"container-title":"Hydrospatial Analysis","id":"ITEM-1","issue":"9","issued":{"date-parts":[["2025"]]},"page":"20","title":"Techniques and Indices for Groundwater Quality Assessment: A Comprehensive Review","type":"article-journal","volume":"1"},"uris":["http://www.mendeley.com/documents/?uuid=690f875a-71a4-4ed5-a0e8-e151e86d68c5"]},{"id":"ITEM-2","itemData":{"DOI":"10.3390/w14152447","ISSN":"20734441","abstract":"The identification of groundwater contamination source parameters is an important prerequisite for the control and risk assessment of groundwater contamination. This study developed an innovative approach for the optimal design of observation well locations and the high-precision identification of groundwater contamination source parameters. The approach involves Bayesian theory and integrates Markov Chain Monte Carlo, Bayesian design, information entropy, machine learning, and surrogate modeling. The optimal observation well locations are determined by information entropy, which is adopted to mine valuable information about unknown groundwater contamination source parameters from measurements of contaminant concentration according to Bayesian design. After determining the optimal observation well locations, the identification of groundwater contamination source parameters is implemented through a Bayesian-based Differential Evolution Adaptive Metropolis with Discrete Sampling–Markov Chain Monte Carlo approach. However, the processes of both determination and identification are time-consuming because the original simulation model (that is, the contaminant transport model) needs to be invoked multiple times. To overcome this challenge, a machine learning approach, that is, Multi-layer Perceptron, is used to build a surrogate model for the original simulation model, which can greatly accelerate the determination and identification processes. Finally, two hypothetical numerical case studies involving homogeneous and heterogeneous cases are used to verify the performance of the proposed approach. The results show that the optimal design of observation well locations and high-precision identification of groundwater contamination source parameters can be implemented accurately and effectively by using the proposed approach. In summary, this study highlights that the integrated Bayesian and machine learning approach provides a promising solution for high-precision identification of groundwater contamination source parameters.","author":[{"dropping-particle":"","family":"An","given":"Yongkai","non-dropping-particle":"","parse-names":false,"suffix":""},{"dropping-particle":"","family":"Zhang","given":"Yanxiang","non-dropping-particle":"","parse-names":false,"suffix":""},{"dropping-particle":"","family":"Yan","given":"Xueman","non-dropping-particle":"","parse-names":false,"suffix":""}],"container-title":"Water (Switzerland)","id":"ITEM-2","issue":"15","issued":{"date-parts":[["2022","8","7"]]},"page":"), 2447. [","title":"An Integrated Bayesian and Machine Learning Approach Application to Identification of Groundwater Contamination Source Parameters","type":"article-journal","volume":"14"},"uris":["http://www.mendeley.com/documents/?uuid=1c5e00bc-1e86-4f89-a167-489b5668b5ff"]},{"id":"ITEM-3","itemData":{"DOI":"10.1038/s41598-024-63178-6","ISSN":"20452322","PMID":"38806627","abstract":"This study introduces a novel groundwater pollution index (GPI) formulated through compositional data analysis (CoDa) and robust principal component analysis (RPCA) to enhance groundwater quality assessment. Using groundwater quality monitoring data from sites impacted by the 2010–2011 foot-and-mouth disease outbreak in South Korea, CoDa uncovers critical hydrochemical differences between leachate-influenced and background groundwater. The GPI was developed by selecting key subcompositional parts (NH4+-N, Cl-, and NO3--N) using RPCA, performing the isometric log-ratio (ILR) transformation, and normalizing the results to environmental standards, thereby providing a more precise and accurate assessment of pollution. Validated against government criteria, the GPI has shown its potential as an alternative assessment tool, with its reliability confirmed by receiver operating characteristic curve analysis. This study highlights the essential role of CoDa, especially the ILR -transformation, in overcoming the limitations of traditional statistical methods that often neglect the relative nature of hydrochemical data. Our results emphasize the utility of the GPI in significantly advancing groundwater quality monitoring and management by addressing a methodological gap in the quantitative assessment of groundwater pollution.","author":[{"dropping-particle":"","family":"Oh","given":"Junseop","non-dropping-particle":"","parse-names":false,"suffix":""},{"dropping-particle":"","family":"Kim","given":"Kyoung Ho","non-dropping-particle":"","parse-names":false,"suffix":""},{"dropping-particle":"","family":"Kim","given":"Ho Rim","non-dropping-particle":"","parse-names":false,"suffix":""},{"dropping-particle":"","family":"Park","given":"Sunhwa","non-dropping-particle":"","parse-names":false,"suffix":""},{"dropping-particle":"","family":"Yun","given":"Seong Taek","non-dropping-particle":"","parse-names":false,"suffix":""}],"container-title":"Scientific Reports","id":"ITEM-3","issue":"1","issued":{"date-parts":[["2024","5","28"]]},"page":". [","title":"Using isometric log-ratio in compositional data analysis for developing a groundwater pollution index","type":"article-journal","volume":"14"},"uris":["http://www.mendeley.com/documents/?uuid=71a23dc9-ad11-4ec1-82ed-17ec70275170"]},{"id":"ITEM-4","itemData":{"DOI":"10.1016/j.watres.2023.120379","ISSN":"18792448","PMID":"37516079","abstract":"Excessive amounts of fluoride (F−) and nitrate (NO3−) in groundwater pose a significant threat to human health. However, a quantitative approach to assessing the human health risks caused by these harmful substances is lacking. To optimize the probabilistic assessment process for human health risk (HHR), this study introduced kernel density estimation (KDE) into the stochastic simulation of F− and NO3− content in groundwater samples. The potential HHRs caused by F− and NO3− in Songyuan City were summarized by combining the probabilistic and deterministic assessments. This study found that the concentrations of F− and NO3− did not follow common probability density functions (PDFs), but the KDE method passed the Kolmogorov–Smirnov test with the critical value of 0.067 and 0.062, showing high fitting accuracy. Monte Carlo simulation indicated that the probability of NO3− for children and adult exceeding the standard is 21.95% and 15.14%, respectively, which is comparable with the results of the deterministic assessment, but the probabilistic assessment emphasized lower probability of HHRs in children caused by excess F−(4.14%). Global sensitivity analysis revealed that excessive NO3− in groundwater has the highest sensitivity of the HHR (&gt;0.1), followed by other factors representing water use habits (&gt;0.01). This study presents a refined probabilistic assessment method for HHR and provides a scientific reference for understanding the state of groundwater environments.","author":[{"dropping-particle":"","family":"Yan","given":"Jiaheng","non-dropping-particle":"","parse-names":false,"suffix":""},{"dropping-particle":"","family":"Chen","given":"Jiansheng","non-dropping-particle":"","parse-names":false,"suffix":""},{"dropping-particle":"","family":"Zhang","given":"Wenqing","non-dropping-particle":"","parse-names":false,"suffix":""}],"container-title":"Water Research","id":"ITEM-4","issued":{"date-parts":[["2023"]]},"page":". [","title":"A new probabilistic assessment process for human health risk (HHR) in groundwater with extensive fluoride and nitrate optimized by non parametric estimation method","type":"article-journal","volume":"243"},"uris":["http://www.mendeley.com/documents/?uuid=e500d07c-89cb-4a61-8f34-15e4e4f8f9de"]}],"mendeley":{"formattedCitation":"&lt;sup&gt;12,17,24,25&lt;/sup&gt;","plainTextFormattedCitation":"12,17,24,25","previouslyFormattedCitation":"&lt;sup&gt;12,17,24,25&lt;/sup&gt;"},"properties":{"noteIndex":0},"schema":"https://github.com/citation-style-language/schema/raw/master/csl-citation.json"}</w:instrText>
      </w:r>
      <w:r w:rsidR="000F712A" w:rsidRPr="00381924">
        <w:fldChar w:fldCharType="separate"/>
      </w:r>
      <w:r w:rsidR="0071152F" w:rsidRPr="0071152F">
        <w:rPr>
          <w:noProof/>
          <w:vertAlign w:val="superscript"/>
        </w:rPr>
        <w:t>12,17,24,25</w:t>
      </w:r>
      <w:r w:rsidR="000F712A" w:rsidRPr="00381924">
        <w:fldChar w:fldCharType="end"/>
      </w:r>
      <w:r w:rsidRPr="00381924">
        <w:t>.</w:t>
      </w:r>
    </w:p>
    <w:p w14:paraId="36638804" w14:textId="76260FDD" w:rsidR="001F607B" w:rsidRPr="00381924" w:rsidRDefault="005462F6" w:rsidP="004860E9">
      <w:pPr>
        <w:spacing w:line="360" w:lineRule="auto"/>
      </w:pPr>
      <w:r w:rsidRPr="00381924">
        <w:t xml:space="preserve">The present study addresses this gap through a dual-space compositional process framework applied to 34 groundwater samples from </w:t>
      </w:r>
      <w:proofErr w:type="spellStart"/>
      <w:r w:rsidRPr="00381924">
        <w:t>Karaga</w:t>
      </w:r>
      <w:proofErr w:type="spellEnd"/>
      <w:r w:rsidRPr="00381924">
        <w:t xml:space="preserve"> District, Ghana. While applying such an advanced statistical architecture to a restricted dataset presents inherent risks of overfitting, the selected methods are structurally designed to mitigate small-sample volatility. Specifically, bootstrapped neutrosophic variable importance stabilizes weight estimation across resamples, robust PCA guards against the disproportionate leverage of multivariate outliers, and the Bayesian horseshoe prior is </w:t>
      </w:r>
      <w:r w:rsidRPr="00381924">
        <w:lastRenderedPageBreak/>
        <w:t xml:space="preserve">mathematically optimized to extract sparse, informative signals even when the predictor block is large relative to the sample size. In process space, ILR-based compositional principal component analysis with parallel analysis eigenvalue retention and deterministic geochemical auditing is used to identify latent hydrochemical signatures without closure bias. </w:t>
      </w:r>
      <w:r w:rsidR="003B6AE4" w:rsidRPr="00381924">
        <w:t>In assessment space, a neutrosophic partial least squares groundwater quality index (NPLS-GWQI) with bootstrapped variable-importance-in-projection weighting is used to integrate water quality information. Bayesian horseshoe regression supports driver profiling for both NPLS-GWQI and fluoride. A hierarchical Bayesian multi-pathway risk assessment (HBMPRA) is applied to fluoride and nitrate across three demographic groups, while entropy-weighted neutrosophic irrigation suitability indexing (N-ISI) evaluates agricultural suitability. Together, these components provide an uncertainty-aware and demographically disaggregated decision layer.</w:t>
      </w:r>
    </w:p>
    <w:p w14:paraId="5D82C26C" w14:textId="29E1D61E" w:rsidR="001F607B" w:rsidRPr="00381924" w:rsidRDefault="00666402" w:rsidP="004860E9">
      <w:pPr>
        <w:spacing w:line="360" w:lineRule="auto"/>
      </w:pPr>
      <w:bookmarkStart w:id="6" w:name="objectives"/>
      <w:bookmarkEnd w:id="5"/>
      <w:r w:rsidRPr="00381924">
        <w:t>To operationalize this framework, the investigation is structured around five specific objectives: (</w:t>
      </w:r>
      <w:r w:rsidR="00BF573D" w:rsidRPr="00381924">
        <w:t xml:space="preserve">i) </w:t>
      </w:r>
      <w:r w:rsidR="003B6AE4" w:rsidRPr="00381924">
        <w:t>t</w:t>
      </w:r>
      <w:r w:rsidRPr="00381924">
        <w:t>o assess groundwater quality using a neutrosophic PLS-based groundwater quality index (NPLS-GWQI) with bootstrapped dynamic variable-importance-in-projection weighting and aesthetic–sensory sensitivity handling</w:t>
      </w:r>
      <w:r w:rsidR="003B6AE4" w:rsidRPr="00381924">
        <w:t>,</w:t>
      </w:r>
      <w:r w:rsidR="00BF573D" w:rsidRPr="00381924">
        <w:t xml:space="preserve"> (ii) </w:t>
      </w:r>
      <w:r w:rsidR="003B6AE4" w:rsidRPr="00381924">
        <w:t>t</w:t>
      </w:r>
      <w:r w:rsidRPr="00381924">
        <w:t>o identify latent hydrochemical signatures using ILR-PCA with parallel analysis and to interpret them against deterministic geochemical constraints</w:t>
      </w:r>
      <w:r w:rsidR="003B6AE4" w:rsidRPr="00381924">
        <w:t>,</w:t>
      </w:r>
      <w:r w:rsidR="00396398" w:rsidRPr="00381924">
        <w:t xml:space="preserve"> (i</w:t>
      </w:r>
      <w:r w:rsidR="00E5504D" w:rsidRPr="00381924">
        <w:t>ii</w:t>
      </w:r>
      <w:r w:rsidR="00396398" w:rsidRPr="00381924">
        <w:t xml:space="preserve">) </w:t>
      </w:r>
      <w:r w:rsidR="003B6AE4" w:rsidRPr="00381924">
        <w:t>t</w:t>
      </w:r>
      <w:r w:rsidR="003B2C5A" w:rsidRPr="00381924">
        <w:t>o profile the relative hydrochemical drivers of NPLS-GWQI and fluoride using Bayesian horseshoe regression on an augmented predictor block. The horseshoe prior is specifically adopted here to aggressively shrink background noise and handle high dimensionality, ensuring that driver profiling remains mathematically robust and testable despite the restricted sample size, with supplementary sparse-PLS comparator diagnostics applied for validation</w:t>
      </w:r>
      <w:r w:rsidR="003B6AE4" w:rsidRPr="00381924">
        <w:t>,</w:t>
      </w:r>
      <w:r w:rsidR="00396398" w:rsidRPr="00381924">
        <w:t xml:space="preserve"> (</w:t>
      </w:r>
      <w:r w:rsidR="00E5504D" w:rsidRPr="00381924">
        <w:t>i</w:t>
      </w:r>
      <w:r w:rsidR="00396398" w:rsidRPr="00381924">
        <w:t xml:space="preserve">v) </w:t>
      </w:r>
      <w:r w:rsidR="003B6AE4" w:rsidRPr="00381924">
        <w:t>t</w:t>
      </w:r>
      <w:r w:rsidRPr="00381924">
        <w:t>o estimate deterministic and Bayesian non-carcinogenic health risk for fluoride and nitrate across three demographic groups</w:t>
      </w:r>
      <w:r w:rsidR="007B7568" w:rsidRPr="00381924">
        <w:t xml:space="preserve">: </w:t>
      </w:r>
      <w:r w:rsidRPr="00381924">
        <w:t>Adults, Children, and Teens</w:t>
      </w:r>
      <w:r w:rsidR="007B7568" w:rsidRPr="00381924">
        <w:t xml:space="preserve">, </w:t>
      </w:r>
      <w:r w:rsidRPr="00381924">
        <w:t>with uncertainty characterised through posterior distributions and exceedance probabilities</w:t>
      </w:r>
      <w:r w:rsidR="003B6AE4" w:rsidRPr="00381924">
        <w:t>, and</w:t>
      </w:r>
      <w:r w:rsidR="00396398" w:rsidRPr="00381924">
        <w:t xml:space="preserve"> (v) </w:t>
      </w:r>
      <w:r w:rsidR="003B6AE4" w:rsidRPr="00381924">
        <w:t>t</w:t>
      </w:r>
      <w:r w:rsidRPr="00381924">
        <w:t>o evaluate irrigation suitability through entropy-weighted neutrosophic irrigation suitability indexing (N-ISI) derived from seven standard irrigation quality parameters</w:t>
      </w:r>
      <w:r w:rsidR="00396398" w:rsidRPr="00381924">
        <w:t>.</w:t>
      </w:r>
    </w:p>
    <w:p w14:paraId="2EF0BDAB" w14:textId="0C505441" w:rsidR="00576471" w:rsidRPr="00381924" w:rsidRDefault="00666402" w:rsidP="003B6AE4">
      <w:pPr>
        <w:spacing w:after="0" w:line="360" w:lineRule="auto"/>
      </w:pPr>
      <w:r w:rsidRPr="00381924">
        <w:t>Ultimately, this study offers an integrated and transferable framework for analogous Voltaian sedimentary groundwater settings across the region.</w:t>
      </w:r>
    </w:p>
    <w:p w14:paraId="2370C257" w14:textId="77777777" w:rsidR="00666402" w:rsidRPr="00381924" w:rsidRDefault="00666402" w:rsidP="004860E9">
      <w:pPr>
        <w:spacing w:line="360" w:lineRule="auto"/>
      </w:pPr>
    </w:p>
    <w:p w14:paraId="7C69950E" w14:textId="7E325F64" w:rsidR="001F607B" w:rsidRPr="00381924" w:rsidRDefault="00000000" w:rsidP="004860E9">
      <w:pPr>
        <w:pStyle w:val="Heading1"/>
        <w:spacing w:line="360" w:lineRule="auto"/>
      </w:pPr>
      <w:bookmarkStart w:id="7" w:name="study-area"/>
      <w:bookmarkEnd w:id="2"/>
      <w:bookmarkEnd w:id="6"/>
      <w:r w:rsidRPr="00381924">
        <w:lastRenderedPageBreak/>
        <w:t>Study Area</w:t>
      </w:r>
    </w:p>
    <w:p w14:paraId="76A1C3B3" w14:textId="0E18BACF" w:rsidR="001F607B" w:rsidRPr="00381924" w:rsidRDefault="00000000" w:rsidP="004860E9">
      <w:pPr>
        <w:pStyle w:val="Heading2"/>
        <w:spacing w:line="360" w:lineRule="auto"/>
      </w:pPr>
      <w:bookmarkStart w:id="8" w:name="Xd6f178325d8810e7af3e4410841eb2668678e69"/>
      <w:bookmarkEnd w:id="7"/>
      <w:r w:rsidRPr="00381924">
        <w:t>Location</w:t>
      </w:r>
      <w:r w:rsidR="003B6AE4" w:rsidRPr="00381924">
        <w:t xml:space="preserve"> </w:t>
      </w:r>
      <w:r w:rsidRPr="00381924">
        <w:t>and Settlement Pattern</w:t>
      </w:r>
    </w:p>
    <w:p w14:paraId="36DD9374" w14:textId="4916B74A" w:rsidR="001F607B" w:rsidRPr="00381924" w:rsidRDefault="00000000" w:rsidP="004860E9">
      <w:pPr>
        <w:spacing w:line="360" w:lineRule="auto"/>
      </w:pPr>
      <w:proofErr w:type="spellStart"/>
      <w:r w:rsidRPr="00381924">
        <w:t>Karaga</w:t>
      </w:r>
      <w:proofErr w:type="spellEnd"/>
      <w:r w:rsidRPr="00381924">
        <w:t xml:space="preserve"> District </w:t>
      </w:r>
      <w:proofErr w:type="gramStart"/>
      <w:r w:rsidRPr="00381924">
        <w:t>is located in</w:t>
      </w:r>
      <w:proofErr w:type="gramEnd"/>
      <w:r w:rsidRPr="00381924">
        <w:t xml:space="preserve"> the North East Region of Ghana, a predominantly rural administrative area situated in the northern part of the country. The district falls within the broader Voltaian sedimentary basin, which underlies much of northern Ghana and extends into adjacent countries</w:t>
      </w:r>
      <w:r w:rsidR="003B6AE4" w:rsidRPr="00381924">
        <w:t xml:space="preserve"> </w:t>
      </w:r>
      <w:r w:rsidR="00C63B09">
        <w:fldChar w:fldCharType="begin" w:fldLock="1"/>
      </w:r>
      <w:r w:rsidR="00035024">
        <w:instrText>ADDIN CSL_CITATION {"citationItems":[{"id":"ITEM-1","itemData":{"DOI":"10.1038/s41598-026-45867-6","ISSN":"20452322","PMID":"41912584","author":[{"dropping-particle":"","family":"Sunkari","given":"Emmanuel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reports","id":"ITEM-1","issue":"1","issued":{"date-parts":[["2026"]]},"page":". [","title":"Geochemical and machine learning approaches to groundwater fluoride prediction in Karaga District, Northern Ghana","type":"article-journal","volume":"16"},"uris":["http://www.mendeley.com/documents/?uuid=01d32fc8-0674-4294-ab1d-674e4dfdc1cd"]}],"mendeley":{"formattedCitation":"&lt;sup&gt;26&lt;/sup&gt;","plainTextFormattedCitation":"26","previouslyFormattedCitation":"&lt;sup&gt;26&lt;/sup&gt;"},"properties":{"noteIndex":0},"schema":"https://github.com/citation-style-language/schema/raw/master/csl-citation.json"}</w:instrText>
      </w:r>
      <w:r w:rsidR="00C63B09">
        <w:fldChar w:fldCharType="separate"/>
      </w:r>
      <w:r w:rsidR="0071152F" w:rsidRPr="0071152F">
        <w:rPr>
          <w:noProof/>
          <w:vertAlign w:val="superscript"/>
        </w:rPr>
        <w:t>26</w:t>
      </w:r>
      <w:r w:rsidR="00C63B09">
        <w:fldChar w:fldCharType="end"/>
      </w:r>
      <w:r w:rsidRPr="00381924">
        <w:t xml:space="preserve">. As shown in Figure 1, the district encompasses a network of settlements distributed across a geologically heterogeneous landscape, with the sampling sites concentrated primarily within the dominant </w:t>
      </w:r>
      <w:proofErr w:type="spellStart"/>
      <w:r w:rsidRPr="00381924">
        <w:t>Bimbila</w:t>
      </w:r>
      <w:proofErr w:type="spellEnd"/>
      <w:r w:rsidRPr="00381924">
        <w:t xml:space="preserve"> Formation whilst also capturing communities on the Bunya belt and the southern </w:t>
      </w:r>
      <w:proofErr w:type="spellStart"/>
      <w:r w:rsidRPr="00381924">
        <w:t>Obosum</w:t>
      </w:r>
      <w:proofErr w:type="spellEnd"/>
      <w:r w:rsidRPr="00381924">
        <w:t xml:space="preserve"> terrain.</w:t>
      </w:r>
    </w:p>
    <w:p w14:paraId="6D6E927E" w14:textId="60E3E3A1" w:rsidR="001F607B" w:rsidRPr="00381924" w:rsidRDefault="00000000" w:rsidP="004860E9">
      <w:pPr>
        <w:spacing w:line="360" w:lineRule="auto"/>
      </w:pPr>
      <w:r w:rsidRPr="00381924">
        <w:t xml:space="preserve">Settlement in </w:t>
      </w:r>
      <w:proofErr w:type="spellStart"/>
      <w:r w:rsidRPr="00381924">
        <w:t>Karaga</w:t>
      </w:r>
      <w:proofErr w:type="spellEnd"/>
      <w:r w:rsidRPr="00381924">
        <w:t xml:space="preserve"> District is predominantly rural and dispersed, with communities relying heavily on boreholes and shallow wells as principal sources of domestic water supply. Piped water infrastructure is limited, and the availability of treated municipal water is not consistent across the district </w:t>
      </w:r>
      <w:r w:rsidR="007A7E94" w:rsidRPr="00381924">
        <w:fldChar w:fldCharType="begin" w:fldLock="1"/>
      </w:r>
      <w:r w:rsidR="00C63B09">
        <w:instrText>ADDIN CSL_CITATION {"citationItems":[{"id":"ITEM-1","itemData":{"DOI":"10.1016/j.igd.2023.100033","ISSN":"29497531","abstract":"Water supports livelihoods through consumption, agricultural and industrial activities, sanitation and environmental services. The impact of water supply on health has been widely accepted, though these impacts are poorly documented. This study assessed the impacts of improved water supply on rural livelihoods in two communities (Doba and Nayagnia) in the Upper East Region, Ghana. Using structured questionnaires and statistical assessments, the positive impacts of improved water supply on health, hygiene, time-saving, productivity, food supply and nutrition, school performance and reduced stress on people especially women and expenditure on health were identified. A strong significant relationship (P = 0.001) between household income and the availability of improved water. Though there was a significant relationship between water tariff and access to potable water (P = 0.010), household income and water consumption were uncorrelated. Occupation and income, and availability of improved water were respectively significant. Income and availability of water also presented a significant value (P = 0.004). The study showed a progressive decline in water-related diseases after the provision and increasing access to improved water. Appropriate operational and maintenance schemes should be emphasized to ensure the proper sustainability of water supply systems to promote livelihoods in both communities. Training elected community members and making the necessary equipment available to facilitate regular maintenance and repairs were determined as the way forward to also ensure these positive impacts on livelihoods.","author":[{"dropping-particle":"","family":"Abanyie","given":"Samuel Kojo","non-dropping-particle":"","parse-names":false,"suffix":""},{"dropping-particle":"","family":"Ampadu","given":"Boateng","non-dropping-particle":"","parse-names":false,"suffix":""},{"dropping-particle":"","family":"Frimpong","given":"Nana Adwoa","non-dropping-particle":"","parse-names":false,"suffix":""},{"dropping-particle":"","family":"Yahans Amuah","given":"Ebenezer Ebo","non-dropping-particle":"","parse-names":false,"suffix":""}],"container-title":"Innovation and Green Development","id":"ITEM-1","issue":"1","issued":{"date-parts":[["2023"]]},"page":"100033","title":"Impact of improved water supply on livelihood and health: Emphasis on Doba and Nayagnia, Ghana","type":"article-journal","volume":"2"},"uris":["http://www.mendeley.com/documents/?uuid=2e8679d0-5b79-4ee2-9ecb-822de0b3329d"]}],"mendeley":{"formattedCitation":"&lt;sup&gt;1&lt;/sup&gt;","plainTextFormattedCitation":"1","previouslyFormattedCitation":"&lt;sup&gt;1&lt;/sup&gt;"},"properties":{"noteIndex":0},"schema":"https://github.com/citation-style-language/schema/raw/master/csl-citation.json"}</w:instrText>
      </w:r>
      <w:r w:rsidR="007A7E94" w:rsidRPr="00381924">
        <w:fldChar w:fldCharType="separate"/>
      </w:r>
      <w:r w:rsidR="009622BA" w:rsidRPr="009622BA">
        <w:rPr>
          <w:noProof/>
          <w:vertAlign w:val="superscript"/>
        </w:rPr>
        <w:t>1</w:t>
      </w:r>
      <w:r w:rsidR="007A7E94" w:rsidRPr="00381924">
        <w:fldChar w:fldCharType="end"/>
      </w:r>
      <w:r w:rsidRPr="00381924">
        <w:t xml:space="preserve">. This configuration means that </w:t>
      </w:r>
      <w:proofErr w:type="gramStart"/>
      <w:r w:rsidRPr="00381924">
        <w:t>the majority of</w:t>
      </w:r>
      <w:proofErr w:type="gramEnd"/>
      <w:r w:rsidRPr="00381924">
        <w:t xml:space="preserve"> residents draw directly from untreated groundwater sources for drinking, cooking, and household purposes, making the quality of that groundwater a matter of direct public-health concern. Groundwater also supports smallholder livelihoods through dry-season vegetable production, particularly where surface water availability declines sharply outside the wet season </w:t>
      </w:r>
      <w:r w:rsidR="007A7E94" w:rsidRPr="00381924">
        <w:fldChar w:fldCharType="begin" w:fldLock="1"/>
      </w:r>
      <w:r w:rsidR="00C63B09">
        <w:instrText>ADDIN CSL_CITATION {"citationItems":[{"id":"ITEM-1","itemData":{"DOI":"10.3390/w10121724","ISSN":"20734441","abstract":"The use of groundwater resources for dry season irrigation has gained currency in Ghana. The north-east of the country has seen the cultivation of vegetables using groundwater from shallow aquifers; an emerging livelihood activity which lessens food insecurity and stems the tide of rural-urban migration. This practice in northern Ghana is deeply rooted in local knowledge. Using the Atankwidi catchment, this paper examines the role of local knowledge in understanding and exploiting groundwater for irrigation. A qualitative approach was used which allowed for in-depth catchment-level investigations, using group discussions, key informant interviews and informal discussions with irrigators, traditional leaders, earth priests, men, and women. Evidence from analysis revealed that local knowledge enabled farmers to locate groundwater points and determine the source and timing of groundwater recharge. Traditional communities are also able to identify the period for constructing wells. In addition, local knowledge enabled farmers to adopt strategies of conjunctively using groundwater with alternative water to cope with insufficient groundwater resources. We argue that local knowledge serves as a useful tool in sustaining dry season irrigation despite the challenges of a lack of government support and threats of global change.","author":[{"dropping-particle":"","family":"Kwoyiga","given":"Lydia","non-dropping-particle":"","parse-names":false,"suffix":""},{"dropping-particle":"","family":"Stefan","given":"Catalin","non-dropping-particle":"","parse-names":false,"suffix":""}],"container-title":"Water (Switzerland)","id":"ITEM-1","issue":"12","issued":{"date-parts":[["2018"]]},"title":"Groundwater development for dry season irrigation in North East Ghana: The place of local knowledge","type":"article-journal","volume":"10"},"uris":["http://www.mendeley.com/documents/?uuid=4172bea6-a245-3700-89d9-d18fb8111665"]}],"mendeley":{"formattedCitation":"&lt;sup&gt;2&lt;/sup&gt;","plainTextFormattedCitation":"2","previouslyFormattedCitation":"&lt;sup&gt;2&lt;/sup&gt;"},"properties":{"noteIndex":0},"schema":"https://github.com/citation-style-language/schema/raw/master/csl-citation.json"}</w:instrText>
      </w:r>
      <w:r w:rsidR="007A7E94" w:rsidRPr="00381924">
        <w:fldChar w:fldCharType="separate"/>
      </w:r>
      <w:r w:rsidR="009622BA" w:rsidRPr="009622BA">
        <w:rPr>
          <w:noProof/>
          <w:vertAlign w:val="superscript"/>
        </w:rPr>
        <w:t>2</w:t>
      </w:r>
      <w:r w:rsidR="007A7E94" w:rsidRPr="00381924">
        <w:fldChar w:fldCharType="end"/>
      </w:r>
      <w:r w:rsidRPr="00381924">
        <w:t>. The dual domestic and productive role of groundwater in communities such as those sampled for this study underscores why a multi-dimensional assessment addressing potability, health risk, and irrigation suitability simultaneously is necessary.</w:t>
      </w:r>
    </w:p>
    <w:p w14:paraId="45F6E54F" w14:textId="600CACEE" w:rsidR="001F607B" w:rsidRPr="00381924" w:rsidRDefault="00000000" w:rsidP="004860E9">
      <w:pPr>
        <w:pStyle w:val="Heading2"/>
        <w:spacing w:line="360" w:lineRule="auto"/>
      </w:pPr>
      <w:bookmarkStart w:id="9" w:name="X1cfe14533fd15f3778dc99f7058af75a0adbd3d"/>
      <w:bookmarkEnd w:id="8"/>
      <w:r w:rsidRPr="00381924">
        <w:t>Climate, Hydrology, and Groundwater Reliance</w:t>
      </w:r>
    </w:p>
    <w:p w14:paraId="2BC7D327" w14:textId="001B5AE1" w:rsidR="001F607B" w:rsidRPr="00381924" w:rsidRDefault="00000000" w:rsidP="004860E9">
      <w:pPr>
        <w:spacing w:line="360" w:lineRule="auto"/>
      </w:pPr>
      <w:proofErr w:type="spellStart"/>
      <w:r w:rsidRPr="00381924">
        <w:t>Karaga</w:t>
      </w:r>
      <w:proofErr w:type="spellEnd"/>
      <w:r w:rsidRPr="00381924">
        <w:t xml:space="preserve"> District experiences a semi-arid tropical climate characterised by a pronounced single wet season and an extended dry season. Rainfall is concentrated between May and October, with a marked decline in precipitation outside this window. Mean annual rainfall across northern Ghana is generally lower than in the south, and inter-annual variability is considerable </w:t>
      </w:r>
      <w:r w:rsidR="001C24DD" w:rsidRPr="00381924">
        <w:fldChar w:fldCharType="begin" w:fldLock="1"/>
      </w:r>
      <w:r w:rsidR="00035024">
        <w:instrText>ADDIN CSL_CITATION {"citationItems":[{"id":"ITEM-1","itemData":{"DOI":"10.1155/2013/453521","ISSN":"2090-7524","abstract":"The West African Sahel is well known for the severe droughts that ravaged the region in the 1970s and 1980s. Meteorological research on the region has flourished during the last decade as a result of several major field experiments. This paper provides an overview of the results that have ensued. A major focus has been on the West African monsoon, a phenomenon that links all of West Africa. The characteristics and revised picture of the West African monsoon are emphasized. Other topics include the interannual variability of rainfall, the atmospheric circulation systems that govern interannual variability, characteristics of precipitation and convection, wave activity, large-scale factors in variability (including sea-surface temperatures), and land-atmosphere relationships. New paradigms for the monsoon and associated ITCZ and for interannual variability have emerged. These emphasize features in the upper atmosphere, as well as the Saharan Heat Low. Feedback mechanisms have also been emphasized, especially the coupling of convection with atmospheric dynamics and with land surface characteristics. New results also include the contrast between the premonsoon and peak monsoon seasons, two preferred modes of interannual variability (a latitudinal displacement of the tropical rainbelt versus changes in its intensity), and the critical importance of the Tropical Easterly Jet.","author":[{"dropping-particle":"","family":"Nicholson","given":"Sharon E.","non-dropping-particle":"","parse-names":false,"suffix":""}],"container-title":"ISRN Meteorology","id":"ITEM-1","issued":{"date-parts":[["2013","2","17"]]},"page":"1-32","title":"The West African Sahel: A Review of Recent Studies on the Rainfall Regime and Its Interannual Variability","type":"article-journal","volume":"2013"},"uris":["http://www.mendeley.com/documents/?uuid=72eb5d83-e417-47e2-8c70-368817ac6462"]},{"id":"ITEM-2","itemData":{"DOI":"10.1002/wea.255","ISSN":"00431656","author":[{"dropping-particle":"","family":"Owusu","given":"Kwadwo","non-dropping-particle":"","parse-names":false,"suffix":""},{"dropping-particle":"","family":"Waylen","given":"Peter","non-dropping-particle":"","parse-names":false,"suffix":""}],"container-title":"Weather","id":"ITEM-2","issue":"5","issued":{"date-parts":[["2009","5","27"]]},"page":"115-120","title":"Trends in spatio-temporal variability in annual rainfall in Ghana (1951-2000)","type":"article-journal","volume":"64"},"uris":["http://www.mendeley.com/documents/?uuid=b4aa3bba-f95a-4ca3-b339-380c4a2bf19a"]}],"mendeley":{"formattedCitation":"&lt;sup&gt;27,28&lt;/sup&gt;","plainTextFormattedCitation":"27,28","previouslyFormattedCitation":"&lt;sup&gt;27,28&lt;/sup&gt;"},"properties":{"noteIndex":0},"schema":"https://github.com/citation-style-language/schema/raw/master/csl-citation.json"}</w:instrText>
      </w:r>
      <w:r w:rsidR="001C24DD" w:rsidRPr="00381924">
        <w:fldChar w:fldCharType="separate"/>
      </w:r>
      <w:r w:rsidR="0071152F" w:rsidRPr="0071152F">
        <w:rPr>
          <w:noProof/>
          <w:vertAlign w:val="superscript"/>
        </w:rPr>
        <w:t>27,28</w:t>
      </w:r>
      <w:r w:rsidR="001C24DD" w:rsidRPr="00381924">
        <w:fldChar w:fldCharType="end"/>
      </w:r>
      <w:r w:rsidRPr="00381924">
        <w:t>. The dry season, which spans approximately six months, results in the cessation of surface flow in many seasonal streams and watercourses, leaving groundwater as the only practically accessible water source for rural communities during that period.</w:t>
      </w:r>
    </w:p>
    <w:p w14:paraId="2BFC55A3" w14:textId="5A0D0F80" w:rsidR="001F607B" w:rsidRPr="00381924" w:rsidRDefault="00000000" w:rsidP="004860E9">
      <w:pPr>
        <w:spacing w:line="360" w:lineRule="auto"/>
      </w:pPr>
      <w:r w:rsidRPr="00381924">
        <w:lastRenderedPageBreak/>
        <w:t>Recharge to the Voltaian aquifer system is episodic and largely controlled by infiltration during the wet season</w:t>
      </w:r>
      <w:r w:rsidR="00486926" w:rsidRPr="00381924">
        <w:t xml:space="preserve"> </w:t>
      </w:r>
      <w:r w:rsidR="004E1D40" w:rsidRPr="00381924">
        <w:fldChar w:fldCharType="begin" w:fldLock="1"/>
      </w:r>
      <w:r w:rsidR="00035024">
        <w:instrText>ADDIN CSL_CITATION {"citationItems":[{"id":"ITEM-1","itemData":{"DOI":"10.1080/23249676.2014.954009","ISSN":"23249676","abstract":"Stable isotope data were used to relate recent meteoric water to groundwater in parts of the Nabogo sub-catchment of the Voltaian Basin. Estimates of the rates of evaporation of recharging groundwater in transit were made on the basis of the stable isotope data. This study finds that groundwater recharge within the weathered zone aquifer system in the study area is of recent meteoric origin. There is, however, evidence of significant evaporation of recharging water in the range of 34–70%, as a result of high temperatures and low relative humidities. This high level of evaporation of rainwater prior to or in the process of recharge is attributed partly to slow infiltration due to significant clay content of the intervening material between the saturated zone and the surface. It suggests limited but variable fortunes in terms of groundwater recharge from precipitation in the area and ties in with previous findings in relation to groundwater recharge estimates. This justified the use of previous estimates of groundwater recharge in other parts of the terrain for the conceptualization of the groundwater flow through a numerical model under steady-state conditions. This study determines that the general groundwater flow is controlled by local flow systems with no obvious preferred direction of flow. Calibrated hydraulic conductivity estimates range between 0.35 and 5.14 m/d. This is consistent with the nature of the material of the aquifer, and will provide the basis for assessing the hydrogeological conditions of the weathered zone.","author":[{"dropping-particle":"","family":"Yidana","given":"Sandow Mark","non-dropping-particle":"","parse-names":false,"suffix":""},{"dropping-particle":"","family":"Fynn","given":"Obed Fiifi","non-dropping-particle":"","parse-names":false,"suffix":""},{"dropping-particle":"","family":"Chegbeleh","given":"Larry Pax","non-dropping-particle":"","parse-names":false,"suffix":""},{"dropping-particle":"","family":"Loh","given":"Yvonne","non-dropping-particle":"","parse-names":false,"suffix":""},{"dropping-particle":"","family":"Obeng","given":"Millicent Addai","non-dropping-particle":"","parse-names":false,"suffix":""}],"container-title":"Journal of Applied Water Engineering and Research","id":"ITEM-1","issue":"2","issued":{"date-parts":[["2014","7","3"]]},"page":"91-104","title":"Analysis of recharge and groundwater flow in parts of a weathered aquifer system in Northern Ghana","type":"article-journal","volume":"2"},"uris":["http://www.mendeley.com/documents/?uuid=53a60f25-d883-461c-8eca-bd7a99de048b"]}],"mendeley":{"formattedCitation":"&lt;sup&gt;29&lt;/sup&gt;","plainTextFormattedCitation":"29","previouslyFormattedCitation":"&lt;sup&gt;29&lt;/sup&gt;"},"properties":{"noteIndex":0},"schema":"https://github.com/citation-style-language/schema/raw/master/csl-citation.json"}</w:instrText>
      </w:r>
      <w:r w:rsidR="004E1D40" w:rsidRPr="00381924">
        <w:fldChar w:fldCharType="separate"/>
      </w:r>
      <w:r w:rsidR="0071152F" w:rsidRPr="0071152F">
        <w:rPr>
          <w:noProof/>
          <w:vertAlign w:val="superscript"/>
        </w:rPr>
        <w:t>29</w:t>
      </w:r>
      <w:r w:rsidR="004E1D40" w:rsidRPr="00381924">
        <w:fldChar w:fldCharType="end"/>
      </w:r>
      <w:r w:rsidRPr="00381924">
        <w:t>. The semi-arid character of the climate means that evapotranspiration rates are high relative to precipitation, which limits the proportion of rainfall that translates into effective recharge and can produce concentration effects in shallow groundwater as the dry season progresses. These concentration dynamics are particularly relevant for dissolved constituents such as fluoride, sodium, and bicarbonate, whose activity in the hydrochemical system is partly amplified by reduced dilution outside the rainy period. Groundwater is therefore not only the year-round water source in the district but also a chemically evolving resource whose quality varies with the seasonal recharge cycle and with the hydrogeological properties of the host formation</w:t>
      </w:r>
      <w:r w:rsidR="00D22847" w:rsidRPr="00381924">
        <w:t xml:space="preserve"> </w:t>
      </w:r>
      <w:r w:rsidR="00D22847" w:rsidRPr="00381924">
        <w:fldChar w:fldCharType="begin" w:fldLock="1"/>
      </w:r>
      <w:r w:rsidR="00035024">
        <w:instrText>ADDIN CSL_CITATION {"citationItems":[{"id":"ITEM-1","itemData":{"DOI":"10.1038/s41598-026-45867-6","ISSN":"20452322","PMID":"41912584","author":[{"dropping-particle":"","family":"Sunkari","given":"Emmanuel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reports","id":"ITEM-1","issue":"1","issued":{"date-parts":[["2026"]]},"page":". [","title":"Geochemical and machine learning approaches to groundwater fluoride prediction in Karaga District, Northern Ghana","type":"article-journal","volume":"16"},"uris":["http://www.mendeley.com/documents/?uuid=01d32fc8-0674-4294-ab1d-674e4dfdc1cd"]}],"mendeley":{"formattedCitation":"&lt;sup&gt;26&lt;/sup&gt;","plainTextFormattedCitation":"26","previouslyFormattedCitation":"&lt;sup&gt;26&lt;/sup&gt;"},"properties":{"noteIndex":0},"schema":"https://github.com/citation-style-language/schema/raw/master/csl-citation.json"}</w:instrText>
      </w:r>
      <w:r w:rsidR="00D22847" w:rsidRPr="00381924">
        <w:fldChar w:fldCharType="separate"/>
      </w:r>
      <w:r w:rsidR="0071152F" w:rsidRPr="0071152F">
        <w:rPr>
          <w:noProof/>
          <w:vertAlign w:val="superscript"/>
        </w:rPr>
        <w:t>26</w:t>
      </w:r>
      <w:r w:rsidR="00D22847" w:rsidRPr="00381924">
        <w:fldChar w:fldCharType="end"/>
      </w:r>
      <w:r w:rsidRPr="00381924">
        <w:t>.</w:t>
      </w:r>
    </w:p>
    <w:p w14:paraId="0A6E1939" w14:textId="433DE332" w:rsidR="001F607B" w:rsidRPr="00381924" w:rsidRDefault="00000000" w:rsidP="004860E9">
      <w:pPr>
        <w:pStyle w:val="Heading2"/>
        <w:spacing w:line="360" w:lineRule="auto"/>
      </w:pPr>
      <w:bookmarkStart w:id="10" w:name="geology-and-hydrogeological-context"/>
      <w:bookmarkEnd w:id="9"/>
      <w:r w:rsidRPr="00381924">
        <w:t>Geology and Hydrogeological</w:t>
      </w:r>
      <w:r w:rsidR="003B6AE4" w:rsidRPr="00381924">
        <w:t xml:space="preserve"> Background</w:t>
      </w:r>
    </w:p>
    <w:p w14:paraId="3CCA4C5D" w14:textId="38063DAA" w:rsidR="001F607B" w:rsidRPr="00381924" w:rsidRDefault="00000000" w:rsidP="004860E9">
      <w:pPr>
        <w:spacing w:line="360" w:lineRule="auto"/>
      </w:pPr>
      <w:proofErr w:type="spellStart"/>
      <w:r w:rsidRPr="00381924">
        <w:t>Karaga</w:t>
      </w:r>
      <w:proofErr w:type="spellEnd"/>
      <w:r w:rsidRPr="00381924">
        <w:t xml:space="preserve"> District lies entirely within the Voltaian sedimentary basin, one of the principal sedimentary sequences in West Africa and a hydrogeologically significant formation in northern Ghana. As illustrated in Figure 1, the mapped geology of the district is strongly asymmetric in its lithological distribution. The </w:t>
      </w:r>
      <w:proofErr w:type="spellStart"/>
      <w:r w:rsidRPr="00381924">
        <w:t>Bimbila</w:t>
      </w:r>
      <w:proofErr w:type="spellEnd"/>
      <w:r w:rsidRPr="00381924">
        <w:t xml:space="preserve"> Formation underlies most of the northern, central, western, and much of the eastern parts of the district, making it the dominant host unit for the groundwater sampled in this study. The undifferentiated </w:t>
      </w:r>
      <w:proofErr w:type="spellStart"/>
      <w:r w:rsidRPr="00381924">
        <w:t>Obosum</w:t>
      </w:r>
      <w:proofErr w:type="spellEnd"/>
      <w:r w:rsidRPr="00381924">
        <w:t xml:space="preserve"> Group is confined mainly to the southern to south-western margin, while the Bunya Formation occurs discontinuously, most prominently as an east-central to south-eastern belt and as smaller isolated outliers toward the north-west. Fault traces cut across this Voltaian sedimentary succession and provide structural pathways that may influence groundwater flow, mixing, and chemical evolution</w:t>
      </w:r>
      <w:r w:rsidR="004E1D40" w:rsidRPr="00381924">
        <w:t xml:space="preserve"> </w:t>
      </w:r>
      <w:r w:rsidR="004E1D40" w:rsidRPr="00381924">
        <w:fldChar w:fldCharType="begin" w:fldLock="1"/>
      </w:r>
      <w:r w:rsidR="00035024">
        <w:instrText>ADDIN CSL_CITATION {"citationItems":[{"id":"ITEM-1","itemData":{"DOI":"10.1038/s41598-026-45867-6","ISSN":"20452322","PMID":"41912584","author":[{"dropping-particle":"","family":"Sunkari","given":"Emmanuel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reports","id":"ITEM-1","issue":"1","issued":{"date-parts":[["2026"]]},"page":". [","title":"Geochemical and machine learning approaches to groundwater fluoride prediction in Karaga District, Northern Ghana","type":"article-journal","volume":"16"},"uris":["http://www.mendeley.com/documents/?uuid=01d32fc8-0674-4294-ab1d-674e4dfdc1cd"]}],"mendeley":{"formattedCitation":"&lt;sup&gt;26&lt;/sup&gt;","plainTextFormattedCitation":"26","previouslyFormattedCitation":"&lt;sup&gt;26&lt;/sup&gt;"},"properties":{"noteIndex":0},"schema":"https://github.com/citation-style-language/schema/raw/master/csl-citation.json"}</w:instrText>
      </w:r>
      <w:r w:rsidR="004E1D40" w:rsidRPr="00381924">
        <w:fldChar w:fldCharType="separate"/>
      </w:r>
      <w:r w:rsidR="0071152F" w:rsidRPr="0071152F">
        <w:rPr>
          <w:noProof/>
          <w:vertAlign w:val="superscript"/>
        </w:rPr>
        <w:t>26</w:t>
      </w:r>
      <w:r w:rsidR="004E1D40" w:rsidRPr="00381924">
        <w:fldChar w:fldCharType="end"/>
      </w:r>
      <w:r w:rsidRPr="00381924">
        <w:t>.</w:t>
      </w:r>
    </w:p>
    <w:p w14:paraId="37E06F84" w14:textId="72A7D900" w:rsidR="001F607B" w:rsidRPr="00381924" w:rsidRDefault="00000000" w:rsidP="004860E9">
      <w:pPr>
        <w:spacing w:line="360" w:lineRule="auto"/>
      </w:pPr>
      <w:r w:rsidRPr="00381924">
        <w:t xml:space="preserve">The hydrogeological context of these formations is one of intergranular and fracture-controlled aquifer systems typical of sedimentary sequences in </w:t>
      </w:r>
      <w:r w:rsidR="003B6AE4" w:rsidRPr="00381924">
        <w:t>S</w:t>
      </w:r>
      <w:r w:rsidRPr="00381924">
        <w:t xml:space="preserve">ub-Saharan Africa </w:t>
      </w:r>
      <w:r w:rsidR="00F13BF0" w:rsidRPr="00381924">
        <w:fldChar w:fldCharType="begin" w:fldLock="1"/>
      </w:r>
      <w:r w:rsidR="00035024">
        <w:instrText>ADDIN CSL_CITATION {"citationItems":[{"id":"ITEM-1","itemData":{"DOI":"10.1007/s11053-022-10125-9","ISSN":"15738981","abstract":"An integrated geophysical and geological approach to ensure improved success rates in groundwater development has been proposed for a partially metamorphosed sedimentary basin in Ghana and other areas of similar lithology. The development of groundwater resources in the Voltaian Sedimentary Basin has been constrained by poor success rates estimated to be below 56%. This can be attributed to the inappropriate deployment of geophysical surveys and corresponding erroneous interpretation of results as well as inadequate knowledge of the characteristics of the major lithologies and their characteristic geophysical signatures. In this study, an integrated geophysical investigation using 2D electrical resistivity tomography surveys, electromagnetic conductivity surveys and geophysical borehole logging was employed to determine the geophysical characteristics of the diverse lithological units of the Kwahu–Bombouaka and Oti–Pendjari Groups underlying the study area. This includes mapping the lateral and vertical extents of weathering and fracturing in the subsurface. This study finds that a concerted approach to successful groundwater development should encompass the integration of multiple geophysical techniques with interpretations guided by a priori information on the geology. Such interpretations should also focus on the differences in structural trends and field relationships at each location and not solely on the contrasting magnitudes of geophysical signatures. In line with that, the contact zones between formations, bedding planes and the weathered zone should be targeted during siting as these locations hold promise for groundwater resources development. For example, within the Bimibilla Formation, thicker weathered zones appear to give indications of higher groundwater storage potentials.","author":[{"dropping-particle":"","family":"Aliou","given":"Abdul Samed","non-dropping-particle":"","parse-names":false,"suffix":""},{"dropping-particle":"","family":"Dzikunoo","given":"Elikplim Abla","non-dropping-particle":"","parse-names":false,"suffix":""},{"dropping-particle":"","family":"Yidana","given":"Sandow Mark","non-dropping-particle":"","parse-names":false,"suffix":""},{"dropping-particle":"","family":"Loh","given":"Yvonne","non-dropping-particle":"","parse-names":false,"suffix":""},{"dropping-particle":"","family":"Chegbeleh","given":"Larry Pax","non-dropping-particle":"","parse-names":false,"suffix":""}],"container-title":"Natural Resources Research","id":"ITEM-1","issue":"6","issued":{"date-parts":[["2022"]]},"page":"3223-3251","title":"Investigation of Geophysical Signatures for Successful Exploration of Groundwater in Highly Indurated Sedimentary Basins: A Look at the Nasia Basin, NE Ghana","type":"article-journal","volume":"31"},"uris":["http://www.mendeley.com/documents/?uuid=81facc50-5699-4a72-b078-34e2fc5a5f3d"]}],"mendeley":{"formattedCitation":"&lt;sup&gt;30&lt;/sup&gt;","plainTextFormattedCitation":"30","previouslyFormattedCitation":"&lt;sup&gt;30&lt;/sup&gt;"},"properties":{"noteIndex":0},"schema":"https://github.com/citation-style-language/schema/raw/master/csl-citation.json"}</w:instrText>
      </w:r>
      <w:r w:rsidR="00F13BF0" w:rsidRPr="00381924">
        <w:fldChar w:fldCharType="separate"/>
      </w:r>
      <w:r w:rsidR="0071152F" w:rsidRPr="0071152F">
        <w:rPr>
          <w:noProof/>
          <w:vertAlign w:val="superscript"/>
        </w:rPr>
        <w:t>30</w:t>
      </w:r>
      <w:r w:rsidR="00F13BF0" w:rsidRPr="00381924">
        <w:fldChar w:fldCharType="end"/>
      </w:r>
      <w:r w:rsidRPr="00381924">
        <w:t xml:space="preserve">. Groundwater occurs in weathered and fractured zones within the sedimentary units, and the depth, yield, and chemistry of individual boreholes are influenced by the local lithological character, degree of fracturing, and proximity to fault structures. The predominantly siliciclastic composition of the Voltaian sediments promotes silicate weathering as a major driver of groundwater chemistry, and the contrast between the </w:t>
      </w:r>
      <w:proofErr w:type="spellStart"/>
      <w:r w:rsidRPr="00381924">
        <w:t>Bimbila</w:t>
      </w:r>
      <w:proofErr w:type="spellEnd"/>
      <w:r w:rsidRPr="00381924">
        <w:t xml:space="preserve"> Formation and the </w:t>
      </w:r>
      <w:proofErr w:type="spellStart"/>
      <w:r w:rsidRPr="00381924">
        <w:t>Obosum</w:t>
      </w:r>
      <w:proofErr w:type="spellEnd"/>
      <w:r w:rsidRPr="00381924">
        <w:t xml:space="preserve"> and Bunya formations introduces </w:t>
      </w:r>
      <w:r w:rsidRPr="00381924">
        <w:lastRenderedPageBreak/>
        <w:t xml:space="preserve">lithostratigraphic variability that is expected to manifest in measurable hydrochemical differences across the sampling network </w:t>
      </w:r>
      <w:r w:rsidR="00A56F6E" w:rsidRPr="00381924">
        <w:fldChar w:fldCharType="begin" w:fldLock="1"/>
      </w:r>
      <w:r w:rsidR="00035024">
        <w:instrText>ADDIN CSL_CITATION {"citationItems":[{"id":"ITEM-1","itemData":{"DOI":"10.1038/s41598-026-45867-6","ISSN":"20452322","PMID":"41912584","author":[{"dropping-particle":"","family":"Sunkari","given":"Emmanuel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reports","id":"ITEM-1","issue":"1","issued":{"date-parts":[["2026"]]},"page":". [","title":"Geochemical and machine learning approaches to groundwater fluoride prediction in Karaga District, Northern Ghana","type":"article-journal","volume":"16"},"uris":["http://www.mendeley.com/documents/?uuid=01d32fc8-0674-4294-ab1d-674e4dfdc1cd"]}],"mendeley":{"formattedCitation":"&lt;sup&gt;26&lt;/sup&gt;","plainTextFormattedCitation":"26","previouslyFormattedCitation":"&lt;sup&gt;26&lt;/sup&gt;"},"properties":{"noteIndex":0},"schema":"https://github.com/citation-style-language/schema/raw/master/csl-citation.json"}</w:instrText>
      </w:r>
      <w:r w:rsidR="00A56F6E" w:rsidRPr="00381924">
        <w:fldChar w:fldCharType="separate"/>
      </w:r>
      <w:r w:rsidR="0071152F" w:rsidRPr="0071152F">
        <w:rPr>
          <w:noProof/>
          <w:vertAlign w:val="superscript"/>
        </w:rPr>
        <w:t>26</w:t>
      </w:r>
      <w:r w:rsidR="00A56F6E" w:rsidRPr="00381924">
        <w:fldChar w:fldCharType="end"/>
      </w:r>
      <w:r w:rsidRPr="00381924">
        <w:t>. Fluoride occurrence in this setting is understood to be geogenic, deriving from weathering of fluoride-bearing minerals within the sedimentary pile, consistent with the broader pattern of fluoride enrichment documented across Voltaian and adjacent sedimentary groundwater systems in northern Ghana</w:t>
      </w:r>
      <w:r w:rsidR="00B32A61" w:rsidRPr="00381924">
        <w:t xml:space="preserve"> </w:t>
      </w:r>
      <w:r w:rsidR="00C63B09">
        <w:fldChar w:fldCharType="begin" w:fldLock="1"/>
      </w:r>
      <w:r w:rsidR="00035024">
        <w:instrText xml:space="preserve">ADDIN CSL_CITATION {"citationItems":[{"id":"ITEM-1","itemData":{"DOI":"10.2166/wh.2023.082","ISSN":"19967829","PMID":"38421620","abstract":"The present study found that </w:instrText>
      </w:r>
      <w:r w:rsidR="00035024">
        <w:rPr>
          <w:rFonts w:ascii="Cambria Math" w:hAnsi="Cambria Math" w:cs="Cambria Math"/>
        </w:rPr>
        <w:instrText>∼</w:instrText>
      </w:r>
      <w:r w:rsidR="00035024">
        <w:instrText xml:space="preserve">80 million people in India, </w:instrText>
      </w:r>
      <w:r w:rsidR="00035024">
        <w:rPr>
          <w:rFonts w:ascii="Cambria Math" w:hAnsi="Cambria Math" w:cs="Cambria Math"/>
        </w:rPr>
        <w:instrText>∼</w:instrText>
      </w:r>
      <w:r w:rsidR="00035024">
        <w:instrText xml:space="preserve">60 million people in Pakistan, </w:instrText>
      </w:r>
      <w:r w:rsidR="00035024">
        <w:rPr>
          <w:rFonts w:ascii="Cambria Math" w:hAnsi="Cambria Math" w:cs="Cambria Math"/>
        </w:rPr>
        <w:instrText>∼</w:instrText>
      </w:r>
      <w:r w:rsidR="00035024">
        <w:instrText xml:space="preserve">70 million people in Bangladesh, and </w:instrText>
      </w:r>
      <w:r w:rsidR="00035024">
        <w:rPr>
          <w:rFonts w:ascii="Cambria Math" w:hAnsi="Cambria Math" w:cs="Cambria Math"/>
        </w:rPr>
        <w:instrText>∼</w:instrText>
      </w:r>
      <w:r w:rsidR="00035024">
        <w:instrText xml:space="preserve">3 million people in Nepal are exposed to arsenic groundwater contamination above 10 </w:instrText>
      </w:r>
      <w:r w:rsidR="00035024">
        <w:rPr>
          <w:rFonts w:cs="Times New Roman"/>
        </w:rPr>
        <w:instrText>μ</w:instrText>
      </w:r>
      <w:r w:rsidR="00035024">
        <w:instrText xml:space="preserve">g/L, while Sri Lanka remains moderately affected. In the case of fluoride contamination, </w:instrText>
      </w:r>
      <w:r w:rsidR="00035024">
        <w:rPr>
          <w:rFonts w:ascii="Cambria Math" w:hAnsi="Cambria Math" w:cs="Cambria Math"/>
        </w:rPr>
        <w:instrText>∼</w:instrText>
      </w:r>
      <w:r w:rsidR="00035024">
        <w:instrText xml:space="preserve">120 million in India, .2 million in Pakistan, and </w:instrText>
      </w:r>
      <w:r w:rsidR="00035024">
        <w:rPr>
          <w:rFonts w:ascii="Cambria Math" w:hAnsi="Cambria Math" w:cs="Cambria Math"/>
        </w:rPr>
        <w:instrText>∼</w:instrText>
      </w:r>
      <w:r w:rsidR="00035024">
        <w:instrText>0.5 million in Sri Lanka are exposed to the risk of fluoride above 1.5 mg/L, while Bangladesh and Nepal are mildly affected. The hazard quotient (HQ) for arsenic varied from 0 to 822 in India, 0 to 33 in Pakistan, 0 to 1,051 in Bangladesh, 0 to 582 in Nepal, and 0 to 89 in Sri Lanka. The cancer risk of arsenic varied from 0 to 1.64 11 in India, 0 to 1.07 101 in Pakistan, 0 to 2.10 101 in Bangladesh, 0 to 1.16 101 in Nepal, and 0 to 1.78 102 in Sri Lanka. In the case of fluoride, the HQ ranged from 0 to 21 in India, 0 to 33 in Pakistan, 0 to 18 in Bangladesh, 0 to 10 in Nepal, and 0 to 10 in Sri Lanka. Arsenic and fluoride have adverse effects on animals, resulting in chemical poisoning and skeletal fluorosis. Adsorption and membrane filtration have demonstrated outstanding treatment outcomes.","author":[{"dropping-particle":"","family":"Aryan","given":"Yash","non-dropping-particle":"","parse-names":false,"suffix":""},{"dropping-particle":"","family":"Pon","given":"Thambidurai","non-dropping-particle":"","parse-names":false,"suffix":""},{"dropping-particle":"","family":"Panneerselvam","given":"Balamurugan","non-dropping-particle":"","parse-names":false,"suffix":""},{"dropping-particle":"","family":"Dikshit","given":"Anil Kumar","non-dropping-particle":"","parse-names":false,"suffix":""}],"container-title":"Journal of Water and Health","id":"ITEM-1","issue":"2","issued":{"date-parts":[["2024"]]},"page":"235-267","title":"A comprehensive review of human health risks of arsenic and fluoride contamination of groundwater in the South Asia region","type":"article-journal","volume":"22"},"uris":["http://www.mendeley.com/documents/?uuid=930c72d7-a251-4d0c-a471-948bd30b4063"]},{"id":"ITEM-2","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reports","id":"ITEM-2","issue":"1","issued":{"date-parts":[["2026"]]},"page":". [","title":"Geochemical and machine learning approaches to groundwater fluoride prediction in Karaga District, Northern Ghana","type":"article-journal","volume":"16"},"uris":["http://www.mendeley.com/documents/?uuid=01d32fc8-0674-4294-ab1d-674e4dfdc1cd"]},{"id":"ITEM-3","itemData":{"DOI":"10.1016/j.hydres.2024.09.001","ISSN":"25897578","abstract":"Kintampo South District in the Bono East Region of Ghana is dominated by metavolcanic and metasedimentary rocks of the Birimian and the Voltaian Supergroups, which are reported to show aquifer complexities and quality issues. Therefore, assessment of groundwater evolution and quality is important in this area because of the growing need for groundwater for both agricultural and residential use. The people heavily rely on agriculture as their main source of livelihood, and the agricultural practices could potentially impact the groundwater quality. Consequently, this research aimed to evaluate groundwater appropriateness in the Voltaian aquifers of the Kintampo South District for irrigation and consumption. Irrigation water quality indices, geochemical modeling, hydrochemical graphing, and chemometric analysis were all used in the assessment. The investigation reported potassium ion (K+) as the principal cation in the groundwater, showing concentrations within the range of 0.200 to 61.0 mg/L and a mean of 6.32 mg/L. Bicarbonate (HCO3−) is also the major anion in the samples with values that vary from 2.00 to 238 mg/L and a mean of 27.8 mg/L. Geospatial mapping indicates that these predominant ions show higher concentrations in the central part of the study area. Groundwater evolved from K-SO4-HCO3 to Na-HCO3-Cl water types and other mixed forms, which are influenced by atmospheric precipitation and rock weathering. Geochemical modeling reveals that undersaturation of the groundwater occurs in relation to all the silicate and carbonate minerals in the aquifer. However, most samples show positive correlation with these minerals, suggesting precipitation under pre-existing conditions. Chemometric analysis indicated that the chemical composition of groundwater is controlled by human-induced and geogenic activities. With respect to all hydrochemical parameters, the groundwater is largely deemed safe for residential use based on the computed Water Quality Index values. The groundwater in the district is also appropriate for irrigation, according to irrigation indices of water quality such as the Wilcox diagram, sodium adsorption ratio (SAR), Electrical conductivity (EC), magnesium ratio (MR), and sodium percent (Na%).","author":[{"dropping-particle":"","family":"Sunkari","given":"Emmanuel Daanoba","non-dropping-particle":"","parse-names":false,"suffix":""},{"dropping-particle":"","family":"Iddrisu","given":"Rafiatu","non-dropping-particle":"","parse-names":false,"suffix":""},{"dropping-particle":"","family":"Turkson","given":"Joseph","non-dropping-particle":"","parse-names":false,"suffix":""},{"dropping-particle":"","family":"Okyere","given":"Moses Boakye","non-dropping-particle":"","parse-names":false,"suffix":""},{"dropping-particle":"","family":"Ambushe","given":"Abayneh Ataro","non-dropping-particle":"","parse-names":false,"suffix":""}],"container-title":"HydroResearch","id":"ITEM-3","issued":{"date-parts":[["2025"]]},"page":"13-27","title":"Hydrogeochemical evaluation of groundwater evolution and quality in some Voltaian aquifers of Kintampo South District, Bono East Region, Ghana: Implications from chemometric analysis, geochemical modeling and geospatial mapping techniques","type":"article-journal","volume":"8"},"uris":["http://www.mendeley.com/documents/?uuid=5e6b2f7a-bb2a-495c-a791-91656a94d87b"]},{"id":"ITEM-4","itemData":{"DOI":"10.1016/j.gexplo.2025.107924","ISSN":"03756742","abstract":"This study investigated the hydrogeochemistry, spatial distribution, health risks, and underlying mechanisms of elevated fluoride (F−) concentrations in groundwater across communities situated within the Voltaian Supergroup of the semi-arid Volta Basin in Ghana. This was achieved through a medical geology framework that integrates hydrogeochemistry, GIS-based spatial analysis, geochemical modelling, unsupervised machine learning, petrography, PXRD analysis, Monte Carlo Simulation, Sobol sensitivity analysis, probabilistic health risk assessment, and community-based health surveillance to investigate the geogenic sources, spatial distribution, and health implications of F− in groundwater. Thirty-one borehole water samples were collected from Mion District, Karaga District, and Gushegu Municipality in the Northern Region of Ghana. Petrographic and PXRD analyses identified minerals such as quartz, albite, biotite, zeolite, illite, and opaque minerals in the reservoir rocks. Lithological evaluation of boreholes confirmed the reservoir rocks at depth. These minerals dissolve in groundwater, enriching it with various ions. The major cations in groundwater were found in the order: Mg2+ &gt; Ca2+ &gt; K+ &gt; Na+, and the major anions in the order: HCO3− &gt; SO42− &gt; Cl−. The groundwater is alkaline, with Mg2+ − HCO3− as the common water type. Fluoride concentrations ranged from 0.23 to 19.5 mg/L, with an average of 4.71 mg/L, exceeding the World Health Organization's guideline value of 1.5 mg/L in about 87 % of the boreholes around the northeastern fringe of the study area. The high F− levels are primarily due to natural sources and are influenced by water-rock interaction, weathering, ion exchange, and mineral dissolution and precipitation. Health risks associated with fluoridated drinking water were assessed using the US Environmental Protection Agency Model, Monte Carlo Simulation, and Sobol sensitivity analysis revealing non-carcinogenic risks such as dental and skeletal fluorosis, particularly affecting children, followed by adults, teenagers, and infants. Sobol sensitivity analysis reveals that body weight is the primary driver of the non-carcinogenic risk variability across the population, followed by water consumption and F− concentration. However, age-specific patterns show that for infants and children, F− levels and body weight are key contributors, while in teenagers and adults, F− concentration alone dominates risk variability. Community-based health surveill…","author":[{"dropping-particle":"","family":"Sunkari","given":"Emmanuel Daanoba","non-dropping-particle":"","parse-names":false,"suffix":""},{"dropping-particle":"","family":"Zeon","given":"Onesimus D.","non-dropping-particle":"","parse-names":false,"suffix":""},{"dropping-particle":"","family":"Asante-Annor","given":"Asare","non-dropping-particle":"","parse-names":false,"suffix":""},{"dropping-particle":"","family":"Nunoo","given":"Samuel","non-dropping-particle":"","parse-names":false,"suffix":""},{"dropping-particle":"","family":"Ambushe","given":"Abayneh Ataro","non-dropping-particle":"","parse-names":false,"suffix":""}],"container-title":"Journal of Geochemical Exploration","id":"ITEM-4","issued":{"date-parts":[["2026","1"]]},"page":". [","title":"Geochemistry, enrichment mechanisms and geomedical assessment of fluoridated groundwater in some parts of the largest semi-arid sedimentary basin in Ghana","type":"article-journal","volume":"280"},"uris":["http://www.mendeley.com/documents/?uuid=891c85e5-974b-43c9-b5ae-30ae591dc061"]},{"id":"ITEM-5","itemData":{"DOI":"10.1016/j.gsd.2024.101352","ISSN":"2352801X","abstract":"Groundwater quality is globally threatened by geogenic and human activities. These activities release high levels of potentially toxic elements, such as fluoride (F−), which pose significant threats to human health. This has become a global issue, especially in developing countries such as Ghana. Despite efforts to address this issue, knowledge gaps still need to be addressed to ensure safe and healthy drinking water for all Ghanaians. Moreover, Ghana has been reported to be a fluorosis-endemic country but the sources and exact hotspots of F− enrichment in the aquifers on a countrywide scale are lacking in the available literature. Understanding the quality of water used for diverse purposes in Ghana is necessary to achieve the United Nations Sustainable Development Goals like good health and well-being (SDG 3) and clean water and sanitation (SDG 6), among others. Therefore, this study synthesized all previous studies on groundwater F− contamination in Ghana, to identify the sources of F− enrichment in groundwater, delineate the hotspots for fluorosis, assess the associated human health risks, identify the best sustainable defluoridation methods, and recommend policy intervention for high groundwater F− threat to aquifers in Ghana. In the Ghanaian context, F− contamination in groundwater is largely from geogenic sources like the weathering of fluoride-bearing rocks (granitoids and carbonate sedimentary lithologies) from the Birimian and Voltaian Supergroups and the dissolution of fluoride-rich minerals (fluorapatite, amphiboles, fluorite, biotite, and muscovite). Hotspots for high groundwater F− in Ghana are mainly restricted to the Upper East Region (0.10–5.00 mg/L), North East Region (0.01–13.29 mg/L), Northern Region (0.1–11.6 mg/L), and the White Volta River Basin (0.04–3.79 mg/L). The mean and maximum values of F− in these hotspots exceed the maximum permissible level (1.5 mg/L) set by the World Health Organization and Ghana Standards Authority. Most people in these areas suffer from dental fluorosis. Therefore, affordable and sustainable defluoridation technologies as well as community-based initiatives are recommended to deal with this menace.","author":[{"dropping-particle":"","family":"Sunkari","given":"Emmanuel Daanoba","non-dropping-particle":"","parse-names":false,"suffix":""},{"dropping-particle":"","family":"Ambushe","given":"Abayneh Ataro","non-dropping-particle":"","parse-names":false,"suffix":""}],"container-title":"Groundwater for Sustainable Development","id":"ITEM-5","issued":{"date-parts":[["2024"]]},"page":". [","title":"Groundwater fluoride contamination, sources, hotspots, health hazards, and sustainable containment measures: A systematic review of the Ghanaian context","type":"article-journal","volume":"27"},"uris":["http://www.mendeley.com/documents/?uuid=d0d3d081-aa01-40d4-acef-fcbc400a7cb0"]}],"mendeley":{"formattedCitation":"&lt;sup&gt;5,26,31–33&lt;/sup&gt;","plainTextFormattedCitation":"5,26,31–33","previouslyFormattedCitation":"&lt;sup&gt;5,26,31–33&lt;/sup&gt;"},"properties":{"noteIndex":0},"schema":"https://github.com/citation-style-language/schema/raw/master/csl-citation.json"}</w:instrText>
      </w:r>
      <w:r w:rsidR="00C63B09">
        <w:fldChar w:fldCharType="separate"/>
      </w:r>
      <w:r w:rsidR="0071152F" w:rsidRPr="0071152F">
        <w:rPr>
          <w:noProof/>
          <w:vertAlign w:val="superscript"/>
        </w:rPr>
        <w:t>5,26,31–33</w:t>
      </w:r>
      <w:r w:rsidR="00C63B09">
        <w:fldChar w:fldCharType="end"/>
      </w:r>
      <w:r w:rsidRPr="00381924">
        <w:t>.</w:t>
      </w:r>
    </w:p>
    <w:p w14:paraId="3822EBBA" w14:textId="48618BA6" w:rsidR="001F607B" w:rsidRPr="00381924" w:rsidRDefault="00000000" w:rsidP="004860E9">
      <w:pPr>
        <w:pStyle w:val="Heading2"/>
        <w:spacing w:line="360" w:lineRule="auto"/>
      </w:pPr>
      <w:bookmarkStart w:id="11" w:name="Xf851a673e3ea2229315904847dfed607c056198"/>
      <w:bookmarkEnd w:id="10"/>
      <w:r w:rsidRPr="00381924">
        <w:t>Land Use and Likely Anthropogenic Pressures</w:t>
      </w:r>
    </w:p>
    <w:p w14:paraId="2EBA1111" w14:textId="651074EE" w:rsidR="001F607B" w:rsidRPr="00381924" w:rsidRDefault="00000000" w:rsidP="004860E9">
      <w:pPr>
        <w:spacing w:line="360" w:lineRule="auto"/>
      </w:pPr>
      <w:r w:rsidRPr="00381924">
        <w:t xml:space="preserve">Land use in </w:t>
      </w:r>
      <w:proofErr w:type="spellStart"/>
      <w:r w:rsidRPr="00381924">
        <w:t>Karaga</w:t>
      </w:r>
      <w:proofErr w:type="spellEnd"/>
      <w:r w:rsidRPr="00381924">
        <w:t xml:space="preserve"> District is dominated by subsistence and smallholder agriculture, with food-crop production, livestock grazing, and dry-season vegetable farming constituting the principal economic activities. Settlement activities including open defecation, improper solid-waste disposal, and the proximity of pit latrines to borehole infrastructure can introduce anthropogenic nitrogen into shallow groundwater, providing a plausible pathway for nitrate enrichment in the sampled waters. However, the absence of heavy industry, large-scale irrigation schemes, or significant point-source discharges means that industrial contamination is unlikely to be a major contributor to the observed hydrochemical character of groundwater in the district.</w:t>
      </w:r>
    </w:p>
    <w:p w14:paraId="332D927E" w14:textId="65403D10" w:rsidR="001F607B" w:rsidRDefault="00000000" w:rsidP="003A346A">
      <w:pPr>
        <w:spacing w:after="0" w:line="360" w:lineRule="auto"/>
        <w:rPr>
          <w:lang w:val="it-IT"/>
        </w:rPr>
      </w:pPr>
      <w:r w:rsidRPr="00381924">
        <w:t xml:space="preserve">Anthropogenic pressure in </w:t>
      </w:r>
      <w:proofErr w:type="spellStart"/>
      <w:r w:rsidRPr="00381924">
        <w:t>Karaga</w:t>
      </w:r>
      <w:proofErr w:type="spellEnd"/>
      <w:r w:rsidRPr="00381924">
        <w:t xml:space="preserve"> District is therefore best understood as a secondary modifier superimposed on a geogenic hydrochemical template that is principally shaped by rock-water interaction, ion exchange, and the semi-arid climatic concentration mechanism. Localised nitrate enrichment attributable to sanitary and agricultural practices may elevate dissolved nitrogen at specific sites, but the broader hydrochemical character of the groundwater, including fluoride enrichment, bicarbonate-dominated facies, and ion exchange signatures, is predominantly geological in origin</w:t>
      </w:r>
      <w:r w:rsidR="00624C68" w:rsidRPr="00381924">
        <w:t xml:space="preserve"> </w:t>
      </w:r>
      <w:r w:rsidR="00624C68" w:rsidRPr="00381924">
        <w:fldChar w:fldCharType="begin" w:fldLock="1"/>
      </w:r>
      <w:r w:rsidR="00035024">
        <w:instrText>ADDIN CSL_CITATION {"citationItems":[{"id":"ITEM-1","itemData":{"DOI":"10.1038/s41598-026-45867-6","ISSN":"20452322","PMID":"41912584","author":[{"dropping-particle":"","family":"Sunkari","given":"Emmanuel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reports","id":"ITEM-1","issue":"1","issued":{"date-parts":[["2026"]]},"page":". [","title":"Geochemical and machine learning approaches to groundwater fluoride prediction in Karaga District, Northern Ghana","type":"article-journal","volume":"16"},"uris":["http://www.mendeley.com/documents/?uuid=01d32fc8-0674-4294-ab1d-674e4dfdc1cd"]}],"mendeley":{"formattedCitation":"&lt;sup&gt;26&lt;/sup&gt;","plainTextFormattedCitation":"26","previouslyFormattedCitation":"&lt;sup&gt;26&lt;/sup&gt;"},"properties":{"noteIndex":0},"schema":"https://github.com/citation-style-language/schema/raw/master/csl-citation.json"}</w:instrText>
      </w:r>
      <w:r w:rsidR="00624C68" w:rsidRPr="00381924">
        <w:fldChar w:fldCharType="separate"/>
      </w:r>
      <w:r w:rsidR="0071152F" w:rsidRPr="0071152F">
        <w:rPr>
          <w:noProof/>
          <w:vertAlign w:val="superscript"/>
        </w:rPr>
        <w:t>26</w:t>
      </w:r>
      <w:r w:rsidR="00624C68" w:rsidRPr="00381924">
        <w:fldChar w:fldCharType="end"/>
      </w:r>
      <w:r w:rsidRPr="00381924">
        <w:t xml:space="preserve">. This framing is consistent with published findings from comparable northern Ghanaian and Voltaian settings, where geogenic processes have been identified as the primary driver of major-ion and fluoride chemistry, with anthropogenic inputs acting as a spatially variable secondary signal </w:t>
      </w:r>
      <w:r w:rsidR="00DD0ED4" w:rsidRPr="00381924">
        <w:fldChar w:fldCharType="begin" w:fldLock="1"/>
      </w:r>
      <w:r w:rsidR="00035024">
        <w:instrText>ADDIN CSL_CITATION {"citationItems":[{"id":"ITEM-1","itemData":{"DOI":"10.3390/HYDROLOGY7030053","ISSN":"23065338","abstract":"Hydrochemical data of groundwater samples obtained from the mudstones, sandstones, and siltstones aquifer units that underlie the study area have been characterized. The aim of this study was to assess the suitability of groundwater for drinking, domestic, and agricultural purposes. The physico-chemical parameters were initially compared with theWorld Health Organization (WHO) standards for potable water. They were further subjected to various hydrochemical techniques to assess the overall water quality for drinking purposes. Conventional methods of assessing irrigation water suitability were also adopted. The results indicate that, with the exception of HCO3- characterized as unsuitable for drinking water, most of the parameters are within the WHO permissible limits and are thus characterized as suitable for drinking water. A few samples however show slight deviation. The results also show that the abundance of major cations in groundwater is in the order: Na+ &gt; Ca2+ &gt; Mg2+ &gt; K+. However, the abundance of the major anions is in the order: HCO3- &gt; Cl- &gt; SO42-. Na-HCO3 is thus inferred as the dominant water type in the area. Analyses of the overall Water Quality Index (WQI) and irrigation water assessment indices suggest that groundwater in the area is generally suitable for drinking, domestic, and irrigation purposes.","author":[{"dropping-particle":"","family":"Chegbeleh","given":"Larry Pax","non-dropping-particle":"","parse-names":false,"suffix":""},{"dropping-particle":"","family":"Aklika","given":"Delali Kwasi","non-dropping-particle":"","parse-names":false,"suffix":""},{"dropping-particle":"","family":"Akurugu","given":"Bismark Awinbire","non-dropping-particle":"","parse-names":false,"suffix":""}],"container-title":"Hydrology","id":"ITEM-1","issue":"3","issued":{"date-parts":[["2020"]]},"page":"53","title":"Hydrochemical characterization and suitability assessment of groundwater quality in the saboba and chereponi districts, Ghana","type":"article-journal","volume":"7"},"uris":["http://www.mendeley.com/documents/?uuid=2e62b4f7-4a30-4c5b-8c83-78b6941763b6"]},{"id":"ITEM-2","itemData":{"DOI":"10.1016/j.heliyon.2024.e27554","ISSN":"24058440","abstract":"Access to potable water is a significant concern due to the increasing global threat posed by fluoride contamination in groundwater sources. This study investigated the concentrations of fluoride (F−), the suitability of groundwater for human consumption, the physicochemical characteristics affecting the water quality, and non-carcinogenic adverse health risks to both children and adults in the Bongo district in Northern Ghana. The findings revealed that the groundwater had a mean pH, salinity, TDS, conductivity, and turbidity below the WHO guideline values with a mean fluoride concentration of 1.76 mg/L above the guideline limit of 1.5 mg/L. The study also found that there was no strong relationship between fluoride and the measured water parameters, which may be attributed to poor control of distribution, transport mechanisms, and sources. The WQI scores ranged from 42.62% to 70.72%, indicating that all borehole water samples were of good and excellent quality. The average chronic daily intake showed that children are often more exposed to the harmful impact of fluoride than adults. The average HQ &gt; 1 indicates the probability of dental and skeletal fluorosis after continuous exposure over time in adults and children. The study recommends taking immediate action to mitigate high groundwater fluoride concentrations, implementing appropriate water management strategies, and raising public awareness of the health risks. These measures can guide future groundwater management practices and help policymakers address contamination and protect local communities.","author":[{"dropping-particle":"","family":"Ashong","given":"Gerheart Winfred","non-dropping-particle":"","parse-names":false,"suffix":""},{"dropping-particle":"","family":"Ababio","given":"Boansi Adu","non-dropping-particle":"","parse-names":false,"suffix":""},{"dropping-particle":"","family":"Kwaansa-Ansah","given":"Edward Ebow","non-dropping-particle":"","parse-names":false,"suffix":""},{"dropping-particle":"","family":"Koranteng","given":"Simon Konadu","non-dropping-particle":"","parse-names":false,"suffix":""},{"dropping-particle":"","family":"Muktar","given":"Gwalley Diyawul Haqq","non-dropping-particle":"","parse-names":false,"suffix":""}],"container-title":"Heliyon","id":"ITEM-2","issue":"6","issued":{"date-parts":[["2024"]]},"page":"), e27554. [","title":"Investigation of fluoride concentrations, water quality, and non-carcinogenic health risks of borehole water in bongo district, northern Ghana","type":"article-journal","volume":"10"},"uris":["http://www.mendeley.com/documents/?uuid=40f6ae8e-27f9-4bfc-a20c-49cfd62772bd"]},{"id":"ITEM-3","itemData":{"DOI":"10.1016/j.gsd.2024.101352","ISSN":"2352801X","abstract":"Groundwater quality is globally threatened by geogenic and human activities. These activities release high levels of potentially toxic elements, such as fluoride (F−), which pose significant threats to human health. This has become a global issue, especially in developing countries such as Ghana. Despite efforts to address this issue, knowledge gaps still need to be addressed to ensure safe and healthy drinking water for all Ghanaians. Moreover, Ghana has been reported to be a fluorosis-endemic country but the sources and exact hotspots of F− enrichment in the aquifers on a countrywide scale are lacking in the available literature. Understanding the quality of water used for diverse purposes in Ghana is necessary to achieve the United Nations Sustainable Development Goals like good health and well-being (SDG 3) and clean water and sanitation (SDG 6), among others. Therefore, this study synthesized all previous studies on groundwater F− contamination in Ghana, to identify the sources of F− enrichment in groundwater, delineate the hotspots for fluorosis, assess the associated human health risks, identify the best sustainable defluoridation methods, and recommend policy intervention for high groundwater F− threat to aquifers in Ghana. In the Ghanaian context, F− contamination in groundwater is largely from geogenic sources like the weathering of fluoride-bearing rocks (granitoids and carbonate sedimentary lithologies) from the Birimian and Voltaian Supergroups and the dissolution of fluoride-rich minerals (fluorapatite, amphiboles, fluorite, biotite, and muscovite). Hotspots for high groundwater F− in Ghana are mainly restricted to the Upper East Region (0.10–5.00 mg/L), North East Region (0.01–13.29 mg/L), Northern Region (0.1–11.6 mg/L), and the White Volta River Basin (0.04–3.79 mg/L). The mean and maximum values of F− in these hotspots exceed the maximum permissible level (1.5 mg/L) set by the World Health Organization and Ghana Standards Authority. Most people in these areas suffer from dental fluorosis. Therefore, affordable and sustainable defluoridation technologies as well as community-based initiatives are recommended to deal with this menace.","author":[{"dropping-particle":"","family":"Sunkari","given":"Emmanuel Daanoba","non-dropping-particle":"","parse-names":false,"suffix":""},{"dropping-particle":"","family":"Ambushe","given":"Abayneh Ataro","non-dropping-particle":"","parse-names":false,"suffix":""}],"container-title":"Groundwater for Sustainable Development","id":"ITEM-3","issued":{"date-parts":[["2024"]]},"page":". [","title":"Groundwater fluoride contamination, sources, hotspots, health hazards, and sustainable containment measures: A systematic review of the Ghanaian context","type":"article-journal","volume":"27"},"uris":["http://www.mendeley.com/documents/?uuid=d0d3d081-aa01-40d4-acef-fcbc400a7cb0"]},{"id":"ITEM-4","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reports","id":"ITEM-4","issue":"1","issued":{"date-parts":[["2026"]]},"page":". [","title":"Geochemical and machine learning approaches to groundwater fluoride prediction in Karaga District, Northern Ghana","type":"article-journal","volume":"16"},"uris":["http://www.mendeley.com/documents/?uuid=01d32fc8-0674-4294-ab1d-674e4dfdc1cd"]}],"mendeley":{"formattedCitation":"&lt;sup&gt;5,7,26,34&lt;/sup&gt;","plainTextFormattedCitation":"5,7,26,34","previouslyFormattedCitation":"&lt;sup&gt;5,7,26,34&lt;/sup&gt;"},"properties":{"noteIndex":0},"schema":"https://github.com/citation-style-language/schema/raw/master/csl-citation.json"}</w:instrText>
      </w:r>
      <w:r w:rsidR="00DD0ED4" w:rsidRPr="00381924">
        <w:fldChar w:fldCharType="separate"/>
      </w:r>
      <w:r w:rsidR="0071152F" w:rsidRPr="0071152F">
        <w:rPr>
          <w:noProof/>
          <w:vertAlign w:val="superscript"/>
          <w:lang w:val="it-IT"/>
        </w:rPr>
        <w:t>5,7,26,34</w:t>
      </w:r>
      <w:r w:rsidR="00DD0ED4" w:rsidRPr="00381924">
        <w:fldChar w:fldCharType="end"/>
      </w:r>
      <w:r w:rsidRPr="00381924">
        <w:rPr>
          <w:lang w:val="it-IT"/>
        </w:rPr>
        <w:t>.</w:t>
      </w:r>
    </w:p>
    <w:p w14:paraId="6B4D4765" w14:textId="77777777" w:rsidR="003A346A" w:rsidRPr="00381924" w:rsidRDefault="003A346A" w:rsidP="003A346A">
      <w:pPr>
        <w:spacing w:after="0" w:line="360" w:lineRule="auto"/>
        <w:rPr>
          <w:lang w:val="it-IT"/>
        </w:rPr>
      </w:pPr>
    </w:p>
    <w:p w14:paraId="7659B307" w14:textId="64EC73D2" w:rsidR="001F607B" w:rsidRPr="00381924" w:rsidRDefault="00000000" w:rsidP="004860E9">
      <w:pPr>
        <w:pStyle w:val="Heading1"/>
        <w:spacing w:line="360" w:lineRule="auto"/>
      </w:pPr>
      <w:bookmarkStart w:id="12" w:name="materials-and-methods"/>
      <w:bookmarkEnd w:id="11"/>
      <w:r w:rsidRPr="00381924">
        <w:lastRenderedPageBreak/>
        <w:t>Materials and Methods</w:t>
      </w:r>
    </w:p>
    <w:p w14:paraId="36220969" w14:textId="341E10C0" w:rsidR="001F607B" w:rsidRPr="00381924" w:rsidRDefault="00000000" w:rsidP="004860E9">
      <w:pPr>
        <w:pStyle w:val="Heading2"/>
        <w:spacing w:line="360" w:lineRule="auto"/>
      </w:pPr>
      <w:bookmarkStart w:id="13" w:name="dataset-sampling-and-measured-variables"/>
      <w:bookmarkEnd w:id="12"/>
      <w:r w:rsidRPr="00381924">
        <w:t>Dataset, Sampling, and Measured Variables</w:t>
      </w:r>
    </w:p>
    <w:p w14:paraId="0303AC0B" w14:textId="223F3E76" w:rsidR="008554F5" w:rsidRPr="00381924" w:rsidRDefault="008554F5" w:rsidP="004860E9">
      <w:pPr>
        <w:spacing w:line="360" w:lineRule="auto"/>
      </w:pPr>
      <w:r w:rsidRPr="00381924">
        <w:t xml:space="preserve">The analytical dataset comprised 34 groundwater samples collected from active public boreholes drilled and maintained by World Vision International across </w:t>
      </w:r>
      <w:proofErr w:type="spellStart"/>
      <w:r w:rsidRPr="00381924">
        <w:t>Karaga</w:t>
      </w:r>
      <w:proofErr w:type="spellEnd"/>
      <w:r w:rsidRPr="00381924">
        <w:t xml:space="preserve"> District, Northern Ghana, in October 2022. The sampling network was distributed across the principal geological units of the district, as shown in Figure 1, with most sites falling within the </w:t>
      </w:r>
      <w:proofErr w:type="spellStart"/>
      <w:r w:rsidRPr="00381924">
        <w:t>Bimbila</w:t>
      </w:r>
      <w:proofErr w:type="spellEnd"/>
      <w:r w:rsidRPr="00381924">
        <w:t xml:space="preserve"> Formation</w:t>
      </w:r>
      <w:r w:rsidR="00B537FE" w:rsidRPr="00381924">
        <w:t xml:space="preserve">, </w:t>
      </w:r>
      <w:r w:rsidRPr="00381924">
        <w:t xml:space="preserve"> the dominant host unit</w:t>
      </w:r>
      <w:r w:rsidR="00B537FE" w:rsidRPr="00381924">
        <w:t xml:space="preserve">, </w:t>
      </w:r>
      <w:r w:rsidRPr="00381924">
        <w:t xml:space="preserve"> alongside a smaller number of sites on the Bunya and </w:t>
      </w:r>
      <w:proofErr w:type="spellStart"/>
      <w:r w:rsidRPr="00381924">
        <w:t>Obosum</w:t>
      </w:r>
      <w:proofErr w:type="spellEnd"/>
      <w:r w:rsidRPr="00381924">
        <w:t xml:space="preserve"> formations</w:t>
      </w:r>
      <w:r w:rsidR="005030B6" w:rsidRPr="00381924">
        <w:t>.</w:t>
      </w:r>
    </w:p>
    <w:p w14:paraId="063CD4F4" w14:textId="71682CFB" w:rsidR="008554F5" w:rsidRPr="00381924" w:rsidRDefault="008554F5" w:rsidP="004860E9">
      <w:pPr>
        <w:spacing w:line="360" w:lineRule="auto"/>
      </w:pPr>
      <w:r w:rsidRPr="00381924">
        <w:t xml:space="preserve">Samples were collected in 0.5 L </w:t>
      </w:r>
      <w:r w:rsidR="00D756DE" w:rsidRPr="00381924">
        <w:t xml:space="preserve">high-density </w:t>
      </w:r>
      <w:r w:rsidRPr="00381924">
        <w:t>polyethylene bottles that had been thoroughly precleaned with deionized water, 10% nitric acid, and distilled water to eliminate contamination risk. Before each sample was drawn, the borehole was pumped for approximately five minutes to purge the standing column and ensure that representative formation water was collected. Groundwater was then filtered through hand-held syringes fitted with 0.45 μm cellulose acetate filter membranes to remove suspended particulates. The sealed bottles were stored in an ice chest at 4 °C and transported to the Ghana Atomic Energy Commission (GAEC) Laboratory for ion analysis.</w:t>
      </w:r>
    </w:p>
    <w:p w14:paraId="4B14A5AC" w14:textId="1D3BE791" w:rsidR="008554F5" w:rsidRPr="00381924" w:rsidRDefault="008554F5" w:rsidP="004860E9">
      <w:pPr>
        <w:spacing w:line="360" w:lineRule="auto"/>
      </w:pPr>
      <w:r w:rsidRPr="00381924">
        <w:t>Each sample was characterised by 12 measured hydrochemical variables: three field parameters</w:t>
      </w:r>
      <w:r w:rsidR="00B537FE" w:rsidRPr="00381924">
        <w:t xml:space="preserve">, </w:t>
      </w:r>
      <w:r w:rsidRPr="00381924">
        <w:t xml:space="preserve"> pH, electrical conductivity (EC), and total dissolved solids (TDS)</w:t>
      </w:r>
      <w:r w:rsidR="00B537FE" w:rsidRPr="00381924">
        <w:t xml:space="preserve">, </w:t>
      </w:r>
      <w:r w:rsidRPr="00381924">
        <w:t xml:space="preserve"> and nine major dissolved constituents</w:t>
      </w:r>
      <w:r w:rsidR="00B537FE" w:rsidRPr="00381924">
        <w:t xml:space="preserve">, </w:t>
      </w:r>
      <w:r w:rsidRPr="00381924">
        <w:t xml:space="preserve"> sodium (Na⁺), potassium (K⁺), magnesium (Mg²⁺), calcium (Ca²⁺), chloride (Cl⁻), sulphate (SO₄²⁻), bicarbonate (HCO₃⁻), nitrate (NO₃⁻), and fluoride (F⁻). Temperature, pH, EC, and TDS were measured in situ using calibrated water quality probes at the time of sampling. In the laboratory, the anions Cl⁻, SO₄²⁻, F⁻, and NO₃⁻ were determined by ion chromatography using a DIONEX ICS-90 system (Dionex Corporation, California, USA). HCO₃⁻ concentrations were determined by in situ titration using a HACH® digital titrator (model 1690001; Hach Company, Loveland, Colorado, USA). The cations K⁺ and Na⁺ were measured using a flame photometer (FP910-4), while Ca²⁺ and Mg²⁺ concentrations were determined by an AA2OFS Fast Sequential atomic absorption spectrometer. Analytical accuracy and precision were verified using BCR 398 and 399 certified reference materials (CRMs), with continuous internal quality validation through repeated analyses of standards and samples, yielding a precision of ≤5% for all ions. Figure 1 provides the cartographic </w:t>
      </w:r>
      <w:r w:rsidRPr="00381924">
        <w:lastRenderedPageBreak/>
        <w:t>context for the sampling network and shows the distribution of sites relative to the mapped geological units and fault traces.</w:t>
      </w:r>
    </w:p>
    <w:p w14:paraId="6CD502F5" w14:textId="29FE9E66" w:rsidR="001F607B" w:rsidRPr="00381924" w:rsidRDefault="00000000" w:rsidP="004860E9">
      <w:pPr>
        <w:pStyle w:val="Heading2"/>
        <w:spacing w:line="360" w:lineRule="auto"/>
      </w:pPr>
      <w:bookmarkStart w:id="14" w:name="Xfbfe7fe4b168866bc7b8193dd0a95fcce4ad93c"/>
      <w:bookmarkEnd w:id="13"/>
      <w:r w:rsidRPr="00381924">
        <w:t>Preprocessing and Stoichiometric Conversion</w:t>
      </w:r>
    </w:p>
    <w:p w14:paraId="42DF6D03" w14:textId="09D16839" w:rsidR="001F607B" w:rsidRPr="00381924" w:rsidRDefault="00000000" w:rsidP="004860E9">
      <w:pPr>
        <w:spacing w:line="360" w:lineRule="auto"/>
      </w:pPr>
      <w:r w:rsidRPr="00381924">
        <w:t>Prior to multivariate analysis, relevant ionic concentrations were converted from mg/L to milliequivalents per litre (</w:t>
      </w:r>
      <w:proofErr w:type="spellStart"/>
      <w:r w:rsidRPr="00381924">
        <w:t>meq</w:t>
      </w:r>
      <w:proofErr w:type="spellEnd"/>
      <w:r w:rsidRPr="00381924">
        <w:t>/L) using valence-based stoichiometric factors. Charge-balance error (CBE) was computed for each sample from the ratio of the difference between summed cationic and anionic equivalents to their total sum, expressed as a percentage. Samples with CBE values within an acceptable analytical tolerance were retained without modification</w:t>
      </w:r>
      <w:r w:rsidR="00CC7237" w:rsidRPr="00381924">
        <w:t>.</w:t>
      </w:r>
      <w:r w:rsidRPr="00381924">
        <w:t xml:space="preserve"> </w:t>
      </w:r>
    </w:p>
    <w:p w14:paraId="1065D73F" w14:textId="308BA661" w:rsidR="001F607B" w:rsidRPr="00381924" w:rsidRDefault="00000000" w:rsidP="004860E9">
      <w:pPr>
        <w:spacing w:line="360" w:lineRule="auto"/>
      </w:pPr>
      <w:r w:rsidRPr="00381924">
        <w:t xml:space="preserve">The measured variables were partitioned into two functional blocks for downstream modelling. The compositional hydrochemical block, consisting of </w:t>
      </w:r>
      <w:r w:rsidR="00D756DE" w:rsidRPr="00381924">
        <w:t>Ca²⁺, Mg²⁺, Na⁺, K⁺, HCO₃⁻, Cl⁻, SO₄²⁻, NO₃⁻, and F⁻</w:t>
      </w:r>
      <w:r w:rsidRPr="00381924">
        <w:t>, was treated as a nine-part composition subject to ILR</w:t>
      </w:r>
      <w:r w:rsidR="00D756DE" w:rsidRPr="00381924">
        <w:t xml:space="preserve"> </w:t>
      </w:r>
      <w:r w:rsidRPr="00381924">
        <w:t xml:space="preserve">transformation before any multivariate analysis. The field and non-compositional block, consisting of pH, EC, and TDS, was handled outside the compositional framework and used directly in water-quality indexing and as predictors in the augmented endpoint-driver models. For endpoint-driver modelling, an augmented predictor block was constructed by combining log-transformed ionic concentrations, field variables, and derived geochemical indices and proxies including the chloro-alkaline indices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1</m:t>
            </m:r>
          </m:sub>
        </m:sSub>
      </m:oMath>
      <w:r w:rsidRPr="00381924">
        <w:t xml:space="preserve"> and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the Na/Cl molar ratio, the Ca/HCO₃ ratio, the Mg/Ca ratio, a silicate weathering proxy, and a carbonate weathering proxy. Nitrate and fluoride served explicitly as health-risk endpoints throughout the assessment space.</w:t>
      </w:r>
    </w:p>
    <w:p w14:paraId="2DFF467B" w14:textId="3FF9D013" w:rsidR="001F607B" w:rsidRPr="00381924" w:rsidRDefault="00000000" w:rsidP="004860E9">
      <w:pPr>
        <w:pStyle w:val="Heading2"/>
        <w:spacing w:line="360" w:lineRule="auto"/>
      </w:pPr>
      <w:bookmarkStart w:id="15" w:name="npls-gwqi"/>
      <w:bookmarkEnd w:id="14"/>
      <w:r w:rsidRPr="00381924">
        <w:t>NPLS-GWQI</w:t>
      </w:r>
    </w:p>
    <w:p w14:paraId="2E2EA54D" w14:textId="76E6F9CF" w:rsidR="00AF5C2F" w:rsidRPr="00381924" w:rsidRDefault="00AF5C2F" w:rsidP="004860E9">
      <w:pPr>
        <w:spacing w:line="360" w:lineRule="auto"/>
      </w:pPr>
      <w:r w:rsidRPr="00381924">
        <w:t xml:space="preserve">Groundwater quality was assessed using a neutrosophic partial least squares groundwater quality index (NPLS-GWQI), a framework </w:t>
      </w:r>
      <w:r w:rsidR="00577CC4" w:rsidRPr="00381924">
        <w:t xml:space="preserve">which in principle </w:t>
      </w:r>
      <w:r w:rsidRPr="00381924">
        <w:t xml:space="preserve">addresses key limitations of conventional arithmetic indices by incorporating threshold uncertainty, variable reliability, and ambiguity in class membership </w:t>
      </w:r>
      <w:r w:rsidR="00077B6F" w:rsidRPr="00381924">
        <w:fldChar w:fldCharType="begin" w:fldLock="1"/>
      </w:r>
      <w:r w:rsidR="00C63B09">
        <w:instrText>ADDIN CSL_CITATION {"citationItems":[{"id":"ITEM-1","itemData":{"DOI":"10.1007/s11157-023-09650-7","ISSN":"15729826","abstract":"Water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Biotechnology","id":"ITEM-1","issue":"2","issued":{"date-parts":[["2023"]]},"page":"349-395","title":"A comprehensive review of water quality indices (WQIs): history, models, attempts and perspectives","type":"article-journal","volume":"22"},"uris":["http://www.mendeley.com/documents/?uuid=0e7b5a47-cc86-4c31-88ee-97779d810587"]},{"id":"ITEM-2","itemData":{"DOI":"10.1016/j.ecolind.2020.106653","ISSN":"1470160X","abstract":"Water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Indicators","id":"ITEM-2","issued":{"date-parts":[["2020"]]},"title":"Uncertainty analysis of water quality index (WQI) for groundwater quality evaluation: Application of Monte-Carlo method for weight allocation","type":"article-journal","volume":"117"},"uris":["http://www.mendeley.com/documents/?uuid=03883274-81ed-4abb-9c71-3ec0c6a0abb5"]}],"mendeley":{"formattedCitation":"&lt;sup&gt;9,10&lt;/sup&gt;","plainTextFormattedCitation":"9,10","previouslyFormattedCitation":"&lt;sup&gt;9,10&lt;/sup&gt;"},"properties":{"noteIndex":0},"schema":"https://github.com/citation-style-language/schema/raw/master/csl-citation.json"}</w:instrText>
      </w:r>
      <w:r w:rsidR="00077B6F" w:rsidRPr="00381924">
        <w:fldChar w:fldCharType="separate"/>
      </w:r>
      <w:r w:rsidR="009622BA" w:rsidRPr="009622BA">
        <w:rPr>
          <w:noProof/>
          <w:vertAlign w:val="superscript"/>
        </w:rPr>
        <w:t>9,10</w:t>
      </w:r>
      <w:r w:rsidR="00077B6F" w:rsidRPr="00381924">
        <w:fldChar w:fldCharType="end"/>
      </w:r>
      <w:r w:rsidRPr="00381924">
        <w:t xml:space="preserve">. Each measured variable was first normalised against its corresponding </w:t>
      </w:r>
      <w:r w:rsidR="006B5F6B" w:rsidRPr="00381924">
        <w:t xml:space="preserve">WHO or Ghana Standards Authority (GSA) guideline value </w:t>
      </w:r>
      <w:r w:rsidR="00F63F55" w:rsidRPr="00381924">
        <w:fldChar w:fldCharType="begin" w:fldLock="1"/>
      </w:r>
      <w:r w:rsidR="00035024">
        <w:instrText>ADDIN CSL_CITATION {"citationItems":[{"id":"ITEM-1","itemData":{"author":[{"dropping-particle":"","family":"WHO/UNICEF","given":"","non-dropping-particle":"","parse-names":false,"suffix":""}],"container-title":"Newsroom","id":"ITEM-1","issued":{"date-parts":[["2019"]]},"title":"Drinking-water","type":"webpage"},"uris":["http://www.mendeley.com/documents/?uuid=58e16e36-319f-4dab-a885-05d3a9016bb6"]}],"mendeley":{"formattedCitation":"&lt;sup&gt;35&lt;/sup&gt;","plainTextFormattedCitation":"35","previouslyFormattedCitation":"&lt;sup&gt;35&lt;/sup&gt;"},"properties":{"noteIndex":0},"schema":"https://github.com/citation-style-language/schema/raw/master/csl-citation.json"}</w:instrText>
      </w:r>
      <w:r w:rsidR="00F63F55" w:rsidRPr="00381924">
        <w:fldChar w:fldCharType="separate"/>
      </w:r>
      <w:r w:rsidR="0071152F" w:rsidRPr="0071152F">
        <w:rPr>
          <w:noProof/>
          <w:vertAlign w:val="superscript"/>
        </w:rPr>
        <w:t>35</w:t>
      </w:r>
      <w:r w:rsidR="00F63F55" w:rsidRPr="00381924">
        <w:fldChar w:fldCharType="end"/>
      </w:r>
      <w:r w:rsidRPr="00381924">
        <w:t xml:space="preserve"> to produce a parameter-specific sub-index,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0C2756" w:rsidRPr="00381924">
        <w:t xml:space="preserve">. </w:t>
      </w:r>
      <w:r w:rsidRPr="00381924">
        <w:t>A bipolar hazard treatment was applied to pH rather than a unidirectional upper-threshold penalty, reflecting the fact that both acidic and highly alkaline deviations from neutrality represent quality concerns.</w:t>
      </w:r>
      <w:r w:rsidR="00E62D83" w:rsidRPr="00381924">
        <w:t xml:space="preserve"> </w:t>
      </w:r>
      <w:r w:rsidRPr="00381924">
        <w:t>Neutrosophic membership was modelled through three independent components</w:t>
      </w:r>
      <w:r w:rsidR="00CC639B" w:rsidRPr="00381924">
        <w:t>,</w:t>
      </w:r>
      <w:r w:rsidR="006D0E82" w:rsidRPr="00381924">
        <w:t xml:space="preserve"> </w:t>
      </w:r>
      <w:r w:rsidRPr="00381924">
        <w:t>truth (</w:t>
      </w:r>
      <m:oMath>
        <m:r>
          <w:rPr>
            <w:rFonts w:ascii="Cambria Math" w:hAnsi="Cambria Math"/>
          </w:rPr>
          <m:t>T</m:t>
        </m:r>
      </m:oMath>
      <w:r w:rsidRPr="00381924">
        <w:t>), indeterminacy (</w:t>
      </w:r>
      <m:oMath>
        <m:r>
          <w:rPr>
            <w:rFonts w:ascii="Cambria Math" w:hAnsi="Cambria Math"/>
          </w:rPr>
          <m:t>I</m:t>
        </m:r>
      </m:oMath>
      <w:r w:rsidRPr="00381924">
        <w:t xml:space="preserve">), and </w:t>
      </w:r>
      <w:r w:rsidRPr="00381924">
        <w:lastRenderedPageBreak/>
        <w:t>falsity (</w:t>
      </w:r>
      <m:oMath>
        <m:r>
          <w:rPr>
            <w:rFonts w:ascii="Cambria Math" w:hAnsi="Cambria Math"/>
          </w:rPr>
          <m:t>F</m:t>
        </m:r>
      </m:oMath>
      <w:r w:rsidRPr="00381924">
        <w:t>)</w:t>
      </w:r>
      <w:r w:rsidR="00CC639B" w:rsidRPr="00381924">
        <w:t>,</w:t>
      </w:r>
      <w:r w:rsidR="006D0E82" w:rsidRPr="00381924">
        <w:t xml:space="preserve"> </w:t>
      </w:r>
      <w:r w:rsidRPr="00381924">
        <w:t xml:space="preserve">which capture the degree to which a sample definitively meets, ambiguously approaches, or clearly fails the adopted quality standard. </w:t>
      </w:r>
    </w:p>
    <w:p w14:paraId="5AE63260" w14:textId="61676B01" w:rsidR="00AF5C2F" w:rsidRPr="00381924" w:rsidRDefault="00AF5C2F" w:rsidP="004860E9">
      <w:pPr>
        <w:spacing w:line="360" w:lineRule="auto"/>
      </w:pPr>
      <w:r w:rsidRPr="00381924">
        <w:t xml:space="preserve">To transition from parameter-level memberships to a singular index, variable importance weights were estimated using the </w:t>
      </w:r>
      <w:proofErr w:type="spellStart"/>
      <w:r w:rsidRPr="00381924">
        <w:t>neutrosophic_pls</w:t>
      </w:r>
      <w:proofErr w:type="spellEnd"/>
      <w:r w:rsidR="00FC528E" w:rsidRPr="00381924">
        <w:t xml:space="preserve"> (see </w:t>
      </w:r>
      <w:proofErr w:type="spellStart"/>
      <w:r w:rsidR="00FC528E" w:rsidRPr="00381924">
        <w:t>git</w:t>
      </w:r>
      <w:r w:rsidR="009A50AD" w:rsidRPr="00381924">
        <w:t>hub</w:t>
      </w:r>
      <w:proofErr w:type="spellEnd"/>
      <w:r w:rsidR="00FC528E" w:rsidRPr="00381924">
        <w:t xml:space="preserve"> repo at </w:t>
      </w:r>
      <w:hyperlink r:id="rId6" w:history="1">
        <w:r w:rsidR="00FC528E" w:rsidRPr="00381924">
          <w:rPr>
            <w:rStyle w:val="Hyperlink"/>
            <w:color w:val="auto"/>
          </w:rPr>
          <w:t>https://github.com/dabdul-wahab1988/neutrosophic_pls</w:t>
        </w:r>
      </w:hyperlink>
      <w:r w:rsidR="00FC528E" w:rsidRPr="00381924">
        <w:t>)</w:t>
      </w:r>
      <w:r w:rsidRPr="00381924">
        <w:t xml:space="preserve"> computational package </w:t>
      </w:r>
      <w:r w:rsidR="007A7708" w:rsidRPr="00381924">
        <w:fldChar w:fldCharType="begin" w:fldLock="1"/>
      </w:r>
      <w:r w:rsidR="00035024">
        <w:instrText>ADDIN CSL_CITATION {"citationItems":[{"id":"ITEM-1","itemData":{"DOI":"10.5281/zenodo.18131413","author":[{"dropping-particle":"","family":"Asare","given":"Ebenezer Aquisman","non-dropping-particle":"","parse-names":false,"suffix":""},{"dropping-particle":"","family":"Abdul-Wahab","given":"Dickson","non-dropping-particle":"","parse-names":false,"suffix":""}],"id":"ITEM-1","issued":{"date-parts":[["2026","1"]]},"publisher":"Zenodo","title":"Neutrosophic Partial Least Squares (N-PLS)","type":"article"},"uris":["http://www.mendeley.com/documents/?uuid=e151f2bd-dd5e-49c1-bcab-ab433319b4e8"]}],"mendeley":{"formattedCitation":"&lt;sup&gt;36&lt;/sup&gt;","plainTextFormattedCitation":"36","previouslyFormattedCitation":"&lt;sup&gt;36&lt;/sup&gt;"},"properties":{"noteIndex":0},"schema":"https://github.com/citation-style-language/schema/raw/master/csl-citation.json"}</w:instrText>
      </w:r>
      <w:r w:rsidR="007A7708" w:rsidRPr="00381924">
        <w:fldChar w:fldCharType="separate"/>
      </w:r>
      <w:r w:rsidR="0071152F" w:rsidRPr="0071152F">
        <w:rPr>
          <w:noProof/>
          <w:vertAlign w:val="superscript"/>
        </w:rPr>
        <w:t>36</w:t>
      </w:r>
      <w:r w:rsidR="007A7708" w:rsidRPr="00381924">
        <w:fldChar w:fldCharType="end"/>
      </w:r>
      <w:r w:rsidRPr="00381924">
        <w:t>. Specifically, weights were derived via bootstrapped neutrosophic variable importance in projection (N-VIP)</w:t>
      </w:r>
      <w:r w:rsidR="007A1801" w:rsidRPr="00381924">
        <w:t xml:space="preserve"> (see details in supplementary method S1)</w:t>
      </w:r>
      <w:r w:rsidRPr="00381924">
        <w:t xml:space="preserve">. By recalculating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381924">
        <w:t>, across repeated resamples of the neutrosophic dataset, the algorithm extracts dynamic, data-driven variable contributions rather than relying on fixed, expert-assigned weights.</w:t>
      </w:r>
      <w:r w:rsidR="000C2756" w:rsidRPr="00381924">
        <w:t xml:space="preserve"> Details of the </w:t>
      </w:r>
      <w:r w:rsidR="00F734BB" w:rsidRPr="00381924">
        <w:t xml:space="preserve">NPLS-GWQI formulation is presented in </w:t>
      </w:r>
      <w:r w:rsidR="00B2470F" w:rsidRPr="00381924">
        <w:t>S</w:t>
      </w:r>
      <w:r w:rsidR="00F734BB" w:rsidRPr="00381924">
        <w:t xml:space="preserve">upplementary </w:t>
      </w:r>
      <w:r w:rsidR="00B2470F" w:rsidRPr="00381924">
        <w:t>methodology</w:t>
      </w:r>
      <w:r w:rsidR="00AF6B85" w:rsidRPr="00381924">
        <w:t xml:space="preserve"> S1. </w:t>
      </w:r>
      <w:r w:rsidRPr="00381924">
        <w:t>The final NPLS-GWQI score for each sample was computed as the weighted sum of the truth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4"/>
        <w:gridCol w:w="818"/>
      </w:tblGrid>
      <w:tr w:rsidR="00B2470F" w:rsidRPr="00381924" w14:paraId="58E52F5B" w14:textId="77777777" w:rsidTr="00230083">
        <w:tc>
          <w:tcPr>
            <w:tcW w:w="8388" w:type="dxa"/>
          </w:tcPr>
          <w:p w14:paraId="503FB329" w14:textId="2F1963F3" w:rsidR="00100373" w:rsidRPr="00381924" w:rsidRDefault="00000000" w:rsidP="004860E9">
            <w:pPr>
              <w:spacing w:after="200" w:line="360" w:lineRule="auto"/>
              <w:rPr>
                <w:iCs/>
                <w:lang w:val="it-IT"/>
              </w:rPr>
            </w:pPr>
            <m:oMathPara>
              <m:oMath>
                <m:sSub>
                  <m:sSubPr>
                    <m:ctrlPr>
                      <w:rPr>
                        <w:rFonts w:ascii="Cambria Math" w:hAnsi="Cambria Math"/>
                        <w:i/>
                      </w:rPr>
                    </m:ctrlPr>
                  </m:sSubPr>
                  <m:e>
                    <m:r>
                      <m:rPr>
                        <m:nor/>
                      </m:rPr>
                      <w:rPr>
                        <w:lang w:val="it-IT"/>
                      </w:rPr>
                      <m:t>NPLS-GWQI</m:t>
                    </m:r>
                    <m:ctrlPr>
                      <w:rPr>
                        <w:rFonts w:ascii="Cambria Math" w:hAnsi="Cambria Math"/>
                      </w:rPr>
                    </m:ctrlPr>
                  </m:e>
                  <m:sub>
                    <m:r>
                      <w:rPr>
                        <w:rFonts w:ascii="Cambria Math" w:hAnsi="Cambria Math"/>
                      </w:rPr>
                      <m:t>s</m:t>
                    </m:r>
                  </m:sub>
                </m:sSub>
                <m:r>
                  <w:rPr>
                    <w:rFonts w:ascii="Cambria Math" w:hAnsi="Cambria Math"/>
                    <w:lang w:val="it-IT"/>
                  </w:rPr>
                  <m:t>=</m:t>
                </m:r>
                <m:sSub>
                  <m:sSubPr>
                    <m:ctrlPr>
                      <w:rPr>
                        <w:rFonts w:ascii="Cambria Math" w:hAnsi="Cambria Math"/>
                        <w:i/>
                        <w:iCs/>
                      </w:rPr>
                    </m:ctrlPr>
                  </m:sSubPr>
                  <m:e>
                    <m:r>
                      <m:rPr>
                        <m:sty m:val="p"/>
                      </m:rPr>
                      <w:rPr>
                        <w:rFonts w:ascii="Cambria Math" w:hAnsi="Cambria Math"/>
                      </w:rPr>
                      <m:t>Π</m:t>
                    </m:r>
                  </m:e>
                  <m:sub>
                    <m:r>
                      <w:rPr>
                        <w:rFonts w:ascii="Cambria Math" w:hAnsi="Cambria Math"/>
                      </w:rPr>
                      <m:t>s</m:t>
                    </m:r>
                  </m:sub>
                </m:sSub>
                <m:r>
                  <m:rPr>
                    <m:sty m:val="p"/>
                  </m:rPr>
                  <w:rPr>
                    <w:rFonts w:ascii="Cambria Math" w:hAnsi="Cambria Math"/>
                    <w:lang w:val="it-IT"/>
                  </w:rPr>
                  <m:t>⋅</m:t>
                </m:r>
                <m:nary>
                  <m:naryPr>
                    <m:chr m:val="∑"/>
                    <m:ctrlPr>
                      <w:rPr>
                        <w:rFonts w:ascii="Cambria Math" w:hAnsi="Cambria Math"/>
                        <w:iCs/>
                      </w:rPr>
                    </m:ctrlPr>
                  </m:naryPr>
                  <m:sub>
                    <m:r>
                      <w:rPr>
                        <w:rFonts w:ascii="Cambria Math" w:hAnsi="Cambria Math"/>
                      </w:rPr>
                      <m:t>i</m:t>
                    </m:r>
                    <m:r>
                      <w:rPr>
                        <w:rFonts w:ascii="Cambria Math" w:hAnsi="Cambria Math"/>
                        <w:lang w:val="it-IT"/>
                      </w:rPr>
                      <m:t>=1</m:t>
                    </m:r>
                    <m:ctrlPr>
                      <w:rPr>
                        <w:rFonts w:ascii="Cambria Math" w:hAnsi="Cambria Math"/>
                        <w:i/>
                        <w:iCs/>
                      </w:rPr>
                    </m:ctrlPr>
                  </m:sub>
                  <m:sup>
                    <m:r>
                      <w:rPr>
                        <w:rFonts w:ascii="Cambria Math" w:hAnsi="Cambria Math"/>
                      </w:rPr>
                      <m:t>p</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ctrlPr>
                      <w:rPr>
                        <w:rFonts w:ascii="Cambria Math" w:hAnsi="Cambria Math"/>
                        <w:i/>
                      </w:rPr>
                    </m:ctrlPr>
                  </m:e>
                </m:nary>
                <m:r>
                  <m:rPr>
                    <m:sty m:val="p"/>
                  </m:rPr>
                  <w:rPr>
                    <w:rFonts w:ascii="Cambria Math" w:hAnsi="Cambria Math"/>
                    <w:lang w:val="it-IT"/>
                  </w:rPr>
                  <m:t>⋅</m:t>
                </m:r>
                <m:sSub>
                  <m:sSubPr>
                    <m:ctrlPr>
                      <w:rPr>
                        <w:rFonts w:ascii="Cambria Math" w:hAnsi="Cambria Math"/>
                        <w:i/>
                        <w:iCs/>
                      </w:rPr>
                    </m:ctrlPr>
                  </m:sSubPr>
                  <m:e>
                    <m:r>
                      <m:rPr>
                        <m:nor/>
                      </m:rPr>
                      <w:rPr>
                        <w:iCs/>
                        <w:lang w:val="it-IT"/>
                      </w:rPr>
                      <m:t>SI</m:t>
                    </m:r>
                    <m:ctrlPr>
                      <w:rPr>
                        <w:rFonts w:ascii="Cambria Math" w:hAnsi="Cambria Math"/>
                        <w:iCs/>
                      </w:rPr>
                    </m:ctrlPr>
                  </m:e>
                  <m:sub>
                    <m:r>
                      <w:rPr>
                        <w:rFonts w:ascii="Cambria Math" w:hAnsi="Cambria Math"/>
                      </w:rPr>
                      <m:t>i</m:t>
                    </m:r>
                    <m:r>
                      <w:rPr>
                        <w:rFonts w:ascii="Cambria Math" w:hAnsi="Cambria Math"/>
                        <w:lang w:val="it-IT"/>
                      </w:rPr>
                      <m:t>,</m:t>
                    </m:r>
                    <m:r>
                      <w:rPr>
                        <w:rFonts w:ascii="Cambria Math" w:hAnsi="Cambria Math"/>
                      </w:rPr>
                      <m:t>s</m:t>
                    </m:r>
                  </m:sub>
                </m:sSub>
              </m:oMath>
            </m:oMathPara>
          </w:p>
        </w:tc>
        <w:tc>
          <w:tcPr>
            <w:tcW w:w="854" w:type="dxa"/>
          </w:tcPr>
          <w:p w14:paraId="36C90582" w14:textId="7B26DEB1" w:rsidR="00100373" w:rsidRPr="00381924" w:rsidRDefault="00100373" w:rsidP="004860E9">
            <w:pPr>
              <w:spacing w:after="200" w:line="360" w:lineRule="auto"/>
            </w:pPr>
            <w:r w:rsidRPr="00381924">
              <w:t>(</w:t>
            </w:r>
            <w:fldSimple w:instr=" SEQ Equation \* MERGEFORMAT ">
              <w:r w:rsidR="001B5330" w:rsidRPr="00381924">
                <w:rPr>
                  <w:noProof/>
                </w:rPr>
                <w:t>1</w:t>
              </w:r>
            </w:fldSimple>
            <w:r w:rsidRPr="00381924">
              <w:t>)</w:t>
            </w:r>
          </w:p>
        </w:tc>
      </w:tr>
    </w:tbl>
    <w:p w14:paraId="43018C4B" w14:textId="2765E29F" w:rsidR="00AF5C2F" w:rsidRPr="00381924" w:rsidRDefault="00AF66DC" w:rsidP="004860E9">
      <w:pPr>
        <w:spacing w:line="360" w:lineRule="auto"/>
      </w:pPr>
      <w:r w:rsidRPr="00381924">
        <w:rPr>
          <w:rFonts w:eastAsiaTheme="minorEastAsia"/>
        </w:rPr>
        <w:t>w</w:t>
      </w:r>
      <w:r w:rsidR="00085A6D" w:rsidRPr="00381924">
        <w:rPr>
          <w:rFonts w:eastAsiaTheme="minorEastAsia"/>
        </w:rPr>
        <w:t xml:space="preserve">here, </w:t>
      </w:r>
      <m:oMath>
        <m:sSub>
          <m:sSubPr>
            <m:ctrlPr>
              <w:rPr>
                <w:rFonts w:ascii="Cambria Math" w:hAnsi="Cambria Math"/>
                <w:i/>
              </w:rPr>
            </m:ctrlPr>
          </m:sSubPr>
          <m:e>
            <m:r>
              <m:rPr>
                <m:nor/>
              </m:rPr>
              <w:rPr>
                <w:rFonts w:ascii="Cambria Math" w:hAnsi="Cambria Math"/>
              </w:rPr>
              <m:t>NPLS-GWQI</m:t>
            </m:r>
            <m:ctrlPr>
              <w:rPr>
                <w:rFonts w:ascii="Cambria Math" w:hAnsi="Cambria Math"/>
              </w:rPr>
            </m:ctrlPr>
          </m:e>
          <m:sub>
            <m:r>
              <w:rPr>
                <w:rFonts w:ascii="Cambria Math" w:hAnsi="Cambria Math"/>
              </w:rPr>
              <m:t>s</m:t>
            </m:r>
          </m:sub>
        </m:sSub>
      </m:oMath>
      <w:r w:rsidR="00085A6D" w:rsidRPr="00381924">
        <w:t xml:space="preserve"> is t</w:t>
      </w:r>
      <w:r w:rsidR="00F30E00" w:rsidRPr="00381924">
        <w:t xml:space="preserve">he final Neutrosophic Partial Least Squares Groundwater Quality Index score for a specific groundwater sample </w:t>
      </w:r>
      <m:oMath>
        <m:r>
          <w:rPr>
            <w:rFonts w:ascii="Cambria Math" w:hAnsi="Cambria Math"/>
          </w:rPr>
          <m:t>s</m:t>
        </m:r>
      </m:oMath>
      <w:r w:rsidR="00085A6D" w:rsidRPr="00381924">
        <w:t xml:space="preserv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oMath>
      <w:r w:rsidR="00085A6D" w:rsidRPr="00381924">
        <w:t xml:space="preserve"> is t</w:t>
      </w:r>
      <w:r w:rsidR="00F30E00" w:rsidRPr="00381924">
        <w:t xml:space="preserve">he sensory–aesthetic penalty factor applied to sample </w:t>
      </w:r>
      <m:oMath>
        <m:r>
          <w:rPr>
            <w:rFonts w:ascii="Cambria Math" w:hAnsi="Cambria Math"/>
          </w:rPr>
          <m:t>s</m:t>
        </m:r>
      </m:oMath>
      <w:r w:rsidR="00C83E55" w:rsidRPr="00381924">
        <w:t xml:space="preserve">, </w:t>
      </w:r>
      <m:oMath>
        <m:r>
          <w:rPr>
            <w:rFonts w:ascii="Cambria Math" w:hAnsi="Cambria Math"/>
          </w:rPr>
          <m:t>p</m:t>
        </m:r>
      </m:oMath>
      <w:r w:rsidR="00C83E55" w:rsidRPr="00381924">
        <w:rPr>
          <w:rFonts w:eastAsiaTheme="minorEastAsia"/>
        </w:rPr>
        <w:t xml:space="preserve"> is t</w:t>
      </w:r>
      <w:r w:rsidR="00F30E00" w:rsidRPr="00381924">
        <w:t xml:space="preserve">he total number of hydrochemical parameters included in the index (in this study, </w:t>
      </w:r>
      <m:oMath>
        <m:r>
          <w:rPr>
            <w:rFonts w:ascii="Cambria Math" w:hAnsi="Cambria Math"/>
          </w:rPr>
          <m:t>p = 12</m:t>
        </m:r>
      </m:oMath>
      <w:r w:rsidR="00F30E00" w:rsidRPr="00381924">
        <w:t>)</w:t>
      </w:r>
      <w:r w:rsidR="009A2A64" w:rsidRPr="00381924">
        <w:t xml:space="preserve">, </w:t>
      </w:r>
      <w:r w:rsidR="00F30E00" w:rsidRPr="00381924">
        <w:t xml:space="preserve"> </w:t>
      </w:r>
      <m:oMath>
        <m:r>
          <w:rPr>
            <w:rFonts w:ascii="Cambria Math" w:hAnsi="Cambria Math"/>
          </w:rPr>
          <m:t>i</m:t>
        </m:r>
      </m:oMath>
      <w:r w:rsidR="009A2A64" w:rsidRPr="00381924">
        <w:rPr>
          <w:rFonts w:eastAsiaTheme="minorEastAsia"/>
        </w:rPr>
        <w:t xml:space="preserve"> is t</w:t>
      </w:r>
      <w:r w:rsidR="00F30E00" w:rsidRPr="00381924">
        <w:t>he index representing an individual hydrochemical parameter (e.g., pH, EC, Nitrate)</w:t>
      </w:r>
      <w:r w:rsidR="009A2A64" w:rsidRPr="00381924">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w</m:t>
                </m:r>
              </m:e>
              <m:sub>
                <m:r>
                  <w:rPr>
                    <w:rFonts w:ascii="Cambria Math" w:hAnsi="Cambria Math"/>
                  </w:rPr>
                  <m:t>i</m:t>
                </m:r>
              </m:sub>
            </m:sSub>
          </m:e>
        </m:acc>
      </m:oMath>
      <w:r w:rsidR="009A2A64" w:rsidRPr="00381924">
        <w:rPr>
          <w:rFonts w:eastAsiaTheme="minorEastAsia"/>
        </w:rPr>
        <w:t xml:space="preserve"> is the</w:t>
      </w:r>
      <w:r w:rsidR="00F30E00" w:rsidRPr="00381924">
        <w:t xml:space="preserve"> bootstrap-mean dynamic weight assigned to parameter </w:t>
      </w:r>
      <m:oMath>
        <m:r>
          <w:rPr>
            <w:rFonts w:ascii="Cambria Math" w:hAnsi="Cambria Math"/>
          </w:rPr>
          <m:t>i</m:t>
        </m:r>
      </m:oMath>
      <w:r w:rsidR="00F30E00" w:rsidRPr="00381924">
        <w:t>. These weights are derived using a PLS-based weighting scheme and stabilized via 5</w:t>
      </w:r>
      <w:r w:rsidR="009A2A64" w:rsidRPr="00381924">
        <w:t>0</w:t>
      </w:r>
      <w:r w:rsidR="00F30E00" w:rsidRPr="00381924">
        <w:t>0 bootstrap resamples to reflect the expected contribution of each parameter</w:t>
      </w:r>
      <w:r w:rsidR="009A2A64" w:rsidRPr="00381924">
        <w:t xml:space="preserve">, </w:t>
      </w:r>
      <w:r w:rsidR="00F30E00" w:rsidRPr="00381924">
        <w:t xml:space="preserve"> </w:t>
      </w:r>
      <m:oMath>
        <m:sSub>
          <m:sSubPr>
            <m:ctrlPr>
              <w:rPr>
                <w:rFonts w:ascii="Cambria Math" w:hAnsi="Cambria Math"/>
                <w:i/>
              </w:rPr>
            </m:ctrlPr>
          </m:sSubPr>
          <m:e>
            <m:r>
              <m:rPr>
                <m:nor/>
              </m:rPr>
              <w:rPr>
                <w:rFonts w:ascii="Cambria Math" w:hAnsi="Cambria Math"/>
              </w:rPr>
              <m:t>SI</m:t>
            </m:r>
            <m:ctrlPr>
              <w:rPr>
                <w:rFonts w:ascii="Cambria Math" w:hAnsi="Cambria Math"/>
              </w:rPr>
            </m:ctrlPr>
          </m:e>
          <m:sub>
            <m:r>
              <w:rPr>
                <w:rFonts w:ascii="Cambria Math" w:hAnsi="Cambria Math"/>
              </w:rPr>
              <m:t>i,s</m:t>
            </m:r>
          </m:sub>
        </m:sSub>
      </m:oMath>
      <w:r w:rsidR="009A2A64" w:rsidRPr="00381924">
        <w:rPr>
          <w:rFonts w:eastAsiaTheme="minorEastAsia"/>
        </w:rPr>
        <w:t xml:space="preserve"> is the </w:t>
      </w:r>
      <w:r w:rsidR="00F30E00" w:rsidRPr="00381924">
        <w:t xml:space="preserve">per-parameter sub-index for parameter </w:t>
      </w:r>
      <m:oMath>
        <m:r>
          <w:rPr>
            <w:rFonts w:ascii="Cambria Math" w:hAnsi="Cambria Math"/>
          </w:rPr>
          <m:t>i</m:t>
        </m:r>
      </m:oMath>
      <w:r w:rsidR="00F30E00" w:rsidRPr="00381924">
        <w:t xml:space="preserve"> in sample </w:t>
      </w:r>
      <m:oMath>
        <m:r>
          <w:rPr>
            <w:rFonts w:ascii="Cambria Math" w:hAnsi="Cambria Math"/>
          </w:rPr>
          <m:t>s</m:t>
        </m:r>
      </m:oMath>
      <w:r w:rsidR="00F30E00" w:rsidRPr="00381924">
        <w:t>. It is calculated by multiplying the normalized hazard ratio (</w:t>
      </w:r>
      <m:oMath>
        <m:sSub>
          <m:sSubPr>
            <m:ctrlPr>
              <w:rPr>
                <w:rFonts w:ascii="Cambria Math" w:hAnsi="Cambria Math"/>
                <w:i/>
              </w:rPr>
            </m:ctrlPr>
          </m:sSubPr>
          <m:e>
            <m:r>
              <w:rPr>
                <w:rFonts w:ascii="Cambria Math" w:hAnsi="Cambria Math"/>
              </w:rPr>
              <m:t>q</m:t>
            </m:r>
          </m:e>
          <m:sub>
            <m:r>
              <w:rPr>
                <w:rFonts w:ascii="Cambria Math" w:hAnsi="Cambria Math"/>
              </w:rPr>
              <m:t>i,s</m:t>
            </m:r>
          </m:sub>
        </m:sSub>
      </m:oMath>
      <w:r w:rsidR="00F30E00" w:rsidRPr="00381924">
        <w:t>) by a neutrosophic scalar amplifier (</w:t>
      </w:r>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i,s</m:t>
            </m:r>
          </m:sub>
        </m:sSub>
      </m:oMath>
      <w:r w:rsidR="00F30E00" w:rsidRPr="00381924">
        <w:t>) and a constant factor of 100.</w:t>
      </w:r>
      <w:r w:rsidR="004F73C9" w:rsidRPr="00381924">
        <w:t xml:space="preserve"> </w:t>
      </w:r>
      <w:r w:rsidR="00AF5C2F" w:rsidRPr="00381924">
        <w:t>Final NPLS-GWQI scores were classified into five quality classes</w:t>
      </w:r>
      <w:r w:rsidR="00CC639B" w:rsidRPr="00381924">
        <w:t>,</w:t>
      </w:r>
      <w:r w:rsidR="00BB752F" w:rsidRPr="00381924">
        <w:t xml:space="preserve"> </w:t>
      </w:r>
      <w:r w:rsidR="00AF5C2F" w:rsidRPr="00381924">
        <w:t>Excellent, Good, Poor, Very Poor, and Unsuitable</w:t>
      </w:r>
      <w:r w:rsidR="00B537FE" w:rsidRPr="00381924">
        <w:t>,</w:t>
      </w:r>
      <w:r w:rsidR="00BB752F" w:rsidRPr="00381924">
        <w:t xml:space="preserve"> </w:t>
      </w:r>
      <w:r w:rsidR="00AF5C2F" w:rsidRPr="00381924">
        <w:t>using the standard classification thresholds adopted for neutrosophic groundwater quality indexing</w:t>
      </w:r>
      <w:r w:rsidR="004F73C9" w:rsidRPr="00381924">
        <w:t xml:space="preserve"> (Supplementary method S1.9)</w:t>
      </w:r>
      <w:r w:rsidR="00AF5C2F" w:rsidRPr="00381924">
        <w:t>.</w:t>
      </w:r>
    </w:p>
    <w:p w14:paraId="4124BCC8" w14:textId="6D3F56BA" w:rsidR="001F607B" w:rsidRPr="00381924" w:rsidRDefault="00000000" w:rsidP="004860E9">
      <w:pPr>
        <w:pStyle w:val="Heading2"/>
        <w:spacing w:line="360" w:lineRule="auto"/>
      </w:pPr>
      <w:bookmarkStart w:id="16" w:name="compositional-hydrochemical-discovery"/>
      <w:bookmarkEnd w:id="15"/>
      <w:r w:rsidRPr="00381924">
        <w:t>Compositional Hydrochemical Discovery</w:t>
      </w:r>
    </w:p>
    <w:p w14:paraId="396B2EFB" w14:textId="5ACA0958" w:rsidR="001F607B" w:rsidRPr="00381924" w:rsidRDefault="00000000" w:rsidP="004860E9">
      <w:pPr>
        <w:spacing w:line="360" w:lineRule="auto"/>
      </w:pPr>
      <w:r w:rsidRPr="00381924">
        <w:t xml:space="preserve">Latent hydrochemical processes were identified by applying ILR transformation to the nine-part compositional </w:t>
      </w:r>
      <w:r w:rsidR="00D756DE" w:rsidRPr="00381924">
        <w:t>block, Ca²⁺, Mg²⁺, Na⁺, K⁺, HCO₃⁻, Cl⁻, SO₄²⁻, NO₃⁻, and F⁻, before</w:t>
      </w:r>
      <w:r w:rsidRPr="00381924">
        <w:t xml:space="preserve"> PCA. The ILR transformation maps the </w:t>
      </w:r>
      <m:oMath>
        <m:r>
          <w:rPr>
            <w:rFonts w:ascii="Cambria Math" w:hAnsi="Cambria Math"/>
          </w:rPr>
          <m:t>D</m:t>
        </m:r>
      </m:oMath>
      <w:r w:rsidRPr="00381924">
        <w:t xml:space="preserve">-part simplex into unconstrained </w:t>
      </w:r>
      <m:oMath>
        <m:r>
          <m:rPr>
            <m:sty m:val="p"/>
          </m:rPr>
          <w:rPr>
            <w:rFonts w:ascii="Cambria Math" w:hAnsi="Cambria Math"/>
          </w:rPr>
          <w:lastRenderedPageBreak/>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w:r w:rsidRPr="00381924">
        <w:t xml:space="preserve">-dimensional Euclidean space, eliminating the spurious correlations and distance distortions that arise when PCA is applied directly to raw closed compositions </w:t>
      </w:r>
      <w:r w:rsidR="00E239FE" w:rsidRPr="00381924">
        <w:fldChar w:fldCharType="begin" w:fldLock="1"/>
      </w:r>
      <w:r w:rsidR="00C63B09">
        <w:instrText>ADDIN CSL_CITATION {"citationItems":[{"id":"ITEM-1","itemData":{"DOI":"10.1038/s41598-024-63178-6","ISSN":"20452322","PMID":"38806627","abstract":"This study introduces a novel groundwater pollution index (GPI) formulated through compositional data analysis (CoDa) and robust principal component analysis (RPCA) to enhance groundwater quality assessment. Using groundwater quality monitoring data from sites impacted by the 2010–2011 foot-and-mouth disease outbreak in South Korea, CoDa uncovers critical hydrochemical differences between leachate-influenced and background groundwater. The GPI was developed by selecting key subcompositional parts (NH4+-N, Cl-, and NO3--N) using RPCA, performing the isometric log-ratio (ILR) transformation, and normalizing the results to environmental standards, thereby providing a more precise and accurate assessment of pollution. Validated against government criteria, the GPI has shown its potential as an alternative assessment tool, with its reliability confirmed by receiver operating characteristic curve analysis. This study highlights the essential role of CoDa, especially the ILR -transformation, in overcoming the limitations of traditional statistical methods that often neglect the relative nature of hydrochemical data. Our results emphasize the utility of the GPI in significantly advancing groundwater quality monitoring and management by addressing a methodological gap in the quantitative assessment of groundwater pollution.","author":[{"dropping-particle":"","family":"Oh","given":"Junseop","non-dropping-particle":"","parse-names":false,"suffix":""},{"dropping-particle":"","family":"Kim","given":"Kyoung Ho","non-dropping-particle":"","parse-names":false,"suffix":""},{"dropping-particle":"","family":"Kim","given":"Ho Rim","non-dropping-particle":"","parse-names":false,"suffix":""},{"dropping-particle":"","family":"Park","given":"Sunhwa","non-dropping-particle":"","parse-names":false,"suffix":""},{"dropping-particle":"","family":"Yun","given":"Seong Taek","non-dropping-particle":"","parse-names":false,"suffix":""}],"container-title":"Scientific Reports","id":"ITEM-1","issue":"1","issued":{"date-parts":[["2024","5","28"]]},"page":". [","title":"Using isometric log-ratio in compositional data analysis for developing a groundwater pollution index","type":"article-journal","volume":"14"},"uris":["http://www.mendeley.com/documents/?uuid=71a23dc9-ad11-4ec1-82ed-17ec70275170"]},{"id":"ITEM-2","itemData":{"DOI":"10.1016/j.gexplo.2018.03.003","ISSN":"03756742","abstract":"The Piper diagram has been a staple for the analysis of water chemistry data since its introduction in 1944. It was conceived to be a method for water classification, determination of potential water mixing between end-members, and to aid in the identification of chemical reactions controlling a sample set. This study uses the information gleaned over the years since the release of the Piper diagram and proposes an alternative to it, capturing the strengths of the original diagram while adding new ideas to increase its robustness. The new method uses compositional data analysis to create 4 isometric log-ratio coordinates for the 6 major chemical species analyzed in the Piper diagram and transforms the data to a 4-field bi-plot, the ilr-ion plot. This ilr-ion plot conveys all of the information in the Piper diagram (water mixing, water types, and chemical reactions) while also visualizing additional data, the ability to examine Ca2+/Mg2+ versus Cl-/SO42−. The Piper and the ilr-ion plot were also compared using multiple synthetic and real datasets in order to illustrate the caveats and the advantages of using either diagram to analyze water chemistry data. Although there are challenges with using the ilr-ion plot (e.g., missing or zero values zeros in the dataset must be imputed by positive real numbers), it appears that the use of compositional data analysis coupled with the ilr-ion plot provides a more in-depth and complete analysis of water quality data compared to the original Piper diagram.","author":[{"dropping-particle":"","family":"Shelton","given":"Jenna L.","non-dropping-particle":"","parse-names":false,"suffix":""},{"dropping-particle":"","family":"Engle","given":"Mark A.","non-dropping-particle":"","parse-names":false,"suffix":""},{"dropping-particle":"","family":"Buccianti","given":"Antonella","non-dropping-particle":"","parse-names":false,"suffix":""},{"dropping-particle":"","family":"Blondes","given":"Madalyn S.","non-dropping-particle":"","parse-names":false,"suffix":""}],"container-title":"Journal of Geochemical Exploration","id":"ITEM-2","issued":{"date-parts":[["2018"]]},"page":"130-141","title":"The isometric log-ratio (ilr)-ion plot: A proposed alternative to the Piper diagram","type":"article-journal","volume":"190"},"uris":["http://www.mendeley.com/documents/?uuid=6c971657-a279-4076-a5f1-656c115484df"]}],"mendeley":{"formattedCitation":"&lt;sup&gt;12,13&lt;/sup&gt;","plainTextFormattedCitation":"12,13","previouslyFormattedCitation":"&lt;sup&gt;12,13&lt;/sup&gt;"},"properties":{"noteIndex":0},"schema":"https://github.com/citation-style-language/schema/raw/master/csl-citation.json"}</w:instrText>
      </w:r>
      <w:r w:rsidR="00E239FE" w:rsidRPr="00381924">
        <w:fldChar w:fldCharType="separate"/>
      </w:r>
      <w:r w:rsidR="009622BA" w:rsidRPr="009622BA">
        <w:rPr>
          <w:noProof/>
          <w:vertAlign w:val="superscript"/>
        </w:rPr>
        <w:t>12,13</w:t>
      </w:r>
      <w:r w:rsidR="00E239FE" w:rsidRPr="00381924">
        <w:fldChar w:fldCharType="end"/>
      </w:r>
      <w:r w:rsidRPr="00381924">
        <w:t xml:space="preserve">. Following the sequential binary partition convention, the </w:t>
      </w:r>
      <m:oMath>
        <m:r>
          <w:rPr>
            <w:rFonts w:ascii="Cambria Math" w:hAnsi="Cambria Math"/>
          </w:rPr>
          <m:t>k</m:t>
        </m:r>
      </m:oMath>
      <w:r w:rsidRPr="00381924">
        <w:t>-th ILR coordinate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5"/>
        <w:gridCol w:w="807"/>
      </w:tblGrid>
      <w:tr w:rsidR="00B2470F" w:rsidRPr="00381924" w14:paraId="145C67B5" w14:textId="77777777" w:rsidTr="00EF1479">
        <w:tc>
          <w:tcPr>
            <w:tcW w:w="8388" w:type="dxa"/>
          </w:tcPr>
          <w:p w14:paraId="5A5C60C7" w14:textId="7BEBD212" w:rsidR="00EF1479" w:rsidRPr="00381924" w:rsidRDefault="00000000" w:rsidP="004860E9">
            <w:pPr>
              <w:spacing w:line="360" w:lineRule="auto"/>
              <w:jc w:val="center"/>
            </w:pPr>
            <m:oMathPara>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k</m:t>
                        </m:r>
                        <m:r>
                          <m:rPr>
                            <m:sty m:val="p"/>
                          </m:rPr>
                          <w:rPr>
                            <w:rFonts w:ascii="Cambria Math" w:hAnsi="Cambria Math"/>
                          </w:rPr>
                          <m:t>+</m:t>
                        </m:r>
                        <m:r>
                          <w:rPr>
                            <w:rFonts w:ascii="Cambria Math" w:hAnsi="Cambria Math"/>
                          </w:rPr>
                          <m:t>1</m:t>
                        </m:r>
                      </m:den>
                    </m:f>
                  </m:e>
                </m:rad>
                <m:r>
                  <m:rPr>
                    <m:sty m:val="p"/>
                  </m:rPr>
                  <w:rPr>
                    <w:rFonts w:ascii="Cambria Math" w:hAnsi="Cambria Math"/>
                  </w:rPr>
                  <m:t>ln</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j</m:t>
                                    </m:r>
                                  </m:sub>
                                </m:sSub>
                              </m:e>
                            </m:nary>
                          </m:e>
                        </m:d>
                      </m:e>
                      <m:sup>
                        <m:r>
                          <w:rPr>
                            <w:rFonts w:ascii="Cambria Math" w:hAnsi="Cambria Math"/>
                          </w:rPr>
                          <m:t>1</m:t>
                        </m:r>
                        <m:r>
                          <m:rPr>
                            <m:sty m:val="p"/>
                          </m:rPr>
                          <w:rPr>
                            <w:rFonts w:ascii="Cambria Math" w:hAnsi="Cambria Math"/>
                          </w:rPr>
                          <m:t>/</m:t>
                        </m:r>
                        <m:r>
                          <w:rPr>
                            <w:rFonts w:ascii="Cambria Math" w:hAnsi="Cambria Math"/>
                          </w:rPr>
                          <m:t>k</m:t>
                        </m:r>
                      </m:sup>
                    </m:sSup>
                  </m:num>
                  <m:den>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oMath>
            </m:oMathPara>
          </w:p>
        </w:tc>
        <w:tc>
          <w:tcPr>
            <w:tcW w:w="854" w:type="dxa"/>
          </w:tcPr>
          <w:p w14:paraId="24F98B29" w14:textId="233CBCA0" w:rsidR="00EF1479" w:rsidRPr="00381924" w:rsidRDefault="00EF1479" w:rsidP="004860E9">
            <w:pPr>
              <w:spacing w:line="360" w:lineRule="auto"/>
              <w:jc w:val="center"/>
            </w:pPr>
            <w:r w:rsidRPr="00381924">
              <w:t>(</w:t>
            </w:r>
            <w:fldSimple w:instr=" SEQ Equation \* MERGEFORMAT ">
              <w:r w:rsidRPr="00381924">
                <w:rPr>
                  <w:noProof/>
                </w:rPr>
                <w:t>2</w:t>
              </w:r>
            </w:fldSimple>
            <w:r w:rsidRPr="00381924">
              <w:t>)</w:t>
            </w:r>
          </w:p>
        </w:tc>
      </w:tr>
    </w:tbl>
    <w:p w14:paraId="00B7418A" w14:textId="712FBF49" w:rsidR="001F607B" w:rsidRPr="00381924" w:rsidRDefault="00000000" w:rsidP="004860E9">
      <w:pPr>
        <w:spacing w:line="360" w:lineRule="auto"/>
      </w:pPr>
      <w:r w:rsidRPr="00381924">
        <w:t xml:space="preserve">where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oMath>
      <w:r w:rsidRPr="00381924">
        <w:t xml:space="preserve"> are the ordered compositional parts (</w:t>
      </w:r>
      <m:oMath>
        <m:r>
          <w:rPr>
            <w:rFonts w:ascii="Cambria Math" w:hAnsi="Cambria Math"/>
          </w:rPr>
          <m:t>D</m:t>
        </m:r>
        <m:r>
          <m:rPr>
            <m:sty m:val="p"/>
          </m:rPr>
          <w:rPr>
            <w:rFonts w:ascii="Cambria Math" w:hAnsi="Cambria Math"/>
          </w:rPr>
          <m:t>=</m:t>
        </m:r>
        <m:r>
          <w:rPr>
            <w:rFonts w:ascii="Cambria Math" w:hAnsi="Cambria Math"/>
          </w:rPr>
          <m:t>9</m:t>
        </m:r>
      </m:oMath>
      <w:r w:rsidRPr="00381924">
        <w:t xml:space="preserve"> for the nine-ion block). The number of components to retain was determined objectively by parallel analysis, which compared observed eigenvalues against the 95th-percentile distribution of eigenvalues derived from repeated random permutations of the data matrix. Components were retained only when the observed eigenvalue exceeded the random threshold, providing a data-supported retention criterion rather than an arbitrary scree-plot cutoff</w:t>
      </w:r>
      <w:r w:rsidR="00D742A6" w:rsidRPr="00381924">
        <w:t xml:space="preserve"> (Figure S1)</w:t>
      </w:r>
      <w:r w:rsidRPr="00381924">
        <w:t>.</w:t>
      </w:r>
    </w:p>
    <w:p w14:paraId="1159F8B1" w14:textId="39149467" w:rsidR="001F607B" w:rsidRPr="00381924" w:rsidRDefault="00000000" w:rsidP="004860E9">
      <w:pPr>
        <w:spacing w:line="360" w:lineRule="auto"/>
      </w:pPr>
      <w:r w:rsidRPr="00381924">
        <w:t xml:space="preserve">PCA was performed in ILR space using robust projection logic to guard against the influence of multivariate outliers, which is particularly important at the relatively small sample size of 34. Component loadings were back-transformed from ILR to centred log-ratio (CLR) space following analysis, enabling geochemically interpretable loading values to be derived for each ion and each retained component. The CLR loading profiles were used to assign conservative process labels, which were subsequently refined using evidence from the deterministic geochemical constraint analysis described in </w:t>
      </w:r>
      <w:r w:rsidR="006B2C99" w:rsidRPr="00381924">
        <w:t xml:space="preserve">section </w:t>
      </w:r>
      <w:r w:rsidRPr="00381924">
        <w:t xml:space="preserve">3.5. </w:t>
      </w:r>
    </w:p>
    <w:p w14:paraId="43A66290" w14:textId="13187DCA" w:rsidR="001F607B" w:rsidRPr="00381924" w:rsidRDefault="00000000" w:rsidP="004860E9">
      <w:pPr>
        <w:pStyle w:val="Heading2"/>
        <w:spacing w:line="360" w:lineRule="auto"/>
      </w:pPr>
      <w:bookmarkStart w:id="17" w:name="deterministic-geochemical-constraints"/>
      <w:bookmarkEnd w:id="16"/>
      <w:r w:rsidRPr="00381924">
        <w:t>Deterministic Geochemical Constraints</w:t>
      </w:r>
    </w:p>
    <w:p w14:paraId="611FFF7F" w14:textId="77777777" w:rsidR="001F607B" w:rsidRPr="00381924" w:rsidRDefault="00000000" w:rsidP="004860E9">
      <w:pPr>
        <w:spacing w:line="360" w:lineRule="auto"/>
      </w:pPr>
      <w:r w:rsidRPr="00381924">
        <w:t xml:space="preserve">A suite of deterministic geochemical indices was computed to constrain and corroborate the process interpretations arising from the compositional discovery step. These indices were derived from the </w:t>
      </w:r>
      <w:proofErr w:type="spellStart"/>
      <w:r w:rsidRPr="00381924">
        <w:t>meq</w:t>
      </w:r>
      <w:proofErr w:type="spellEnd"/>
      <w:r w:rsidRPr="00381924">
        <w:t>/L-converted dataset and provided a classical geochemical audit of the hydrochemical system rather than a competing analytical pathway. Gibbs-domain assignment was performed using reconstructed TDS and the ratio of dominant cationic and anionic species, placing each sample within the precipitation-dominance, rock-weathering, or evaporation-concentration fields of the Gibbs diagram to characterise the overall geochemical control mechanism.</w:t>
      </w:r>
    </w:p>
    <w:p w14:paraId="539AB1BD" w14:textId="2F7F5A5E" w:rsidR="00DA686D" w:rsidRPr="00381924" w:rsidRDefault="00000000" w:rsidP="004860E9">
      <w:pPr>
        <w:spacing w:line="360" w:lineRule="auto"/>
      </w:pPr>
      <w:r w:rsidRPr="00381924">
        <w:lastRenderedPageBreak/>
        <w:t xml:space="preserve">Ion-exchange behaviour was quantified through the chloro-alkaline indices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1</m:t>
            </m:r>
          </m:sub>
        </m:sSub>
      </m:oMath>
      <w:r w:rsidRPr="00381924">
        <w:t xml:space="preserve"> and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xml:space="preserve">, computed from the stoichiometric relationship between chloride and the sodium and potassium concentrations, with strongly negative values indicating forward cation exchange in which calcium and magnesium replace sodium on aquifer mineral surfaces, and positive values indicating reverse exchange. </w:t>
      </w:r>
    </w:p>
    <w:p w14:paraId="239990BE" w14:textId="165D261E" w:rsidR="001F607B" w:rsidRPr="00381924" w:rsidRDefault="00000000" w:rsidP="004860E9">
      <w:pPr>
        <w:spacing w:line="360" w:lineRule="auto"/>
      </w:pPr>
      <w:r w:rsidRPr="00381924">
        <w:t>The Na/Cl molar ratio was used as an indicator of halite dissolution relative to silicate weathering, with values substantially above unity indicating that sodium is derived predominantly from mineral weathering and exchange rather than from simple halite dissolution. A silicate weathering index and a carbonate weathering index were additionally computed to characterise the relative contribution of silicate and carbonate mineral dissolution to the groundwater chemistry.</w:t>
      </w:r>
    </w:p>
    <w:p w14:paraId="55528830" w14:textId="2652E7C6" w:rsidR="001F607B" w:rsidRPr="00381924" w:rsidRDefault="00000000" w:rsidP="004860E9">
      <w:pPr>
        <w:pStyle w:val="Heading2"/>
        <w:spacing w:line="360" w:lineRule="auto"/>
      </w:pPr>
      <w:bookmarkStart w:id="18" w:name="bayesian-endpoint-driver-modelling"/>
      <w:bookmarkEnd w:id="17"/>
      <w:r w:rsidRPr="00381924">
        <w:t>Bayesian Endpoint-Driver Modelling</w:t>
      </w:r>
    </w:p>
    <w:p w14:paraId="1B638783" w14:textId="0DBF5CD5" w:rsidR="00924540" w:rsidRPr="00381924" w:rsidRDefault="00924540" w:rsidP="004860E9">
      <w:pPr>
        <w:spacing w:line="360" w:lineRule="auto"/>
      </w:pPr>
      <w:r w:rsidRPr="00381924">
        <w:t xml:space="preserve">The relative influence of hydrochemical predictors on NPLS-GWQI and on fluoride concentration was quantified using Bayesian horseshoe regression implemented in PyMC. Let </w:t>
      </w:r>
      <m:oMath>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m:t>
            </m:r>
          </m:sup>
        </m:sSubSup>
      </m:oMath>
      <w:r w:rsidRPr="00381924">
        <w:t xml:space="preserve"> denote the standardized endpoint value for sample </w:t>
      </w:r>
      <m:oMath>
        <m:r>
          <w:rPr>
            <w:rFonts w:ascii="Cambria Math" w:hAnsi="Cambria Math"/>
          </w:rPr>
          <m:t>s</m:t>
        </m:r>
      </m:oMath>
      <w:r w:rsidRPr="00381924">
        <w:t xml:space="preserve"> and </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m:t>
            </m:r>
          </m:sup>
        </m:sSubSup>
      </m:oMath>
      <w:r w:rsidRPr="00381924">
        <w:t xml:space="preserve"> the corresponding standardized predictor vector from the augmented hydrochemical block. The model was specified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787"/>
      </w:tblGrid>
      <w:tr w:rsidR="00B2470F" w:rsidRPr="00381924" w14:paraId="77CBF6D9" w14:textId="77777777" w:rsidTr="00DA1BAF">
        <w:tc>
          <w:tcPr>
            <w:tcW w:w="4538" w:type="pct"/>
          </w:tcPr>
          <w:p w14:paraId="09B1DD61" w14:textId="77777777" w:rsidR="00A43F14" w:rsidRPr="00381924" w:rsidRDefault="00000000" w:rsidP="004860E9">
            <w:pPr>
              <w:spacing w:line="360" w:lineRule="auto"/>
              <w:jc w:val="center"/>
              <w:rPr>
                <w:rFonts w:eastAsiaTheme="minorEastAsia"/>
                <w:b/>
                <w:bCs/>
                <w:iCs/>
              </w:rPr>
            </w:pPr>
            <m:oMathPara>
              <m:oMath>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m:t>
                    </m:r>
                  </m:sup>
                </m:sSubSup>
                <m:r>
                  <m:rPr>
                    <m:sty m:val="p"/>
                  </m:rPr>
                  <w:rPr>
                    <w:rFonts w:ascii="Cambria Math" w:hAnsi="Cambria Math"/>
                  </w:rPr>
                  <m:t>∼</m:t>
                </m:r>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,σ</m:t>
                    </m:r>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s</m:t>
                    </m:r>
                  </m:sub>
                </m:sSub>
                <m:r>
                  <w:rPr>
                    <w:rFonts w:ascii="Cambria Math" w:hAnsi="Cambria Math"/>
                  </w:rPr>
                  <m:t>=α+</m:t>
                </m:r>
                <m:sSup>
                  <m:sSupPr>
                    <m:ctrlPr>
                      <w:rPr>
                        <w:rFonts w:ascii="Cambria Math" w:hAnsi="Cambria Math"/>
                        <w:i/>
                      </w:rPr>
                    </m:ctrlPr>
                  </m:sSupPr>
                  <m:e>
                    <m:sSubSup>
                      <m:sSubSupPr>
                        <m:ctrlPr>
                          <w:rPr>
                            <w:rFonts w:ascii="Cambria Math" w:hAnsi="Cambria Math"/>
                            <w:i/>
                          </w:rPr>
                        </m:ctrlPr>
                      </m:sSubSupPr>
                      <m:e>
                        <m:r>
                          <m:rPr>
                            <m:sty m:val="bi"/>
                          </m:rPr>
                          <w:rPr>
                            <w:rFonts w:ascii="Cambria Math" w:hAnsi="Cambria Math"/>
                          </w:rPr>
                          <m:t>x</m:t>
                        </m:r>
                      </m:e>
                      <m:sub>
                        <m:r>
                          <m:rPr>
                            <m:sty m:val="bi"/>
                          </m:rPr>
                          <w:rPr>
                            <w:rFonts w:ascii="Cambria Math" w:hAnsi="Cambria Math"/>
                          </w:rPr>
                          <m:t>s</m:t>
                        </m:r>
                      </m:sub>
                      <m:sup>
                        <m:r>
                          <w:rPr>
                            <w:rFonts w:ascii="Cambria Math" w:hAnsi="Cambria Math"/>
                          </w:rPr>
                          <m:t>*</m:t>
                        </m:r>
                      </m:sup>
                    </m:sSubSup>
                  </m:e>
                  <m:sup>
                    <m:r>
                      <m:rPr>
                        <m:sty m:val="p"/>
                      </m:rPr>
                      <w:rPr>
                        <w:rFonts w:ascii="Cambria Math" w:hAnsi="Cambria Math"/>
                      </w:rPr>
                      <m:t>⊤</m:t>
                    </m:r>
                  </m:sup>
                </m:sSup>
                <m:r>
                  <m:rPr>
                    <m:sty m:val="bi"/>
                  </m:rPr>
                  <w:rPr>
                    <w:rFonts w:ascii="Cambria Math" w:hAnsi="Cambria Math"/>
                  </w:rPr>
                  <m:t>β</m:t>
                </m:r>
              </m:oMath>
            </m:oMathPara>
          </w:p>
          <w:p w14:paraId="4B4DE3A2" w14:textId="5CD083A2" w:rsidR="00A43F14" w:rsidRPr="00381924" w:rsidRDefault="00A43F14" w:rsidP="004860E9">
            <w:pPr>
              <w:spacing w:line="360" w:lineRule="auto"/>
              <w:jc w:val="center"/>
            </w:pPr>
          </w:p>
        </w:tc>
        <w:tc>
          <w:tcPr>
            <w:tcW w:w="462" w:type="pct"/>
          </w:tcPr>
          <w:p w14:paraId="06229572" w14:textId="123CEAD9" w:rsidR="00A43F14" w:rsidRPr="00381924" w:rsidRDefault="00A43F14" w:rsidP="004860E9">
            <w:pPr>
              <w:spacing w:line="360" w:lineRule="auto"/>
              <w:jc w:val="center"/>
            </w:pPr>
            <w:r w:rsidRPr="00381924">
              <w:t>(</w:t>
            </w:r>
            <w:fldSimple w:instr=" SEQ Equation \* MERGEFORMAT ">
              <w:r w:rsidRPr="00381924">
                <w:rPr>
                  <w:noProof/>
                </w:rPr>
                <w:t>3</w:t>
              </w:r>
            </w:fldSimple>
            <w:r w:rsidRPr="00381924">
              <w:t>)</w:t>
            </w:r>
          </w:p>
        </w:tc>
      </w:tr>
    </w:tbl>
    <w:p w14:paraId="618A3384" w14:textId="77777777" w:rsidR="00924540" w:rsidRPr="00381924" w:rsidRDefault="00924540" w:rsidP="004860E9">
      <w:pPr>
        <w:spacing w:line="360" w:lineRule="auto"/>
      </w:pPr>
      <w:r w:rsidRPr="00381924">
        <w:t>with priors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1"/>
        <w:gridCol w:w="881"/>
      </w:tblGrid>
      <w:tr w:rsidR="00B2470F" w:rsidRPr="00381924" w14:paraId="692B682A" w14:textId="77777777" w:rsidTr="00DA1BAF">
        <w:tc>
          <w:tcPr>
            <w:tcW w:w="4483" w:type="pct"/>
          </w:tcPr>
          <w:p w14:paraId="3D2944FB" w14:textId="77777777" w:rsidR="00A43F14" w:rsidRPr="00381924" w:rsidRDefault="00A43F14" w:rsidP="004860E9">
            <w:pPr>
              <w:spacing w:line="360" w:lineRule="auto"/>
              <w:jc w:val="center"/>
              <w:rPr>
                <w:rFonts w:eastAsiaTheme="minorEastAsia"/>
              </w:rPr>
            </w:pPr>
            <m:oMathPara>
              <m:oMath>
                <m:r>
                  <w:rPr>
                    <w:rFonts w:ascii="Cambria Math" w:hAnsi="Cambria Math"/>
                  </w:rPr>
                  <m:t>α</m:t>
                </m:r>
                <m:r>
                  <m:rPr>
                    <m:sty m:val="p"/>
                  </m:rP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0,1</m:t>
                    </m:r>
                  </m:e>
                </m:d>
                <m:r>
                  <w:rPr>
                    <w:rFonts w:ascii="Cambria Math" w:hAnsi="Cambria Math"/>
                  </w:rPr>
                  <m:t>,</m:t>
                </m:r>
                <m:r>
                  <m:rPr>
                    <m:sty m:val="p"/>
                  </m:rPr>
                  <w:rPr>
                    <w:rFonts w:ascii="Cambria Math" w:hAnsi="Cambria Math"/>
                  </w:rPr>
                  <m:t>  </m:t>
                </m:r>
                <m:r>
                  <w:rPr>
                    <w:rFonts w:ascii="Cambria Math" w:hAnsi="Cambria Math"/>
                  </w:rPr>
                  <m:t>σ</m:t>
                </m:r>
                <m:r>
                  <m:rPr>
                    <m:sty m:val="p"/>
                  </m:rPr>
                  <w:rPr>
                    <w:rFonts w:ascii="Cambria Math" w:hAnsi="Cambria Math"/>
                  </w:rPr>
                  <m:t>∼</m:t>
                </m:r>
                <m:r>
                  <m:rPr>
                    <m:nor/>
                  </m:rPr>
                  <w:rPr>
                    <w:rFonts w:ascii="Cambria Math" w:hAnsi="Cambria Math"/>
                  </w:rPr>
                  <m:t>HalfNormal</m:t>
                </m:r>
                <m:d>
                  <m:dPr>
                    <m:ctrlPr>
                      <w:rPr>
                        <w:rFonts w:ascii="Cambria Math" w:hAnsi="Cambria Math"/>
                        <w:i/>
                      </w:rPr>
                    </m:ctrlPr>
                  </m:dPr>
                  <m:e>
                    <m:r>
                      <w:rPr>
                        <w:rFonts w:ascii="Cambria Math" w:hAnsi="Cambria Math"/>
                      </w:rPr>
                      <m:t>1</m:t>
                    </m:r>
                  </m:e>
                </m:d>
                <m:r>
                  <w:rPr>
                    <w:rFonts w:ascii="Cambria Math" w:hAnsi="Cambria Math"/>
                  </w:rPr>
                  <m:t>,</m:t>
                </m:r>
              </m:oMath>
            </m:oMathPara>
          </w:p>
          <w:p w14:paraId="7A722B2E" w14:textId="01853F69" w:rsidR="00F05710" w:rsidRPr="00381924" w:rsidRDefault="00F05710" w:rsidP="004860E9">
            <w:pPr>
              <w:spacing w:line="360" w:lineRule="auto"/>
              <w:jc w:val="center"/>
            </w:pPr>
          </w:p>
        </w:tc>
        <w:tc>
          <w:tcPr>
            <w:tcW w:w="517" w:type="pct"/>
          </w:tcPr>
          <w:p w14:paraId="08EF8E1B" w14:textId="63723D71" w:rsidR="00A43F14" w:rsidRPr="00381924" w:rsidRDefault="00A43F14" w:rsidP="004860E9">
            <w:pPr>
              <w:spacing w:line="360" w:lineRule="auto"/>
              <w:jc w:val="center"/>
            </w:pPr>
            <w:r w:rsidRPr="00381924">
              <w:t>(</w:t>
            </w:r>
            <w:fldSimple w:instr=" SEQ Equation \* MERGEFORMAT ">
              <w:r w:rsidRPr="00381924">
                <w:rPr>
                  <w:noProof/>
                </w:rPr>
                <w:t>4</w:t>
              </w:r>
            </w:fldSimple>
            <w:r w:rsidRPr="00381924">
              <w:t>)</w:t>
            </w:r>
          </w:p>
        </w:tc>
      </w:tr>
      <w:tr w:rsidR="00B2470F" w:rsidRPr="00381924" w14:paraId="05CF7E38" w14:textId="77777777" w:rsidTr="00DA1BAF">
        <w:tc>
          <w:tcPr>
            <w:tcW w:w="4483" w:type="pct"/>
          </w:tcPr>
          <w:p w14:paraId="38BE6AB9" w14:textId="77777777" w:rsidR="00ED7870" w:rsidRPr="00381924" w:rsidRDefault="00000000" w:rsidP="004860E9">
            <w:pPr>
              <w:spacing w:line="360" w:lineRule="auto"/>
              <w:jc w:val="center"/>
              <w:rPr>
                <w:rFonts w:eastAsia="Aptos" w:cs="Times New Roman"/>
              </w:rPr>
            </w:pPr>
            <m:oMathPara>
              <m:oMath>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j</m:t>
                    </m:r>
                  </m:sub>
                </m:sSub>
                <m:r>
                  <w:rPr>
                    <w:rFonts w:ascii="Cambria Math" w:hAnsi="Cambria Math"/>
                  </w:rPr>
                  <m:t>,τ</m:t>
                </m:r>
                <m:r>
                  <m:rPr>
                    <m:sty m:val="p"/>
                  </m:rPr>
                  <w:rPr>
                    <w:rFonts w:ascii="Cambria Math" w:hAnsi="Cambria Math"/>
                  </w:rPr>
                  <m:t>∼</m:t>
                </m:r>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i/>
                          </w:rPr>
                        </m:ctrlPr>
                      </m:sSupPr>
                      <m:e>
                        <m:r>
                          <w:rPr>
                            <w:rFonts w:ascii="Cambria Math" w:hAnsi="Cambria Math"/>
                          </w:rPr>
                          <m:t>τ</m:t>
                        </m:r>
                      </m:e>
                      <m:sup>
                        <m:r>
                          <w:rPr>
                            <w:rFonts w:ascii="Cambria Math" w:hAnsi="Cambria Math"/>
                          </w:rPr>
                          <m:t>2</m:t>
                        </m:r>
                      </m:sup>
                    </m:sSup>
                    <m:sSubSup>
                      <m:sSubSupPr>
                        <m:ctrlPr>
                          <w:rPr>
                            <w:rFonts w:ascii="Cambria Math" w:hAnsi="Cambria Math"/>
                            <w:i/>
                          </w:rPr>
                        </m:ctrlPr>
                      </m:sSubSupPr>
                      <m:e>
                        <m:r>
                          <w:rPr>
                            <w:rFonts w:ascii="Cambria Math" w:hAnsi="Cambria Math"/>
                          </w:rPr>
                          <m:t>λ</m:t>
                        </m:r>
                        <m:ctrlPr>
                          <w:rPr>
                            <w:rFonts w:ascii="Cambria Math" w:hAnsi="Cambria Math"/>
                          </w:rPr>
                        </m:ctrlPr>
                      </m:e>
                      <m:sub>
                        <m:r>
                          <w:rPr>
                            <w:rFonts w:ascii="Cambria Math" w:hAnsi="Cambria Math"/>
                          </w:rPr>
                          <m:t>j</m:t>
                        </m:r>
                      </m:sub>
                      <m:sup>
                        <m:r>
                          <w:rPr>
                            <w:rFonts w:ascii="Cambria Math" w:hAnsi="Cambria Math"/>
                          </w:rPr>
                          <m:t>2</m:t>
                        </m:r>
                      </m:sup>
                    </m:sSubSup>
                    <m:ctrlPr>
                      <w:rPr>
                        <w:rFonts w:ascii="Cambria Math" w:hAnsi="Cambria Math"/>
                        <w:i/>
                      </w:rPr>
                    </m:ctrlPr>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j</m:t>
                    </m:r>
                  </m:sub>
                </m:sSub>
                <m:r>
                  <m:rPr>
                    <m:sty m:val="p"/>
                  </m:rPr>
                  <w:rPr>
                    <w:rFonts w:ascii="Cambria Math" w:hAnsi="Cambria Math"/>
                  </w:rPr>
                  <m:t>∼</m:t>
                </m:r>
                <m:r>
                  <m:rPr>
                    <m:nor/>
                  </m:rPr>
                  <w:rPr>
                    <w:rFonts w:ascii="Cambria Math" w:hAnsi="Cambria Math"/>
                  </w:rPr>
                  <m:t>Half-Cauchy</m:t>
                </m:r>
                <m:d>
                  <m:dPr>
                    <m:ctrlPr>
                      <w:rPr>
                        <w:rFonts w:ascii="Cambria Math" w:hAnsi="Cambria Math"/>
                        <w:i/>
                      </w:rPr>
                    </m:ctrlPr>
                  </m:dPr>
                  <m:e>
                    <m:r>
                      <w:rPr>
                        <w:rFonts w:ascii="Cambria Math" w:hAnsi="Cambria Math"/>
                      </w:rPr>
                      <m:t>0,1</m:t>
                    </m:r>
                  </m:e>
                </m:d>
                <m:r>
                  <w:rPr>
                    <w:rFonts w:ascii="Cambria Math" w:hAnsi="Cambria Math"/>
                  </w:rPr>
                  <m:t>,</m:t>
                </m:r>
                <m:r>
                  <m:rPr>
                    <m:sty m:val="p"/>
                  </m:rPr>
                  <w:rPr>
                    <w:rFonts w:ascii="Cambria Math" w:hAnsi="Cambria Math"/>
                  </w:rPr>
                  <m:t>  </m:t>
                </m:r>
                <m:r>
                  <w:rPr>
                    <w:rFonts w:ascii="Cambria Math" w:hAnsi="Cambria Math"/>
                  </w:rPr>
                  <m:t>τ</m:t>
                </m:r>
                <m:r>
                  <m:rPr>
                    <m:sty m:val="p"/>
                  </m:rPr>
                  <w:rPr>
                    <w:rFonts w:ascii="Cambria Math" w:hAnsi="Cambria Math"/>
                  </w:rPr>
                  <m:t>∼</m:t>
                </m:r>
                <m:r>
                  <m:rPr>
                    <m:nor/>
                  </m:rPr>
                  <w:rPr>
                    <w:rFonts w:ascii="Cambria Math" w:hAnsi="Cambria Math"/>
                  </w:rPr>
                  <m:t>Half-Cauchy</m:t>
                </m:r>
                <m:d>
                  <m:dPr>
                    <m:ctrlPr>
                      <w:rPr>
                        <w:rFonts w:ascii="Cambria Math" w:hAnsi="Cambria Math"/>
                        <w:i/>
                      </w:rPr>
                    </m:ctrlPr>
                  </m:dPr>
                  <m:e>
                    <m:r>
                      <w:rPr>
                        <w:rFonts w:ascii="Cambria Math" w:hAnsi="Cambria Math"/>
                      </w:rPr>
                      <m:t>0,1</m:t>
                    </m:r>
                  </m:e>
                </m:d>
                <m:r>
                  <w:rPr>
                    <w:rFonts w:ascii="Cambria Math" w:hAnsi="Cambria Math"/>
                  </w:rPr>
                  <m:t>.</m:t>
                </m:r>
              </m:oMath>
            </m:oMathPara>
          </w:p>
          <w:p w14:paraId="4350B42A" w14:textId="2C2ADADB" w:rsidR="00ED7870" w:rsidRPr="00381924" w:rsidRDefault="00ED7870" w:rsidP="004860E9">
            <w:pPr>
              <w:spacing w:line="360" w:lineRule="auto"/>
              <w:jc w:val="center"/>
              <w:rPr>
                <w:rFonts w:eastAsia="Aptos" w:cs="Times New Roman"/>
                <w:iCs/>
              </w:rPr>
            </w:pPr>
          </w:p>
        </w:tc>
        <w:tc>
          <w:tcPr>
            <w:tcW w:w="517" w:type="pct"/>
          </w:tcPr>
          <w:p w14:paraId="0A1C96BD" w14:textId="5D8B230E" w:rsidR="00ED7870" w:rsidRPr="00381924" w:rsidRDefault="00ED7870" w:rsidP="004860E9">
            <w:pPr>
              <w:spacing w:line="360" w:lineRule="auto"/>
              <w:jc w:val="center"/>
            </w:pPr>
            <w:r w:rsidRPr="00381924">
              <w:t>(</w:t>
            </w:r>
            <w:fldSimple w:instr=" SEQ Equation \* MERGEFORMAT ">
              <w:r w:rsidRPr="00381924">
                <w:rPr>
                  <w:noProof/>
                </w:rPr>
                <w:t>5</w:t>
              </w:r>
            </w:fldSimple>
            <w:r w:rsidRPr="00381924">
              <w:t>)</w:t>
            </w:r>
          </w:p>
        </w:tc>
      </w:tr>
    </w:tbl>
    <w:p w14:paraId="4238023C" w14:textId="37A1D53E" w:rsidR="00924540" w:rsidRPr="00381924" w:rsidRDefault="00924540" w:rsidP="004860E9">
      <w:pPr>
        <w:spacing w:line="360" w:lineRule="auto"/>
      </w:pPr>
      <w:r w:rsidRPr="00381924">
        <w:t>The horseshoe prior was selected because its global-local shrinkage structure pulls weak, noise-like coefficients towards zero while allowing a small number of informative predictors to retain substantial posterior mass, which is appropriate given the size of the augmented predictor block relative to the 34-sample dataset</w:t>
      </w:r>
      <w:r w:rsidR="00A74D1A" w:rsidRPr="00381924">
        <w:t xml:space="preserve"> </w:t>
      </w:r>
      <w:r w:rsidR="00A74D1A" w:rsidRPr="00381924">
        <w:fldChar w:fldCharType="begin" w:fldLock="1"/>
      </w:r>
      <w:r w:rsidR="00035024">
        <w:instrText>ADDIN CSL_CITATION {"citationItems":[{"id":"ITEM-1","itemData":{"DOI":"10.1214/17-EJS1337SI","ISSN":"19357524","abstract":"The horseshoe prior has proven to be a noteworthy alternative for sparse Bayesian estimation, but has previously suffered from two problems. First, there has been no systematic way of specifying a prior for the global shrinkage hyperparameter based on the prior information about the degree of sparsity in the parameter vector. Second, the horseshoe prior has the undesired property that there is no possibility of specifying separately information about sparsity and the amount of regularization for the largest coefficients, which can be problematic with weakly identified parameters, such as the logistic regression coefficients in the case of data separation. This paper proposes solutions to both of these problems. We introduce a concept of effective number of nonzero parameters, show an intuitive way of formulating the prior for the global hyperparameter based on the sparsity assumptions, and argue that the previous default choices are dubious based on their tendency to favor solutions with more unshrunk parameters than we typically expect a priori. Moreover, we introduce a generalization to the horseshoe prior, called the regularized horseshoe, that allows us to specify a minimum level of regularization to the largest values. We show that the new prior can be considered as the continuous counterpart of the spike-and-slab prior with a finite slab width, whereas the original horseshoe resembles the spike-and-slab with an infinitely wide slab. Numerical experiments on synthetic and real world data illustrate the benefit of both of these theoretical advances.","author":[{"dropping-particle":"","family":"Piironen","given":"Juho","non-dropping-particle":"","parse-names":false,"suffix":""},{"dropping-particle":"","family":"Vehtari","given":"Aki","non-dropping-particle":"","parse-names":false,"suffix":""}],"container-title":"Electronic Journal of Statistics","id":"ITEM-1","issue":"2","issued":{"date-parts":[["2017"]]},"page":"5018-5051","title":"Sparsity information and regularization in the horseshoe and other shrinkage priors","type":"article-journal","volume":"11"},"uris":["http://www.mendeley.com/documents/?uuid=0eb71bae-27a2-4411-a94e-8ca62909b58a"]}],"mendeley":{"formattedCitation":"&lt;sup&gt;37&lt;/sup&gt;","plainTextFormattedCitation":"37","previouslyFormattedCitation":"&lt;sup&gt;37&lt;/sup&gt;"},"properties":{"noteIndex":0},"schema":"https://github.com/citation-style-language/schema/raw/master/csl-citation.json"}</w:instrText>
      </w:r>
      <w:r w:rsidR="00A74D1A" w:rsidRPr="00381924">
        <w:fldChar w:fldCharType="separate"/>
      </w:r>
      <w:r w:rsidR="0071152F" w:rsidRPr="0071152F">
        <w:rPr>
          <w:noProof/>
          <w:vertAlign w:val="superscript"/>
        </w:rPr>
        <w:t>37</w:t>
      </w:r>
      <w:r w:rsidR="00A74D1A" w:rsidRPr="00381924">
        <w:fldChar w:fldCharType="end"/>
      </w:r>
      <w:r w:rsidRPr="00381924">
        <w:t>.</w:t>
      </w:r>
    </w:p>
    <w:p w14:paraId="05CB07E2" w14:textId="6E68E1D2" w:rsidR="00924540" w:rsidRPr="00381924" w:rsidRDefault="00924540" w:rsidP="004860E9">
      <w:pPr>
        <w:spacing w:line="360" w:lineRule="auto"/>
      </w:pPr>
      <w:r w:rsidRPr="00381924">
        <w:t xml:space="preserve">For both endpoint models, predictors were drawn from an augmented hydrochemical block comprising log-transformed major-ion concentrations, field variables (pH, EC, </w:t>
      </w:r>
      <w:r w:rsidRPr="00381924">
        <w:lastRenderedPageBreak/>
        <w:t>and TDS), linear ion-exchange and weathering proxies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1</m:t>
            </m:r>
          </m:sub>
        </m:sSub>
      </m:oMath>
      <w:r w:rsidRPr="00381924">
        <w:t xml:space="preserve">,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Silicate</w:t>
      </w:r>
      <w:r w:rsidR="006B714D" w:rsidRPr="00381924">
        <w:t xml:space="preserve"> </w:t>
      </w:r>
      <w:r w:rsidRPr="00381924">
        <w:t>Proxy, and Carbonate</w:t>
      </w:r>
      <w:r w:rsidR="006B714D" w:rsidRPr="00381924">
        <w:t xml:space="preserve"> </w:t>
      </w:r>
      <w:r w:rsidRPr="00381924">
        <w:t>Proxy), and log-transformed geochemical ratios (Na/Cl, Ca/HCO</w:t>
      </w:r>
      <w:r w:rsidRPr="00381924">
        <w:rPr>
          <w:vertAlign w:val="subscript"/>
        </w:rPr>
        <w:t>3</w:t>
      </w:r>
      <w:r w:rsidRPr="00381924">
        <w:t>, and Mg/Ca). For the fluoride endpoint model, fluoride itself was excluded from the major-ion predictor block.</w:t>
      </w:r>
    </w:p>
    <w:p w14:paraId="58FA0F8A" w14:textId="77777777" w:rsidR="00924540" w:rsidRPr="00381924" w:rsidRDefault="00924540" w:rsidP="004860E9">
      <w:pPr>
        <w:spacing w:line="360" w:lineRule="auto"/>
      </w:pPr>
      <w:r w:rsidRPr="00381924">
        <w:t>Posterior sampling was performed with the NUTS algorithm in PyMC. Model outputs included posterior mean coefficients, 95% equal-tail credible intervals, and the probability of direction for each predictor,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0"/>
        <w:gridCol w:w="812"/>
      </w:tblGrid>
      <w:tr w:rsidR="00B2470F" w:rsidRPr="00381924" w14:paraId="5EBC8138" w14:textId="77777777" w:rsidTr="00DA1BAF">
        <w:tc>
          <w:tcPr>
            <w:tcW w:w="8388" w:type="dxa"/>
          </w:tcPr>
          <w:p w14:paraId="79DAA742" w14:textId="77777777" w:rsidR="00F05710" w:rsidRPr="00381924" w:rsidRDefault="00F05710" w:rsidP="004860E9">
            <w:pPr>
              <w:spacing w:line="360" w:lineRule="auto"/>
              <w:jc w:val="center"/>
              <w:rPr>
                <w:rFonts w:eastAsiaTheme="minorEastAsia"/>
              </w:rPr>
            </w:pPr>
            <m:oMathPara>
              <m:oMath>
                <m:r>
                  <m:rPr>
                    <m:nor/>
                  </m:rPr>
                  <w:rPr>
                    <w:rFonts w:ascii="Cambria Math" w:hAnsi="Cambria Math"/>
                  </w:rPr>
                  <m:t>pd</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Pr</m:t>
                            </m:r>
                            <m:ctrlPr>
                              <w:rPr>
                                <w:rFonts w:ascii="Cambria Math" w:hAnsi="Cambria Math"/>
                                <w:i/>
                              </w:rPr>
                            </m:ctrlPr>
                          </m:fName>
                          <m:e>
                            <m:d>
                              <m:dPr>
                                <m:sep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&gt;0</m:t>
                                </m:r>
                                <m:ctrlPr>
                                  <w:rPr>
                                    <w:rFonts w:ascii="Cambria Math" w:hAnsi="Cambria Math"/>
                                  </w:rPr>
                                </m:ctrlPr>
                              </m:e>
                              <m:e>
                                <m:r>
                                  <w:rPr>
                                    <w:rFonts w:ascii="Cambria Math" w:hAnsi="Cambria Math"/>
                                  </w:rPr>
                                  <m:t>y</m:t>
                                </m:r>
                              </m:e>
                            </m:d>
                          </m:e>
                        </m:func>
                        <m:r>
                          <w:rPr>
                            <w:rFonts w:ascii="Cambria Math" w:hAnsi="Cambria Math"/>
                          </w:rPr>
                          <m:t xml:space="preserve">,  </m:t>
                        </m:r>
                        <m:func>
                          <m:funcPr>
                            <m:ctrlPr>
                              <w:rPr>
                                <w:rFonts w:ascii="Cambria Math" w:hAnsi="Cambria Math"/>
                              </w:rPr>
                            </m:ctrlPr>
                          </m:funcPr>
                          <m:fName>
                            <m:r>
                              <m:rPr>
                                <m:sty m:val="p"/>
                              </m:rPr>
                              <w:rPr>
                                <w:rFonts w:ascii="Cambria Math" w:hAnsi="Cambria Math"/>
                              </w:rPr>
                              <m:t>Pr</m:t>
                            </m:r>
                            <m:ctrlPr>
                              <w:rPr>
                                <w:rFonts w:ascii="Cambria Math" w:hAnsi="Cambria Math"/>
                                <w:i/>
                              </w:rPr>
                            </m:ctrlPr>
                          </m:fName>
                          <m:e>
                            <m:d>
                              <m:dPr>
                                <m:sep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&lt;0</m:t>
                                </m:r>
                                <m:ctrlPr>
                                  <w:rPr>
                                    <w:rFonts w:ascii="Cambria Math" w:hAnsi="Cambria Math"/>
                                  </w:rPr>
                                </m:ctrlPr>
                              </m:e>
                              <m:e>
                                <m:r>
                                  <w:rPr>
                                    <w:rFonts w:ascii="Cambria Math" w:hAnsi="Cambria Math"/>
                                  </w:rPr>
                                  <m:t>y</m:t>
                                </m:r>
                              </m:e>
                            </m:d>
                          </m:e>
                        </m:func>
                        <m:ctrlPr>
                          <w:rPr>
                            <w:rFonts w:ascii="Cambria Math" w:hAnsi="Cambria Math"/>
                            <w:i/>
                          </w:rPr>
                        </m:ctrlPr>
                      </m:e>
                    </m:d>
                  </m:e>
                </m:func>
                <m:r>
                  <m:rPr>
                    <m:sty m:val="p"/>
                  </m:rPr>
                  <w:rPr>
                    <w:rFonts w:ascii="Cambria Math" w:hAnsi="Cambria Math"/>
                  </w:rPr>
                  <m:t>×</m:t>
                </m:r>
                <m:r>
                  <w:rPr>
                    <w:rFonts w:ascii="Cambria Math" w:hAnsi="Cambria Math"/>
                  </w:rPr>
                  <m:t>100.</m:t>
                </m:r>
              </m:oMath>
            </m:oMathPara>
          </w:p>
          <w:p w14:paraId="2EEEC0D0" w14:textId="68B586F1" w:rsidR="00F05710" w:rsidRPr="00381924" w:rsidRDefault="00F05710" w:rsidP="004860E9">
            <w:pPr>
              <w:spacing w:line="360" w:lineRule="auto"/>
              <w:jc w:val="center"/>
            </w:pPr>
          </w:p>
        </w:tc>
        <w:tc>
          <w:tcPr>
            <w:tcW w:w="854" w:type="dxa"/>
          </w:tcPr>
          <w:p w14:paraId="1867BCA3" w14:textId="236FB7E6" w:rsidR="00F05710" w:rsidRPr="00381924" w:rsidRDefault="00F05710" w:rsidP="004860E9">
            <w:pPr>
              <w:spacing w:line="360" w:lineRule="auto"/>
              <w:jc w:val="center"/>
            </w:pPr>
            <w:r w:rsidRPr="00381924">
              <w:t>(</w:t>
            </w:r>
            <w:fldSimple w:instr=" SEQ Equation \* MERGEFORMAT ">
              <w:r w:rsidRPr="00381924">
                <w:rPr>
                  <w:noProof/>
                </w:rPr>
                <w:t>6</w:t>
              </w:r>
            </w:fldSimple>
            <w:r w:rsidRPr="00381924">
              <w:t>)</w:t>
            </w:r>
          </w:p>
        </w:tc>
      </w:tr>
    </w:tbl>
    <w:p w14:paraId="7BE8CCF4" w14:textId="5CE4F724" w:rsidR="00924540" w:rsidRPr="00381924" w:rsidRDefault="00924540" w:rsidP="004860E9">
      <w:pPr>
        <w:spacing w:line="360" w:lineRule="auto"/>
      </w:pPr>
      <w:r w:rsidRPr="00381924">
        <w:t>This quantity represents the posterior probability that the coefficient has the reported sign. Normalised driver contribution percentages were computed from the absolute posterior mean coefficients, and predictors with pd &gt; 95% were treated as directionally supported. Model fit was summarised using an in-sample pseudo-</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81924">
        <w:t xml:space="preserve"> computed from posterior-mean fitted values transformed back to the original response scale. A supplementary sparse PLS model was fitted for fluoride as an external comparator, and its cross-validation and permutation statistics are reported alongside the Bayesian results.</w:t>
      </w:r>
    </w:p>
    <w:p w14:paraId="51131963" w14:textId="10A9474E" w:rsidR="001F607B" w:rsidRPr="00381924" w:rsidRDefault="00000000" w:rsidP="004860E9">
      <w:pPr>
        <w:pStyle w:val="Heading2"/>
        <w:spacing w:line="360" w:lineRule="auto"/>
      </w:pPr>
      <w:bookmarkStart w:id="19" w:name="X3915be0bec5ccb7b8575c5d80f1688f8316a879"/>
      <w:bookmarkEnd w:id="18"/>
      <w:r w:rsidRPr="00381924">
        <w:t>Deterministic and Bayesian Health-Risk Assessment</w:t>
      </w:r>
    </w:p>
    <w:p w14:paraId="64C1B957" w14:textId="1E61E166" w:rsidR="001F607B" w:rsidRPr="00381924" w:rsidRDefault="00000000" w:rsidP="004860E9">
      <w:pPr>
        <w:spacing w:line="360" w:lineRule="auto"/>
      </w:pPr>
      <w:r w:rsidRPr="00381924">
        <w:t>Non-carcinogenic health risk was assessed for fluoride and nitrate via ingestion as the sole active exposure pathway, consistent with the absence of dermal and inhalation parameters for these contaminants in the current implementation. The assessment was conducted for three demographic groups: Adults, characterised by a reference body weight of 60 kg and an ingestion rate of 2.5 L/day; Children, characterised by a body weight of 15 kg and an ingestion rate of 1.0 L/day; and Teens, characterised by a body weight of 45 kg and an ingestion rate of 1.5 L/day. These exposure assumptions were applied consistently across both the deterministic and Bayesian components of the risk assessment</w:t>
      </w:r>
      <w:r w:rsidR="009B5E3C" w:rsidRPr="00381924">
        <w:t xml:space="preserve"> (see Supplementary Method S2)</w:t>
      </w:r>
      <w:r w:rsidRPr="00381924">
        <w:t>.</w:t>
      </w:r>
    </w:p>
    <w:p w14:paraId="3E2F52E7" w14:textId="41BF403D" w:rsidR="001F607B" w:rsidRPr="00381924" w:rsidRDefault="00000000" w:rsidP="004860E9">
      <w:pPr>
        <w:spacing w:line="360" w:lineRule="auto"/>
      </w:pPr>
      <w:r w:rsidRPr="00381924">
        <w:t>Deterministic hazard quotients (HQ) were computed for fluoride (</w:t>
      </w:r>
      <m:oMath>
        <m:r>
          <w:rPr>
            <w:rFonts w:ascii="Cambria Math" w:hAnsi="Cambria Math"/>
          </w:rPr>
          <m:t>H</m:t>
        </m:r>
        <m:sSub>
          <m:sSubPr>
            <m:ctrlPr>
              <w:rPr>
                <w:rFonts w:ascii="Cambria Math" w:hAnsi="Cambria Math"/>
                <w:i/>
              </w:rPr>
            </m:ctrlPr>
          </m:sSubPr>
          <m:e>
            <m:r>
              <w:rPr>
                <w:rFonts w:ascii="Cambria Math" w:hAnsi="Cambria Math"/>
              </w:rPr>
              <m:t>Q</m:t>
            </m:r>
          </m:e>
          <m:sub>
            <m:r>
              <w:rPr>
                <w:rFonts w:ascii="Cambria Math" w:hAnsi="Cambria Math"/>
              </w:rPr>
              <m:t>F</m:t>
            </m:r>
          </m:sub>
        </m:sSub>
      </m:oMath>
      <w:r w:rsidRPr="00381924">
        <w:t>) and nitrate (</w:t>
      </w:r>
      <m:oMath>
        <m:r>
          <w:rPr>
            <w:rFonts w:ascii="Cambria Math" w:hAnsi="Cambria Math"/>
          </w:rPr>
          <m:t>H</m:t>
        </m:r>
        <m:sSub>
          <m:sSubPr>
            <m:ctrlPr>
              <w:rPr>
                <w:rFonts w:ascii="Cambria Math" w:hAnsi="Cambria Math"/>
                <w:i/>
              </w:rPr>
            </m:ctrlPr>
          </m:sSubPr>
          <m:e>
            <m:r>
              <w:rPr>
                <w:rFonts w:ascii="Cambria Math" w:hAnsi="Cambria Math"/>
              </w:rPr>
              <m:t>Q</m:t>
            </m:r>
          </m:e>
          <m:sub>
            <m:r>
              <w:rPr>
                <w:rFonts w:ascii="Cambria Math" w:hAnsi="Cambria Math"/>
              </w:rPr>
              <m:t>N</m:t>
            </m:r>
            <m:sSub>
              <m:sSubPr>
                <m:ctrlPr>
                  <w:rPr>
                    <w:rFonts w:ascii="Cambria Math" w:hAnsi="Cambria Math"/>
                    <w:i/>
                  </w:rPr>
                </m:ctrlPr>
              </m:sSubPr>
              <m:e>
                <m:r>
                  <w:rPr>
                    <w:rFonts w:ascii="Cambria Math" w:hAnsi="Cambria Math"/>
                  </w:rPr>
                  <m:t>O</m:t>
                </m:r>
              </m:e>
              <m:sub>
                <m:r>
                  <w:rPr>
                    <w:rFonts w:ascii="Cambria Math" w:hAnsi="Cambria Math"/>
                  </w:rPr>
                  <m:t>3</m:t>
                </m:r>
              </m:sub>
            </m:sSub>
          </m:sub>
        </m:sSub>
      </m:oMath>
      <w:r w:rsidRPr="00381924">
        <w:t>) for each sample and demographic group</w:t>
      </w:r>
      <w:r w:rsidR="00E70B94" w:rsidRPr="00381924">
        <w:t xml:space="preserve"> (Supplementary Method S2.1)</w:t>
      </w:r>
      <w:r w:rsidRPr="00381924">
        <w:t>. Organ-specific health indices were computed by aggregating the relevant HQ values across contaminants:</w:t>
      </w:r>
      <m:oMath>
        <m:r>
          <m:rPr>
            <m:sty m:val="p"/>
          </m:rPr>
          <w:rPr>
            <w:rFonts w:ascii="Cambria Math" w:hAnsi="Cambria Math"/>
          </w:rPr>
          <m:t xml:space="preserve"> </m:t>
        </m:r>
        <m:sSub>
          <m:sSubPr>
            <m:ctrlPr>
              <w:rPr>
                <w:rFonts w:ascii="Cambria Math" w:hAnsi="Cambria Math"/>
              </w:rPr>
            </m:ctrlPr>
          </m:sSubPr>
          <m:e>
            <m:r>
              <m:rPr>
                <m:nor/>
              </m:rPr>
              <m:t>HI</m:t>
            </m:r>
          </m:e>
          <m:sub>
            <m:r>
              <m:rPr>
                <m:nor/>
              </m:rPr>
              <m:t>skeletal-dental</m:t>
            </m:r>
          </m:sub>
        </m:sSub>
      </m:oMath>
      <w:r w:rsidRPr="00381924">
        <w:t xml:space="preserve"> aggregated fluoride-related dental and skeletal </w:t>
      </w:r>
      <w:r w:rsidRPr="00381924">
        <w:lastRenderedPageBreak/>
        <w:t xml:space="preserve">effects, whilst </w:t>
      </w:r>
      <m:oMath>
        <m:sSub>
          <m:sSubPr>
            <m:ctrlPr>
              <w:rPr>
                <w:rFonts w:ascii="Cambria Math" w:hAnsi="Cambria Math"/>
              </w:rPr>
            </m:ctrlPr>
          </m:sSubPr>
          <m:e>
            <m:r>
              <m:rPr>
                <m:nor/>
              </m:rPr>
              <m:t>HI</m:t>
            </m:r>
          </m:e>
          <m:sub>
            <m:r>
              <m:rPr>
                <m:nor/>
              </m:rPr>
              <m:t>hemato</m:t>
            </m:r>
          </m:sub>
        </m:sSub>
      </m:oMath>
      <w:r w:rsidRPr="00381924">
        <w:t xml:space="preserve"> captured the haematological burden attributable to nitrate. These methods follow established USEPA non-carcinogenic risk assessment conventions </w:t>
      </w:r>
      <w:r w:rsidR="00A442D9" w:rsidRPr="00381924">
        <w:fldChar w:fldCharType="begin" w:fldLock="1"/>
      </w:r>
      <w:r w:rsidR="00035024">
        <w:instrText>ADDIN CSL_CITATION {"citationItems":[{"id":"ITEM-1","itemData":{"DOI":"10.1016/j.jclepro.2022.131567","ISSN":"09596526","abstract":"Intense anthropogenic activities have led to deterioration of groundwater quality worldwide. Scientific assessments of groundwater quality and human health risks are the premise to ensure water safety and residents’ health. Based on 321 groundwater samples collected from the Guanzhong Basin (GB), this study comprehensively assessed the groundwater quality and potential risks of As, F−, NO3–N, and Cr6+ to human health for the first time in GB. With differences in hydrogeological settings and human activities, the chemical composition of groundwater in GB exhibited wide spatial variability. Results of the integrated-weight water quality index (IWQI) showed that Cr6+, As, NO3–N, and F− have stronger effects on groundwater quality than other ions. Except for As, other pollutants (Cr6+, NO3–N, and F−) distributed mainly in the north of the Wei River, with northeast part of GB had much poorer groundwater quality than other areas. The human health risk assessment showed that carcinogenic risks associated with As and Cr6+ were higher for adults than for children, whereas non-carcinogenic risks posed by As, F−, NO3–N, and Cr6+ were higher for children. The primary exposure pathway for both carcinogenic and non-carcinogenic risks was daily oral ingestion. According to the spatial distribution of total carcinogenic and non-carcinogenic hazard indices, both adults and children living in the north of GB are at high risk. Monte Carlo simulations were used to assess model uncertainty and to determine pollutant treatment priority. The probability of non-carcinogenic risk for children is up to 92.25%. Sensitivity analysis results indicated that the main threat to residents' health is the high concentrations of F− and Cr6+ in groundwater. Hydrogeochemical analyses revealed that the poor quality of groundwater in the northeast of GB is mainly controlled by the geological background and extensive evaporation due to long-term irrigation activities. The findings of this study laid the foundation for the rational development and utilization of groundwater resources and the protection of residents' health in GB. It can also be used as references for the study of groundwater environment and human health risks in other similar areas.","author":[{"dropping-particle":"","family":"Gao","given":"Yanyan","non-dropping-particle":"","parse-names":false,"suffix":""},{"dropping-particle":"","family":"Qian","given":"Hui","non-dropping-particle":"","parse-names":false,"suffix":""},{"dropping-particle":"","family":"Zhou","given":"Yahong","non-dropping-particle":"","parse-names":false,"suffix":""},{"dropping-particle":"","family":"Chen","given":"Jie","non-dropping-particle":"","parse-names":false,"suffix":""},{"dropping-particle":"","family":"Wang","given":"Haike","non-dropping-particle":"","parse-names":false,"suffix":""},{"dropping-particle":"","family":"Ren","given":"Wenhao","non-dropping-particle":"","parse-names":false,"suffix":""},{"dropping-particle":"","family":"Qu","given":"Wengang","non-dropping-particle":"","parse-names":false,"suffix":""}],"container-title":"Journal of Cleaner Production","id":"ITEM-1","issued":{"date-parts":[["2022"]]},"title":"Cumulative health risk assessment of multiple chemicals in groundwater based on deterministic and Monte Carlo models in a large semiarid basin","type":"article-journal","volume":"352"},"uris":["http://www.mendeley.com/documents/?uuid=6799e1a0-6c03-4ed7-9500-5fbf20b548bc"]},{"id":"ITEM-2","itemData":{"DOI":"10.1016/j.envpol.2019.113711","ISSN":"18736424","PMID":"31891909","abstract":"Human interferences have caused groundwater contamination in alluvial aquifers which subsequently affects the health of exposed population. In the present study, 74 groundwater samples from the semi-arid region of Panipat district, falling under Yamuna sub-basin, India was evaluated to know the potential non-carcinogenic human health risk in local adult and child population. The major objective of the present study was to know the non-carcinogenic human health risk due to intake of fluoride and nitrate contaminated water, using two different approaches: deterministic and probabilistic (Monte Carlo simulation). The values of hazard quotient (HQ) determined by deterministic as well as probabilistic approach were nearly identical. The hazard index (HI) value of 40.8% samples was above the unity in case of adults while 69.7% samples indicated HI value greater than unity for children thus indicating children are more prone to non-carcinogenic health risk than the adult population. Sensitivity analysis was performed to identify the influence of the non-carcinogenic human health risk predictor variables for the prediction of risk and concentration factor (CF) was the most influential variable. Multivariate statistical techniques were employed to know the positive and negative relationship of fluoride and nitrate with other parameters. Results of principal component analysis/factor analysis (PCA/FA) indicated that the concentration of fluoride is controlled by the presence of calcium due to their negative correlation in groundwater samples. The hierarchical agglomerative cluster analysis (HCA) also supported the outcome of PCA/FA and both indicated anthropogenic sources of fluoride and nitrate in groundwater.","author":[{"dropping-particle":"","family":"Kaur","given":"Lakhvinder","non-dropping-particle":"","parse-names":false,"suffix":""},{"dropping-particle":"","family":"Rishi","given":"Madhuri S.","non-dropping-particle":"","parse-names":false,"suffix":""},{"dropping-particle":"","family":"Siddiqui","given":"Azeem Uddin","non-dropping-particle":"","parse-names":false,"suffix":""}],"container-title":"Environmental Pollution","id":"ITEM-2","issued":{"date-parts":[["2020"]]},"page":". [","title":"Deterministic and probabilistic health risk assessment techniques to evaluate non-carcinogenic human health risk (NHHR) due to fluoride and nitrate in groundwater of Panipat, Haryana, India","type":"article-journal","volume":"259"},"uris":["http://www.mendeley.com/documents/?uuid=a663995a-0d3d-4990-a019-a405bc7fbb8e"]}],"mendeley":{"formattedCitation":"&lt;sup&gt;14,15&lt;/sup&gt;","plainTextFormattedCitation":"14,15","previouslyFormattedCitation":"&lt;sup&gt;14,15&lt;/sup&gt;"},"properties":{"noteIndex":0},"schema":"https://github.com/citation-style-language/schema/raw/master/csl-citation.json"}</w:instrText>
      </w:r>
      <w:r w:rsidR="00A442D9" w:rsidRPr="00381924">
        <w:fldChar w:fldCharType="separate"/>
      </w:r>
      <w:r w:rsidR="0071152F" w:rsidRPr="0071152F">
        <w:rPr>
          <w:noProof/>
          <w:vertAlign w:val="superscript"/>
        </w:rPr>
        <w:t>14,15</w:t>
      </w:r>
      <w:r w:rsidR="00A442D9" w:rsidRPr="00381924">
        <w:fldChar w:fldCharType="end"/>
      </w:r>
      <w:r w:rsidRPr="00381924">
        <w:t>.</w:t>
      </w:r>
    </w:p>
    <w:p w14:paraId="388C329F" w14:textId="2F877A74" w:rsidR="001F607B" w:rsidRPr="00381924" w:rsidRDefault="00000000" w:rsidP="004860E9">
      <w:pPr>
        <w:spacing w:line="360" w:lineRule="auto"/>
      </w:pPr>
      <w:r w:rsidRPr="00381924">
        <w:t>The Bayesian health-risk component</w:t>
      </w:r>
      <w:r w:rsidR="006B2C99" w:rsidRPr="00381924">
        <w:t xml:space="preserve"> (Supplementary Method S2.2)</w:t>
      </w:r>
      <w:r w:rsidRPr="00381924">
        <w:t xml:space="preserve"> propagated uncertainty in body weight and ingestion rate through hierarchical prior distributions</w:t>
      </w:r>
      <w:r w:rsidR="006B2C99" w:rsidRPr="00381924">
        <w:t xml:space="preserve"> (Supplementary Method S2.3)</w:t>
      </w:r>
      <w:r w:rsidRPr="00381924">
        <w:t xml:space="preserve"> rather than using fixed point values, thereby generating posterior distributions of HI rather than single-point estimates</w:t>
      </w:r>
      <w:r w:rsidR="00295B56" w:rsidRPr="00381924">
        <w:t xml:space="preserve"> (Supplementary Method S2.2)</w:t>
      </w:r>
      <w:r w:rsidRPr="00381924">
        <w:t xml:space="preserve">. Posterior means, 95% credible intervals, and the exceedance probability P(HI &gt; 1) were reported for each organ-group combination and demographic group, following approaches demonstrated in recent probabilistic groundwater risk studies </w:t>
      </w:r>
      <w:r w:rsidR="005D0842" w:rsidRPr="00381924">
        <w:fldChar w:fldCharType="begin" w:fldLock="1"/>
      </w:r>
      <w:r w:rsidR="00035024">
        <w:instrText>ADDIN CSL_CITATION {"citationItems":[{"id":"ITEM-1","itemData":{"DOI":"10.1016/j.watres.2023.120379","ISSN":"18792448","PMID":"37516079","abstract":"Excessive amounts of fluoride (F−) and nitrate (NO3−) in groundwater pose a significant threat to human health. However, a quantitative approach to assessing the human health risks caused by these harmful substances is lacking. To optimize the probabilistic assessment process for human health risk (HHR), this study introduced kernel density estimation (KDE) into the stochastic simulation of F− and NO3− content in groundwater samples. The potential HHRs caused by F− and NO3− in Songyuan City were summarized by combining the probabilistic and deterministic assessments. This study found that the concentrations of F− and NO3− did not follow common probability density functions (PDFs), but the KDE method passed the Kolmogorov–Smirnov test with the critical value of 0.067 and 0.062, showing high fitting accuracy. Monte Carlo simulation indicated that the probability of NO3− for children and adult exceeding the standard is 21.95% and 15.14%, respectively, which is comparable with the results of the deterministic assessment, but the probabilistic assessment emphasized lower probability of HHRs in children caused by excess F−(4.14%). Global sensitivity analysis revealed that excessive NO3− in groundwater has the highest sensitivity of the HHR (&gt;0.1), followed by other factors representing water use habits (&gt;0.01). This study presents a refined probabilistic assessment method for HHR and provides a scientific reference for understanding the state of groundwater environments.","author":[{"dropping-particle":"","family":"Yan","given":"Jiaheng","non-dropping-particle":"","parse-names":false,"suffix":""},{"dropping-particle":"","family":"Chen","given":"Jiansheng","non-dropping-particle":"","parse-names":false,"suffix":""},{"dropping-particle":"","family":"Zhang","given":"Wenqing","non-dropping-particle":"","parse-names":false,"suffix":""}],"container-title":"Water Research","id":"ITEM-1","issued":{"date-parts":[["2023"]]},"page":". [","title":"A new probabilistic assessment process for human health risk (HHR) in groundwater with extensive fluoride and nitrate optimized by non parametric estimation method","type":"article-journal","volume":"243"},"uris":["http://www.mendeley.com/documents/?uuid=e500d07c-89cb-4a61-8f34-15e4e4f8f9de"]},{"id":"ITEM-2","itemData":{"DOI":"10.3390/w14152419","ISSN":"20734441","abstract":"Groundwater is an important resource for domestic use and irrigation in the Yinchuan region of northwest China. However, the quality of groundwater in this region is declining due to human activities, with adverse effects on human health. In order to study the effects of chemical elements in groundwater on human health, the human health risk of drinking groundwater was calculated based on the actual situation in China and on the U.S. Environmental Protection Agency (USEPA) model. Moreover, the sensitivity of contaminant exposure in drinking water wells was quantified using Monte Carlo simulation to minimize uncertainty in conjunction with USEPA risk assessment techniques, with the aim to identify the major carcinogenic factors. In addition, Visual Minteq was used to analyze the possible ionic forms of the major factors in the hydrogeological environment of the study area. The results showed that the mean CR values for As were 2.94 × 10−0.5 and 5.93 × 10−0.5 for the dry and rainy seasons, respectively, while for 2018 they were 5.48 × 10−0.5 and 3.59 × 10−0.5, respectively. In parallel, the CR values for children for 2017 were 6.28 × 10−0.5 and 1.27 × 10−0.4, respectively, and 1.17 × 10−0.4 and 7.67 × 10−0.5, respectively, indicating a considerably higher carcinogenic risk for children than for adults. results of the sensitivity analysis of Cr6+ and As using Crystal Ball software showed association values of 0.9958 and 1 for As and 0.0948 and 0 for Cr in the dry and rainy seasons in 2017, and 0.7424 and 0.5759 for As and 0.6237 and 0.8128 for Cr in the dry and rainy seasons in 2018, respectively. Only in the rainy season of 2018, the association values for As were lower than those for Cr, indicating that As is more sensitive to total carcinogenic risk. The results of the visual coinage model analysis showed that among all the possible ionic forms of As, the activity of HAsO42− had the largest logarithmic value and that of H3AsO4 had the smallest value, regardless of pH changes. This indicates that HAsO42− is the ionic form of As with the main carcinogenic factor in the hydrogeological environment of the study area. Therefore, corresponding environmental control measures need to be taken in time to strengthen the monitoring and control of As, especially HAsO42−, in the groundwater of the study area. This study is of great significance for Yinchuan city to formulate groundwater pollution risk management and recovery.","author":[{"dropping-particle":"","family":"Ma","given":"Zhiyuan","non-dropping-particle":"","parse-names":false,"suffix":""},{"dropping-particle":"","family":"Li","given":"Junfeng","non-dropping-particle":"","parse-names":false,"suffix":""},{"dropping-particle":"","family":"Zhang","given":"Man","non-dropping-particle":"","parse-names":false,"suffix":""},{"dropping-particle":"","family":"You","given":"Di","non-dropping-particle":"","parse-names":false,"suffix":""},{"dropping-particle":"","family":"Zhou","given":"Yahong","non-dropping-particle":"","parse-names":false,"suffix":""},{"dropping-particle":"","family":"Gong","given":"Zhiqiang","non-dropping-particle":"","parse-names":false,"suffix":""}],"container-title":"Water (Switzerland)","id":"ITEM-2","issue":"15","issued":{"date-parts":[["2022"]]},"page":"2419","title":"Groundwater Health Risk Assessment Based on Monte Carlo Model Sensitivity Analysis of Cr and As—A Case Study of Yinchuan City","type":"article-journal","volume":"14"},"uris":["http://www.mendeley.com/documents/?uuid=4df69112-474a-4064-be9c-98fc1304c243"]}],"mendeley":{"formattedCitation":"&lt;sup&gt;16,17&lt;/sup&gt;","plainTextFormattedCitation":"16,17","previouslyFormattedCitation":"&lt;sup&gt;16,17&lt;/sup&gt;"},"properties":{"noteIndex":0},"schema":"https://github.com/citation-style-language/schema/raw/master/csl-citation.json"}</w:instrText>
      </w:r>
      <w:r w:rsidR="005D0842" w:rsidRPr="00381924">
        <w:fldChar w:fldCharType="separate"/>
      </w:r>
      <w:r w:rsidR="0071152F" w:rsidRPr="0071152F">
        <w:rPr>
          <w:noProof/>
          <w:vertAlign w:val="superscript"/>
        </w:rPr>
        <w:t>16,17</w:t>
      </w:r>
      <w:r w:rsidR="005D0842" w:rsidRPr="00381924">
        <w:fldChar w:fldCharType="end"/>
      </w:r>
      <w:r w:rsidRPr="00381924">
        <w:t xml:space="preserve">. </w:t>
      </w:r>
    </w:p>
    <w:p w14:paraId="757EDB45" w14:textId="10FB0617" w:rsidR="001F607B" w:rsidRPr="00381924" w:rsidRDefault="00000000" w:rsidP="004860E9">
      <w:pPr>
        <w:pStyle w:val="Heading2"/>
        <w:spacing w:line="360" w:lineRule="auto"/>
      </w:pPr>
      <w:bookmarkStart w:id="20" w:name="irrigation-suitability-assessment"/>
      <w:bookmarkEnd w:id="19"/>
      <w:r w:rsidRPr="00381924">
        <w:t>Irrigation Suitability Assessment</w:t>
      </w:r>
    </w:p>
    <w:p w14:paraId="1EAEDA48" w14:textId="74D9E928" w:rsidR="001F607B" w:rsidRPr="00381924" w:rsidRDefault="00000000" w:rsidP="004860E9">
      <w:pPr>
        <w:spacing w:line="360" w:lineRule="auto"/>
      </w:pPr>
      <w:r w:rsidRPr="00381924">
        <w:t xml:space="preserve">Irrigation suitability was evaluated using seven standard hydrochemical indices computed in </w:t>
      </w:r>
      <w:proofErr w:type="spellStart"/>
      <w:r w:rsidRPr="00381924">
        <w:t>meq</w:t>
      </w:r>
      <w:proofErr w:type="spellEnd"/>
      <w:r w:rsidRPr="00381924">
        <w:t xml:space="preserve">/L space: the sodium adsorption ratio (SAR), the soluble sodium percentage (SSP), the magnesium hazard (MH), the Kelly’s ratio (KR), the permeability index (PI), the residual sodium carbonate (RSC), and the potential salinity (PS). These indices collectively characterise the </w:t>
      </w:r>
      <w:proofErr w:type="spellStart"/>
      <w:r w:rsidRPr="00381924">
        <w:t>sodicity</w:t>
      </w:r>
      <w:proofErr w:type="spellEnd"/>
      <w:r w:rsidRPr="00381924">
        <w:t xml:space="preserve"> hazard, permeability risk, residual alkalinity, and generalised salinity impact of groundwater on soils and crops. </w:t>
      </w:r>
      <w:r w:rsidR="007A0B0E" w:rsidRPr="00381924">
        <w:t>Details</w:t>
      </w:r>
      <w:r w:rsidR="00B71A73" w:rsidRPr="00381924">
        <w:t xml:space="preserve"> for the formulation of the Irrigation Suitability </w:t>
      </w:r>
      <w:r w:rsidR="00CA2E14" w:rsidRPr="00381924">
        <w:t xml:space="preserve">Index are reported in the Supplementary methodology S3. </w:t>
      </w:r>
    </w:p>
    <w:p w14:paraId="34F8CB82" w14:textId="22E123BC" w:rsidR="00686910" w:rsidRPr="00381924" w:rsidRDefault="00000000" w:rsidP="004860E9">
      <w:pPr>
        <w:spacing w:line="360" w:lineRule="auto"/>
      </w:pPr>
      <w:r w:rsidRPr="00381924">
        <w:t xml:space="preserve">Objective weights for each irrigation index were derived using the entropy-weighting method, which assigns greater weight to indices showing larger relative dispersion in the dataset, thereby avoiding the subjectivity associated with expert-assigned fixed weights </w:t>
      </w:r>
      <w:r w:rsidR="00AF451F" w:rsidRPr="00381924">
        <w:fldChar w:fldCharType="begin" w:fldLock="1"/>
      </w:r>
      <w:r w:rsidR="0071152F">
        <w:instrText>ADDIN CSL_CITATION {"citationItems":[{"id":"ITEM-1","itemData":{"DOI":"10.3390/w15122233","ISSN":"20734441","abstract":"Groundwater pollution has emerged as a significant water crisis in various regions around the globe. Groundwater serves as a crucial source of water for human consumption and agricultural activities in the Sichuan Basin where groundwater quality has yet to be concentrated. A total of 41 groundwater samples were collected from domestic wells in Suining city of the Sichuan Basin, which were used for analyzing the hydrogeochemical processes and suitability for irrigation and drinking purposes. In the study area, groundwater samples belonged to the HCO3-Ca type. Hydrochemical compositions were dominated by carbonate and silicate mineral dissolution with positive cation exchange. Agricultural activities and urban sewage were the primary sources of NO3− pollution. The irrigation water quality index (IWQI) was calculated using electronic conductivity (EC), Na+, Cl−, HCO3−, and sodium adsorption ratio (SAR). The IWQI values showed that the suitability of groundwater irrigation was generally good and presented the decreasing trend southeastwardly. According to the entropy-weighted water quality index (EWQI), the groundwater quality for drinking purposes was generally good. However, there were some local areas with poor water quality concentrated in the southeast part. According to the human health risk (HHR) model, the groundwater was deemed safe for adults and children. However, for infants, the nitrate level in the groundwater remained high and posed potential health risks. The combined IWQI and EWQI evaluation served as a valuable reference for the utilization of the groundwater resource in the Sichuan Basin, as well as other comparable regions worldwide.","author":[{"dropping-particle":"","family":"Wang","given":"Ying","non-dropping-particle":"","parse-names":false,"suffix":""},{"dropping-particle":"","family":"Li","given":"Rui","non-dropping-particle":"","parse-names":false,"suffix":""},{"dropping-particle":"","family":"Wu","given":"Xiangchuan","non-dropping-particle":"","parse-names":false,"suffix":""},{"dropping-particle":"","family":"Yan","given":"Yuting","non-dropping-particle":"","parse-names":false,"suffix":""},{"dropping-particle":"","family":"Wei","given":"Changli","non-dropping-particle":"","parse-names":false,"suffix":""},{"dropping-particle":"","family":"Luo","given":"Ming","non-dropping-particle":"","parse-names":false,"suffix":""},{"dropping-particle":"","family":"Xiao","given":"Yong","non-dropping-particle":"","parse-names":false,"suffix":""},{"dropping-particle":"","family":"Zhang","given":"Yunhui","non-dropping-particle":"","parse-names":false,"suffix":""}],"container-title":"Water (Switzerland)","id":"ITEM-1","issue":"12","issued":{"date-parts":[["2023"]]},"page":"2233","title":"Evaluation of Groundwater Quality for Drinking and Irrigation Purposes Using GIS-Based IWQI, EWQI and HHR Model","type":"article-journal","volume":"15"},"uris":["http://www.mendeley.com/documents/?uuid=966be034-35b7-4dc6-be82-2ec997e5d0b6"]},{"id":"ITEM-2","itemData":{"DOI":"10.1007/s12665-023-11150-4","ISSN":"18666299","abstract":"In the pursuit of advancing water quality assessment methodologies, particularly for the purposes of irrigation, it is of utmost importance to enhance our understanding of water quality to effectively manage water resources. Recognizing this necessity, our study introduces the application of the Entropy method, for the first time, in the assessment of irrigation water quality in the Urmia plain groundwater resources. The approach coined as entropy weighted irrigation water quality index (EIWQI) has been devised. Key indicators of irrigation water quality, namely, Sodium Absorption Ratio (SAR), Residual Sodium Carbonate (RSC), Sodium percentage (Na%), Total Hardness (TH), and Electrical Conductivity (EC), were calculated for 69 groundwater samples, alongside the determination of major ions present in the groundwater, including Ca2+, Mg2+, Na+, K+, So42−, Cl−, HCo3−, and CO32−. Subsequently, the water quality index was quantified through the implementation of the entropy weighted method. The proposed EIWQI enables the classification of irrigation water quality into four categories: excellent, good, doubtful, and unsuitable. Following the application of the EIWQI to the aforementioned data points, the groundwater of the study area was categorized as good (42.02%), doubtful (52.17%), and unsuitable (5.79%). To assess the accuracy of the proposed methodology, the EIWQI calculation results were compared with the SAR, Na%, and RSC values obtained from the sample points, as well as their fuzzy overlay outputs. Performance criteria such as Mean Absolute Deviation (MAD), Mean Absolute Percentage Error (MAPE), Mean Square Error (MSE), and Root Mean Square Error (RMSE) were utilized, all of which substantiated the accuracy of the model, yielding values of 0.217, 8.574, 0.217, and 0.466, respectively. These results underscore the precision and applicability of the proposed methodology.","author":[{"dropping-particle":"","family":"Gorgij","given":"Alireza Docheshmeh","non-dropping-particle":"","parse-names":false,"suffix":""},{"dropping-particle":"","family":"Moayeri","given":"Mohammad Mehdi","non-dropping-particle":"","parse-names":false,"suffix":""}],"container-title":"Environmental Earth Sciences","id":"ITEM-2","issue":"20","issued":{"date-parts":[["2023"]]},"title":"Proposing a novel method for the irrigation water quality assessment, using entropy weighted method, entitled: “EIWQI”","type":"article-journal","volume":"82"},"uris":["http://www.mendeley.com/documents/?uuid=b3861f17-3cfe-41fe-829b-1e0c786af231"]}],"mendeley":{"formattedCitation":"&lt;sup&gt;38,39&lt;/sup&gt;","plainTextFormattedCitation":"38,39","previouslyFormattedCitation":"&lt;sup&gt;38,39&lt;/sup&gt;"},"properties":{"noteIndex":0},"schema":"https://github.com/citation-style-language/schema/raw/master/csl-citation.json"}</w:instrText>
      </w:r>
      <w:r w:rsidR="00AF451F" w:rsidRPr="00381924">
        <w:fldChar w:fldCharType="separate"/>
      </w:r>
      <w:r w:rsidR="00C63B09" w:rsidRPr="00C63B09">
        <w:rPr>
          <w:noProof/>
          <w:vertAlign w:val="superscript"/>
        </w:rPr>
        <w:t>38,39</w:t>
      </w:r>
      <w:r w:rsidR="00AF451F" w:rsidRPr="00381924">
        <w:fldChar w:fldCharType="end"/>
      </w:r>
      <w:r w:rsidRPr="00381924">
        <w:t xml:space="preserve">. </w:t>
      </w:r>
    </w:p>
    <w:p w14:paraId="78F0EC65" w14:textId="73A941F4" w:rsidR="001F607B" w:rsidRPr="00381924" w:rsidRDefault="00000000" w:rsidP="004860E9">
      <w:pPr>
        <w:spacing w:line="360" w:lineRule="auto"/>
      </w:pPr>
      <w:r w:rsidRPr="00381924">
        <w:t xml:space="preserve">Neutrosophic irrigation suitability indexing (N-ISI) was then applied to aggregate the seven entropy-weighted indices into a composite suitability score using the same neutrosophic truth-indeterminacy-falsity architecture as </w:t>
      </w:r>
      <w:r w:rsidR="00686910" w:rsidRPr="00381924">
        <w:t xml:space="preserve">outline </w:t>
      </w:r>
      <w:r w:rsidR="00CF3797" w:rsidRPr="00381924">
        <w:t>in the Supplementary methodology S3</w:t>
      </w:r>
      <w:r w:rsidRPr="0038192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3"/>
        <w:gridCol w:w="819"/>
      </w:tblGrid>
      <w:tr w:rsidR="00B2470F" w:rsidRPr="00381924" w14:paraId="26BDF196" w14:textId="77777777" w:rsidTr="002939B9">
        <w:tc>
          <w:tcPr>
            <w:tcW w:w="8388" w:type="dxa"/>
          </w:tcPr>
          <w:p w14:paraId="4727342B" w14:textId="77777777" w:rsidR="00F05710" w:rsidRPr="00381924" w:rsidRDefault="00000000" w:rsidP="004860E9">
            <w:pPr>
              <w:spacing w:line="360" w:lineRule="auto"/>
              <w:jc w:val="center"/>
              <w:rPr>
                <w:rFonts w:eastAsiaTheme="minorEastAsia"/>
              </w:rPr>
            </w:pPr>
            <m:oMathPara>
              <m:oMath>
                <m:sSub>
                  <m:sSubPr>
                    <m:ctrlPr>
                      <w:rPr>
                        <w:rFonts w:ascii="Cambria Math" w:hAnsi="Cambria Math"/>
                        <w:i/>
                      </w:rPr>
                    </m:ctrlPr>
                  </m:sSubPr>
                  <m:e>
                    <m:r>
                      <m:rPr>
                        <m:nor/>
                      </m:rPr>
                      <m:t>N-ISI</m:t>
                    </m:r>
                    <m:ctrlPr>
                      <w:rPr>
                        <w:rFonts w:ascii="Cambria Math" w:hAnsi="Cambria Math"/>
                      </w:rPr>
                    </m:ctrlPr>
                  </m:e>
                  <m:sub>
                    <m:r>
                      <w:rPr>
                        <w:rFonts w:ascii="Cambria Math" w:hAnsi="Cambria Math"/>
                      </w:rPr>
                      <m:t>s</m:t>
                    </m:r>
                  </m:sub>
                </m:sSub>
                <m:r>
                  <w:rPr>
                    <w:rFonts w:ascii="Cambria Math" w:hAnsi="Cambria Math"/>
                  </w:rPr>
                  <m:t>=100</m:t>
                </m:r>
                <m:r>
                  <m:rPr>
                    <m:sty m:val="p"/>
                  </m:rP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ctrlPr>
                      <w:rPr>
                        <w:rFonts w:ascii="Cambria Math" w:hAnsi="Cambria Math"/>
                        <w:i/>
                      </w:rPr>
                    </m:ctrlPr>
                  </m:e>
                </m:nary>
              </m:oMath>
            </m:oMathPara>
          </w:p>
          <w:p w14:paraId="00972961" w14:textId="6EC8AA0B" w:rsidR="002F70CA" w:rsidRPr="00381924" w:rsidRDefault="002F70CA" w:rsidP="004860E9">
            <w:pPr>
              <w:spacing w:line="360" w:lineRule="auto"/>
              <w:jc w:val="center"/>
            </w:pPr>
          </w:p>
        </w:tc>
        <w:tc>
          <w:tcPr>
            <w:tcW w:w="854" w:type="dxa"/>
          </w:tcPr>
          <w:p w14:paraId="421B2742" w14:textId="6A78E55C" w:rsidR="00F05710" w:rsidRPr="00381924" w:rsidRDefault="00F05710" w:rsidP="004860E9">
            <w:pPr>
              <w:spacing w:line="360" w:lineRule="auto"/>
              <w:jc w:val="center"/>
            </w:pPr>
            <w:r w:rsidRPr="00381924">
              <w:lastRenderedPageBreak/>
              <w:t>(</w:t>
            </w:r>
            <w:fldSimple w:instr=" SEQ Equation \* MERGEFORMAT ">
              <w:r w:rsidRPr="00381924">
                <w:rPr>
                  <w:noProof/>
                </w:rPr>
                <w:t>7</w:t>
              </w:r>
            </w:fldSimple>
            <w:r w:rsidRPr="00381924">
              <w:t>)</w:t>
            </w:r>
          </w:p>
        </w:tc>
      </w:tr>
    </w:tbl>
    <w:p w14:paraId="04FED53A" w14:textId="525F3D66" w:rsidR="001F607B" w:rsidRPr="00381924" w:rsidRDefault="00000000" w:rsidP="004860E9">
      <w:pPr>
        <w:spacing w:line="360" w:lineRule="auto"/>
      </w:pPr>
      <w:r w:rsidRPr="00381924">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00C62056" w:rsidRPr="00381924">
        <w:rPr>
          <w:rFonts w:eastAsiaTheme="minorEastAsia"/>
        </w:rPr>
        <w:t xml:space="preserve"> </w:t>
      </w:r>
      <w:r w:rsidRPr="00381924">
        <w:t>is the</w:t>
      </w:r>
      <w:r w:rsidR="007173DD" w:rsidRPr="00381924">
        <w:t xml:space="preserve"> normalised entropy weight,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j,s</m:t>
            </m:r>
          </m:sub>
        </m:sSub>
      </m:oMath>
      <w:r w:rsidR="007173DD" w:rsidRPr="00381924">
        <w:rPr>
          <w:rFonts w:eastAsiaTheme="minorEastAsia"/>
        </w:rPr>
        <w:t xml:space="preserve"> is the</w:t>
      </w:r>
      <w:r w:rsidR="00CD64C5" w:rsidRPr="00381924">
        <w:rPr>
          <w:rFonts w:eastAsiaTheme="minorEastAsia"/>
        </w:rPr>
        <w:t xml:space="preserve"> per-index suitability score derived from the truth</w:t>
      </w:r>
      <w:r w:rsidR="007A0B0E" w:rsidRPr="00381924">
        <w:rPr>
          <w:rFonts w:eastAsiaTheme="minorEastAsia"/>
        </w:rPr>
        <w:t xml:space="preserve"> </w:t>
      </w:r>
      <w:r w:rsidR="00BE5865" w:rsidRPr="00381924">
        <w:rPr>
          <w:rFonts w:eastAsiaTheme="minorEastAsia"/>
        </w:rPr>
        <w:t>and</w:t>
      </w:r>
      <w:r w:rsidR="00CD64C5" w:rsidRPr="00381924">
        <w:rPr>
          <w:rFonts w:eastAsiaTheme="minorEastAsia"/>
        </w:rPr>
        <w:t xml:space="preserve"> falsity components</w:t>
      </w:r>
      <w:r w:rsidRPr="00381924">
        <w:t>. N-ISI classification assigned each sample to one of four irrigation suitability classes: Excellent, Good, Marginal, or Unsuitable</w:t>
      </w:r>
      <w:r w:rsidR="00FE79A0" w:rsidRPr="00381924">
        <w:t xml:space="preserve"> (</w:t>
      </w:r>
      <w:r w:rsidR="002939B9" w:rsidRPr="00381924">
        <w:t>s</w:t>
      </w:r>
      <w:r w:rsidR="00FE79A0" w:rsidRPr="00381924">
        <w:t xml:space="preserve">ee </w:t>
      </w:r>
      <w:r w:rsidR="002939B9" w:rsidRPr="00381924">
        <w:t>S</w:t>
      </w:r>
      <w:r w:rsidR="00FE79A0" w:rsidRPr="00381924">
        <w:t>upplementary methodology S</w:t>
      </w:r>
      <w:r w:rsidR="002A1053" w:rsidRPr="00381924">
        <w:t>3</w:t>
      </w:r>
      <w:r w:rsidR="00962EEC" w:rsidRPr="00381924">
        <w:t>.6</w:t>
      </w:r>
      <w:r w:rsidR="00FE79A0" w:rsidRPr="00381924">
        <w:t>)</w:t>
      </w:r>
      <w:r w:rsidRPr="00381924">
        <w:t>.</w:t>
      </w:r>
    </w:p>
    <w:p w14:paraId="3F46BF2D" w14:textId="225F53AB" w:rsidR="001F607B" w:rsidRPr="00381924" w:rsidRDefault="00000000" w:rsidP="004860E9">
      <w:pPr>
        <w:pStyle w:val="Heading2"/>
        <w:spacing w:line="360" w:lineRule="auto"/>
      </w:pPr>
      <w:bookmarkStart w:id="21" w:name="validation-and-supplementary-diagnostics"/>
      <w:bookmarkEnd w:id="20"/>
      <w:r w:rsidRPr="00381924">
        <w:t>Validation and Supplementary Diagnostics</w:t>
      </w:r>
    </w:p>
    <w:p w14:paraId="26F1D61A" w14:textId="02DDA293" w:rsidR="001F607B" w:rsidRPr="00381924" w:rsidRDefault="00000000" w:rsidP="004860E9">
      <w:pPr>
        <w:spacing w:line="360" w:lineRule="auto"/>
      </w:pPr>
      <w:r w:rsidRPr="00381924">
        <w:t xml:space="preserve">Several supplementary diagnostic procedures were implemented to assess the robustness of the principal analytical outputs. Bootstrap stability of the absolute CLR loading magnitudes was evaluated by resampling the compositional dataset with replacement across </w:t>
      </w:r>
      <w:proofErr w:type="gramStart"/>
      <w:r w:rsidRPr="00381924">
        <w:t>a large number of</w:t>
      </w:r>
      <w:proofErr w:type="gramEnd"/>
      <w:r w:rsidRPr="00381924">
        <w:t xml:space="preserve"> iterations and recomputing the CLR loading structure for each replicate. For the endpoint-driver models, in-sample R² was reported for the Bayesian horseshoe regression formulations of both NPLS-GWQI and fluoride. The sparse PLS comparator for fluoride was additionally evaluated through nested cross-validation and permutation testing, with the resulting statistics reported in </w:t>
      </w:r>
      <w:r w:rsidR="00D93253" w:rsidRPr="00381924">
        <w:t>Section 4.5</w:t>
      </w:r>
      <w:r w:rsidRPr="00381924">
        <w:t>.</w:t>
      </w:r>
      <w:r w:rsidR="00391247" w:rsidRPr="00381924">
        <w:t xml:space="preserve"> </w:t>
      </w:r>
      <w:r w:rsidRPr="00381924">
        <w:t>Sensory-penalty sensitivity for the NPLS-GWQI was examined by comparing score distributions under two model configurations</w:t>
      </w:r>
      <w:r w:rsidR="00B537FE" w:rsidRPr="00381924">
        <w:t xml:space="preserve">, </w:t>
      </w:r>
      <w:r w:rsidRPr="00381924">
        <w:t xml:space="preserve"> with and without the TDS-based sensory penalty</w:t>
      </w:r>
      <w:r w:rsidR="00B537FE" w:rsidRPr="00381924">
        <w:t xml:space="preserve">, </w:t>
      </w:r>
      <w:r w:rsidRPr="00381924">
        <w:t xml:space="preserve"> and the resulting paired distributions.</w:t>
      </w:r>
    </w:p>
    <w:p w14:paraId="65C30342" w14:textId="02D5008A" w:rsidR="006369BB" w:rsidRPr="00381924" w:rsidRDefault="006369BB" w:rsidP="00381924">
      <w:pPr>
        <w:spacing w:after="0" w:line="360" w:lineRule="auto"/>
      </w:pPr>
      <w:r w:rsidRPr="00381924">
        <w:t xml:space="preserve">Classification robustness for both NPLS-GWQI and N-ISI was additionally evaluated by Bayesian measurement-error propagation under an assumed 5% relative analytical </w:t>
      </w:r>
      <w:r w:rsidR="0066352F" w:rsidRPr="00381924">
        <w:t>uncertainty; details are presented in supplementary methodology S4</w:t>
      </w:r>
      <w:r w:rsidRPr="00381924">
        <w:t>. Each observed hydrochemical concentration was treated as a noisy observation of a latent true concentration, posterior samples of the latent concentrations were generated, and each posterior draw was propagated through the full NPLS-GWQI and N-ISI workflows. For each sample, posterior class probabilities were computed as the proportion of posterior draws assigned to each class, and the most probable class and classification confidence were defined as the class with the largest posterior probability and its associated percentage.</w:t>
      </w:r>
    </w:p>
    <w:p w14:paraId="671DEE0B" w14:textId="77777777" w:rsidR="00381924" w:rsidRPr="00381924" w:rsidRDefault="00381924" w:rsidP="003A346A">
      <w:pPr>
        <w:spacing w:after="0" w:line="360" w:lineRule="auto"/>
      </w:pPr>
    </w:p>
    <w:p w14:paraId="7B0ED4A7" w14:textId="44CC570D" w:rsidR="001F607B" w:rsidRPr="00381924" w:rsidRDefault="00000000" w:rsidP="004860E9">
      <w:pPr>
        <w:pStyle w:val="Heading1"/>
        <w:spacing w:line="360" w:lineRule="auto"/>
      </w:pPr>
      <w:bookmarkStart w:id="22" w:name="results"/>
      <w:bookmarkEnd w:id="21"/>
      <w:r w:rsidRPr="00381924">
        <w:lastRenderedPageBreak/>
        <w:t>Results</w:t>
      </w:r>
      <w:bookmarkStart w:id="23" w:name="X316ed91fb2d320b8b63e88de00270b9fb1b169d"/>
      <w:bookmarkEnd w:id="22"/>
    </w:p>
    <w:p w14:paraId="030105A1" w14:textId="2ADFF5F6" w:rsidR="001F607B" w:rsidRPr="00381924" w:rsidRDefault="00000000" w:rsidP="004860E9">
      <w:pPr>
        <w:pStyle w:val="Heading2"/>
        <w:spacing w:line="360" w:lineRule="auto"/>
      </w:pPr>
      <w:bookmarkStart w:id="24" w:name="Xbb6736b26ae0f68c7766a7338f2adaefdcdf2ab"/>
      <w:bookmarkEnd w:id="23"/>
      <w:r w:rsidRPr="00381924">
        <w:t>Hydrochemical Characterisation</w:t>
      </w:r>
    </w:p>
    <w:p w14:paraId="46CFA47D" w14:textId="51C00A78" w:rsidR="001F607B" w:rsidRPr="00381924" w:rsidRDefault="00000000" w:rsidP="004860E9">
      <w:pPr>
        <w:spacing w:line="360" w:lineRule="auto"/>
      </w:pPr>
      <w:r w:rsidRPr="00381924">
        <w:t>Descriptive statistics for all 12 measured variables are reported in Table 1. The groundwater is mildly alkaline on average but chemically heterogeneous, with strong upper-tail enrichment in EC, TDS, Na</w:t>
      </w:r>
      <w:r w:rsidR="00D756DE" w:rsidRPr="00381924">
        <w:rPr>
          <w:vertAlign w:val="superscript"/>
        </w:rPr>
        <w:t>+</w:t>
      </w:r>
      <w:r w:rsidRPr="00381924">
        <w:t>, K</w:t>
      </w:r>
      <w:r w:rsidR="00D756DE" w:rsidRPr="00381924">
        <w:rPr>
          <w:vertAlign w:val="superscript"/>
        </w:rPr>
        <w:t>+</w:t>
      </w:r>
      <w:r w:rsidRPr="00381924">
        <w:t>, Cl</w:t>
      </w:r>
      <w:r w:rsidR="00D756DE" w:rsidRPr="00381924">
        <w:rPr>
          <w:vertAlign w:val="superscript"/>
        </w:rPr>
        <w:t>-</w:t>
      </w:r>
      <w:r w:rsidRPr="00381924">
        <w:t>, and F</w:t>
      </w:r>
      <w:r w:rsidR="00D756DE" w:rsidRPr="00381924">
        <w:rPr>
          <w:vertAlign w:val="superscript"/>
        </w:rPr>
        <w:t>-</w:t>
      </w:r>
      <w:r w:rsidRPr="00381924">
        <w:t xml:space="preserve"> indicating that a minority of highly mineralised samples coexist with a larger body of more moderately chemically evolved waters. Compliance screening against WHO and GSA drinking-water guidelines is summarised in Table 2. HCO₃</w:t>
      </w:r>
      <w:r w:rsidR="00D756DE" w:rsidRPr="00381924">
        <w:rPr>
          <w:vertAlign w:val="superscript"/>
        </w:rPr>
        <w:t>-</w:t>
      </w:r>
      <w:r w:rsidRPr="00381924">
        <w:t xml:space="preserve"> shows the most frequent exceedance of any measured parameter, whilst </w:t>
      </w:r>
      <w:r w:rsidR="00D756DE" w:rsidRPr="00381924">
        <w:t>Na</w:t>
      </w:r>
      <w:r w:rsidR="00D756DE" w:rsidRPr="00381924">
        <w:rPr>
          <w:vertAlign w:val="superscript"/>
        </w:rPr>
        <w:t>+</w:t>
      </w:r>
      <w:r w:rsidR="00D756DE" w:rsidRPr="00381924">
        <w:t>, K</w:t>
      </w:r>
      <w:r w:rsidR="00D756DE" w:rsidRPr="00381924">
        <w:rPr>
          <w:vertAlign w:val="superscript"/>
        </w:rPr>
        <w:t>+</w:t>
      </w:r>
      <w:r w:rsidR="00D756DE" w:rsidRPr="00381924">
        <w:t xml:space="preserve"> </w:t>
      </w:r>
      <w:r w:rsidRPr="00381924">
        <w:t>and F</w:t>
      </w:r>
      <w:r w:rsidR="00D756DE" w:rsidRPr="00381924">
        <w:rPr>
          <w:vertAlign w:val="superscript"/>
        </w:rPr>
        <w:t>-</w:t>
      </w:r>
      <w:r w:rsidRPr="00381924">
        <w:t xml:space="preserve"> each exceed their respective guideline values in 17.65% of samples. EC, TDS, and Cl</w:t>
      </w:r>
      <w:r w:rsidR="00D756DE" w:rsidRPr="00381924">
        <w:rPr>
          <w:vertAlign w:val="superscript"/>
        </w:rPr>
        <w:t>-</w:t>
      </w:r>
      <w:r w:rsidRPr="00381924">
        <w:t xml:space="preserve"> exceed guidelines less frequently, and Mg</w:t>
      </w:r>
      <w:r w:rsidR="00D756DE" w:rsidRPr="00381924">
        <w:rPr>
          <w:vertAlign w:val="superscript"/>
        </w:rPr>
        <w:t>2+</w:t>
      </w:r>
      <w:r w:rsidRPr="00381924">
        <w:t xml:space="preserve"> and SO</w:t>
      </w:r>
      <w:r w:rsidR="00643748" w:rsidRPr="00381924">
        <w:rPr>
          <w:vertAlign w:val="subscript"/>
        </w:rPr>
        <w:t>4</w:t>
      </w:r>
      <w:r w:rsidR="00D756DE" w:rsidRPr="00381924">
        <w:rPr>
          <w:vertAlign w:val="superscript"/>
        </w:rPr>
        <w:t>2-</w:t>
      </w:r>
      <w:r w:rsidRPr="00381924">
        <w:t xml:space="preserve"> remain fully compliant across the 34 samples. Non-compliance is therefore concentrated in specific dissolved constituents</w:t>
      </w:r>
      <w:r w:rsidR="00B537FE" w:rsidRPr="00381924">
        <w:t xml:space="preserve">, </w:t>
      </w:r>
      <w:r w:rsidRPr="00381924">
        <w:t xml:space="preserve"> principally bicarbonate, fluoride, sodium, and potassium</w:t>
      </w:r>
      <w:r w:rsidR="00B537FE" w:rsidRPr="00381924">
        <w:t xml:space="preserve">, </w:t>
      </w:r>
      <w:r w:rsidRPr="00381924">
        <w:t xml:space="preserve"> rather than distributed evenly across all parameters. The hydrochemical facies structure, illustrated in Figure 2, is dominated by alkali-bicarbonate waters, particularly the Na-HCO₃ type, with smaller proportions of samples showing K-HCO₃, mixed-bicarbonate, and more chloride-influenced compositions. The normalised parameter spread relative to guideline values, shown in Figure S</w:t>
      </w:r>
      <w:r w:rsidR="00CB1B2A" w:rsidRPr="00381924">
        <w:t>2</w:t>
      </w:r>
      <w:r w:rsidRPr="00381924">
        <w:t>, confirms that bicarbonate enrichment and episodic fluoride and sodium excursions constitute the principal departure from potability standards.</w:t>
      </w:r>
    </w:p>
    <w:p w14:paraId="26E63CA8" w14:textId="53773343" w:rsidR="001F607B" w:rsidRPr="00381924" w:rsidRDefault="00000000" w:rsidP="004860E9">
      <w:pPr>
        <w:pStyle w:val="Heading2"/>
        <w:spacing w:line="360" w:lineRule="auto"/>
      </w:pPr>
      <w:bookmarkStart w:id="25" w:name="Xc970f7e86e060dc95b64ddce47172fa6f4cdf65"/>
      <w:bookmarkEnd w:id="24"/>
      <w:r w:rsidRPr="00381924">
        <w:t>Groundwater-Quality Structure and Classification</w:t>
      </w:r>
    </w:p>
    <w:p w14:paraId="69B1CC6D" w14:textId="109AFC8A" w:rsidR="001F607B" w:rsidRPr="00381924" w:rsidRDefault="007C4174" w:rsidP="004860E9">
      <w:pPr>
        <w:spacing w:line="360" w:lineRule="auto"/>
      </w:pPr>
      <w:r w:rsidRPr="00381924">
        <w:t>Across the worsening quality gradient, truth membership declined and falsity rose progressively, whilst indeterminacy remained comparatively low and was most visible around class-transition boundaries rather than at the quality extremes (Figure 3a). The groundwater-quality structure is strongly right-skewed: 25 of the 34 samples were classified as excellent, 1 as good, 1 as poor, 3 as very poor, and 4 as unsuitable</w:t>
      </w:r>
      <w:r w:rsidR="00E905C5" w:rsidRPr="00381924">
        <w:t xml:space="preserve"> </w:t>
      </w:r>
      <w:r w:rsidR="00764C80" w:rsidRPr="00381924">
        <w:t>(</w:t>
      </w:r>
      <w:r w:rsidR="00E905C5" w:rsidRPr="00381924">
        <w:t>Figure 3</w:t>
      </w:r>
      <w:r w:rsidR="000A7D93" w:rsidRPr="00381924">
        <w:t>d</w:t>
      </w:r>
      <w:r w:rsidR="00764C80" w:rsidRPr="00381924">
        <w:t>)</w:t>
      </w:r>
      <w:r w:rsidRPr="00381924">
        <w:t xml:space="preserve">. The four unsuitable samples form a distinct degraded subset rather than ambiguous edge cases, as reflected in their low indeterminacy values reported in Table </w:t>
      </w:r>
      <w:r w:rsidR="00764C80" w:rsidRPr="00381924">
        <w:t>3</w:t>
      </w:r>
      <w:r w:rsidRPr="00381924">
        <w:t>.</w:t>
      </w:r>
    </w:p>
    <w:p w14:paraId="64FC51CE" w14:textId="014FE057" w:rsidR="001F607B" w:rsidRPr="00381924" w:rsidRDefault="00000000" w:rsidP="004860E9">
      <w:pPr>
        <w:spacing w:line="360" w:lineRule="auto"/>
      </w:pPr>
      <w:r w:rsidRPr="00381924">
        <w:t xml:space="preserve">The bootstrapped N-VIP dynamic weights assigned to the contributing variables are presented in Table </w:t>
      </w:r>
      <w:r w:rsidR="00DA2F31" w:rsidRPr="00381924">
        <w:t>4</w:t>
      </w:r>
      <w:r w:rsidRPr="00381924">
        <w:t>. EC, Cl</w:t>
      </w:r>
      <w:r w:rsidR="00844783" w:rsidRPr="00381924">
        <w:rPr>
          <w:vertAlign w:val="superscript"/>
        </w:rPr>
        <w:t>-</w:t>
      </w:r>
      <w:r w:rsidRPr="00381924">
        <w:t>, TDS, Ca</w:t>
      </w:r>
      <w:r w:rsidR="00844783" w:rsidRPr="00381924">
        <w:rPr>
          <w:vertAlign w:val="superscript"/>
        </w:rPr>
        <w:t>2+</w:t>
      </w:r>
      <w:r w:rsidRPr="00381924">
        <w:t>, K</w:t>
      </w:r>
      <w:r w:rsidR="00844783" w:rsidRPr="00381924">
        <w:rPr>
          <w:vertAlign w:val="superscript"/>
        </w:rPr>
        <w:t>+</w:t>
      </w:r>
      <w:r w:rsidRPr="00381924">
        <w:t>,</w:t>
      </w:r>
      <w:r w:rsidR="00DA2F31" w:rsidRPr="00381924">
        <w:t xml:space="preserve"> </w:t>
      </w:r>
      <w:r w:rsidRPr="00381924">
        <w:t>and Na</w:t>
      </w:r>
      <w:r w:rsidR="00844783" w:rsidRPr="00381924">
        <w:rPr>
          <w:vertAlign w:val="superscript"/>
        </w:rPr>
        <w:t>+</w:t>
      </w:r>
      <w:r w:rsidRPr="00381924">
        <w:t xml:space="preserve"> received the highest weights, demonstrating that mineralisation and salinity-related variables dominate the water-quality signal captured by the index. The VIP radar representation in Figure </w:t>
      </w:r>
      <w:r w:rsidR="009A29CE" w:rsidRPr="00381924">
        <w:t>3</w:t>
      </w:r>
      <w:r w:rsidR="000A7D93" w:rsidRPr="00381924">
        <w:t>b</w:t>
      </w:r>
      <w:r w:rsidRPr="00381924">
        <w:t xml:space="preserve"> </w:t>
      </w:r>
      <w:r w:rsidRPr="00381924">
        <w:lastRenderedPageBreak/>
        <w:t>visualises the relative weighting structure across variables. Application of the TDS-based sensory penalty shifted the score distribution upward for the higher-scoring samples whilst leaving the overall ranking architecture largely intact, as shown by the sensitivity comparison in Figure S</w:t>
      </w:r>
      <w:r w:rsidR="00CB1B2A" w:rsidRPr="00381924">
        <w:t>3</w:t>
      </w:r>
      <w:r w:rsidRPr="00381924">
        <w:t>. This indicates that the penalty is corrective in its effect on class severity at the upper end rather than structurally transformative of the broader quality ordering.</w:t>
      </w:r>
      <w:r w:rsidR="002C2AAA" w:rsidRPr="00381924">
        <w:t xml:space="preserve"> </w:t>
      </w:r>
      <w:r w:rsidR="00F01607" w:rsidRPr="00381924">
        <w:t>Bayesian measurement-error propagation showed that the NPLS-GWQI classification was generally stable but not uniformly so. The median posterior classification confidence was 99.83%, but 11 of the 34 samples fell below 95% confidence and 3 fell below 60%, indicating that uncertainty was concentrated in a small subset of boundary cases rather than distributed across the dataset. The posterior most-probable class distribution remained dominated by the Excellent class (25 samples), but 2 samples classified deterministically as Very Poor were reassigned to Unsuitable as their posterior most-probable class, increasing the posterior Unsuitable count from 4 to 6 (Supplementary Table S</w:t>
      </w:r>
      <w:r w:rsidR="00C436A1" w:rsidRPr="00381924">
        <w:t>2</w:t>
      </w:r>
      <w:r w:rsidR="00F01607" w:rsidRPr="00381924">
        <w:t>). The lowest posterior confidence was 46.0%, confirming that classification ambiguity is confined mainly to the degraded tail of the NPLS-GWQI distribution rather than to the large body of high-quality waters</w:t>
      </w:r>
      <w:r w:rsidR="002C2AAA" w:rsidRPr="00381924">
        <w:t>.</w:t>
      </w:r>
    </w:p>
    <w:p w14:paraId="3EDB2E5E" w14:textId="7558B28E" w:rsidR="001F607B" w:rsidRPr="00381924" w:rsidRDefault="00000000" w:rsidP="004860E9">
      <w:pPr>
        <w:pStyle w:val="Heading2"/>
        <w:spacing w:line="360" w:lineRule="auto"/>
      </w:pPr>
      <w:bookmarkStart w:id="26" w:name="Xd27775045d907d8f4616964c922929200b1bdde"/>
      <w:bookmarkEnd w:id="25"/>
      <w:r w:rsidRPr="00381924">
        <w:t>Latent Geochemical Signatures and Deterministic Constraints</w:t>
      </w:r>
    </w:p>
    <w:p w14:paraId="798EA084" w14:textId="77777777" w:rsidR="001F607B" w:rsidRPr="00381924" w:rsidRDefault="00000000" w:rsidP="004860E9">
      <w:pPr>
        <w:spacing w:line="360" w:lineRule="auto"/>
      </w:pPr>
      <w:r w:rsidRPr="00381924">
        <w:t>Parallel analysis of the ILR-transformed compositional data retained five components, as summarised in Table 5 and Figure S1. PC1 through PC5 each exceeded the 95th-percentile random eigenvalue threshold, whilst PC6 and subsequent components fell below it, supporting a five-process representation as a data-driven dimensionality rather than an arbitrary truncation.</w:t>
      </w:r>
    </w:p>
    <w:p w14:paraId="6FB0D605" w14:textId="176DF7D2" w:rsidR="001F607B" w:rsidRPr="00381924" w:rsidRDefault="00000000" w:rsidP="004860E9">
      <w:pPr>
        <w:spacing w:line="360" w:lineRule="auto"/>
      </w:pPr>
      <w:r w:rsidRPr="00381924">
        <w:t xml:space="preserve">The CLR loading profiles for the five retained processes, presented in Table 6 and Figure </w:t>
      </w:r>
      <w:r w:rsidR="00B162A4" w:rsidRPr="00381924">
        <w:t>4</w:t>
      </w:r>
      <w:r w:rsidRPr="00381924">
        <w:t xml:space="preserve">, resolve interpretable process families. The first process emphasises Na-Cl enrichment against depleted K. The second isolates a NO₃-Ca association against strongly negative SO₄. The third and fourth processes partition fluoride into Mg-F and K-F associations respectively, indicating that fluoride co-occurrence is governed by at least two geochemically distinguishable mechanisms. The fifth process couples Na and HCO₃ against negative Cl, marking an exchange-altered bicarbonate signature consistent with cation-exchange modification of original rock-weathering chemistry. Together, these loading structures show that mineralisation, ion exchange, and solute </w:t>
      </w:r>
      <w:r w:rsidRPr="00381924">
        <w:lastRenderedPageBreak/>
        <w:t>co-association operate simultaneously but remain distinguishable in compositional space.</w:t>
      </w:r>
    </w:p>
    <w:p w14:paraId="6E0F7793" w14:textId="4CC7E824" w:rsidR="001F607B" w:rsidRPr="00381924" w:rsidRDefault="00000000" w:rsidP="004860E9">
      <w:pPr>
        <w:spacing w:line="360" w:lineRule="auto"/>
      </w:pPr>
      <w:r w:rsidRPr="00381924">
        <w:t xml:space="preserve">The deterministic geochemical constraint diagnostics reported in Table 7 and Figure </w:t>
      </w:r>
      <w:r w:rsidR="00B162A4" w:rsidRPr="00381924">
        <w:t>5</w:t>
      </w:r>
      <w:r w:rsidRPr="00381924">
        <w:t xml:space="preserve"> corroborate these process interpretations. Thirty of the 34 samples occupy the rock-weathering field in the Gibbs framework, whilst 3 fall in the evaporation-concentration field and 1 in the precipitation-dominance field, establishing rock-water interaction as the primary geochemical regulator of the dataset. The exchange indices show predominantly negative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1</m:t>
            </m:r>
          </m:sub>
        </m:sSub>
      </m:oMath>
      <w:r w:rsidRPr="00381924">
        <w:t xml:space="preserve"> and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xml:space="preserve"> values across the sample set, indicating widespread forward chloro-alkaline exchange in which sodium replaces calcium and magnesium from aquifer surfaces. Na/Cl molar ratios are generally elevated above unity, confirming that observed sodium concentrations cannot be explained by halite dissolution alone and that silicate weathering and exchange are substantial sodium sources. In combination, these diagnostics support a system dominated by rock-water interaction and subsequently modified by ion exchange during hydrochemical evolution. Bootstrap stability assessment of the absolute CLR loading structure, shown in Figure S</w:t>
      </w:r>
      <w:r w:rsidR="00800B31" w:rsidRPr="00381924">
        <w:t>4</w:t>
      </w:r>
      <w:r w:rsidRPr="00381924">
        <w:t>, confirmed that the five-process architecture is reproducible at the level of dominant loading magnitudes across resamples, though some secondary ion-process pairs showed greater variability than others.</w:t>
      </w:r>
    </w:p>
    <w:p w14:paraId="626B22AF" w14:textId="70D21131" w:rsidR="001F607B" w:rsidRPr="00381924" w:rsidRDefault="00000000" w:rsidP="004860E9">
      <w:pPr>
        <w:pStyle w:val="Heading2"/>
        <w:spacing w:line="360" w:lineRule="auto"/>
      </w:pPr>
      <w:bookmarkStart w:id="27" w:name="Xc00bccae7b14ee97904a79593a6d61047479458"/>
      <w:bookmarkEnd w:id="26"/>
      <w:r w:rsidRPr="00381924">
        <w:t>Bayesian Hydrochemical Driver Profiles and Pathway Synthesis</w:t>
      </w:r>
    </w:p>
    <w:p w14:paraId="431E7D26" w14:textId="5F849413" w:rsidR="001F607B" w:rsidRPr="00381924" w:rsidRDefault="00000000" w:rsidP="004860E9">
      <w:pPr>
        <w:spacing w:line="360" w:lineRule="auto"/>
      </w:pPr>
      <w:r w:rsidRPr="00381924">
        <w:t>The Bayesian horseshoe regression results for the two endpoint models are summarised in Table 8. For NPLS-GWQI</w:t>
      </w:r>
      <w:r w:rsidR="00ED736E" w:rsidRPr="00381924">
        <w:t xml:space="preserve"> (Table 8a</w:t>
      </w:r>
      <w:r w:rsidR="009D1FC1" w:rsidRPr="00381924">
        <w:t>; Figure 6</w:t>
      </w:r>
      <w:r w:rsidR="00ED736E" w:rsidRPr="00381924">
        <w:t>)</w:t>
      </w:r>
      <w:r w:rsidRPr="00381924">
        <w:t>, EC was identified as the dominant driver, contributing 43.18% of the total normalised driver score with a positive directional effect, meaning that higher EC is associated with higher</w:t>
      </w:r>
      <w:r w:rsidR="00B537FE" w:rsidRPr="00381924">
        <w:t xml:space="preserve">, </w:t>
      </w:r>
      <w:r w:rsidRPr="00381924">
        <w:t xml:space="preserve"> that is, poorer</w:t>
      </w:r>
      <w:r w:rsidR="00B537FE" w:rsidRPr="00381924">
        <w:t xml:space="preserve">, </w:t>
      </w:r>
      <w:r w:rsidRPr="00381924">
        <w:t xml:space="preserve"> groundwater quality scores. The next most influential predictor was Na, with a 14.86% contribution and a negative effect, indicating that exchange-related sodium enrichment partly counterbalances the conductivity-driven rise in the quality index. K</w:t>
      </w:r>
      <w:r w:rsidR="00844783" w:rsidRPr="00381924">
        <w:rPr>
          <w:vertAlign w:val="superscript"/>
        </w:rPr>
        <w:t>+</w:t>
      </w:r>
      <w:r w:rsidRPr="00381924">
        <w:t xml:space="preserve"> contributed 7.77% positively, the silicate proxy contributed 5.27% positively, and TDS contributed 5.06% positively. The NPLS-GWQI endpoint is therefore controlled principally by mineralisation intensity, with a secondary suite of exchange and proxy terms partly opposing the dominant salinity signal.</w:t>
      </w:r>
    </w:p>
    <w:p w14:paraId="1B549F30" w14:textId="46D60A95" w:rsidR="00045480" w:rsidRPr="00381924" w:rsidRDefault="00000000" w:rsidP="004860E9">
      <w:pPr>
        <w:spacing w:line="360" w:lineRule="auto"/>
      </w:pPr>
      <w:r w:rsidRPr="00381924">
        <w:t>For the fluoride endpoint</w:t>
      </w:r>
      <w:r w:rsidR="00ED736E" w:rsidRPr="00381924">
        <w:t xml:space="preserve"> (Table 8b</w:t>
      </w:r>
      <w:r w:rsidR="00045480" w:rsidRPr="00381924">
        <w:t>;</w:t>
      </w:r>
      <w:r w:rsidR="005A1B18" w:rsidRPr="00381924">
        <w:t xml:space="preserve"> </w:t>
      </w:r>
      <w:r w:rsidR="00045480" w:rsidRPr="00381924">
        <w:t>Figure 7</w:t>
      </w:r>
      <w:r w:rsidR="00ED736E" w:rsidRPr="00381924">
        <w:t>)</w:t>
      </w:r>
      <w:r w:rsidRPr="00381924">
        <w:t xml:space="preserve">, the leading drivers were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xml:space="preserve"> at 23.16% with a negative directional effect, and EC at 22.96% with a positive effect. </w:t>
      </w:r>
      <w:r w:rsidRPr="00381924">
        <w:lastRenderedPageBreak/>
        <w:t>These terms are of comparable magnitude but opposing sign, indicating that fluoride concentration is governed by competing conductivity enrichment and ion-exchange suppression rather than a single monotonic pathway. The carbonate proxy contributed 9.22% negatively, and K</w:t>
      </w:r>
      <w:r w:rsidR="00844783" w:rsidRPr="00381924">
        <w:rPr>
          <w:vertAlign w:val="superscript"/>
        </w:rPr>
        <w:t>+</w:t>
      </w:r>
      <w:r w:rsidRPr="00381924">
        <w:t xml:space="preserve"> contributed 6.40% positively. The fluoride endpoint is therefore inherently multicausal. </w:t>
      </w:r>
    </w:p>
    <w:p w14:paraId="03B3F206" w14:textId="2E3DFE61" w:rsidR="001F607B" w:rsidRPr="00381924" w:rsidRDefault="00000000" w:rsidP="004860E9">
      <w:pPr>
        <w:spacing w:line="360" w:lineRule="auto"/>
      </w:pPr>
      <w:r w:rsidRPr="00381924">
        <w:t>Model diagnostics reported in Table 9 show that the NPLS-GWQI Bayesian model achieves a very high in-sample fit with the predictor set concentrated on EC, whilst the fluoride models are weaker and less stable, particularly under sparse PLS cross-validation, indicating that fluoride driver attribution should be interpreted with greater caution.</w:t>
      </w:r>
    </w:p>
    <w:p w14:paraId="4637F940" w14:textId="6779677F" w:rsidR="001F607B" w:rsidRPr="00381924" w:rsidRDefault="00000000" w:rsidP="004860E9">
      <w:pPr>
        <w:pStyle w:val="Heading2"/>
        <w:spacing w:line="360" w:lineRule="auto"/>
      </w:pPr>
      <w:bookmarkStart w:id="28" w:name="X6b6c075259d562ce398e6cc5b5e72252ac2ab5b"/>
      <w:bookmarkEnd w:id="27"/>
      <w:r w:rsidRPr="00381924">
        <w:t>Deterministic and Bayesian Non-Carcinogenic Health Risk</w:t>
      </w:r>
    </w:p>
    <w:p w14:paraId="6C61F3B9" w14:textId="33808099" w:rsidR="001F607B" w:rsidRPr="00381924" w:rsidRDefault="00000000" w:rsidP="004860E9">
      <w:pPr>
        <w:spacing w:line="360" w:lineRule="auto"/>
      </w:pPr>
      <w:r w:rsidRPr="00381924">
        <w:t xml:space="preserve">Deterministic health-risk results are reported in Table 10 and Figure </w:t>
      </w:r>
      <w:r w:rsidR="00EE09B1" w:rsidRPr="00381924">
        <w:t>8</w:t>
      </w:r>
      <w:r w:rsidRPr="00381924">
        <w:t xml:space="preserve">. The risk profile is clearly age-ordered for fluoride: children recorded the highest mean </w:t>
      </w:r>
      <m:oMath>
        <m:r>
          <w:rPr>
            <w:rFonts w:ascii="Cambria Math" w:hAnsi="Cambria Math"/>
          </w:rPr>
          <m:t>H</m:t>
        </m:r>
        <m:sSub>
          <m:sSubPr>
            <m:ctrlPr>
              <w:rPr>
                <w:rFonts w:ascii="Cambria Math" w:hAnsi="Cambria Math"/>
                <w:i/>
              </w:rPr>
            </m:ctrlPr>
          </m:sSubPr>
          <m:e>
            <m:r>
              <w:rPr>
                <w:rFonts w:ascii="Cambria Math" w:hAnsi="Cambria Math"/>
              </w:rPr>
              <m:t>Q</m:t>
            </m:r>
          </m:e>
          <m:sub>
            <m:r>
              <w:rPr>
                <w:rFonts w:ascii="Cambria Math" w:hAnsi="Cambria Math"/>
              </w:rPr>
              <m:t>F</m:t>
            </m:r>
          </m:sub>
        </m:sSub>
      </m:oMath>
      <w:r w:rsidRPr="00381924">
        <w:t xml:space="preserve"> at 1.493, followed by adults at 0.933 and teens at 0.746. Corresponding mean </w:t>
      </w:r>
      <m:oMath>
        <m:r>
          <w:rPr>
            <w:rFonts w:ascii="Cambria Math" w:hAnsi="Cambria Math"/>
          </w:rPr>
          <m:t>H</m:t>
        </m:r>
        <m:sSub>
          <m:sSubPr>
            <m:ctrlPr>
              <w:rPr>
                <w:rFonts w:ascii="Cambria Math" w:hAnsi="Cambria Math"/>
                <w:i/>
              </w:rPr>
            </m:ctrlPr>
          </m:sSubPr>
          <m:e>
            <m:r>
              <w:rPr>
                <w:rFonts w:ascii="Cambria Math" w:hAnsi="Cambria Math"/>
              </w:rPr>
              <m:t>Q</m:t>
            </m:r>
          </m:e>
          <m:sub>
            <m:r>
              <w:rPr>
                <w:rFonts w:ascii="Cambria Math" w:hAnsi="Cambria Math"/>
              </w:rPr>
              <m:t>N</m:t>
            </m:r>
            <m:sSub>
              <m:sSubPr>
                <m:ctrlPr>
                  <w:rPr>
                    <w:rFonts w:ascii="Cambria Math" w:hAnsi="Cambria Math"/>
                    <w:i/>
                  </w:rPr>
                </m:ctrlPr>
              </m:sSubPr>
              <m:e>
                <m:r>
                  <w:rPr>
                    <w:rFonts w:ascii="Cambria Math" w:hAnsi="Cambria Math"/>
                  </w:rPr>
                  <m:t>O</m:t>
                </m:r>
              </m:e>
              <m:sub>
                <m:r>
                  <w:rPr>
                    <w:rFonts w:ascii="Cambria Math" w:hAnsi="Cambria Math"/>
                  </w:rPr>
                  <m:t>3</m:t>
                </m:r>
              </m:sub>
            </m:sSub>
          </m:sub>
        </m:sSub>
      </m:oMath>
      <w:r w:rsidRPr="00381924">
        <w:t xml:space="preserve"> values were substantially lower across all demographic groups, at 0.327 for children, 0.204 for adults, and 0.163 for teens, and nitrate remained predominantly sub-threshold across the sampled waters. Fluoride distributions retained upper tails above the hazard quotient threshold of 1, especially in children, whilst nitrate did not produce comparable upper-tail exceedances in any demographic group. The deterministic skeletal-dental health index (</w:t>
      </w:r>
      <m:oMath>
        <m:r>
          <w:rPr>
            <w:rFonts w:ascii="Cambria Math" w:hAnsi="Cambria Math"/>
          </w:rPr>
          <m:t>H</m:t>
        </m:r>
        <m:sSub>
          <m:sSubPr>
            <m:ctrlPr>
              <w:rPr>
                <w:rFonts w:ascii="Cambria Math" w:hAnsi="Cambria Math"/>
                <w:i/>
              </w:rPr>
            </m:ctrlPr>
          </m:sSubPr>
          <m:e>
            <m:r>
              <w:rPr>
                <w:rFonts w:ascii="Cambria Math" w:hAnsi="Cambria Math"/>
              </w:rPr>
              <m:t>I</m:t>
            </m:r>
          </m:e>
          <m:sub>
            <m:r>
              <w:rPr>
                <w:rFonts w:ascii="Cambria Math" w:hAnsi="Cambria Math"/>
              </w:rPr>
              <m:t>skeletal dental</m:t>
            </m:r>
          </m:sub>
        </m:sSub>
      </m:oMath>
      <w:r w:rsidRPr="00381924">
        <w:t>) was elevated in children relative to other groups, reflecting the combined effect of lower body weight and higher relative ingestion rate in that demographic. The principal deterministic burden is therefore fluoride-driven skeletal-dental risk, with children constituting the most vulnerable receptor group.</w:t>
      </w:r>
    </w:p>
    <w:p w14:paraId="04CFFA7E" w14:textId="0BE6D134" w:rsidR="001F607B" w:rsidRPr="00381924" w:rsidRDefault="00000000" w:rsidP="004860E9">
      <w:pPr>
        <w:spacing w:line="360" w:lineRule="auto"/>
      </w:pPr>
      <w:r w:rsidRPr="00381924">
        <w:t xml:space="preserve">Bayesian posterior health-risk results are presented in Table 11 and Figure </w:t>
      </w:r>
      <w:r w:rsidR="00EE09B1" w:rsidRPr="00381924">
        <w:t>9</w:t>
      </w:r>
      <w:r w:rsidRPr="00381924">
        <w:t xml:space="preserve">. The Bayesian results preserve the deterministic ranking whilst making exposure uncertainty explicit. Children recorded the highest posterior mean skeletal-dental health index at HI = 2.155 with P(HI &gt; 1) = 0.6875, followed by adults at a posterior mean of 1.315 and P(HI &gt; 1) = 0.4625, and teens at a posterior mean of 1.200 and P(HI &gt; 1) = 0.4000. </w:t>
      </w:r>
      <w:proofErr w:type="spellStart"/>
      <w:r w:rsidRPr="00381924">
        <w:t>Hematological</w:t>
      </w:r>
      <w:proofErr w:type="spellEnd"/>
      <w:r w:rsidRPr="00381924">
        <w:t xml:space="preserve"> posterior means remained below unity for all groups at 0.556 for children, 0.364 for adults, and 0.316 for teens, confirming that the nitrate-related </w:t>
      </w:r>
      <w:r w:rsidR="00844783" w:rsidRPr="00381924">
        <w:t>haematological</w:t>
      </w:r>
      <w:r w:rsidRPr="00381924">
        <w:t xml:space="preserve"> burden was sub-threshold under uncertainty-aware </w:t>
      </w:r>
      <w:r w:rsidRPr="00381924">
        <w:lastRenderedPageBreak/>
        <w:t>estimation. Credible intervals are wide, reflecting the propagated exposure uncertainty, but the vulnerability ordering across demographic groups is stable across the posterior distribution, supporting the conclusion that elevated fluoride-related skeletal-dental risk in children is robust to parameter uncertainty.</w:t>
      </w:r>
    </w:p>
    <w:p w14:paraId="39C97809" w14:textId="58068A41" w:rsidR="001F607B" w:rsidRPr="00381924" w:rsidRDefault="00000000" w:rsidP="004860E9">
      <w:pPr>
        <w:pStyle w:val="Heading2"/>
        <w:spacing w:line="360" w:lineRule="auto"/>
      </w:pPr>
      <w:bookmarkStart w:id="29" w:name="irrigation-suitability"/>
      <w:bookmarkEnd w:id="28"/>
      <w:r w:rsidRPr="00381924">
        <w:t>Irrigation Suitability</w:t>
      </w:r>
    </w:p>
    <w:p w14:paraId="592EED6C" w14:textId="47D999A0" w:rsidR="001E49A1" w:rsidRPr="00381924" w:rsidRDefault="00D5158D" w:rsidP="004860E9">
      <w:pPr>
        <w:spacing w:line="360" w:lineRule="auto"/>
      </w:pPr>
      <w:r w:rsidRPr="00381924">
        <w:t xml:space="preserve">Entropy-derived weights and the N-ISI class distribution are reported in Table 12 and Table 13. PI, PS, and KR received the greatest entropy-assigned weights, confirming that these high-dispersion, high-leverage indices dominate the composite suitability score. </w:t>
      </w:r>
      <w:r w:rsidR="001E49A1" w:rsidRPr="00381924">
        <w:t>The seven indices,  SAR, SSP, MH, KR, PI, RSC, and PS,  show strong distributional dispersion across the 34 samples, with particularly large spread and prominent outliers in KR and PI</w:t>
      </w:r>
      <w:r w:rsidR="00E342A6" w:rsidRPr="00381924">
        <w:t xml:space="preserve"> (Figure 10c)</w:t>
      </w:r>
      <w:r w:rsidR="001E49A1" w:rsidRPr="00381924">
        <w:t>, indicating that a subset of samples carries disproportionately poor irrigation characteristics relative to the broader background of moderate conditions (Figure 10c).</w:t>
      </w:r>
    </w:p>
    <w:p w14:paraId="2C8D85A2" w14:textId="0163F2C9" w:rsidR="001F607B" w:rsidRPr="00381924" w:rsidRDefault="00B93491" w:rsidP="004860E9">
      <w:pPr>
        <w:spacing w:line="360" w:lineRule="auto"/>
      </w:pPr>
      <w:r w:rsidRPr="00381924">
        <w:t>The final N-ISI classification (Table 13</w:t>
      </w:r>
      <w:r w:rsidR="00955E06" w:rsidRPr="00381924">
        <w:t>; Figure 10d</w:t>
      </w:r>
      <w:r w:rsidRPr="00381924">
        <w:t>) is dominated by the marginal class, which encompassed 23 samples representing 67.65% of the dataset. Five samples were classified as excellent, 3 as good, and 3 as unsuitable.</w:t>
      </w:r>
      <w:r w:rsidR="008F1F27" w:rsidRPr="00381924">
        <w:t xml:space="preserve"> </w:t>
      </w:r>
      <w:r w:rsidRPr="00381924">
        <w:t xml:space="preserve">The scatter panels in Figure </w:t>
      </w:r>
      <w:r w:rsidR="00E342A6" w:rsidRPr="00381924">
        <w:t>10</w:t>
      </w:r>
      <w:r w:rsidR="008F1F27" w:rsidRPr="00381924">
        <w:t xml:space="preserve">a and </w:t>
      </w:r>
      <w:r w:rsidR="00E342A6" w:rsidRPr="00381924">
        <w:t>10</w:t>
      </w:r>
      <w:r w:rsidR="00F30819" w:rsidRPr="00381924">
        <w:t>b</w:t>
      </w:r>
      <w:r w:rsidR="00B53E9E" w:rsidRPr="00381924">
        <w:t>,</w:t>
      </w:r>
      <w:r w:rsidRPr="00381924">
        <w:t xml:space="preserve"> show that poorer N-ISI outcomes are concentrated in the more saline and sodic portions of the EC-SSP and EC-SAR space.</w:t>
      </w:r>
    </w:p>
    <w:p w14:paraId="2AFD5125" w14:textId="18A44523" w:rsidR="001B01D4" w:rsidRDefault="001B01D4" w:rsidP="00ED2DE4">
      <w:pPr>
        <w:spacing w:after="0" w:line="360" w:lineRule="auto"/>
      </w:pPr>
      <w:r w:rsidRPr="00381924">
        <w:t>Under the same Bayesian measurement-error propagation, the N-ISI classification proved markedly more stable than the NPLS-GWQI classification. The posterior most-probable class distribution reproduced the deterministic class totals exactly (23 Marginal, 5 Excellent, 3 Good, and 3 Unsuitable), the median posterior confidence was 100%, and only 2 of the 34 samples fell below 95% confidence (Supplementary Table S</w:t>
      </w:r>
      <w:r w:rsidR="002939B9" w:rsidRPr="00381924">
        <w:t>3</w:t>
      </w:r>
      <w:r w:rsidRPr="00381924">
        <w:t>). Those 2 cases remained within the Good class as their posterior most-probable assignment, with only minor posterior spillover toward Marginal; the minimum posterior confidence was still 89.17%. These results indicate that the irrigation suitability classes are sharply separated in the present dataset and materially less sensitive to plausible analytical uncertainty than the boundary cases observed in the NPLS-GWQI classification.</w:t>
      </w:r>
    </w:p>
    <w:p w14:paraId="7B2C22FA" w14:textId="77777777" w:rsidR="003A346A" w:rsidRPr="00381924" w:rsidRDefault="003A346A" w:rsidP="00ED2DE4">
      <w:pPr>
        <w:spacing w:after="0" w:line="360" w:lineRule="auto"/>
      </w:pPr>
    </w:p>
    <w:p w14:paraId="4C4C6D45" w14:textId="00012FD2" w:rsidR="001F607B" w:rsidRPr="00381924" w:rsidRDefault="00000000" w:rsidP="004860E9">
      <w:pPr>
        <w:pStyle w:val="Heading1"/>
        <w:spacing w:line="360" w:lineRule="auto"/>
      </w:pPr>
      <w:bookmarkStart w:id="30" w:name="discussion"/>
      <w:bookmarkEnd w:id="29"/>
      <w:r w:rsidRPr="00381924">
        <w:lastRenderedPageBreak/>
        <w:t>Discussion</w:t>
      </w:r>
    </w:p>
    <w:p w14:paraId="0D57527D" w14:textId="2DBC87D4" w:rsidR="001F607B" w:rsidRPr="00381924" w:rsidRDefault="00000000" w:rsidP="004860E9">
      <w:pPr>
        <w:pStyle w:val="Heading2"/>
        <w:spacing w:line="360" w:lineRule="auto"/>
      </w:pPr>
      <w:bookmarkStart w:id="31" w:name="Xd16f1efa9ad9a982fee033a0d336fecbaaafc9f"/>
      <w:bookmarkEnd w:id="30"/>
      <w:r w:rsidRPr="00381924">
        <w:t>Hydrochemical Evolution in the Mapped Voltaian Setting</w:t>
      </w:r>
    </w:p>
    <w:p w14:paraId="6A042E3E" w14:textId="733F6F41" w:rsidR="001F607B" w:rsidRPr="00381924" w:rsidRDefault="00000000" w:rsidP="004860E9">
      <w:pPr>
        <w:spacing w:line="360" w:lineRule="auto"/>
      </w:pPr>
      <w:r w:rsidRPr="00381924">
        <w:t xml:space="preserve">The dominance of rock-weathering control, established by the Gibbs-domain assignment of 30 of 34 samples to the rock-weathering field (Table 7; Figure 6), is consistent with the broader literature on sedimentary groundwater systems in northern Ghana and the Voltaian basin. Silicate and carbonate weathering, alongside reverse ion exchange, have similarly been identified as the principal controls on groundwater chemistry in the </w:t>
      </w:r>
      <w:proofErr w:type="spellStart"/>
      <w:r w:rsidRPr="00381924">
        <w:t>Talensi</w:t>
      </w:r>
      <w:proofErr w:type="spellEnd"/>
      <w:r w:rsidRPr="00381924">
        <w:t xml:space="preserve"> District </w:t>
      </w:r>
      <w:r w:rsidR="0034650D" w:rsidRPr="00381924">
        <w:fldChar w:fldCharType="begin" w:fldLock="1"/>
      </w:r>
      <w:r w:rsidR="00C63B09">
        <w:instrText>ADDIN CSL_CITATION {"citationItems":[{"id":"ITEM-1","itemData":{"DOI":"10.1155/2020/8450860","ISSN":"1537744X","PMID":"32327941","abstract":"A comprehensive chemical quality assessment of groundwater resources in the Talensi District has been conducted using conventional graphical methods and multivariate statistical techniques. The study sought to determine the main controls of groundwater chemistry and its suitability for domestic and irrigation purposes in the district. Silicate and carbonate mineral weathering were identified as the main controls on groundwater chemistry in the district, with reverse ion exchange also playing a role. High nitrate and lead levels observed have been associated with agrochemicals and wastewater from farms and homes. Three main flow regimes have been identified with Q-mode cluster analysis, in which mixed cation water types have been revealed, where areas designated as recharge zones are dominated by Na+ + K+-Mg2+-HCO3- fresh water types characterised by low mineralisation and pH, which evolve into Mg2+- Na+ + K+- HCO3- fresh water type with corresponding increased mineralisation of the groundwater. Based on the water quality index (WQI) technique modified for the district and an interpolation technique using ordinary kriging developed from a well-fitted exponential semivariogram for the estimated WQIs, the groundwater quality has been spatially classified as generally 'good' to 'excellent' for domestic purposes. Generally, the quality of groundwater for domestic usage deteriorates as one moves towards the north of the district, whereas waters in the east and west present the best quality. Classifications based on the United States Salinity Laboratory (USSL), Wilcox, and Doneen diagrams suggest that groundwater from the unconfined aquifers of the district is of excellent quality for irrigation purposes.","author":[{"dropping-particle":"","family":"Chegbeleh","given":"Larry Pax","non-dropping-particle":"","parse-names":false,"suffix":""},{"dropping-particle":"","family":"Akurugu","given":"Bismark Awinbire","non-dropping-particle":"","parse-names":false,"suffix":""},{"dropping-particle":"","family":"Yidana","given":"Sandow Mark","non-dropping-particle":"","parse-names":false,"suffix":""}],"container-title":"Scientific World Journal","id":"ITEM-1","issued":{"date-parts":[["2020"]]},"page":". [","title":"Assessment of Groundwater Quality in the Talensi District, Northern Ghana","type":"article-journal","volume":"2020"},"uris":["http://www.mendeley.com/documents/?uuid=3f45049d-05d4-47b8-b50e-57b5d9686626"]}],"mendeley":{"formattedCitation":"&lt;sup&gt;4&lt;/sup&gt;","plainTextFormattedCitation":"4","previouslyFormattedCitation":"&lt;sup&gt;4&lt;/sup&gt;"},"properties":{"noteIndex":0},"schema":"https://github.com/citation-style-language/schema/raw/master/csl-citation.json"}</w:instrText>
      </w:r>
      <w:r w:rsidR="0034650D" w:rsidRPr="00381924">
        <w:fldChar w:fldCharType="separate"/>
      </w:r>
      <w:r w:rsidR="009622BA" w:rsidRPr="009622BA">
        <w:rPr>
          <w:noProof/>
          <w:vertAlign w:val="superscript"/>
        </w:rPr>
        <w:t>4</w:t>
      </w:r>
      <w:r w:rsidR="0034650D" w:rsidRPr="00381924">
        <w:fldChar w:fldCharType="end"/>
      </w:r>
      <w:r w:rsidRPr="00381924">
        <w:t xml:space="preserve">, and fluoride enrichment in </w:t>
      </w:r>
      <w:proofErr w:type="spellStart"/>
      <w:r w:rsidRPr="00381924">
        <w:t>Saboba</w:t>
      </w:r>
      <w:proofErr w:type="spellEnd"/>
      <w:r w:rsidRPr="00381924">
        <w:t xml:space="preserve"> District has been linked to hydrogeochemical processes arising from rock-water interaction rather than to exogenous contamination </w:t>
      </w:r>
      <w:r w:rsidR="0034650D" w:rsidRPr="00381924">
        <w:fldChar w:fldCharType="begin" w:fldLock="1"/>
      </w:r>
      <w:r w:rsidR="00C63B09">
        <w:instrText>ADDIN CSL_CITATION {"citationItems":[{"id":"ITEM-1","itemData":{"DOI":"10.1016/j.gsd.2024.101132","ISSN":"2352801X","abstract":"This study was aimed at appraising the hydrogeochemistry of groundwater and the possible health hazards linked to elevated fluoride (F−) levels in the Saboba District within the Oti sub-basin of the Volta River Basin of northern Ghana. Multivariate statistical analysis, hydrogeochemistry, thermodynamic calculation of mineral saturation indices, and an evaluation of the risk to human health were all used in this assessment. A tFrilinear Piper diagram revealed that K–HCO3 was the predominant water type, reflecting the local geology. Groundwater F− content varied, with an average of 1.33 mg/L and a range of 0.6–4.7 mg/L, with elevated values mainly in the northwestern fringe of the district. Groundwater F− is mostly enriched by geogenic processes including mineral dissolution, ion exchange, and water-rock interaction. The non-carcinogenic risk of F− exposure followed the pattern: children &gt; teenagers &gt; adults &gt; infants, indicating that children are more susceptible to health risks such as dental fluorosis that come with exposure to F−. Therefore, expert-led community education programs can be extremely important in spreading this important knowledge and sustainable F− remediation measures should be urgently put in place to curb the menace.","author":[{"dropping-particle":"","family":"Sunkari","given":"Emmanuel Daanoba","non-dropping-particle":"","parse-names":false,"suffix":""},{"dropping-particle":"","family":"Hudu","given":"Abdallah","non-dropping-particle":"","parse-names":false,"suffix":""},{"dropping-particle":"","family":"Fosu","given":"Shadrack","non-dropping-particle":"","parse-names":false,"suffix":""},{"dropping-particle":"","family":"Gyimah","given":"Eric","non-dropping-particle":"","parse-names":false,"suffix":""},{"dropping-particle":"","family":"Oppong","given":"Obed","non-dropping-particle":"","parse-names":false,"suffix":""}],"container-title":"Groundwater for Sustainable Development","id":"ITEM-1","issue":"February","issued":{"date-parts":[["2024"]]},"page":". [","publisher":"Elsevier B.V.","title":"Hydrogeochemistry, sources, enrichment mechanism and human health risk assessment of groundwater fluoride in Saboba District in the Oti sub-basin of the Volta River Basin, northern Ghana","type":"article-journal","volume":"25"},"uris":["http://www.mendeley.com/documents/?uuid=09404b0a-6baa-4cac-8698-17d4d84e59ae"]}],"mendeley":{"formattedCitation":"&lt;sup&gt;6&lt;/sup&gt;","plainTextFormattedCitation":"6","previouslyFormattedCitation":"&lt;sup&gt;6&lt;/sup&gt;"},"properties":{"noteIndex":0},"schema":"https://github.com/citation-style-language/schema/raw/master/csl-citation.json"}</w:instrText>
      </w:r>
      <w:r w:rsidR="0034650D" w:rsidRPr="00381924">
        <w:fldChar w:fldCharType="separate"/>
      </w:r>
      <w:r w:rsidR="009622BA" w:rsidRPr="009622BA">
        <w:rPr>
          <w:noProof/>
          <w:vertAlign w:val="superscript"/>
        </w:rPr>
        <w:t>6</w:t>
      </w:r>
      <w:r w:rsidR="0034650D" w:rsidRPr="00381924">
        <w:fldChar w:fldCharType="end"/>
      </w:r>
      <w:r w:rsidRPr="00381924">
        <w:t xml:space="preserve">. The present findings extend this geogenic weathering narrative into </w:t>
      </w:r>
      <w:proofErr w:type="spellStart"/>
      <w:r w:rsidRPr="00381924">
        <w:t>Karaga</w:t>
      </w:r>
      <w:proofErr w:type="spellEnd"/>
      <w:r w:rsidRPr="00381924">
        <w:t xml:space="preserve"> District, where the </w:t>
      </w:r>
      <w:proofErr w:type="spellStart"/>
      <w:r w:rsidRPr="00381924">
        <w:t>Bimbila</w:t>
      </w:r>
      <w:proofErr w:type="spellEnd"/>
      <w:r w:rsidRPr="00381924">
        <w:t xml:space="preserve"> Formation’s wide areal extent ensures that </w:t>
      </w:r>
      <w:proofErr w:type="gramStart"/>
      <w:r w:rsidRPr="00381924">
        <w:t>the majority of</w:t>
      </w:r>
      <w:proofErr w:type="gramEnd"/>
      <w:r w:rsidRPr="00381924">
        <w:t xml:space="preserve"> sampled waters evolve principally through dissolution of siliciclastic and associated carbonate minerals.</w:t>
      </w:r>
    </w:p>
    <w:p w14:paraId="3D6F0080" w14:textId="64072068" w:rsidR="001F607B" w:rsidRPr="00381924" w:rsidRDefault="00000000" w:rsidP="004860E9">
      <w:pPr>
        <w:spacing w:line="360" w:lineRule="auto"/>
      </w:pPr>
      <w:r w:rsidRPr="00381924">
        <w:t>The five latent processes resolved by ILR-PCA</w:t>
      </w:r>
      <w:r w:rsidR="00B537FE" w:rsidRPr="00381924">
        <w:t xml:space="preserve">, </w:t>
      </w:r>
      <w:r w:rsidRPr="00381924">
        <w:t xml:space="preserve"> Na-Cl enrichment, NO₃-Ca association, Mg-F association, K-F association, and Na-HCO₃ exchange</w:t>
      </w:r>
      <w:r w:rsidR="00B537FE" w:rsidRPr="00381924">
        <w:t xml:space="preserve">, </w:t>
      </w:r>
      <w:r w:rsidRPr="00381924">
        <w:t xml:space="preserve"> map coherently onto the geological heterogeneity of the study area. The Na-HCO₃ exchange signature, expressed as the fifth latent process with positive Na and HCO₃ loadings against negative Cl, is consistent with the widely negative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1</m:t>
            </m:r>
          </m:sub>
        </m:sSub>
      </m:oMath>
      <w:r w:rsidRPr="00381924">
        <w:t xml:space="preserve"> and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xml:space="preserve"> values that indicate forward cation exchange in which sodium displaces calcium and magnesium from aquifer mineral surfaces. This exchange mechanism accounts for the observed sodium enrichment beyond what halite dissolution alone could explain, as confirmed by the elevated Na/Cl molar ratios documented in Table 7. Comparable exchange signatures have been reported across Voltaian and crystalline basement aquifer systems in northern Ghana and adjacent settings </w:t>
      </w:r>
      <w:r w:rsidR="00DA7B92" w:rsidRPr="00381924">
        <w:fldChar w:fldCharType="begin" w:fldLock="1"/>
      </w:r>
      <w:r w:rsidR="00035024">
        <w:instrText>ADDIN CSL_CITATION {"citationItems":[{"id":"ITEM-1","itemData":{"DOI":"10.1038/s41598-026-45867-6","ISSN":"20452322","PMID":"41912584","author":[{"dropping-particle":"","family":"Sunkari","given":"Emmanuel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reports","id":"ITEM-1","issue":"1","issued":{"date-parts":[["2026"]]},"page":". [","title":"Geochemical and machine learning approaches to groundwater fluoride prediction in Karaga District, Northern Ghana","type":"article-journal","volume":"16"},"uris":["http://www.mendeley.com/documents/?uuid=01d32fc8-0674-4294-ab1d-674e4dfdc1cd"]},{"id":"ITEM-2","itemData":{"DOI":"10.1016/j.gsd.2024.101352","ISSN":"2352801X","abstract":"Groundwater quality is globally threatened by geogenic and human activities. These activities release high levels of potentially toxic elements, such as fluoride (F−), which pose significant threats to human health. This has become a global issue, especially in developing countries such as Ghana. Despite efforts to address this issue, knowledge gaps still need to be addressed to ensure safe and healthy drinking water for all Ghanaians. Moreover, Ghana has been reported to be a fluorosis-endemic country but the sources and exact hotspots of F− enrichment in the aquifers on a countrywide scale are lacking in the available literature. Understanding the quality of water used for diverse purposes in Ghana is necessary to achieve the United Nations Sustainable Development Goals like good health and well-being (SDG 3) and clean water and sanitation (SDG 6), among others. Therefore, this study synthesized all previous studies on groundwater F− contamination in Ghana, to identify the sources of F− enrichment in groundwater, delineate the hotspots for fluorosis, assess the associated human health risks, identify the best sustainable defluoridation methods, and recommend policy intervention for high groundwater F− threat to aquifers in Ghana. In the Ghanaian context, F− contamination in groundwater is largely from geogenic sources like the weathering of fluoride-bearing rocks (granitoids and carbonate sedimentary lithologies) from the Birimian and Voltaian Supergroups and the dissolution of fluoride-rich minerals (fluorapatite, amphiboles, fluorite, biotite, and muscovite). Hotspots for high groundwater F− in Ghana are mainly restricted to the Upper East Region (0.10–5.00 mg/L), North East Region (0.01–13.29 mg/L), Northern Region (0.1–11.6 mg/L), and the White Volta River Basin (0.04–3.79 mg/L). The mean and maximum values of F− in these hotspots exceed the maximum permissible level (1.5 mg/L) set by the World Health Organization and Ghana Standards Authority. Most people in these areas suffer from dental fluorosis. Therefore, affordable and sustainable defluoridation technologies as well as community-based initiatives are recommended to deal with this menace.","author":[{"dropping-particle":"","family":"Sunkari","given":"Emmanuel Daanoba","non-dropping-particle":"","parse-names":false,"suffix":""},{"dropping-particle":"","family":"Ambushe","given":"Abayneh Ataro","non-dropping-particle":"","parse-names":false,"suffix":""}],"container-title":"Groundwater for Sustainable Development","id":"ITEM-2","issued":{"date-parts":[["2024"]]},"page":". [","title":"Groundwater fluoride contamination, sources, hotspots, health hazards, and sustainable containment measures: A systematic review of the Ghanaian context","type":"article-journal","volume":"27"},"uris":["http://www.mendeley.com/documents/?uuid=d0d3d081-aa01-40d4-acef-fcbc400a7cb0"]},{"id":"ITEM-3","itemData":{"DOI":"10.3390/HYDROLOGY7030053","ISSN":"23065338","abstract":"Hydrochemical data of groundwater samples obtained from the mudstones, sandstones, and siltstones aquifer units that underlie the study area have been characterized. The aim of this study was to assess the suitability of groundwater for drinking, domestic, and agricultural purposes. The physico-chemical parameters were initially compared with theWorld Health Organization (WHO) standards for potable water. They were further subjected to various hydrochemical techniques to assess the overall water quality for drinking purposes. Conventional methods of assessing irrigation water suitability were also adopted. The results indicate that, with the exception of HCO3- characterized as unsuitable for drinking water, most of the parameters are within the WHO permissible limits and are thus characterized as suitable for drinking water. A few samples however show slight deviation. The results also show that the abundance of major cations in groundwater is in the order: Na+ &gt; Ca2+ &gt; Mg2+ &gt; K+. However, the abundance of the major anions is in the order: HCO3- &gt; Cl- &gt; SO42-. Na-HCO3 is thus inferred as the dominant water type in the area. Analyses of the overall Water Quality Index (WQI) and irrigation water assessment indices suggest that groundwater in the area is generally suitable for drinking, domestic, and irrigation purposes.","author":[{"dropping-particle":"","family":"Chegbeleh","given":"Larry Pax","non-dropping-particle":"","parse-names":false,"suffix":""},{"dropping-particle":"","family":"Aklika","given":"Delali Kwasi","non-dropping-particle":"","parse-names":false,"suffix":""},{"dropping-particle":"","family":"Akurugu","given":"Bismark Awinbire","non-dropping-particle":"","parse-names":false,"suffix":""}],"container-title":"Hydrology","id":"ITEM-3","issue":"3","issued":{"date-parts":[["2020"]]},"page":"53","title":"Hydrochemical characterization and suitability assessment of groundwater quality in the saboba and chereponi districts, Ghana","type":"article-journal","volume":"7"},"uris":["http://www.mendeley.com/documents/?uuid=2e62b4f7-4a30-4c5b-8c83-78b6941763b6"]}],"mendeley":{"formattedCitation":"&lt;sup&gt;5,26,34&lt;/sup&gt;","plainTextFormattedCitation":"5,26,34","previouslyFormattedCitation":"&lt;sup&gt;5,26,34&lt;/sup&gt;"},"properties":{"noteIndex":0},"schema":"https://github.com/citation-style-language/schema/raw/master/csl-citation.json"}</w:instrText>
      </w:r>
      <w:r w:rsidR="00DA7B92" w:rsidRPr="00381924">
        <w:fldChar w:fldCharType="separate"/>
      </w:r>
      <w:r w:rsidR="0071152F" w:rsidRPr="0071152F">
        <w:rPr>
          <w:noProof/>
          <w:vertAlign w:val="superscript"/>
        </w:rPr>
        <w:t>5,26,34</w:t>
      </w:r>
      <w:r w:rsidR="00DA7B92" w:rsidRPr="00381924">
        <w:fldChar w:fldCharType="end"/>
      </w:r>
      <w:r w:rsidRPr="00381924">
        <w:t>.</w:t>
      </w:r>
    </w:p>
    <w:p w14:paraId="667311A1" w14:textId="147B1853" w:rsidR="001F607B" w:rsidRPr="00381924" w:rsidRDefault="00000000" w:rsidP="004860E9">
      <w:pPr>
        <w:spacing w:line="360" w:lineRule="auto"/>
      </w:pPr>
      <w:r w:rsidRPr="00381924">
        <w:t>The two fluoride-partitioning processes</w:t>
      </w:r>
      <w:r w:rsidR="00B537FE" w:rsidRPr="00381924">
        <w:t xml:space="preserve">, </w:t>
      </w:r>
      <w:r w:rsidRPr="00381924">
        <w:t xml:space="preserve"> Mg-F and K-F</w:t>
      </w:r>
      <w:r w:rsidR="00B537FE" w:rsidRPr="00381924">
        <w:t xml:space="preserve">, </w:t>
      </w:r>
      <w:r w:rsidRPr="00381924">
        <w:t xml:space="preserve"> suggest that fluoride in </w:t>
      </w:r>
      <w:proofErr w:type="spellStart"/>
      <w:r w:rsidRPr="00381924">
        <w:t>Karaga</w:t>
      </w:r>
      <w:proofErr w:type="spellEnd"/>
      <w:r w:rsidRPr="00381924">
        <w:t xml:space="preserve"> District groundwater is not associated with a single mineral source or a single geochemical pathway. Fluoride co-occurrence with magnesium may reflect dissolution of fluorite or fluoride-bearing silicates in the presence of magnesium-releasing minerals, whilst the K-F association may relate to potassium feldspar weathering releasing both ions simultaneously. The competing negative effect of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xml:space="preserve"> and positive effect of EC in the Bayesian fluoride model (Table 8; Figure 7) reinforces the multicausal character of fluoride enrichment, showing that </w:t>
      </w:r>
      <w:r w:rsidRPr="00381924">
        <w:lastRenderedPageBreak/>
        <w:t xml:space="preserve">conductivity-driven concentration and ion-exchange suppression interact to determine the final fluoride level at any given borehole. This complexity makes Karaga District groundwater fluoride behaviour consistent with the broader national pattern described by </w:t>
      </w:r>
      <w:r w:rsidR="00F704AC" w:rsidRPr="00381924">
        <w:fldChar w:fldCharType="begin" w:fldLock="1"/>
      </w:r>
      <w:r w:rsidR="00C63B09">
        <w:instrText>ADDIN CSL_CITATION {"citationItems":[{"id":"ITEM-1","itemData":{"DOI":"10.1016/j.watres.2022.118083","ISSN":"18792448","PMID":"35101693","abstract":"Most people in Ghana have no or only basic access to safely managed water. Especially in rural areas, much of the population relies on groundwater for drinking, which can be contaminated with fluoride and lead to dental fluorosis. Children under the age of two are particularly susceptible to the adverse effects of fluoride and can retain 80–90% of a fluoride dose, compared to 60% in adults. Despite numerous local studies, no spatially continuous picture exists of the fluoride contamination across Ghana, nor is there any estimate of what proportion of the population is potentially exposed to unsafe fluoride levels. Here, we spatially model the probability of fluoride concentrations exceeding 1.0 mg/L in groundwater across Ghana to identify risk areas and estimate the number of children and adults exposed to unsafe fluoride levels in drinking water. We use a set of geospatial predictor variables with random forest modeling and evaluate the model performance through spatial cross-validation. We found that approximately 15% of the area of Ghana, mainly in the northeast, has a high probability of fluoride contamination. The total at-risk population is about 920,000 persons, or 3% of the population, with an estimated 240,000 children (0–9 years) in at-risk areas. In some districts, such as Karaga, Gushiegu, Tamale and Mion, 4 out of 10 children are potentially exposed to fluoride poisoning. Geology and high evapotranspiration are the main drivers of fluoride enrichment in groundwater. Consequently, climate change might put even greater pressure on the area's water resources. Our hazard maps should raise awareness and understanding of geogenic fluoride contamination in Ghana and can advise decision making at local levels to avoid or mitigate fluoride-related risks.","author":[{"dropping-particle":"","family":"Araya","given":"Dahyann","non-dropping-particle":"","parse-names":false,"suffix":""},{"dropping-particle":"","family":"Podgorski","given":"Joel","non-dropping-particle":"","parse-names":false,"suffix":""},{"dropping-particle":"","family":"Kumi","given":"Michael","non-dropping-particle":"","parse-names":false,"suffix":""},{"dropping-particle":"","family":"Mainoo","given":"Patrick A.","non-dropping-particle":"","parse-names":false,"suffix":""},{"dropping-particle":"","family":"Berg","given":"Michael","non-dropping-particle":"","parse-names":false,"suffix":""}],"container-title":"Water Research","id":"ITEM-1","issue":"September 2021","issued":{"date-parts":[["2022","4"]]},"page":". [","publisher":"Elsevier","title":"Fluoride contamination of groundwater resources in Ghana: Country-wide hazard modeling and estimated population at risk","type":"article-journal","volume":"212"},"uris":["http://www.mendeley.com/documents/?uuid=4a30ac80-b085-4d21-a893-718fe9a689f6"]}],"mendeley":{"formattedCitation":"&lt;sup&gt;3&lt;/sup&gt;","manualFormatting":"Araya et al. (2022)","plainTextFormattedCitation":"3","previouslyFormattedCitation":"&lt;sup&gt;3&lt;/sup&gt;"},"properties":{"noteIndex":0},"schema":"https://github.com/citation-style-language/schema/raw/master/csl-citation.json"}</w:instrText>
      </w:r>
      <w:r w:rsidR="00F704AC" w:rsidRPr="00381924">
        <w:fldChar w:fldCharType="separate"/>
      </w:r>
      <w:r w:rsidR="00840D34" w:rsidRPr="00381924">
        <w:rPr>
          <w:noProof/>
        </w:rPr>
        <w:t xml:space="preserve">Araya et al. </w:t>
      </w:r>
      <w:r w:rsidR="007C7A7A" w:rsidRPr="00381924">
        <w:rPr>
          <w:noProof/>
        </w:rPr>
        <w:t>(</w:t>
      </w:r>
      <w:r w:rsidR="00840D34" w:rsidRPr="00381924">
        <w:rPr>
          <w:noProof/>
        </w:rPr>
        <w:t>2022)</w:t>
      </w:r>
      <w:r w:rsidR="00F704AC" w:rsidRPr="00381924">
        <w:fldChar w:fldCharType="end"/>
      </w:r>
      <w:r w:rsidRPr="00381924">
        <w:t xml:space="preserve"> and </w:t>
      </w:r>
      <w:proofErr w:type="spellStart"/>
      <w:r w:rsidRPr="00381924">
        <w:t>Sunkari</w:t>
      </w:r>
      <w:proofErr w:type="spellEnd"/>
      <w:r w:rsidRPr="00381924">
        <w:t xml:space="preserve"> </w:t>
      </w:r>
      <w:r w:rsidR="00067984" w:rsidRPr="00381924">
        <w:fldChar w:fldCharType="begin" w:fldLock="1"/>
      </w:r>
      <w:r w:rsidR="00035024">
        <w:instrText>ADDIN CSL_CITATION {"citationItems":[{"id":"ITEM-1","itemData":{"DOI":"10.1016/j.gsd.2024.101352","ISSN":"2352801X","abstract":"Groundwater quality is globally threatened by geogenic and human activities. These activities release high levels of potentially toxic elements, such as fluoride (F−), which pose significant threats to human health. This has become a global issue, especially in developing countries such as Ghana. Despite efforts to address this issue, knowledge gaps still need to be addressed to ensure safe and healthy drinking water for all Ghanaians. Moreover, Ghana has been reported to be a fluorosis-endemic country but the sources and exact hotspots of F− enrichment in the aquifers on a countrywide scale are lacking in the available literature. Understanding the quality of water used for diverse purposes in Ghana is necessary to achieve the United Nations Sustainable Development Goals like good health and well-being (SDG 3) and clean water and sanitation (SDG 6), among others. Therefore, this study synthesized all previous studies on groundwater F− contamination in Ghana, to identify the sources of F− enrichment in groundwater, delineate the hotspots for fluorosis, assess the associated human health risks, identify the best sustainable defluoridation methods, and recommend policy intervention for high groundwater F− threat to aquifers in Ghana. In the Ghanaian context, F− contamination in groundwater is largely from geogenic sources like the weathering of fluoride-bearing rocks (granitoids and carbonate sedimentary lithologies) from the Birimian and Voltaian Supergroups and the dissolution of fluoride-rich minerals (fluorapatite, amphiboles, fluorite, biotite, and muscovite). Hotspots for high groundwater F− in Ghana are mainly restricted to the Upper East Region (0.10–5.00 mg/L), North East Region (0.01–13.29 mg/L), Northern Region (0.1–11.6 mg/L), and the White Volta River Basin (0.04–3.79 mg/L). The mean and maximum values of F− in these hotspots exceed the maximum permissible level (1.5 mg/L) set by the World Health Organization and Ghana Standards Authority. Most people in these areas suffer from dental fluorosis. Therefore, affordable and sustainable defluoridation technologies as well as community-based initiatives are recommended to deal with this menace.","author":[{"dropping-particle":"","family":"Sunkari","given":"Emmanuel Daanoba","non-dropping-particle":"","parse-names":false,"suffix":""},{"dropping-particle":"","family":"Ambushe","given":"Abayneh Ataro","non-dropping-particle":"","parse-names":false,"suffix":""}],"container-title":"Groundwater for Sustainable Development","id":"ITEM-1","issued":{"date-parts":[["2024"]]},"page":". [","title":"Groundwater fluoride contamination, sources, hotspots, health hazards, and sustainable containment measures: A systematic review of the Ghanaian context","type":"article-journal","volume":"27"},"uris":["http://www.mendeley.com/documents/?uuid=d0d3d081-aa01-40d4-acef-fcbc400a7cb0"]},{"id":"ITEM-2","itemData":{"DOI":"10.1038/s41598-026-45867-6","ISSN":"20452322","PMID":"41912584","author":[{"dropping-particle":"","family":"Sunkari","given":"Emmanuel Daanoba","non-dropping-particle":"","parse-names":false,"suffix":""},{"dropping-particle":"","family":"Abdul-Wahab","given":"Dickson","non-dropping-particle":"","parse-names":false,"suffix":""},{"dropping-particle":"","family":"Gutiérrez","given":"Mélida","non-dropping-particle":"","parse-names":false,"suffix":""},{"dropping-particle":"","family":"Chakrabarti","given":"Prasun","non-dropping-particle":"","parse-names":false,"suffix":""},{"dropping-particle":"","family":"Ambushe","given":"Abayneh Ataro","non-dropping-particle":"","parse-names":false,"suffix":""}],"container-title":"Scientific reports","id":"ITEM-2","issue":"1","issued":{"date-parts":[["2026"]]},"page":". [","title":"Geochemical and machine learning approaches to groundwater fluoride prediction in Karaga District, Northern Ghana","type":"article-journal","volume":"16"},"uris":["http://www.mendeley.com/documents/?uuid=01d32fc8-0674-4294-ab1d-674e4dfdc1cd"]}],"mendeley":{"formattedCitation":"&lt;sup&gt;5,26&lt;/sup&gt;","plainTextFormattedCitation":"5,26","previouslyFormattedCitation":"&lt;sup&gt;5,26&lt;/sup&gt;"},"properties":{"noteIndex":0},"schema":"https://github.com/citation-style-language/schema/raw/master/csl-citation.json"}</w:instrText>
      </w:r>
      <w:r w:rsidR="00067984" w:rsidRPr="00381924">
        <w:fldChar w:fldCharType="separate"/>
      </w:r>
      <w:r w:rsidR="0071152F" w:rsidRPr="0071152F">
        <w:rPr>
          <w:noProof/>
          <w:vertAlign w:val="superscript"/>
        </w:rPr>
        <w:t>5,26</w:t>
      </w:r>
      <w:r w:rsidR="00067984" w:rsidRPr="00381924">
        <w:fldChar w:fldCharType="end"/>
      </w:r>
      <w:r w:rsidRPr="00381924">
        <w:t>, where fluoride hazard reflects a convergence of geochemical conditions rather than a simple monotonic function of any single control.</w:t>
      </w:r>
    </w:p>
    <w:p w14:paraId="6778333D" w14:textId="43FD9F64" w:rsidR="001F607B" w:rsidRPr="00381924" w:rsidRDefault="00000000" w:rsidP="004860E9">
      <w:pPr>
        <w:pStyle w:val="Heading2"/>
        <w:spacing w:line="360" w:lineRule="auto"/>
      </w:pPr>
      <w:bookmarkStart w:id="32" w:name="X771196b2f76e7f68c6d906b230d06e2bde83458"/>
      <w:bookmarkEnd w:id="31"/>
      <w:r w:rsidRPr="00381924">
        <w:t>Groundwater-Quality Structure</w:t>
      </w:r>
      <w:r w:rsidR="000F0359" w:rsidRPr="00381924">
        <w:t xml:space="preserve"> </w:t>
      </w:r>
    </w:p>
    <w:p w14:paraId="09529EA1" w14:textId="3CF0D9A9" w:rsidR="001F607B" w:rsidRPr="00381924" w:rsidRDefault="00000000" w:rsidP="004860E9">
      <w:pPr>
        <w:spacing w:line="360" w:lineRule="auto"/>
      </w:pPr>
      <w:r w:rsidRPr="00381924">
        <w:t>The strong skew of the NPLS-GWQI distribution</w:t>
      </w:r>
      <w:r w:rsidR="00B537FE" w:rsidRPr="00381924">
        <w:t xml:space="preserve">, </w:t>
      </w:r>
      <w:r w:rsidRPr="00381924">
        <w:t xml:space="preserve"> 25 of 34 samples classified as excellent, with only 8 samples in degraded categories (poor, very poor, or unsuitable)</w:t>
      </w:r>
      <w:r w:rsidR="00B537FE" w:rsidRPr="00381924">
        <w:t xml:space="preserve">, </w:t>
      </w:r>
      <w:r w:rsidRPr="00381924">
        <w:t xml:space="preserve"> reflects the geogenic weathering template of the </w:t>
      </w:r>
      <w:proofErr w:type="spellStart"/>
      <w:r w:rsidRPr="00381924">
        <w:t>Bimbila</w:t>
      </w:r>
      <w:proofErr w:type="spellEnd"/>
      <w:r w:rsidRPr="00381924">
        <w:t xml:space="preserve"> Formation, where most boreholes tap waters that have not undergone sufficient mineralisation to exceed multiple guideline thresholds simultaneously. The dominant weighting of EC in the bootstrapped N-VIP scheme (Table </w:t>
      </w:r>
      <w:r w:rsidR="00C95F58" w:rsidRPr="00381924">
        <w:t>4</w:t>
      </w:r>
      <w:r w:rsidRPr="00381924">
        <w:t xml:space="preserve">) confirms that the groundwater quality score is primarily an expression of mineralisation intensity rather than a multi-parameter deficit distributed evenly across all variables. This finding aligns with studies in northern Ghana that document broadly acceptable groundwater chemistry at most sampled sites, punctuated by a smaller subset of highly mineralised or fluoride-enriched waters with significantly degraded quality indicators </w:t>
      </w:r>
      <w:r w:rsidR="00D06B62" w:rsidRPr="00381924">
        <w:fldChar w:fldCharType="begin" w:fldLock="1"/>
      </w:r>
      <w:r w:rsidR="00035024">
        <w:instrText>ADDIN CSL_CITATION {"citationItems":[{"id":"ITEM-1","itemData":{"DOI":"10.1016/j.heliyon.2024.e27554","ISSN":"24058440","abstract":"Access to potable water is a significant concern due to the increasing global threat posed by fluoride contamination in groundwater sources. This study investigated the concentrations of fluoride (F−), the suitability of groundwater for human consumption, the physicochemical characteristics affecting the water quality, and non-carcinogenic adverse health risks to both children and adults in the Bongo district in Northern Ghana. The findings revealed that the groundwater had a mean pH, salinity, TDS, conductivity, and turbidity below the WHO guideline values with a mean fluoride concentration of 1.76 mg/L above the guideline limit of 1.5 mg/L. The study also found that there was no strong relationship between fluoride and the measured water parameters, which may be attributed to poor control of distribution, transport mechanisms, and sources. The WQI scores ranged from 42.62% to 70.72%, indicating that all borehole water samples were of good and excellent quality. The average chronic daily intake showed that children are often more exposed to the harmful impact of fluoride than adults. The average HQ &gt; 1 indicates the probability of dental and skeletal fluorosis after continuous exposure over time in adults and children. The study recommends taking immediate action to mitigate high groundwater fluoride concentrations, implementing appropriate water management strategies, and raising public awareness of the health risks. These measures can guide future groundwater management practices and help policymakers address contamination and protect local communities.","author":[{"dropping-particle":"","family":"Ashong","given":"Gerheart Winfred","non-dropping-particle":"","parse-names":false,"suffix":""},{"dropping-particle":"","family":"Ababio","given":"Boansi Adu","non-dropping-particle":"","parse-names":false,"suffix":""},{"dropping-particle":"","family":"Kwaansa-Ansah","given":"Edward Ebow","non-dropping-particle":"","parse-names":false,"suffix":""},{"dropping-particle":"","family":"Koranteng","given":"Simon Konadu","non-dropping-particle":"","parse-names":false,"suffix":""},{"dropping-particle":"","family":"Muktar","given":"Gwalley Diyawul Haqq","non-dropping-particle":"","parse-names":false,"suffix":""}],"container-title":"Heliyon","id":"ITEM-1","issue":"6","issued":{"date-parts":[["2024"]]},"page":"), e27554. [","title":"Investigation of fluoride concentrations, water quality, and non-carcinogenic health risks of borehole water in bongo district, northern Ghana","type":"article-journal","volume":"10"},"uris":["http://www.mendeley.com/documents/?uuid=40f6ae8e-27f9-4bfc-a20c-49cfd62772bd"]},{"id":"ITEM-2","itemData":{"DOI":"10.3390/HYDROLOGY7030053","ISSN":"23065338","abstract":"Hydrochemical data of groundwater samples obtained from the mudstones, sandstones, and siltstones aquifer units that underlie the study area have been characterized. The aim of this study was to assess the suitability of groundwater for drinking, domestic, and agricultural purposes. The physico-chemical parameters were initially compared with theWorld Health Organization (WHO) standards for potable water. They were further subjected to various hydrochemical techniques to assess the overall water quality for drinking purposes. Conventional methods of assessing irrigation water suitability were also adopted. The results indicate that, with the exception of HCO3- characterized as unsuitable for drinking water, most of the parameters are within the WHO permissible limits and are thus characterized as suitable for drinking water. A few samples however show slight deviation. The results also show that the abundance of major cations in groundwater is in the order: Na+ &gt; Ca2+ &gt; Mg2+ &gt; K+. However, the abundance of the major anions is in the order: HCO3- &gt; Cl- &gt; SO42-. Na-HCO3 is thus inferred as the dominant water type in the area. Analyses of the overall Water Quality Index (WQI) and irrigation water assessment indices suggest that groundwater in the area is generally suitable for drinking, domestic, and irrigation purposes.","author":[{"dropping-particle":"","family":"Chegbeleh","given":"Larry Pax","non-dropping-particle":"","parse-names":false,"suffix":""},{"dropping-particle":"","family":"Aklika","given":"Delali Kwasi","non-dropping-particle":"","parse-names":false,"suffix":""},{"dropping-particle":"","family":"Akurugu","given":"Bismark Awinbire","non-dropping-particle":"","parse-names":false,"suffix":""}],"container-title":"Hydrology","id":"ITEM-2","issue":"3","issued":{"date-parts":[["2020"]]},"page":"53","title":"Hydrochemical characterization and suitability assessment of groundwater quality in the saboba and chereponi districts, Ghana","type":"article-journal","volume":"7"},"uris":["http://www.mendeley.com/documents/?uuid=2e62b4f7-4a30-4c5b-8c83-78b6941763b6"]}],"mendeley":{"formattedCitation":"&lt;sup&gt;7,34&lt;/sup&gt;","plainTextFormattedCitation":"7,34","previouslyFormattedCitation":"&lt;sup&gt;7,34&lt;/sup&gt;"},"properties":{"noteIndex":0},"schema":"https://github.com/citation-style-language/schema/raw/master/csl-citation.json"}</w:instrText>
      </w:r>
      <w:r w:rsidR="00D06B62" w:rsidRPr="00381924">
        <w:fldChar w:fldCharType="separate"/>
      </w:r>
      <w:r w:rsidR="0071152F" w:rsidRPr="0071152F">
        <w:rPr>
          <w:noProof/>
          <w:vertAlign w:val="superscript"/>
        </w:rPr>
        <w:t>7,34</w:t>
      </w:r>
      <w:r w:rsidR="00D06B62" w:rsidRPr="00381924">
        <w:fldChar w:fldCharType="end"/>
      </w:r>
      <w:r w:rsidRPr="00381924">
        <w:t>.</w:t>
      </w:r>
    </w:p>
    <w:p w14:paraId="419C3671" w14:textId="51EEC379" w:rsidR="001F607B" w:rsidRPr="00381924" w:rsidRDefault="00000000" w:rsidP="004860E9">
      <w:pPr>
        <w:spacing w:line="360" w:lineRule="auto"/>
      </w:pPr>
      <w:r w:rsidRPr="00381924">
        <w:t xml:space="preserve">The four samples classified as unsuitable are not ambiguous or borderline cases, as indicated by their low indeterminacy values in Table </w:t>
      </w:r>
      <w:r w:rsidR="00E63C94" w:rsidRPr="00381924">
        <w:t>3</w:t>
      </w:r>
      <w:r w:rsidRPr="00381924">
        <w:t xml:space="preserve">. This clarity of separation at the degraded end of the distribution is a particular strength of the neutrosophic framework relative to conventional hard-boundary arithmetic indices, which can misrepresent the confidence of class assignments near threshold values </w:t>
      </w:r>
      <w:r w:rsidR="00D06B62" w:rsidRPr="00381924">
        <w:fldChar w:fldCharType="begin" w:fldLock="1"/>
      </w:r>
      <w:r w:rsidR="00C63B09">
        <w:instrText>ADDIN CSL_CITATION {"citationItems":[{"id":"ITEM-1","itemData":{"DOI":"10.1007/s11157-023-09650-7","ISSN":"15729826","abstract":"Water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Biotechnology","id":"ITEM-1","issue":"2","issued":{"date-parts":[["2023"]]},"page":"349-395","title":"A comprehensive review of water quality indices (WQIs): history, models, attempts and perspectives","type":"article-journal","volume":"22"},"uris":["http://www.mendeley.com/documents/?uuid=0e7b5a47-cc86-4c31-88ee-97779d810587"]},{"id":"ITEM-2","itemData":{"DOI":"10.1016/j.ecolind.2020.106653","ISSN":"1470160X","abstract":"Water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Indicators","id":"ITEM-2","issued":{"date-parts":[["2020"]]},"title":"Uncertainty analysis of water quality index (WQI) for groundwater quality evaluation: Application of Monte-Carlo method for weight allocation","type":"article-journal","volume":"117"},"uris":["http://www.mendeley.com/documents/?uuid=03883274-81ed-4abb-9c71-3ec0c6a0abb5"]}],"mendeley":{"formattedCitation":"&lt;sup&gt;9,10&lt;/sup&gt;","plainTextFormattedCitation":"9,10","previouslyFormattedCitation":"&lt;sup&gt;9,10&lt;/sup&gt;"},"properties":{"noteIndex":0},"schema":"https://github.com/citation-style-language/schema/raw/master/csl-citation.json"}</w:instrText>
      </w:r>
      <w:r w:rsidR="00D06B62" w:rsidRPr="00381924">
        <w:fldChar w:fldCharType="separate"/>
      </w:r>
      <w:r w:rsidR="009622BA" w:rsidRPr="009622BA">
        <w:rPr>
          <w:noProof/>
          <w:vertAlign w:val="superscript"/>
        </w:rPr>
        <w:t>9,10</w:t>
      </w:r>
      <w:r w:rsidR="00D06B62" w:rsidRPr="00381924">
        <w:fldChar w:fldCharType="end"/>
      </w:r>
      <w:r w:rsidRPr="00381924">
        <w:t xml:space="preserve">. The bootstrapped VIP weighting further addresses the sensitivity of conventional fixed-weight indices to arbitrary design choices, producing a data-driven weight structure that reflects the actual explanatory burden of each variable within the dataset rather than an assumed contribution derived from expert opinion or literature precedent. The insensitivity of the overall quality ranking to the sensory penalty inclusion or exclusion, demonstrated by Figure S2, also indicates that the principal quality gradient in </w:t>
      </w:r>
      <w:proofErr w:type="spellStart"/>
      <w:r w:rsidRPr="00381924">
        <w:t>Karaga</w:t>
      </w:r>
      <w:proofErr w:type="spellEnd"/>
      <w:r w:rsidRPr="00381924">
        <w:t xml:space="preserve"> District groundwater is driven by dissolved-ion chemistry</w:t>
      </w:r>
      <w:r w:rsidR="00491D00" w:rsidRPr="00381924">
        <w:t>.</w:t>
      </w:r>
    </w:p>
    <w:p w14:paraId="20E1707C" w14:textId="0482D339" w:rsidR="001F607B" w:rsidRPr="00381924" w:rsidRDefault="00000000" w:rsidP="004860E9">
      <w:pPr>
        <w:pStyle w:val="Heading2"/>
        <w:spacing w:line="360" w:lineRule="auto"/>
      </w:pPr>
      <w:bookmarkStart w:id="33" w:name="Xd3d4d1912225737534aa602ccb4587261f9d1c9"/>
      <w:bookmarkEnd w:id="32"/>
      <w:r w:rsidRPr="00381924">
        <w:lastRenderedPageBreak/>
        <w:t>Interpreting the Bayesian Driver Profiles</w:t>
      </w:r>
    </w:p>
    <w:p w14:paraId="03A4F9F3" w14:textId="034BF824" w:rsidR="001F607B" w:rsidRPr="00381924" w:rsidRDefault="00000000" w:rsidP="004860E9">
      <w:pPr>
        <w:spacing w:line="360" w:lineRule="auto"/>
      </w:pPr>
      <w:r w:rsidRPr="00381924">
        <w:t>The concentration of NPLS-GWQI driver influence on EC at 43.18% (Table 8</w:t>
      </w:r>
      <w:r w:rsidR="00E63C94" w:rsidRPr="00381924">
        <w:t>a</w:t>
      </w:r>
      <w:r w:rsidRPr="00381924">
        <w:t xml:space="preserve">; Figure </w:t>
      </w:r>
      <w:r w:rsidR="00E63C94" w:rsidRPr="00381924">
        <w:t>6</w:t>
      </w:r>
      <w:r w:rsidRPr="00381924">
        <w:t xml:space="preserve">) provides a clear mechanistic link between the hydrochemical evolution identified in process space and the water-quality outcome measured in assessment space. EC integrates the total ionic mineralisation of the groundwater sample and is therefore a composite signal of the cumulative product of rock weathering, ion exchange, and any evaporative concentration that has occurred along the flow path. That a single conductivity variable captures almost half of the total driver budget confirms that the </w:t>
      </w:r>
      <w:proofErr w:type="spellStart"/>
      <w:r w:rsidRPr="00381924">
        <w:t>Karaga</w:t>
      </w:r>
      <w:proofErr w:type="spellEnd"/>
      <w:r w:rsidRPr="00381924">
        <w:t xml:space="preserve"> District groundwater quality gradient is fundamentally a mineralisation gradient, with the degraded waters representing the extreme tail of a geochemically evolved population rather than discretely contaminated outliers.</w:t>
      </w:r>
    </w:p>
    <w:p w14:paraId="6B159BE4" w14:textId="135DB899" w:rsidR="001F607B" w:rsidRPr="00381924" w:rsidRDefault="00000000" w:rsidP="004860E9">
      <w:pPr>
        <w:spacing w:line="360" w:lineRule="auto"/>
      </w:pPr>
      <w:r w:rsidRPr="00381924">
        <w:t>The suppressing role of Na in the NPLS-GWQI model</w:t>
      </w:r>
      <w:r w:rsidR="00057888" w:rsidRPr="00381924">
        <w:t xml:space="preserve">, </w:t>
      </w:r>
      <w:r w:rsidRPr="00381924">
        <w:t>contributing 14.86% in a negative direction (Table 8</w:t>
      </w:r>
      <w:r w:rsidR="00C3087D" w:rsidRPr="00381924">
        <w:t>a</w:t>
      </w:r>
      <w:r w:rsidRPr="00381924">
        <w:t xml:space="preserve">; Figure </w:t>
      </w:r>
      <w:r w:rsidR="00C3087D" w:rsidRPr="00381924">
        <w:t>6</w:t>
      </w:r>
      <w:r w:rsidRPr="00381924">
        <w:t>)</w:t>
      </w:r>
      <w:r w:rsidR="00057888" w:rsidRPr="00381924">
        <w:t xml:space="preserve">, </w:t>
      </w:r>
      <w:r w:rsidRPr="00381924">
        <w:t xml:space="preserve">is initially counterintuitive, given that Na is itself a mineralisation marker. This pattern is best understood </w:t>
      </w:r>
      <w:proofErr w:type="gramStart"/>
      <w:r w:rsidRPr="00381924">
        <w:t>as a consequence of</w:t>
      </w:r>
      <w:proofErr w:type="gramEnd"/>
      <w:r w:rsidRPr="00381924">
        <w:t xml:space="preserve"> the ion-exchange signature documented in the latent processes and geochemical constraints: where sodium is elevated through exchange rather than simple dissolution, its independent effect on the quality index may be partly captured by EC whilst its residual coefficient reflects the exchange substitution of less impactful ions. The Sankey pathway in Figure </w:t>
      </w:r>
      <w:r w:rsidR="00C3087D" w:rsidRPr="00381924">
        <w:t>6</w:t>
      </w:r>
      <w:r w:rsidRPr="00381924">
        <w:t xml:space="preserve"> makes this balance visible, showing that the NPLS-GWQI endpoint is the net result of a dominant mineralisation pressure moderated by a secondary suite of exchange-related and proxy-based opposing controls.</w:t>
      </w:r>
    </w:p>
    <w:p w14:paraId="370A7802" w14:textId="0D7F9443" w:rsidR="001F607B" w:rsidRPr="00381924" w:rsidRDefault="00000000" w:rsidP="004860E9">
      <w:pPr>
        <w:spacing w:line="360" w:lineRule="auto"/>
      </w:pPr>
      <w:r w:rsidRPr="00381924">
        <w:t xml:space="preserve">For fluoride, the near-equal opposing contributions of </w:t>
      </w:r>
      <m:oMath>
        <m:r>
          <w:rPr>
            <w:rFonts w:ascii="Cambria Math" w:hAnsi="Cambria Math"/>
          </w:rPr>
          <m:t>CA</m:t>
        </m:r>
        <m:sSub>
          <m:sSubPr>
            <m:ctrlPr>
              <w:rPr>
                <w:rFonts w:ascii="Cambria Math" w:hAnsi="Cambria Math"/>
                <w:i/>
              </w:rPr>
            </m:ctrlPr>
          </m:sSubPr>
          <m:e>
            <m:r>
              <w:rPr>
                <w:rFonts w:ascii="Cambria Math" w:hAnsi="Cambria Math"/>
              </w:rPr>
              <m:t>I</m:t>
            </m:r>
          </m:e>
          <m:sub>
            <m:r>
              <w:rPr>
                <w:rFonts w:ascii="Cambria Math" w:hAnsi="Cambria Math"/>
              </w:rPr>
              <m:t>2</m:t>
            </m:r>
          </m:sub>
        </m:sSub>
      </m:oMath>
      <w:r w:rsidRPr="00381924">
        <w:t xml:space="preserve"> (23.16% negative) and EC (22.96% positive) reveal a system in which two coherent geochemical forces</w:t>
      </w:r>
      <w:r w:rsidR="00B537FE" w:rsidRPr="00381924">
        <w:t xml:space="preserve">, </w:t>
      </w:r>
      <w:r w:rsidRPr="00381924">
        <w:t xml:space="preserve"> ion-exchange context and overall mineralisation</w:t>
      </w:r>
      <w:r w:rsidR="00B537FE" w:rsidRPr="00381924">
        <w:t xml:space="preserve">, </w:t>
      </w:r>
      <w:r w:rsidRPr="00381924">
        <w:t xml:space="preserve"> are competing to set the final fluoride level (Table 8</w:t>
      </w:r>
      <w:r w:rsidR="00C3087D" w:rsidRPr="00381924">
        <w:t>b</w:t>
      </w:r>
      <w:r w:rsidRPr="00381924">
        <w:t>; Figure 7). This balance explains why simple models relating fluoride exclusively to conductivity or exclusively to exchange indices fit the fluoride endpoint less cleanly than the NPLS-GWQI, as reflected in the weaker R² and cross-validation performance of the fluoride models reported in Table 9. The model diagnostics therefore reinforce that fluoride in this setting should not be treated as a straightforward mineralisation by-product but as the outcome of multiple interacting geochemical controls whose balance varies across the sampling network.</w:t>
      </w:r>
    </w:p>
    <w:p w14:paraId="27AABA12" w14:textId="05B174C4" w:rsidR="001F607B" w:rsidRPr="00381924" w:rsidRDefault="00000000" w:rsidP="004860E9">
      <w:pPr>
        <w:pStyle w:val="Heading2"/>
        <w:spacing w:line="360" w:lineRule="auto"/>
      </w:pPr>
      <w:bookmarkStart w:id="34" w:name="Xd6fb9d9b59c1602e96a3e264e214c3fa45ada1e"/>
      <w:bookmarkEnd w:id="33"/>
      <w:r w:rsidRPr="00381924">
        <w:lastRenderedPageBreak/>
        <w:t>Public-Health Interpretation of Fluoride and Nitrate</w:t>
      </w:r>
    </w:p>
    <w:p w14:paraId="5BB11A1B" w14:textId="71444256" w:rsidR="001F607B" w:rsidRPr="00381924" w:rsidRDefault="00000000" w:rsidP="004860E9">
      <w:pPr>
        <w:spacing w:line="360" w:lineRule="auto"/>
      </w:pPr>
      <w:r w:rsidRPr="00381924">
        <w:t xml:space="preserve">The finding that children exhibit the highest deterministic fluoride hazard quotient (mean </w:t>
      </w:r>
      <m:oMath>
        <m:r>
          <w:rPr>
            <w:rFonts w:ascii="Cambria Math" w:hAnsi="Cambria Math"/>
          </w:rPr>
          <m:t>H</m:t>
        </m:r>
        <m:sSub>
          <m:sSubPr>
            <m:ctrlPr>
              <w:rPr>
                <w:rFonts w:ascii="Cambria Math" w:hAnsi="Cambria Math"/>
                <w:i/>
              </w:rPr>
            </m:ctrlPr>
          </m:sSubPr>
          <m:e>
            <m:r>
              <w:rPr>
                <w:rFonts w:ascii="Cambria Math" w:hAnsi="Cambria Math"/>
              </w:rPr>
              <m:t>Q</m:t>
            </m:r>
          </m:e>
          <m:sub>
            <m:r>
              <w:rPr>
                <w:rFonts w:ascii="Cambria Math" w:hAnsi="Cambria Math"/>
              </w:rPr>
              <m:t>F</m:t>
            </m:r>
          </m:sub>
        </m:sSub>
      </m:oMath>
      <w:r w:rsidRPr="00381924">
        <w:t xml:space="preserve"> = 1.493; Table 10; Figure 8), with the mean value exceeding the unit threshold whilst adult and teen values remain sub-threshold on average, is consistent with the established pattern in northern Ghana groundwater studies. Children have consistently been identified as the most vulnerable receptor group in probabilistic fluoride risk assessments across northern Ghana, with studies in the Upper East Region </w:t>
      </w:r>
      <w:r w:rsidR="003B3ADC" w:rsidRPr="00381924">
        <w:fldChar w:fldCharType="begin" w:fldLock="1"/>
      </w:r>
      <w:r w:rsidR="00C63B09">
        <w:instrText>ADDIN CSL_CITATION {"citationItems":[{"id":"ITEM-1","itemData":{"DOI":"10.1016/j.chemosphere.2019.05.276","ISSN":"18791298","PMID":"31340412","abstract":"Groundwater fluoride contamination has long been recognized as a water-related health issue in some parts of Ghana. However, the extent of fluoride contamination and the related human health risk to the communities in the fluoride endemic areas are not adequately studied. In this paper, fluoride concentrations in existing and newly drilled wells were assessed. Probabilistic non carcinogenic human health risk assessment, uncertainty and sensitivity analysis for three age groups (Group A: 0–10 years; Group B: 11–20 years; Group C: 21–72 years) was also carried out using Monte Carlo simulation technique. The results showed that, 27.27% and 15.38% of the existing wells in the Bongo and Kassena Nankana West districts have fluoride values above the guideline value 1.5 mg L−1 respectively. The non-carcinogenic risk of fluoride associated with oral ingestion recorded a mean Hazard Quotient (HQ) &gt; 1 for younger age group (0–10 years) in all the study areas signifying potential health risk to this age group. Additionally, when the upper 95th percentile is used for the HQ, the oral ingestion for all the age categories recorded an HQ &gt; 1. Sensitivity analyses indicated that fluoride concentration in the drinking water and ingestion rate were the most relevant variables in the model to reduce the potential health effect. The study established the basis for a strong advocacy and public awareness on the effect of water quality on human health and proposed some management strategies to guide future groundwater resources management to reduce the potential health risk to the population.","author":[{"dropping-particle":"","family":"Ganyaglo","given":"Samuel Y.","non-dropping-particle":"","parse-names":false,"suffix":""},{"dropping-particle":"","family":"Gibrilla","given":"Abass","non-dropping-particle":"","parse-names":false,"suffix":""},{"dropping-particle":"","family":"Teye","given":"Emmanuel M.","non-dropping-particle":"","parse-names":false,"suffix":""},{"dropping-particle":"","family":"Owusu-Ansah","given":"Emmanuel De Graft Johnson","non-dropping-particle":"","parse-names":false,"suffix":""},{"dropping-particle":"","family":"Tettey","given":"Sampson","non-dropping-particle":"","parse-names":false,"suffix":""},{"dropping-particle":"","family":"Diabene","given":"Perpetual Y.","non-dropping-particle":"","parse-names":false,"suffix":""},{"dropping-particle":"","family":"Asimah","given":"Seyram","non-dropping-particle":"","parse-names":false,"suffix":""}],"container-title":"Chemosphere","id":"ITEM-1","issued":{"date-parts":[["2019","10"]]},"page":"862-872","publisher":"Elsevier","title":"Groundwater fluoride contamination and probabilistic health risk assessment in fluoride endemic areas of the Upper East Region, Ghana","type":"article-journal","volume":"233"},"uris":["http://www.mendeley.com/documents/?uuid=df1579f0-9614-41bc-b2b7-2858eb07d64a"]}],"mendeley":{"formattedCitation":"&lt;sup&gt;8&lt;/sup&gt;","plainTextFormattedCitation":"8","previouslyFormattedCitation":"&lt;sup&gt;8&lt;/sup&gt;"},"properties":{"noteIndex":0},"schema":"https://github.com/citation-style-language/schema/raw/master/csl-citation.json"}</w:instrText>
      </w:r>
      <w:r w:rsidR="003B3ADC" w:rsidRPr="00381924">
        <w:fldChar w:fldCharType="separate"/>
      </w:r>
      <w:r w:rsidR="009622BA" w:rsidRPr="009622BA">
        <w:rPr>
          <w:noProof/>
          <w:vertAlign w:val="superscript"/>
        </w:rPr>
        <w:t>8</w:t>
      </w:r>
      <w:r w:rsidR="003B3ADC" w:rsidRPr="00381924">
        <w:fldChar w:fldCharType="end"/>
      </w:r>
      <w:r w:rsidRPr="00381924">
        <w:t xml:space="preserve"> and Bongo District </w:t>
      </w:r>
      <w:r w:rsidR="003B3ADC" w:rsidRPr="00381924">
        <w:fldChar w:fldCharType="begin" w:fldLock="1"/>
      </w:r>
      <w:r w:rsidR="00C63B09">
        <w:instrText>ADDIN CSL_CITATION {"citationItems":[{"id":"ITEM-1","itemData":{"DOI":"10.1016/j.heliyon.2024.e27554","ISSN":"24058440","abstract":"Access to potable water is a significant concern due to the increasing global threat posed by fluoride contamination in groundwater sources. This study investigated the concentrations of fluoride (F−), the suitability of groundwater for human consumption, the physicochemical characteristics affecting the water quality, and non-carcinogenic adverse health risks to both children and adults in the Bongo district in Northern Ghana. The findings revealed that the groundwater had a mean pH, salinity, TDS, conductivity, and turbidity below the WHO guideline values with a mean fluoride concentration of 1.76 mg/L above the guideline limit of 1.5 mg/L. The study also found that there was no strong relationship between fluoride and the measured water parameters, which may be attributed to poor control of distribution, transport mechanisms, and sources. The WQI scores ranged from 42.62% to 70.72%, indicating that all borehole water samples were of good and excellent quality. The average chronic daily intake showed that children are often more exposed to the harmful impact of fluoride than adults. The average HQ &gt; 1 indicates the probability of dental and skeletal fluorosis after continuous exposure over time in adults and children. The study recommends taking immediate action to mitigate high groundwater fluoride concentrations, implementing appropriate water management strategies, and raising public awareness of the health risks. These measures can guide future groundwater management practices and help policymakers address contamination and protect local communities.","author":[{"dropping-particle":"","family":"Ashong","given":"Gerheart Winfred","non-dropping-particle":"","parse-names":false,"suffix":""},{"dropping-particle":"","family":"Ababio","given":"Boansi Adu","non-dropping-particle":"","parse-names":false,"suffix":""},{"dropping-particle":"","family":"Kwaansa-Ansah","given":"Edward Ebow","non-dropping-particle":"","parse-names":false,"suffix":""},{"dropping-particle":"","family":"Koranteng","given":"Simon Konadu","non-dropping-particle":"","parse-names":false,"suffix":""},{"dropping-particle":"","family":"Muktar","given":"Gwalley Diyawul Haqq","non-dropping-particle":"","parse-names":false,"suffix":""}],"container-title":"Heliyon","id":"ITEM-1","issue":"6","issued":{"date-parts":[["2024"]]},"page":"), e27554. [","title":"Investigation of fluoride concentrations, water quality, and non-carcinogenic health risks of borehole water in bongo district, northern Ghana","type":"article-journal","volume":"10"},"uris":["http://www.mendeley.com/documents/?uuid=40f6ae8e-27f9-4bfc-a20c-49cfd62772bd"]}],"mendeley":{"formattedCitation":"&lt;sup&gt;7&lt;/sup&gt;","plainTextFormattedCitation":"7","previouslyFormattedCitation":"&lt;sup&gt;7&lt;/sup&gt;"},"properties":{"noteIndex":0},"schema":"https://github.com/citation-style-language/schema/raw/master/csl-citation.json"}</w:instrText>
      </w:r>
      <w:r w:rsidR="003B3ADC" w:rsidRPr="00381924">
        <w:fldChar w:fldCharType="separate"/>
      </w:r>
      <w:r w:rsidR="009622BA" w:rsidRPr="009622BA">
        <w:rPr>
          <w:noProof/>
          <w:vertAlign w:val="superscript"/>
        </w:rPr>
        <w:t>7</w:t>
      </w:r>
      <w:r w:rsidR="003B3ADC" w:rsidRPr="00381924">
        <w:fldChar w:fldCharType="end"/>
      </w:r>
      <w:r w:rsidRPr="00381924">
        <w:t xml:space="preserve"> both reporting non-carcinogenic risk in children at boreholes where adult exposure levels remained sub-threshold. The present findings confirm that this vulnerability gradient applies in </w:t>
      </w:r>
      <w:proofErr w:type="spellStart"/>
      <w:r w:rsidRPr="00381924">
        <w:t>Karaga</w:t>
      </w:r>
      <w:proofErr w:type="spellEnd"/>
      <w:r w:rsidRPr="00381924">
        <w:t xml:space="preserve"> District groundwater and is attributable to the combined effect of lower body weight and higher relative ingestion rate in children, which produce greater unit-mass fluoride exposure per unit concentration than in adults or teens.</w:t>
      </w:r>
    </w:p>
    <w:p w14:paraId="34436848" w14:textId="0790F9DE" w:rsidR="001F607B" w:rsidRPr="00381924" w:rsidRDefault="00000000" w:rsidP="004860E9">
      <w:pPr>
        <w:spacing w:line="360" w:lineRule="auto"/>
      </w:pPr>
      <w:r w:rsidRPr="00381924">
        <w:t>The Bayesian results (Table 11; Figure 9) preserve this vulnerability ordering whilst revealing the degree of uncertainty surrounding the point estimates. The posterior mean skeletal-dental HI for children of 2.155 with P(HI &gt; 1) = 0.6875 indicates that there is approximately a 69% probability that the true population-level skeletal-dental health index for children exceeds the threshold of concern under the modelled exposure scenario. For adults, P(HI &gt; 1) = 0.4625 and for teens it is 0.4000, reflecting meaningfully lower but still non-negligible probabilities of exceedance. These Bayesian exceedance probabilities communicate risk more completely than the deterministic point estimates alone, in line with arguments made by</w:t>
      </w:r>
      <w:r w:rsidR="00035024">
        <w:t xml:space="preserve"> </w:t>
      </w:r>
      <w:r w:rsidR="00035024" w:rsidRPr="00035024">
        <w:t>Kaur et al</w:t>
      </w:r>
      <w:r w:rsidR="00035024">
        <w:t>.</w:t>
      </w:r>
      <w:r w:rsidR="00035024">
        <w:fldChar w:fldCharType="begin" w:fldLock="1"/>
      </w:r>
      <w:r w:rsidR="00F03B99">
        <w:instrText>ADDIN CSL_CITATION {"citationItems":[{"id":"ITEM-1","itemData":{"DOI":"10.1016/j.envpol.2019.113711","ISSN":"18736424","PMID":"31891909","abstract":"Human interferences have caused groundwater contamination in alluvial aquifers which subsequently affects the health of exposed population. In the present study, 74 groundwater samples from the semi-arid region of Panipat district, falling under Yamuna sub-basin, India was evaluated to know the potential non-carcinogenic human health risk in local adult and child population. The major objective of the present study was to know the non-carcinogenic human health risk due to intake of fluoride and nitrate contaminated water, using two different approaches: deterministic and probabilistic (Monte Carlo simulation). The values of hazard quotient (HQ) determined by deterministic as well as probabilistic approach were nearly identical. The hazard index (HI) value of 40.8% samples was above the unity in case of adults while 69.7% samples indicated HI value greater than unity for children thus indicating children are more prone to non-carcinogenic health risk than the adult population. Sensitivity analysis was performed to identify the influence of the non-carcinogenic human health risk predictor variables for the prediction of risk and concentration factor (CF) was the most influential variable. Multivariate statistical techniques were employed to know the positive and negative relationship of fluoride and nitrate with other parameters. Results of principal component analysis/factor analysis (PCA/FA) indicated that the concentration of fluoride is controlled by the presence of calcium due to their negative correlation in groundwater samples. The hierarchical agglomerative cluster analysis (HCA) also supported the outcome of PCA/FA and both indicated anthropogenic sources of fluoride and nitrate in groundwater.","author":[{"dropping-particle":"","family":"Kaur","given":"Lakhvinder","non-dropping-particle":"","parse-names":false,"suffix":""},{"dropping-particle":"","family":"Rishi","given":"Madhuri S.","non-dropping-particle":"","parse-names":false,"suffix":""},{"dropping-particle":"","family":"Siddiqui","given":"Azeem Uddin","non-dropping-particle":"","parse-names":false,"suffix":""}],"container-title":"Environmental Pollution","id":"ITEM-1","issued":{"date-parts":[["2020"]]},"page":". [","title":"Deterministic and probabilistic health risk assessment techniques to evaluate non-carcinogenic human health risk (NHHR) due to fluoride and nitrate in groundwater of Panipat, Haryana, India","type":"article-journal","volume":"259"},"uris":["http://www.mendeley.com/documents/?uuid=a663995a-0d3d-4990-a019-a405bc7fbb8e"]}],"mendeley":{"formattedCitation":"&lt;sup&gt;14&lt;/sup&gt;","plainTextFormattedCitation":"14","previouslyFormattedCitation":"&lt;sup&gt;14&lt;/sup&gt;"},"properties":{"noteIndex":0},"schema":"https://github.com/citation-style-language/schema/raw/master/csl-citation.json"}</w:instrText>
      </w:r>
      <w:r w:rsidR="00035024">
        <w:fldChar w:fldCharType="separate"/>
      </w:r>
      <w:r w:rsidR="00035024" w:rsidRPr="00035024">
        <w:rPr>
          <w:noProof/>
          <w:vertAlign w:val="superscript"/>
        </w:rPr>
        <w:t>14</w:t>
      </w:r>
      <w:r w:rsidR="00035024">
        <w:fldChar w:fldCharType="end"/>
      </w:r>
      <w:r w:rsidRPr="00381924">
        <w:t xml:space="preserve"> and </w:t>
      </w:r>
      <w:r w:rsidR="00035024">
        <w:t>Ma et al.</w:t>
      </w:r>
      <w:r w:rsidR="00F03B99">
        <w:fldChar w:fldCharType="begin" w:fldLock="1"/>
      </w:r>
      <w:r w:rsidR="00F03B99">
        <w:instrText>ADDIN CSL_CITATION {"citationItems":[{"id":"ITEM-1","itemData":{"DOI":"10.3390/w14152419","ISSN":"20734441","abstract":"Groundwater is an important resource for domestic use and irrigation in the Yinchuan region of northwest China. However, the quality of groundwater in this region is declining due to human activities, with adverse effects on human health. In order to study the effects of chemical elements in groundwater on human health, the human health risk of drinking groundwater was calculated based on the actual situation in China and on the U.S. Environmental Protection Agency (USEPA) model. Moreover, the sensitivity of contaminant exposure in drinking water wells was quantified using Monte Carlo simulation to minimize uncertainty in conjunction with USEPA risk assessment techniques, with the aim to identify the major carcinogenic factors. In addition, Visual Minteq was used to analyze the possible ionic forms of the major factors in the hydrogeological environment of the study area. The results showed that the mean CR values for As were 2.94 × 10−0.5 and 5.93 × 10−0.5 for the dry and rainy seasons, respectively, while for 2018 they were 5.48 × 10−0.5 and 3.59 × 10−0.5, respectively. In parallel, the CR values for children for 2017 were 6.28 × 10−0.5 and 1.27 × 10−0.4, respectively, and 1.17 × 10−0.4 and 7.67 × 10−0.5, respectively, indicating a considerably higher carcinogenic risk for children than for adults. results of the sensitivity analysis of Cr6+ and As using Crystal Ball software showed association values of 0.9958 and 1 for As and 0.0948 and 0 for Cr in the dry and rainy seasons in 2017, and 0.7424 and 0.5759 for As and 0.6237 and 0.8128 for Cr in the dry and rainy seasons in 2018, respectively. Only in the rainy season of 2018, the association values for As were lower than those for Cr, indicating that As is more sensitive to total carcinogenic risk. The results of the visual coinage model analysis showed that among all the possible ionic forms of As, the activity of HAsO42− had the largest logarithmic value and that of H3AsO4 had the smallest value, regardless of pH changes. This indicates that HAsO42− is the ionic form of As with the main carcinogenic factor in the hydrogeological environment of the study area. Therefore, corresponding environmental control measures need to be taken in time to strengthen the monitoring and control of As, especially HAsO42−, in the groundwater of the study area. This study is of great significance for Yinchuan city to formulate groundwater pollution risk management and recovery.","author":[{"dropping-particle":"","family":"Ma","given":"Zhiyuan","non-dropping-particle":"","parse-names":false,"suffix":""},{"dropping-particle":"","family":"Li","given":"Junfeng","non-dropping-particle":"","parse-names":false,"suffix":""},{"dropping-particle":"","family":"Zhang","given":"Man","non-dropping-particle":"","parse-names":false,"suffix":""},{"dropping-particle":"","family":"You","given":"Di","non-dropping-particle":"","parse-names":false,"suffix":""},{"dropping-particle":"","family":"Zhou","given":"Yahong","non-dropping-particle":"","parse-names":false,"suffix":""},{"dropping-particle":"","family":"Gong","given":"Zhiqiang","non-dropping-particle":"","parse-names":false,"suffix":""}],"container-title":"Water (Switzerland)","id":"ITEM-1","issue":"15","issued":{"date-parts":[["2022"]]},"page":"2419","title":"Groundwater Health Risk Assessment Based on Monte Carlo Model Sensitivity Analysis of Cr and As—A Case Study of Yinchuan City","type":"article-journal","volume":"14"},"uris":["http://www.mendeley.com/documents/?uuid=4df69112-474a-4064-be9c-98fc1304c243"]}],"mendeley":{"formattedCitation":"&lt;sup&gt;16&lt;/sup&gt;","plainTextFormattedCitation":"16"},"properties":{"noteIndex":0},"schema":"https://github.com/citation-style-language/schema/raw/master/csl-citation.json"}</w:instrText>
      </w:r>
      <w:r w:rsidR="00F03B99">
        <w:fldChar w:fldCharType="separate"/>
      </w:r>
      <w:r w:rsidR="00F03B99" w:rsidRPr="00F03B99">
        <w:rPr>
          <w:noProof/>
          <w:vertAlign w:val="superscript"/>
        </w:rPr>
        <w:t>16</w:t>
      </w:r>
      <w:r w:rsidR="00F03B99">
        <w:fldChar w:fldCharType="end"/>
      </w:r>
      <w:r w:rsidR="00035024">
        <w:t xml:space="preserve"> </w:t>
      </w:r>
      <w:r w:rsidRPr="00381924">
        <w:t xml:space="preserve">for uncertainty-propagated health-risk characterisation. The contrast between the fluoride-driven skeletal-dental burden and the clearly sub-threshold </w:t>
      </w:r>
      <w:r w:rsidR="00844783" w:rsidRPr="00381924">
        <w:t>haematological</w:t>
      </w:r>
      <w:r w:rsidRPr="00381924">
        <w:t xml:space="preserve"> indices for nitrate across all groups (posterior means of 0.556, 0.364, and 0.316 for children, adults, and teens respectively) underlines that fluoride is the principal chemical health stressor in this groundwater system, with nitrate posing a lower but non-negligible concern that warrants continued monitoring particularly where sanitary pressure is suspected to elevate concentrations.</w:t>
      </w:r>
    </w:p>
    <w:p w14:paraId="19047045" w14:textId="635EB5B7" w:rsidR="001F607B" w:rsidRPr="00381924" w:rsidRDefault="00000000" w:rsidP="004860E9">
      <w:pPr>
        <w:pStyle w:val="Heading2"/>
        <w:spacing w:line="360" w:lineRule="auto"/>
      </w:pPr>
      <w:bookmarkStart w:id="35" w:name="Xe04073cd21313ede055e5f9281fc29ba28acf27"/>
      <w:bookmarkEnd w:id="34"/>
      <w:r w:rsidRPr="00381924">
        <w:t>Irrigation and Groundwater-Use Implications</w:t>
      </w:r>
    </w:p>
    <w:p w14:paraId="5A53BFF0" w14:textId="3BCA8773" w:rsidR="001F607B" w:rsidRPr="00381924" w:rsidRDefault="00000000" w:rsidP="004860E9">
      <w:pPr>
        <w:spacing w:line="360" w:lineRule="auto"/>
      </w:pPr>
      <w:r w:rsidRPr="00381924">
        <w:t>The predominance of the marginal N-ISI class</w:t>
      </w:r>
      <w:r w:rsidR="00B537FE" w:rsidRPr="00381924">
        <w:t xml:space="preserve">, </w:t>
      </w:r>
      <w:r w:rsidRPr="00381924">
        <w:t xml:space="preserve"> covering 23 of 34 samples or 67.65% of the dataset</w:t>
      </w:r>
      <w:r w:rsidR="00B537FE" w:rsidRPr="00381924">
        <w:t xml:space="preserve">, </w:t>
      </w:r>
      <w:r w:rsidRPr="00381924">
        <w:t xml:space="preserve"> indicates that </w:t>
      </w:r>
      <w:proofErr w:type="spellStart"/>
      <w:r w:rsidRPr="00381924">
        <w:t>Karaga</w:t>
      </w:r>
      <w:proofErr w:type="spellEnd"/>
      <w:r w:rsidRPr="00381924">
        <w:t xml:space="preserve"> District groundwater is not uniformly unsuitable </w:t>
      </w:r>
      <w:r w:rsidRPr="00381924">
        <w:lastRenderedPageBreak/>
        <w:t>for irrigation but presents a broad middle band of chemically constrained waters that require management caution rather than blanket prohibition. Marginal irrigation suitability in the present context reflects primarily the influence of the high-leverage PI, PS, and KR indices (Table 1</w:t>
      </w:r>
      <w:r w:rsidR="004C15CC" w:rsidRPr="00381924">
        <w:t>2</w:t>
      </w:r>
      <w:r w:rsidRPr="00381924">
        <w:t xml:space="preserve">), which capture permeability reduction risk, potential salinity effects, and sodium-to-calcium and magnesium balance. These constraints are consistent with the rock-weathering-dominated, bicarbonate-enriched, and selectively sodic character of the groundwater documented in the hydrochemical analysis, and they suggest that the principal irrigation concerns in </w:t>
      </w:r>
      <w:proofErr w:type="spellStart"/>
      <w:r w:rsidRPr="00381924">
        <w:t>Karaga</w:t>
      </w:r>
      <w:proofErr w:type="spellEnd"/>
      <w:r w:rsidRPr="00381924">
        <w:t xml:space="preserve"> District are </w:t>
      </w:r>
      <w:proofErr w:type="spellStart"/>
      <w:r w:rsidRPr="00381924">
        <w:t>sodicity</w:t>
      </w:r>
      <w:proofErr w:type="spellEnd"/>
      <w:r w:rsidRPr="00381924">
        <w:t xml:space="preserve"> and permeability hazard rather than simple total salinity.</w:t>
      </w:r>
    </w:p>
    <w:p w14:paraId="59F72EDB" w14:textId="4EAAC3CD" w:rsidR="001F607B" w:rsidRPr="00381924" w:rsidRDefault="00000000" w:rsidP="004860E9">
      <w:pPr>
        <w:spacing w:line="360" w:lineRule="auto"/>
      </w:pPr>
      <w:r w:rsidRPr="00381924">
        <w:t>The existence of 5 excellent and 3 good irrigation-quality samples within the dataset confirms that acceptable irrigation water is available within the district, and the spatial distribution of these samples relative to the geological units</w:t>
      </w:r>
      <w:r w:rsidR="00B537FE" w:rsidRPr="00381924">
        <w:t xml:space="preserve">, </w:t>
      </w:r>
      <w:r w:rsidRPr="00381924">
        <w:t xml:space="preserve"> as shown by the N-ISI class overlay in Figure 10</w:t>
      </w:r>
      <w:r w:rsidR="00B537FE" w:rsidRPr="00381924">
        <w:t xml:space="preserve">, </w:t>
      </w:r>
      <w:r w:rsidRPr="00381924">
        <w:t xml:space="preserve"> provides an initial basis for site-specific water-use planning. The 3 unsuitable samples, concentrated in the more saline and sodic portion of the EC-SSP and EC-SAR space (Figure 10</w:t>
      </w:r>
      <w:r w:rsidR="00C832A3" w:rsidRPr="00381924">
        <w:t>a and 10b</w:t>
      </w:r>
      <w:r w:rsidRPr="00381924">
        <w:t xml:space="preserve">), should be excluded from irrigation without dilution or treatment. This mixed suitability profile mirrors findings from comparable northern Ghanaian settings, where groundwater has been found to support some irrigation uses whilst failing others depending on the parameter and threshold applied </w:t>
      </w:r>
      <w:r w:rsidR="00FD60D3" w:rsidRPr="00381924">
        <w:fldChar w:fldCharType="begin" w:fldLock="1"/>
      </w:r>
      <w:r w:rsidR="00035024">
        <w:instrText>ADDIN CSL_CITATION {"citationItems":[{"id":"ITEM-1","itemData":{"DOI":"10.3390/HYDROLOGY7030053","ISSN":"23065338","abstract":"Hydrochemical data of groundwater samples obtained from the mudstones, sandstones, and siltstones aquifer units that underlie the study area have been characterized. The aim of this study was to assess the suitability of groundwater for drinking, domestic, and agricultural purposes. The physico-chemical parameters were initially compared with theWorld Health Organization (WHO) standards for potable water. They were further subjected to various hydrochemical techniques to assess the overall water quality for drinking purposes. Conventional methods of assessing irrigation water suitability were also adopted. The results indicate that, with the exception of HCO3- characterized as unsuitable for drinking water, most of the parameters are within the WHO permissible limits and are thus characterized as suitable for drinking water. A few samples however show slight deviation. The results also show that the abundance of major cations in groundwater is in the order: Na+ &gt; Ca2+ &gt; Mg2+ &gt; K+. However, the abundance of the major anions is in the order: HCO3- &gt; Cl- &gt; SO42-. Na-HCO3 is thus inferred as the dominant water type in the area. Analyses of the overall Water Quality Index (WQI) and irrigation water assessment indices suggest that groundwater in the area is generally suitable for drinking, domestic, and irrigation purposes.","author":[{"dropping-particle":"","family":"Chegbeleh","given":"Larry Pax","non-dropping-particle":"","parse-names":false,"suffix":""},{"dropping-particle":"","family":"Aklika","given":"Delali Kwasi","non-dropping-particle":"","parse-names":false,"suffix":""},{"dropping-particle":"","family":"Akurugu","given":"Bismark Awinbire","non-dropping-particle":"","parse-names":false,"suffix":""}],"container-title":"Hydrology","id":"ITEM-1","issue":"3","issued":{"date-parts":[["2020"]]},"page":"53","title":"Hydrochemical characterization and suitability assessment of groundwater quality in the saboba and chereponi districts, Ghana","type":"article-journal","volume":"7"},"uris":["http://www.mendeley.com/documents/?uuid=2e62b4f7-4a30-4c5b-8c83-78b6941763b6"]},{"id":"ITEM-2","itemData":{"DOI":"10.3390/w10121724","ISSN":"20734441","abstract":"The use of groundwater resources for dry season irrigation has gained currency in Ghana. The north-east of the country has seen the cultivation of vegetables using groundwater from shallow aquifers; an emerging livelihood activity which lessens food insecurity and stems the tide of rural-urban migration. This practice in northern Ghana is deeply rooted in local knowledge. Using the Atankwidi catchment, this paper examines the role of local knowledge in understanding and exploiting groundwater for irrigation. A qualitative approach was used which allowed for in-depth catchment-level investigations, using group discussions, key informant interviews and informal discussions with irrigators, traditional leaders, earth priests, men, and women. Evidence from analysis revealed that local knowledge enabled farmers to locate groundwater points and determine the source and timing of groundwater recharge. Traditional communities are also able to identify the period for constructing wells. In addition, local knowledge enabled farmers to adopt strategies of conjunctively using groundwater with alternative water to cope with insufficient groundwater resources. We argue that local knowledge serves as a useful tool in sustaining dry season irrigation despite the challenges of a lack of government support and threats of global change.","author":[{"dropping-particle":"","family":"Kwoyiga","given":"Lydia","non-dropping-particle":"","parse-names":false,"suffix":""},{"dropping-particle":"","family":"Stefan","given":"Catalin","non-dropping-particle":"","parse-names":false,"suffix":""}],"container-title":"Water (Switzerland)","id":"ITEM-2","issue":"12","issued":{"date-parts":[["2018"]]},"title":"Groundwater development for dry season irrigation in North East Ghana: The place of local knowledge","type":"article-journal","volume":"10"},"uris":["http://www.mendeley.com/documents/?uuid=4172bea6-a245-3700-89d9-d18fb8111665"]}],"mendeley":{"formattedCitation":"&lt;sup&gt;2,34&lt;/sup&gt;","plainTextFormattedCitation":"2,34","previouslyFormattedCitation":"&lt;sup&gt;2,34&lt;/sup&gt;"},"properties":{"noteIndex":0},"schema":"https://github.com/citation-style-language/schema/raw/master/csl-citation.json"}</w:instrText>
      </w:r>
      <w:r w:rsidR="00FD60D3" w:rsidRPr="00381924">
        <w:fldChar w:fldCharType="separate"/>
      </w:r>
      <w:r w:rsidR="0071152F" w:rsidRPr="0071152F">
        <w:rPr>
          <w:noProof/>
          <w:vertAlign w:val="superscript"/>
        </w:rPr>
        <w:t>2,34</w:t>
      </w:r>
      <w:r w:rsidR="00FD60D3" w:rsidRPr="00381924">
        <w:fldChar w:fldCharType="end"/>
      </w:r>
      <w:r w:rsidRPr="00381924">
        <w:t>. The entropy weighting applied through N-ISI provides a more defensible basis for composite suitability scoring than equal-weight or subjectively assigned approaches, because it ensures that the indices with greatest dispersion</w:t>
      </w:r>
      <w:r w:rsidR="00B537FE" w:rsidRPr="00381924">
        <w:t xml:space="preserve">, </w:t>
      </w:r>
      <w:r w:rsidRPr="00381924">
        <w:t xml:space="preserve"> and therefore greatest discriminating power</w:t>
      </w:r>
      <w:r w:rsidR="00B537FE" w:rsidRPr="00381924">
        <w:t xml:space="preserve">, </w:t>
      </w:r>
      <w:r w:rsidRPr="00381924">
        <w:t xml:space="preserve"> contribute proportionally more to the final classification </w:t>
      </w:r>
      <w:r w:rsidR="00894396" w:rsidRPr="00381924">
        <w:fldChar w:fldCharType="begin" w:fldLock="1"/>
      </w:r>
      <w:r w:rsidR="0071152F">
        <w:instrText>ADDIN CSL_CITATION {"citationItems":[{"id":"ITEM-1","itemData":{"DOI":"10.3390/w15122233","ISSN":"20734441","abstract":"Groundwater pollution has emerged as a significant water crisis in various regions around the globe. Groundwater serves as a crucial source of water for human consumption and agricultural activities in the Sichuan Basin where groundwater quality has yet to be concentrated. A total of 41 groundwater samples were collected from domestic wells in Suining city of the Sichuan Basin, which were used for analyzing the hydrogeochemical processes and suitability for irrigation and drinking purposes. In the study area, groundwater samples belonged to the HCO3-Ca type. Hydrochemical compositions were dominated by carbonate and silicate mineral dissolution with positive cation exchange. Agricultural activities and urban sewage were the primary sources of NO3− pollution. The irrigation water quality index (IWQI) was calculated using electronic conductivity (EC), Na+, Cl−, HCO3−, and sodium adsorption ratio (SAR). The IWQI values showed that the suitability of groundwater irrigation was generally good and presented the decreasing trend southeastwardly. According to the entropy-weighted water quality index (EWQI), the groundwater quality for drinking purposes was generally good. However, there were some local areas with poor water quality concentrated in the southeast part. According to the human health risk (HHR) model, the groundwater was deemed safe for adults and children. However, for infants, the nitrate level in the groundwater remained high and posed potential health risks. The combined IWQI and EWQI evaluation served as a valuable reference for the utilization of the groundwater resource in the Sichuan Basin, as well as other comparable regions worldwide.","author":[{"dropping-particle":"","family":"Wang","given":"Ying","non-dropping-particle":"","parse-names":false,"suffix":""},{"dropping-particle":"","family":"Li","given":"Rui","non-dropping-particle":"","parse-names":false,"suffix":""},{"dropping-particle":"","family":"Wu","given":"Xiangchuan","non-dropping-particle":"","parse-names":false,"suffix":""},{"dropping-particle":"","family":"Yan","given":"Yuting","non-dropping-particle":"","parse-names":false,"suffix":""},{"dropping-particle":"","family":"Wei","given":"Changli","non-dropping-particle":"","parse-names":false,"suffix":""},{"dropping-particle":"","family":"Luo","given":"Ming","non-dropping-particle":"","parse-names":false,"suffix":""},{"dropping-particle":"","family":"Xiao","given":"Yong","non-dropping-particle":"","parse-names":false,"suffix":""},{"dropping-particle":"","family":"Zhang","given":"Yunhui","non-dropping-particle":"","parse-names":false,"suffix":""}],"container-title":"Water (Switzerland)","id":"ITEM-1","issue":"12","issued":{"date-parts":[["2023"]]},"page":"2233","title":"Evaluation of Groundwater Quality for Drinking and Irrigation Purposes Using GIS-Based IWQI, EWQI and HHR Model","type":"article-journal","volume":"15"},"uris":["http://www.mendeley.com/documents/?uuid=966be034-35b7-4dc6-be82-2ec997e5d0b6"]}],"mendeley":{"formattedCitation":"&lt;sup&gt;38&lt;/sup&gt;","plainTextFormattedCitation":"38","previouslyFormattedCitation":"&lt;sup&gt;38&lt;/sup&gt;"},"properties":{"noteIndex":0},"schema":"https://github.com/citation-style-language/schema/raw/master/csl-citation.json"}</w:instrText>
      </w:r>
      <w:r w:rsidR="00894396" w:rsidRPr="00381924">
        <w:fldChar w:fldCharType="separate"/>
      </w:r>
      <w:r w:rsidR="00C63B09" w:rsidRPr="00C63B09">
        <w:rPr>
          <w:noProof/>
          <w:vertAlign w:val="superscript"/>
        </w:rPr>
        <w:t>38</w:t>
      </w:r>
      <w:r w:rsidR="00894396" w:rsidRPr="00381924">
        <w:fldChar w:fldCharType="end"/>
      </w:r>
      <w:r w:rsidRPr="00381924">
        <w:t>.</w:t>
      </w:r>
    </w:p>
    <w:p w14:paraId="7ACD6B23" w14:textId="14CE0518" w:rsidR="001F607B" w:rsidRPr="00381924" w:rsidRDefault="00000000" w:rsidP="004860E9">
      <w:pPr>
        <w:pStyle w:val="Heading2"/>
        <w:spacing w:line="360" w:lineRule="auto"/>
      </w:pPr>
      <w:bookmarkStart w:id="36" w:name="X9ffb3b28f4bce245a73fe725a5605d9f3df3b27"/>
      <w:bookmarkEnd w:id="35"/>
      <w:r w:rsidRPr="00381924">
        <w:t>Methodological Strengths, Limit</w:t>
      </w:r>
      <w:r w:rsidR="00844783" w:rsidRPr="00381924">
        <w:t>ation</w:t>
      </w:r>
      <w:r w:rsidRPr="00381924">
        <w:t>s, and Transferability</w:t>
      </w:r>
    </w:p>
    <w:p w14:paraId="359406EA" w14:textId="4D8974B1" w:rsidR="001F607B" w:rsidRPr="00381924" w:rsidRDefault="00000000" w:rsidP="004860E9">
      <w:pPr>
        <w:spacing w:line="360" w:lineRule="auto"/>
      </w:pPr>
      <w:r w:rsidRPr="00381924">
        <w:t xml:space="preserve">The principal methodological contribution of this study is the implementation of a dual-space framework that formally separates compositional process discovery from uncertainty-aware assessment modelling. The ILR transformation applied before PCA addresses the closure problem inherent in groundwater major-ion data, avoiding the spurious correlations and distorted loadings that can emerge when raw-space multivariate methods are applied to compositional hydrochemical datasets </w:t>
      </w:r>
      <w:r w:rsidR="00947A87" w:rsidRPr="00381924">
        <w:fldChar w:fldCharType="begin" w:fldLock="1"/>
      </w:r>
      <w:r w:rsidR="00C63B09">
        <w:instrText>ADDIN CSL_CITATION {"citationItems":[{"id":"ITEM-1","itemData":{"DOI":"10.1016/j.gexplo.2018.03.003","ISSN":"03756742","abstract":"The Piper diagram has been a staple for the analysis of water chemistry data since its introduction in 1944. It was conceived to be a method for water classification, determination of potential water mixing between end-members, and to aid in the identification of chemical reactions controlling a sample set. This study uses the information gleaned over the years since the release of the Piper diagram and proposes an alternative to it, capturing the strengths of the original diagram while adding new ideas to increase its robustness. The new method uses compositional data analysis to create 4 isometric log-ratio coordinates for the 6 major chemical species analyzed in the Piper diagram and transforms the data to a 4-field bi-plot, the ilr-ion plot. This ilr-ion plot conveys all of the information in the Piper diagram (water mixing, water types, and chemical reactions) while also visualizing additional data, the ability to examine Ca2+/Mg2+ versus Cl-/SO42−. The Piper and the ilr-ion plot were also compared using multiple synthetic and real datasets in order to illustrate the caveats and the advantages of using either diagram to analyze water chemistry data. Although there are challenges with using the ilr-ion plot (e.g., missing or zero values zeros in the dataset must be imputed by positive real numbers), it appears that the use of compositional data analysis coupled with the ilr-ion plot provides a more in-depth and complete analysis of water quality data compared to the original Piper diagram.","author":[{"dropping-particle":"","family":"Shelton","given":"Jenna L.","non-dropping-particle":"","parse-names":false,"suffix":""},{"dropping-particle":"","family":"Engle","given":"Mark A.","non-dropping-particle":"","parse-names":false,"suffix":""},{"dropping-particle":"","family":"Buccianti","given":"Antonella","non-dropping-particle":"","parse-names":false,"suffix":""},{"dropping-particle":"","family":"Blondes","given":"Madalyn S.","non-dropping-particle":"","parse-names":false,"suffix":""}],"container-title":"Journal of Geochemical Exploration","id":"ITEM-1","issued":{"date-parts":[["2018"]]},"page":"130-141","title":"The isometric log-ratio (ilr)-ion plot: A proposed alternative to the Piper diagram","type":"article-journal","volume":"190"},"uris":["http://www.mendeley.com/documents/?uuid=6c971657-a279-4076-a5f1-656c115484df"]},{"id":"ITEM-2","itemData":{"DOI":"10.1038/s41598-024-63178-6","ISSN":"20452322","PMID":"38806627","abstract":"This study introduces a novel groundwater pollution index (GPI) formulated through compositional data analysis (CoDa) and robust principal component analysis (RPCA) to enhance groundwater quality assessment. Using groundwater quality monitoring data from sites impacted by the 2010–2011 foot-and-mouth disease outbreak in South Korea, CoDa uncovers critical hydrochemical differences between leachate-influenced and background groundwater. The GPI was developed by selecting key subcompositional parts (NH4+-N, Cl-, and NO3--N) using RPCA, performing the isometric log-ratio (ILR) transformation, and normalizing the results to environmental standards, thereby providing a more precise and accurate assessment of pollution. Validated against government criteria, the GPI has shown its potential as an alternative assessment tool, with its reliability confirmed by receiver operating characteristic curve analysis. This study highlights the essential role of CoDa, especially the ILR -transformation, in overcoming the limitations of traditional statistical methods that often neglect the relative nature of hydrochemical data. Our results emphasize the utility of the GPI in significantly advancing groundwater quality monitoring and management by addressing a methodological gap in the quantitative assessment of groundwater pollution.","author":[{"dropping-particle":"","family":"Oh","given":"Junseop","non-dropping-particle":"","parse-names":false,"suffix":""},{"dropping-particle":"","family":"Kim","given":"Kyoung Ho","non-dropping-particle":"","parse-names":false,"suffix":""},{"dropping-particle":"","family":"Kim","given":"Ho Rim","non-dropping-particle":"","parse-names":false,"suffix":""},{"dropping-particle":"","family":"Park","given":"Sunhwa","non-dropping-particle":"","parse-names":false,"suffix":""},{"dropping-particle":"","family":"Yun","given":"Seong Taek","non-dropping-particle":"","parse-names":false,"suffix":""}],"container-title":"Scientific Reports","id":"ITEM-2","issue":"1","issued":{"date-parts":[["2024","5","28"]]},"page":". [","title":"Using isometric log-ratio in compositional data analysis for developing a groundwater pollution index","type":"article-journal","volume":"14"},"uris":["http://www.mendeley.com/documents/?uuid=71a23dc9-ad11-4ec1-82ed-17ec70275170"]}],"mendeley":{"formattedCitation":"&lt;sup&gt;12,13&lt;/sup&gt;","plainTextFormattedCitation":"12,13","previouslyFormattedCitation":"&lt;sup&gt;12,13&lt;/sup&gt;"},"properties":{"noteIndex":0},"schema":"https://github.com/citation-style-language/schema/raw/master/csl-citation.json"}</w:instrText>
      </w:r>
      <w:r w:rsidR="00947A87" w:rsidRPr="00381924">
        <w:fldChar w:fldCharType="separate"/>
      </w:r>
      <w:r w:rsidR="009622BA" w:rsidRPr="009622BA">
        <w:rPr>
          <w:noProof/>
          <w:vertAlign w:val="superscript"/>
        </w:rPr>
        <w:t>12,13</w:t>
      </w:r>
      <w:r w:rsidR="00947A87" w:rsidRPr="00381924">
        <w:fldChar w:fldCharType="end"/>
      </w:r>
      <w:r w:rsidRPr="00381924">
        <w:t xml:space="preserve">. Parallel analysis provides a theoretically grounded component retention rule rather than relying on visual scree-plot inspection, and bootstrap stability assessment of the </w:t>
      </w:r>
      <w:r w:rsidRPr="00381924">
        <w:lastRenderedPageBreak/>
        <w:t xml:space="preserve">CLR loadings provides a resampling-based quantification of loading robustness that is rarely included in district-scale hydrochemical studies. The neutrosophic architecture for both NPLS-GWQI and N-ISI explicitly encodes classification uncertainty through truth-indeterminacy-falsity membership, and the Bayesian horseshoe regression framework in the driver models provides posterior uncertainty quantification and formal feature sparsity, addressing well-documented limitations of both deterministic WQI design and fixed-weight driver attribution </w:t>
      </w:r>
      <w:r w:rsidR="00DE69B4" w:rsidRPr="00381924">
        <w:fldChar w:fldCharType="begin" w:fldLock="1"/>
      </w:r>
      <w:r w:rsidR="0071152F">
        <w:instrText>ADDIN CSL_CITATION {"citationItems":[{"id":"ITEM-1","itemData":{"DOI":"10.1016/j.ecolind.2020.106653","ISSN":"1470160X","abstract":"Water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Indicators","id":"ITEM-1","issued":{"date-parts":[["2020"]]},"title":"Uncertainty analysis of water quality index (WQI) for groundwater quality evaluation: Application of Monte-Carlo method for weight allocation","type":"article-journal","volume":"117"},"uris":["http://www.mendeley.com/documents/?uuid=03883274-81ed-4abb-9c71-3ec0c6a0abb5"]},{"id":"ITEM-2","itemData":{"DOI":"10.1007/s11157-023-09650-7","ISSN":"15729826","abstract":"Water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Biotechnology","id":"ITEM-2","issue":"2","issued":{"date-parts":[["2023"]]},"page":"349-395","title":"A comprehensive review of water quality indices (WQIs): history, models, attempts and perspectives","type":"article-journal","volume":"22"},"uris":["http://www.mendeley.com/documents/?uuid=0e7b5a47-cc86-4c31-88ee-97779d810587"]},{"id":"ITEM-3","itemData":{"DOI":"10.3390/w15122233","ISSN":"20734441","abstract":"Groundwater pollution has emerged as a significant water crisis in various regions around the globe. Groundwater serves as a crucial source of water for human consumption and agricultural activities in the Sichuan Basin where groundwater quality has yet to be concentrated. A total of 41 groundwater samples were collected from domestic wells in Suining city of the Sichuan Basin, which were used for analyzing the hydrogeochemical processes and suitability for irrigation and drinking purposes. In the study area, groundwater samples belonged to the HCO3-Ca type. Hydrochemical compositions were dominated by carbonate and silicate mineral dissolution with positive cation exchange. Agricultural activities and urban sewage were the primary sources of NO3− pollution. The irrigation water quality index (IWQI) was calculated using electronic conductivity (EC), Na+, Cl−, HCO3−, and sodium adsorption ratio (SAR). The IWQI values showed that the suitability of groundwater irrigation was generally good and presented the decreasing trend southeastwardly. According to the entropy-weighted water quality index (EWQI), the groundwater quality for drinking purposes was generally good. However, there were some local areas with poor water quality concentrated in the southeast part. According to the human health risk (HHR) model, the groundwater was deemed safe for adults and children. However, for infants, the nitrate level in the groundwater remained high and posed potential health risks. The combined IWQI and EWQI evaluation served as a valuable reference for the utilization of the groundwater resource in the Sichuan Basin, as well as other comparable regions worldwide.","author":[{"dropping-particle":"","family":"Wang","given":"Ying","non-dropping-particle":"","parse-names":false,"suffix":""},{"dropping-particle":"","family":"Li","given":"Rui","non-dropping-particle":"","parse-names":false,"suffix":""},{"dropping-particle":"","family":"Wu","given":"Xiangchuan","non-dropping-particle":"","parse-names":false,"suffix":""},{"dropping-particle":"","family":"Yan","given":"Yuting","non-dropping-particle":"","parse-names":false,"suffix":""},{"dropping-particle":"","family":"Wei","given":"Changli","non-dropping-particle":"","parse-names":false,"suffix":""},{"dropping-particle":"","family":"Luo","given":"Ming","non-dropping-particle":"","parse-names":false,"suffix":""},{"dropping-particle":"","family":"Xiao","given":"Yong","non-dropping-particle":"","parse-names":false,"suffix":""},{"dropping-particle":"","family":"Zhang","given":"Yunhui","non-dropping-particle":"","parse-names":false,"suffix":""}],"container-title":"Water (Switzerland)","id":"ITEM-3","issue":"12","issued":{"date-parts":[["2023"]]},"page":"2233","title":"Evaluation of Groundwater Quality for Drinking and Irrigation Purposes Using GIS-Based IWQI, EWQI and HHR Model","type":"article-journal","volume":"15"},"uris":["http://www.mendeley.com/documents/?uuid=966be034-35b7-4dc6-be82-2ec997e5d0b6"]}],"mendeley":{"formattedCitation":"&lt;sup&gt;9,10,38&lt;/sup&gt;","plainTextFormattedCitation":"9,10,38","previouslyFormattedCitation":"&lt;sup&gt;9,10,38&lt;/sup&gt;"},"properties":{"noteIndex":0},"schema":"https://github.com/citation-style-language/schema/raw/master/csl-citation.json"}</w:instrText>
      </w:r>
      <w:r w:rsidR="00DE69B4" w:rsidRPr="00381924">
        <w:fldChar w:fldCharType="separate"/>
      </w:r>
      <w:r w:rsidR="00C63B09" w:rsidRPr="00C63B09">
        <w:rPr>
          <w:noProof/>
          <w:vertAlign w:val="superscript"/>
        </w:rPr>
        <w:t>9,10,38</w:t>
      </w:r>
      <w:r w:rsidR="00DE69B4" w:rsidRPr="00381924">
        <w:fldChar w:fldCharType="end"/>
      </w:r>
      <w:r w:rsidRPr="009622BA">
        <w:t>.</w:t>
      </w:r>
      <w:r w:rsidR="00BC485B" w:rsidRPr="009622BA">
        <w:t xml:space="preserve"> </w:t>
      </w:r>
      <w:r w:rsidR="00615C7C" w:rsidRPr="00381924">
        <w:t>Also</w:t>
      </w:r>
      <w:r w:rsidR="00BC485B" w:rsidRPr="00381924">
        <w:t xml:space="preserve">, the posterior class-probability analysis </w:t>
      </w:r>
      <w:r w:rsidR="00E00594" w:rsidRPr="00381924">
        <w:t xml:space="preserve">was able to </w:t>
      </w:r>
      <w:r w:rsidR="00BC485B" w:rsidRPr="00381924">
        <w:t>shows that analytical uncertainty exerts a stronger effect on degraded drinking-water class assignments than on irrigation suitability classes in the present dataset: NPLS-GWQI uncertainty is concentrated in a small number of boundary samples, whereas the N-ISI classification remains almost unchanged under the same 5% analytical-error propagation.</w:t>
      </w:r>
    </w:p>
    <w:p w14:paraId="6C1A8CF3" w14:textId="596507F0" w:rsidR="001F607B" w:rsidRPr="00381924" w:rsidRDefault="00000000" w:rsidP="004860E9">
      <w:pPr>
        <w:spacing w:line="360" w:lineRule="auto"/>
      </w:pPr>
      <w:r w:rsidRPr="00381924">
        <w:t>The principal limitations of the present study are threefold. First, the sample size of 34 is small relative to the dimensionality of the augmented predictor block, and although robust PCA, horseshoe shrinkage, and bootstrap resampling were applied to mitigate this, the statistical power for fine-grained sub-group analyses and spatial generalisation is limited. Comparison with modelling studies of similar scale in northern Ghana suggests that the core hydrochemical findings are robust, but any extrapolation to unsampled parts of the district should be treated with caution. Second, the dataset represents a single sampling campaign and does not capture temporal variability across the seasonal cycle. In a semi-arid district with pronounced dry-season concentration effects, a single-season snapshot may underestimate the range of groundwater quality conditions that residents encounter across the year. Third, the absence of trace metals</w:t>
      </w:r>
      <w:r w:rsidR="00B537FE" w:rsidRPr="00381924">
        <w:t xml:space="preserve">, </w:t>
      </w:r>
      <w:r w:rsidRPr="00381924">
        <w:t xml:space="preserve"> iron, lead, arsenic, cadmium, and nickel</w:t>
      </w:r>
      <w:r w:rsidR="00B537FE" w:rsidRPr="00381924">
        <w:t xml:space="preserve">, </w:t>
      </w:r>
      <w:r w:rsidRPr="00381924">
        <w:t xml:space="preserve"> from the dataset limits the scope of the health-risk assessment to fluoride and nitrate and precludes evaluation of trace-metal-related exposure pathways that may be relevant in some parts of the district.</w:t>
      </w:r>
    </w:p>
    <w:p w14:paraId="519E3AF1" w14:textId="0CF2E5D4" w:rsidR="001F607B" w:rsidRPr="00381924" w:rsidRDefault="00000000" w:rsidP="004860E9">
      <w:pPr>
        <w:pStyle w:val="Heading2"/>
        <w:spacing w:line="360" w:lineRule="auto"/>
      </w:pPr>
      <w:bookmarkStart w:id="37" w:name="groundwater-management-implications"/>
      <w:bookmarkEnd w:id="36"/>
      <w:r w:rsidRPr="00381924">
        <w:t>Groundwater Management Implications</w:t>
      </w:r>
    </w:p>
    <w:p w14:paraId="3E480259" w14:textId="77777777" w:rsidR="001F607B" w:rsidRPr="00381924" w:rsidRDefault="00000000" w:rsidP="004860E9">
      <w:pPr>
        <w:spacing w:line="360" w:lineRule="auto"/>
      </w:pPr>
      <w:r w:rsidRPr="00381924">
        <w:t xml:space="preserve">The findings of this study carry several practical implications for groundwater management in </w:t>
      </w:r>
      <w:proofErr w:type="spellStart"/>
      <w:r w:rsidRPr="00381924">
        <w:t>Karaga</w:t>
      </w:r>
      <w:proofErr w:type="spellEnd"/>
      <w:r w:rsidRPr="00381924">
        <w:t xml:space="preserve"> District and in comparable rural settings within the Voltaian sedimentary basin. These implications are organised around four priority areas: </w:t>
      </w:r>
      <w:r w:rsidRPr="00381924">
        <w:lastRenderedPageBreak/>
        <w:t>targeted borehole intervention, systematic monitoring, risk communication, and irrigation advisory use.</w:t>
      </w:r>
    </w:p>
    <w:p w14:paraId="6B8EDF27" w14:textId="0452A730" w:rsidR="001F607B" w:rsidRPr="00381924" w:rsidRDefault="00000000" w:rsidP="004860E9">
      <w:pPr>
        <w:spacing w:line="360" w:lineRule="auto"/>
      </w:pPr>
      <w:r w:rsidRPr="00381924">
        <w:t xml:space="preserve">Borehole screening and targeted intervention are indicated where fluoride-related health risk is the dominant concern. The four samples classified as unsuitable by NPLS-GWQI and the subset of sites where deterministic </w:t>
      </w:r>
      <m:oMath>
        <m:r>
          <w:rPr>
            <w:rFonts w:ascii="Cambria Math" w:hAnsi="Cambria Math"/>
          </w:rPr>
          <m:t>H</m:t>
        </m:r>
        <m:sSub>
          <m:sSubPr>
            <m:ctrlPr>
              <w:rPr>
                <w:rFonts w:ascii="Cambria Math" w:hAnsi="Cambria Math"/>
                <w:i/>
              </w:rPr>
            </m:ctrlPr>
          </m:sSubPr>
          <m:e>
            <m:r>
              <w:rPr>
                <w:rFonts w:ascii="Cambria Math" w:hAnsi="Cambria Math"/>
              </w:rPr>
              <m:t>Q</m:t>
            </m:r>
          </m:e>
          <m:sub>
            <m:r>
              <w:rPr>
                <w:rFonts w:ascii="Cambria Math" w:hAnsi="Cambria Math"/>
              </w:rPr>
              <m:t>F</m:t>
            </m:r>
          </m:sub>
        </m:sSub>
      </m:oMath>
      <w:r w:rsidRPr="00381924">
        <w:t xml:space="preserve"> exceeds unity or where Bayesian </w:t>
      </w:r>
      <m:oMath>
        <m:r>
          <w:rPr>
            <w:rFonts w:ascii="Cambria Math" w:hAnsi="Cambria Math"/>
          </w:rPr>
          <m:t>P</m:t>
        </m:r>
        <m:d>
          <m:dPr>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I</m:t>
                </m:r>
              </m:e>
              <m:sub>
                <m:r>
                  <w:rPr>
                    <w:rFonts w:ascii="Cambria Math" w:hAnsi="Cambria Math"/>
                  </w:rPr>
                  <m:t>skeletaldental</m:t>
                </m:r>
              </m:sub>
            </m:sSub>
            <m:r>
              <w:rPr>
                <w:rFonts w:ascii="Cambria Math" w:hAnsi="Cambria Math"/>
              </w:rPr>
              <m:t>&gt;1</m:t>
            </m:r>
          </m:e>
        </m:d>
      </m:oMath>
      <w:r w:rsidRPr="00381924">
        <w:t xml:space="preserve"> is elevated should be prioritised for technical remediation, source substitution, or defluoridation before being used for domestic consumption. Because fluoride enrichment in Karaga District is geogenic and distributed in relation to the Bimbila Formation geology and associated geochemical processes rather than to a single point source, blanket treatment of all boreholes is unlikely to be cost-effective. The spatial structure of the NPLS-GWQI classification and the N-ISI outputs therefore provide a practical basis for tiered management, directing scarce intervention resources to the subset of sites where risk is demonstrated rather than assumed.</w:t>
      </w:r>
    </w:p>
    <w:p w14:paraId="6313DEAA" w14:textId="77777777" w:rsidR="001F607B" w:rsidRPr="00381924" w:rsidRDefault="00000000" w:rsidP="004860E9">
      <w:pPr>
        <w:spacing w:line="360" w:lineRule="auto"/>
      </w:pPr>
      <w:r w:rsidRPr="00381924">
        <w:t xml:space="preserve">Monitoring and sanitary protection are especially warranted at sites </w:t>
      </w:r>
      <w:proofErr w:type="gramStart"/>
      <w:r w:rsidRPr="00381924">
        <w:t>where</w:t>
      </w:r>
      <w:proofErr w:type="gramEnd"/>
      <w:r w:rsidRPr="00381924">
        <w:t xml:space="preserve"> nitrate concentrations approach guideline thresholds, signalling the presence of anthropogenic nitrogen inputs from agricultural or sanitary sources. Although nitrate hazard quotients remain below unity on average across all demographic groups in the current dataset (Table 10), the single-season snapshot character of the sampling campaign means that nitrate levels at specific sites could be higher during or immediately after the wet season when flushing of surface-derived nitrogen into shallow aquifers is most active. Regular monitoring at suspected high-nitrate locations, combined with inspection of borehole sanitary protection and exclusion zones, would provide early warning of deteriorating conditions.</w:t>
      </w:r>
    </w:p>
    <w:p w14:paraId="0C521792" w14:textId="7DE6DE30" w:rsidR="001F607B" w:rsidRPr="00381924" w:rsidRDefault="00000000" w:rsidP="004860E9">
      <w:pPr>
        <w:spacing w:line="360" w:lineRule="auto"/>
      </w:pPr>
      <w:r w:rsidRPr="00381924">
        <w:t xml:space="preserve">Risk communication to communities and local health authorities should prioritise children as the most vulnerable demographic, consistent with the Bayesian posterior finding that </w:t>
      </w:r>
      <m:oMath>
        <m:r>
          <w:rPr>
            <w:rFonts w:ascii="Cambria Math" w:hAnsi="Cambria Math"/>
          </w:rPr>
          <m:t>P</m:t>
        </m:r>
        <m:d>
          <m:dPr>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I</m:t>
                </m:r>
              </m:e>
              <m:sub>
                <m:r>
                  <w:rPr>
                    <w:rFonts w:ascii="Cambria Math" w:hAnsi="Cambria Math"/>
                  </w:rPr>
                  <m:t>skeletaldental</m:t>
                </m:r>
              </m:sub>
            </m:sSub>
            <m:r>
              <w:rPr>
                <w:rFonts w:ascii="Cambria Math" w:hAnsi="Cambria Math"/>
              </w:rPr>
              <m:t>&gt;1</m:t>
            </m:r>
          </m:e>
        </m:d>
        <m:r>
          <w:rPr>
            <w:rFonts w:ascii="Cambria Math" w:hAnsi="Cambria Math"/>
          </w:rPr>
          <m:t>=0.6875</m:t>
        </m:r>
      </m:oMath>
      <w:r w:rsidRPr="00381924">
        <w:t xml:space="preserve"> for children under the modelled exposure scenario (Table 11; Figure 9). This vulnerability is a function of physiological exposure differences</w:t>
      </w:r>
      <w:r w:rsidR="00B537FE" w:rsidRPr="00381924">
        <w:t xml:space="preserve">, </w:t>
      </w:r>
      <w:r w:rsidRPr="00381924">
        <w:t xml:space="preserve"> lower body weight and higher relative ingestion rate</w:t>
      </w:r>
      <w:r w:rsidR="00B537FE" w:rsidRPr="00381924">
        <w:t xml:space="preserve">, </w:t>
      </w:r>
      <w:r w:rsidRPr="00381924">
        <w:t xml:space="preserve"> rather than of unusual behavioural patterns, meaning that it applies broadly to the child population in any community served by groundwater with elevated fluoride concentrations </w:t>
      </w:r>
      <w:r w:rsidR="00FC558A" w:rsidRPr="00381924">
        <w:fldChar w:fldCharType="begin" w:fldLock="1"/>
      </w:r>
      <w:r w:rsidR="00C63B09">
        <w:instrText>ADDIN CSL_CITATION {"citationItems":[{"id":"ITEM-1","itemData":{"DOI":"10.1016/j.chemosphere.2019.05.276","ISSN":"18791298","PMID":"31340412","abstract":"Groundwater fluoride contamination has long been recognized as a water-related health issue in some parts of Ghana. However, the extent of fluoride contamination and the related human health risk to the communities in the fluoride endemic areas are not adequately studied. In this paper, fluoride concentrations in existing and newly drilled wells were assessed. Probabilistic non carcinogenic human health risk assessment, uncertainty and sensitivity analysis for three age groups (Group A: 0–10 years; Group B: 11–20 years; Group C: 21–72 years) was also carried out using Monte Carlo simulation technique. The results showed that, 27.27% and 15.38% of the existing wells in the Bongo and Kassena Nankana West districts have fluoride values above the guideline value 1.5 mg L−1 respectively. The non-carcinogenic risk of fluoride associated with oral ingestion recorded a mean Hazard Quotient (HQ) &gt; 1 for younger age group (0–10 years) in all the study areas signifying potential health risk to this age group. Additionally, when the upper 95th percentile is used for the HQ, the oral ingestion for all the age categories recorded an HQ &gt; 1. Sensitivity analyses indicated that fluoride concentration in the drinking water and ingestion rate were the most relevant variables in the model to reduce the potential health effect. The study established the basis for a strong advocacy and public awareness on the effect of water quality on human health and proposed some management strategies to guide future groundwater resources management to reduce the potential health risk to the population.","author":[{"dropping-particle":"","family":"Ganyaglo","given":"Samuel Y.","non-dropping-particle":"","parse-names":false,"suffix":""},{"dropping-particle":"","family":"Gibrilla","given":"Abass","non-dropping-particle":"","parse-names":false,"suffix":""},{"dropping-particle":"","family":"Teye","given":"Emmanuel M.","non-dropping-particle":"","parse-names":false,"suffix":""},{"dropping-particle":"","family":"Owusu-Ansah","given":"Emmanuel De Graft Johnson","non-dropping-particle":"","parse-names":false,"suffix":""},{"dropping-particle":"","family":"Tettey","given":"Sampson","non-dropping-particle":"","parse-names":false,"suffix":""},{"dropping-particle":"","family":"Diabene","given":"Perpetual Y.","non-dropping-particle":"","parse-names":false,"suffix":""},{"dropping-particle":"","family":"Asimah","given":"Seyram","non-dropping-particle":"","parse-names":false,"suffix":""}],"container-title":"Chemosphere","id":"ITEM-1","issued":{"date-parts":[["2019","10"]]},"page":"862-872","publisher":"Elsevier","title":"Groundwater fluoride contamination and probabilistic health risk assessment in fluoride endemic areas of the Upper East Region, Ghana","type":"article-journal","volume":"233"},"uris":["http://www.mendeley.com/documents/?uuid=df1579f0-9614-41bc-b2b7-2858eb07d64a"]},{"id":"ITEM-2","itemData":{"DOI":"10.1016/j.heliyon.2024.e27554","ISSN":"24058440","abstract":"Access to potable water is a significant concern due to the increasing global threat posed by fluoride contamination in groundwater sources. This study investigated the concentrations of fluoride (F−), the suitability of groundwater for human consumption, the physicochemical characteristics affecting the water quality, and non-carcinogenic adverse health risks to both children and adults in the Bongo district in Northern Ghana. The findings revealed that the groundwater had a mean pH, salinity, TDS, conductivity, and turbidity below the WHO guideline values with a mean fluoride concentration of 1.76 mg/L above the guideline limit of 1.5 mg/L. The study also found that there was no strong relationship between fluoride and the measured water parameters, which may be attributed to poor control of distribution, transport mechanisms, and sources. The WQI scores ranged from 42.62% to 70.72%, indicating that all borehole water samples were of good and excellent quality. The average chronic daily intake showed that children are often more exposed to the harmful impact of fluoride than adults. The average HQ &gt; 1 indicates the probability of dental and skeletal fluorosis after continuous exposure over time in adults and children. The study recommends taking immediate action to mitigate high groundwater fluoride concentrations, implementing appropriate water management strategies, and raising public awareness of the health risks. These measures can guide future groundwater management practices and help policymakers address contamination and protect local communities.","author":[{"dropping-particle":"","family":"Ashong","given":"Gerheart Winfred","non-dropping-particle":"","parse-names":false,"suffix":""},{"dropping-particle":"","family":"Ababio","given":"Boansi Adu","non-dropping-particle":"","parse-names":false,"suffix":""},{"dropping-particle":"","family":"Kwaansa-Ansah","given":"Edward Ebow","non-dropping-particle":"","parse-names":false,"suffix":""},{"dropping-particle":"","family":"Koranteng","given":"Simon Konadu","non-dropping-particle":"","parse-names":false,"suffix":""},{"dropping-particle":"","family":"Muktar","given":"Gwalley Diyawul Haqq","non-dropping-particle":"","parse-names":false,"suffix":""}],"container-title":"Heliyon","id":"ITEM-2","issue":"6","issued":{"date-parts":[["2024"]]},"page":"), e27554. [","title":"Investigation of fluoride concentrations, water quality, and non-carcinogenic health risks of borehole water in bongo district, northern Ghana","type":"article-journal","volume":"10"},"uris":["http://www.mendeley.com/documents/?uuid=40f6ae8e-27f9-4bfc-a20c-49cfd62772bd"]}],"mendeley":{"formattedCitation":"&lt;sup&gt;7,8&lt;/sup&gt;","plainTextFormattedCitation":"7,8","previouslyFormattedCitation":"&lt;sup&gt;7,8&lt;/sup&gt;"},"properties":{"noteIndex":0},"schema":"https://github.com/citation-style-language/schema/raw/master/csl-citation.json"}</w:instrText>
      </w:r>
      <w:r w:rsidR="00FC558A" w:rsidRPr="00381924">
        <w:fldChar w:fldCharType="separate"/>
      </w:r>
      <w:r w:rsidR="009622BA" w:rsidRPr="009622BA">
        <w:rPr>
          <w:noProof/>
          <w:vertAlign w:val="superscript"/>
        </w:rPr>
        <w:t>7,8</w:t>
      </w:r>
      <w:r w:rsidR="00FC558A" w:rsidRPr="00381924">
        <w:fldChar w:fldCharType="end"/>
      </w:r>
      <w:r w:rsidRPr="00381924">
        <w:t xml:space="preserve">. Health communication should convey the distinction between </w:t>
      </w:r>
      <w:r w:rsidRPr="00381924">
        <w:lastRenderedPageBreak/>
        <w:t xml:space="preserve">drinking-water quality class, which may appear acceptable for </w:t>
      </w:r>
      <w:proofErr w:type="gramStart"/>
      <w:r w:rsidRPr="00381924">
        <w:t>the majority of</w:t>
      </w:r>
      <w:proofErr w:type="gramEnd"/>
      <w:r w:rsidRPr="00381924">
        <w:t xml:space="preserve"> adults, and the child-specific fluoride risk, which can remain elevated even when the generalised quality index is not in an alarming category.</w:t>
      </w:r>
    </w:p>
    <w:p w14:paraId="445F0086" w14:textId="67722EAC" w:rsidR="001F607B" w:rsidRPr="00381924" w:rsidRDefault="00000000" w:rsidP="00381924">
      <w:pPr>
        <w:spacing w:after="0" w:line="360" w:lineRule="auto"/>
      </w:pPr>
      <w:r w:rsidRPr="00381924">
        <w:t>For irrigation, the N-ISI classification provides an actionable advisory framework. The five excellent and three good samples (Table 13; Figure 10) are suitable for direct agricultural use without restriction. The 23 marginal samples should be used with agronomic caution, including crop-selection for salt-tolerant varieties, soil monitoring for sodium accumulation, and periodic leaching to prevent long-term permeability degradation. The three unsuitable samples should be excluded from irrigation unless blended with better-quality water. The EC-SSP and EC-SAR proxy plots (Figure 10</w:t>
      </w:r>
      <w:r w:rsidR="009A50AD" w:rsidRPr="00381924">
        <w:t>a and 10b</w:t>
      </w:r>
      <w:r w:rsidRPr="00381924">
        <w:t>) offer field-accessible visualisation tools for district agricultural extension officers to communicate site-specific irrigation risk without requiring detailed chemical knowledge.</w:t>
      </w:r>
    </w:p>
    <w:p w14:paraId="64B3C689" w14:textId="77777777" w:rsidR="00381924" w:rsidRPr="00381924" w:rsidRDefault="00381924" w:rsidP="00381924">
      <w:pPr>
        <w:spacing w:after="0" w:line="360" w:lineRule="auto"/>
      </w:pPr>
    </w:p>
    <w:p w14:paraId="0BA3EF46" w14:textId="48847F37" w:rsidR="001F607B" w:rsidRPr="00381924" w:rsidRDefault="00000000" w:rsidP="004860E9">
      <w:pPr>
        <w:pStyle w:val="Heading1"/>
        <w:spacing w:line="360" w:lineRule="auto"/>
      </w:pPr>
      <w:bookmarkStart w:id="38" w:name="conclusion"/>
      <w:bookmarkEnd w:id="37"/>
      <w:r w:rsidRPr="00381924">
        <w:t>Conclusion</w:t>
      </w:r>
    </w:p>
    <w:p w14:paraId="2B1EF4B2" w14:textId="77777777" w:rsidR="001F607B" w:rsidRPr="00381924" w:rsidRDefault="00000000" w:rsidP="00381924">
      <w:pPr>
        <w:spacing w:line="360" w:lineRule="auto"/>
        <w:rPr>
          <w:rFonts w:cs="Times New Roman"/>
        </w:rPr>
      </w:pPr>
      <w:r w:rsidRPr="00381924">
        <w:rPr>
          <w:rFonts w:cs="Times New Roman"/>
        </w:rPr>
        <w:t xml:space="preserve">This study applied a dual-space compositional process framework to assess groundwater quality, latent hydrochemical processes, Bayesian driver profiles, health risk, and irrigation suitability in </w:t>
      </w:r>
      <w:proofErr w:type="spellStart"/>
      <w:r w:rsidRPr="00381924">
        <w:rPr>
          <w:rFonts w:cs="Times New Roman"/>
        </w:rPr>
        <w:t>Karaga</w:t>
      </w:r>
      <w:proofErr w:type="spellEnd"/>
      <w:r w:rsidRPr="00381924">
        <w:rPr>
          <w:rFonts w:cs="Times New Roman"/>
        </w:rPr>
        <w:t xml:space="preserve"> District, northern Ghana, using a dataset of 34 groundwater samples characterised by 12 measured hydrochemical variables. The findings address each of the six study objectives and advance the methodological treatment of compositional hydrochemical data in the assessment of groundwater systems within the Voltaian sedimentary basin.</w:t>
      </w:r>
    </w:p>
    <w:p w14:paraId="5D9E2734" w14:textId="65456A9D" w:rsidR="001F607B" w:rsidRPr="00381924" w:rsidRDefault="00000000" w:rsidP="00381924">
      <w:pPr>
        <w:spacing w:line="360" w:lineRule="auto"/>
        <w:rPr>
          <w:rFonts w:cs="Times New Roman"/>
        </w:rPr>
      </w:pPr>
      <w:r w:rsidRPr="00381924">
        <w:rPr>
          <w:rFonts w:cs="Times New Roman"/>
        </w:rPr>
        <w:t xml:space="preserve">Addressing the first objective, ILR-based facies characterisation established that groundwater in </w:t>
      </w:r>
      <w:proofErr w:type="spellStart"/>
      <w:r w:rsidRPr="00381924">
        <w:rPr>
          <w:rFonts w:cs="Times New Roman"/>
        </w:rPr>
        <w:t>Karaga</w:t>
      </w:r>
      <w:proofErr w:type="spellEnd"/>
      <w:r w:rsidRPr="00381924">
        <w:rPr>
          <w:rFonts w:cs="Times New Roman"/>
        </w:rPr>
        <w:t xml:space="preserve"> District is predominantly Na-HCO₃ in type, hosted primarily within the </w:t>
      </w:r>
      <w:proofErr w:type="spellStart"/>
      <w:r w:rsidRPr="00381924">
        <w:rPr>
          <w:rFonts w:cs="Times New Roman"/>
        </w:rPr>
        <w:t>Bimbila</w:t>
      </w:r>
      <w:proofErr w:type="spellEnd"/>
      <w:r w:rsidRPr="00381924">
        <w:rPr>
          <w:rFonts w:cs="Times New Roman"/>
        </w:rPr>
        <w:t xml:space="preserve"> Formation, with rock-weathering control dominating 30 of 34 samples in the Gibbs diagnostic framework. On the second objective, NPLS-GWQI classification placed 25 of 34 samples in the excellent category, with only 8 samples in degraded classes and 4 classified as unsuitable, and bootstrapped N-VIP weighting confirmed that EC and salinity-related variables dominate the water-quality signal.</w:t>
      </w:r>
    </w:p>
    <w:p w14:paraId="1752EE3A" w14:textId="0A293637" w:rsidR="001F607B" w:rsidRPr="00381924" w:rsidRDefault="00000000" w:rsidP="00381924">
      <w:pPr>
        <w:spacing w:line="360" w:lineRule="auto"/>
        <w:rPr>
          <w:rFonts w:cs="Times New Roman"/>
        </w:rPr>
      </w:pPr>
      <w:r w:rsidRPr="00381924">
        <w:rPr>
          <w:rFonts w:cs="Times New Roman"/>
        </w:rPr>
        <w:t xml:space="preserve">The third objective yielded five latent hydrochemical processes through ILR-PCA with parallel </w:t>
      </w:r>
      <w:r w:rsidR="00381924" w:rsidRPr="00381924">
        <w:rPr>
          <w:rFonts w:cs="Times New Roman"/>
        </w:rPr>
        <w:t>analysis, Na</w:t>
      </w:r>
      <w:r w:rsidRPr="00381924">
        <w:rPr>
          <w:rFonts w:cs="Times New Roman"/>
        </w:rPr>
        <w:t xml:space="preserve">-Cl enrichment, NO₃-Ca association, Mg-F association, K-F </w:t>
      </w:r>
      <w:r w:rsidRPr="00381924">
        <w:rPr>
          <w:rFonts w:cs="Times New Roman"/>
        </w:rPr>
        <w:lastRenderedPageBreak/>
        <w:t xml:space="preserve">association, and Na-HCO₃ </w:t>
      </w:r>
      <w:r w:rsidR="00ED2DE4" w:rsidRPr="00381924">
        <w:rPr>
          <w:rFonts w:cs="Times New Roman"/>
        </w:rPr>
        <w:t>exchange, validated</w:t>
      </w:r>
      <w:r w:rsidRPr="00381924">
        <w:rPr>
          <w:rFonts w:cs="Times New Roman"/>
        </w:rPr>
        <w:t xml:space="preserve"> by deterministic geochemical constraints including Gibbs-domain assignment, chloro-alkaline exchange indices, and elevated Na/Cl ratios. On the fourth objective, Bayesian horseshoe regression identified EC as the dominant positive driver of NPLS-GWQI at 43.18%, with Na acting as the principal suppressing term at 14.86%, and revealed that the fluoride endpoint is governed by competing </w:t>
      </w:r>
      <m:oMath>
        <m:r>
          <w:rPr>
            <w:rFonts w:ascii="Cambria Math" w:hAnsi="Cambria Math" w:cs="Times New Roman"/>
          </w:rPr>
          <m:t>CA</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oMath>
      <w:r w:rsidRPr="00381924">
        <w:rPr>
          <w:rFonts w:cs="Times New Roman"/>
        </w:rPr>
        <w:t xml:space="preserve"> suppression and EC promotion at approximately equal magnitudes, confirming the multicausal character of fluoride enrichment in this setting.</w:t>
      </w:r>
    </w:p>
    <w:p w14:paraId="6389F5F8" w14:textId="092A7341" w:rsidR="001F607B" w:rsidRPr="00381924" w:rsidRDefault="00000000" w:rsidP="00381924">
      <w:pPr>
        <w:spacing w:line="360" w:lineRule="auto"/>
        <w:rPr>
          <w:rFonts w:cs="Times New Roman"/>
        </w:rPr>
      </w:pPr>
      <w:r w:rsidRPr="00381924">
        <w:rPr>
          <w:rFonts w:cs="Times New Roman"/>
        </w:rPr>
        <w:t xml:space="preserve">Addressing the fifth objective, children emerged as the most vulnerable demographic in both deterministic and Bayesian health-risk assessments. Deterministic mean </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F</m:t>
            </m:r>
          </m:sub>
        </m:sSub>
      </m:oMath>
      <w:r w:rsidRPr="00381924">
        <w:rPr>
          <w:rFonts w:cs="Times New Roman"/>
        </w:rPr>
        <w:t xml:space="preserve"> for children was 1.493, and Bayesian analysis returned a posterior mean skeletal-dental HI of 2.155 with P(HI &gt; 1) = 0.6875, whilst nitrate-related hematological burden remained clearly sub-threshold across all demographic groups. On the sixth objective, irrigation suitability was predominantly marginal, with 23 of 34 samples in the marginal N-ISI class, PI, PS, and KR identified as the highest-weight entropy indices, and only 3 samples classified as unsuitable.</w:t>
      </w:r>
    </w:p>
    <w:p w14:paraId="3EAE0F33" w14:textId="77777777" w:rsidR="001F607B" w:rsidRPr="00381924" w:rsidRDefault="00000000" w:rsidP="00381924">
      <w:pPr>
        <w:spacing w:line="360" w:lineRule="auto"/>
        <w:rPr>
          <w:rFonts w:cs="Times New Roman"/>
        </w:rPr>
      </w:pPr>
      <w:r w:rsidRPr="00381924">
        <w:rPr>
          <w:rFonts w:cs="Times New Roman"/>
        </w:rPr>
        <w:t>The study contributes a transferable, uncertainty-aware analytical architecture to the groundwater assessment literature for northern Ghanaian and analogous Voltaian sedimentary settings. Key limitations include the single-season sampling design, the relatively small sample size of 34, and the absence of trace-metal measurements, which together constrain temporal generalisation and health-risk scope. Future work should incorporate wet-season and dry-season paired sampling campaigns, expand the chemical panel to include trace metals, and extend the spatial coverage of the sampling network to capture the full lithostratigraphic variability of the district more completely.</w:t>
      </w:r>
    </w:p>
    <w:p w14:paraId="26D110CA" w14:textId="77777777" w:rsidR="001F3008" w:rsidRDefault="001F3008" w:rsidP="00381924">
      <w:pPr>
        <w:spacing w:line="360" w:lineRule="auto"/>
        <w:rPr>
          <w:rFonts w:cs="Times New Roman"/>
        </w:rPr>
      </w:pPr>
      <w:bookmarkStart w:id="39" w:name="tables"/>
      <w:bookmarkEnd w:id="38"/>
    </w:p>
    <w:p w14:paraId="73803A39" w14:textId="3D0A97D6" w:rsidR="003A346A" w:rsidRPr="003A346A" w:rsidRDefault="003A346A" w:rsidP="00381924">
      <w:pPr>
        <w:spacing w:line="360" w:lineRule="auto"/>
        <w:rPr>
          <w:rFonts w:cs="Times New Roman"/>
          <w:b/>
          <w:bCs/>
        </w:rPr>
      </w:pPr>
      <w:r w:rsidRPr="003A346A">
        <w:rPr>
          <w:rFonts w:cs="Times New Roman"/>
          <w:b/>
          <w:bCs/>
        </w:rPr>
        <w:t>Acknowledgement</w:t>
      </w:r>
    </w:p>
    <w:p w14:paraId="6A8D5AFB" w14:textId="1DF75575" w:rsidR="00844783" w:rsidRPr="00381924" w:rsidRDefault="003A346A" w:rsidP="007F6451">
      <w:pPr>
        <w:spacing w:after="0" w:line="360" w:lineRule="auto"/>
      </w:pPr>
      <w:r w:rsidRPr="003A346A">
        <w:rPr>
          <w:rFonts w:cs="Times New Roman"/>
        </w:rPr>
        <w:t xml:space="preserve">The authors gratefully acknowledge World Vision International, Ghana, for granting access to relevant data, </w:t>
      </w:r>
      <w:proofErr w:type="gramStart"/>
      <w:r w:rsidRPr="003A346A">
        <w:rPr>
          <w:rFonts w:cs="Times New Roman"/>
        </w:rPr>
        <w:t>providing assistance</w:t>
      </w:r>
      <w:proofErr w:type="gramEnd"/>
      <w:r w:rsidRPr="003A346A">
        <w:rPr>
          <w:rFonts w:cs="Times New Roman"/>
        </w:rPr>
        <w:t xml:space="preserve"> during field activities, and making available selected historical records that supported this study.</w:t>
      </w:r>
    </w:p>
    <w:p w14:paraId="0D74E0A2" w14:textId="77777777" w:rsidR="00844783" w:rsidRDefault="00844783" w:rsidP="004860E9">
      <w:pPr>
        <w:spacing w:line="360" w:lineRule="auto"/>
      </w:pPr>
    </w:p>
    <w:p w14:paraId="3214AF05" w14:textId="3C38AB71" w:rsidR="000337A8" w:rsidRPr="000337A8" w:rsidRDefault="000337A8" w:rsidP="004860E9">
      <w:pPr>
        <w:spacing w:line="360" w:lineRule="auto"/>
        <w:rPr>
          <w:b/>
          <w:bCs/>
        </w:rPr>
      </w:pPr>
      <w:proofErr w:type="spellStart"/>
      <w:r w:rsidRPr="000337A8">
        <w:rPr>
          <w:b/>
          <w:bCs/>
        </w:rPr>
        <w:lastRenderedPageBreak/>
        <w:t>CRediT</w:t>
      </w:r>
      <w:proofErr w:type="spellEnd"/>
      <w:r w:rsidRPr="000337A8">
        <w:rPr>
          <w:b/>
          <w:bCs/>
        </w:rPr>
        <w:t xml:space="preserve"> </w:t>
      </w:r>
      <w:r>
        <w:rPr>
          <w:b/>
          <w:bCs/>
        </w:rPr>
        <w:t>A</w:t>
      </w:r>
      <w:r w:rsidRPr="000337A8">
        <w:rPr>
          <w:b/>
          <w:bCs/>
        </w:rPr>
        <w:t xml:space="preserve">uthor </w:t>
      </w:r>
      <w:r>
        <w:rPr>
          <w:b/>
          <w:bCs/>
        </w:rPr>
        <w:t>S</w:t>
      </w:r>
      <w:r w:rsidRPr="000337A8">
        <w:rPr>
          <w:b/>
          <w:bCs/>
        </w:rPr>
        <w:t>tatement</w:t>
      </w:r>
    </w:p>
    <w:p w14:paraId="37F909FD" w14:textId="6CCBEB14" w:rsidR="003A346A" w:rsidRPr="0058154F" w:rsidRDefault="003A346A" w:rsidP="007F6451">
      <w:pPr>
        <w:spacing w:after="0" w:line="480" w:lineRule="auto"/>
        <w:rPr>
          <w:rFonts w:cs="Times New Roman"/>
          <w:b/>
          <w:bCs/>
        </w:rPr>
      </w:pPr>
      <w:r>
        <w:rPr>
          <w:rFonts w:cs="Times New Roman"/>
          <w:b/>
          <w:bCs/>
        </w:rPr>
        <w:t>Dickson Abdul-Wahab</w:t>
      </w:r>
      <w:r w:rsidRPr="00432B64">
        <w:rPr>
          <w:rFonts w:cs="Times New Roman"/>
          <w:b/>
          <w:bCs/>
        </w:rPr>
        <w:t>:</w:t>
      </w:r>
      <w:r w:rsidRPr="00432B64">
        <w:rPr>
          <w:rFonts w:cs="Times New Roman"/>
        </w:rPr>
        <w:t> Conceptualization, Methodology, Investigation</w:t>
      </w:r>
      <w:r>
        <w:rPr>
          <w:rFonts w:cs="Times New Roman"/>
        </w:rPr>
        <w:t xml:space="preserve">, </w:t>
      </w:r>
      <w:r w:rsidRPr="00432B64">
        <w:rPr>
          <w:rFonts w:cs="Times New Roman"/>
        </w:rPr>
        <w:t>Writing- Original draft preparation</w:t>
      </w:r>
      <w:r>
        <w:rPr>
          <w:rFonts w:cs="Times New Roman"/>
        </w:rPr>
        <w:t xml:space="preserve">, </w:t>
      </w:r>
      <w:r w:rsidRPr="00432B64">
        <w:rPr>
          <w:rFonts w:cs="Times New Roman"/>
        </w:rPr>
        <w:t>Validation</w:t>
      </w:r>
      <w:r>
        <w:rPr>
          <w:rFonts w:cs="Times New Roman"/>
        </w:rPr>
        <w:t xml:space="preserve">, </w:t>
      </w:r>
      <w:r w:rsidRPr="00432B64">
        <w:rPr>
          <w:rFonts w:cs="Times New Roman"/>
        </w:rPr>
        <w:t>Visualization</w:t>
      </w:r>
      <w:r>
        <w:rPr>
          <w:rFonts w:cs="Times New Roman"/>
        </w:rPr>
        <w:t xml:space="preserve">, </w:t>
      </w:r>
      <w:r w:rsidRPr="00432B64">
        <w:rPr>
          <w:rFonts w:cs="Times New Roman"/>
        </w:rPr>
        <w:t>Writing- Reviewing and Editing</w:t>
      </w:r>
      <w:r>
        <w:rPr>
          <w:rFonts w:cs="Times New Roman"/>
        </w:rPr>
        <w:t xml:space="preserve">. </w:t>
      </w:r>
      <w:r>
        <w:rPr>
          <w:rFonts w:cs="Times New Roman"/>
          <w:b/>
        </w:rPr>
        <w:t xml:space="preserve">Emmanuel Daanoba </w:t>
      </w:r>
      <w:proofErr w:type="spellStart"/>
      <w:r>
        <w:rPr>
          <w:rFonts w:cs="Times New Roman"/>
          <w:b/>
        </w:rPr>
        <w:t>Sunkari</w:t>
      </w:r>
      <w:proofErr w:type="spellEnd"/>
      <w:r w:rsidRPr="00432B64">
        <w:rPr>
          <w:rFonts w:cs="Times New Roman"/>
          <w:b/>
        </w:rPr>
        <w:t>:</w:t>
      </w:r>
      <w:r>
        <w:rPr>
          <w:rFonts w:cs="Times New Roman"/>
        </w:rPr>
        <w:t xml:space="preserve"> </w:t>
      </w:r>
      <w:r w:rsidRPr="00432B64">
        <w:rPr>
          <w:rFonts w:cs="Times New Roman"/>
        </w:rPr>
        <w:t>Conceptualization, Methodology,</w:t>
      </w:r>
      <w:r>
        <w:rPr>
          <w:rFonts w:cs="Times New Roman"/>
        </w:rPr>
        <w:t xml:space="preserve"> </w:t>
      </w:r>
      <w:r w:rsidRPr="00432B64">
        <w:rPr>
          <w:rFonts w:cs="Times New Roman"/>
        </w:rPr>
        <w:t>Investigation</w:t>
      </w:r>
      <w:r>
        <w:rPr>
          <w:rFonts w:cs="Times New Roman"/>
        </w:rPr>
        <w:t xml:space="preserve">, Supervision, </w:t>
      </w:r>
      <w:r w:rsidRPr="00432B64">
        <w:rPr>
          <w:rFonts w:cs="Times New Roman"/>
        </w:rPr>
        <w:t>Writing- Original draft preparation</w:t>
      </w:r>
      <w:r>
        <w:rPr>
          <w:rFonts w:cs="Times New Roman"/>
        </w:rPr>
        <w:t xml:space="preserve">, </w:t>
      </w:r>
      <w:r w:rsidRPr="00432B64">
        <w:rPr>
          <w:rFonts w:cs="Times New Roman"/>
        </w:rPr>
        <w:t>Validation</w:t>
      </w:r>
      <w:r>
        <w:rPr>
          <w:rFonts w:cs="Times New Roman"/>
        </w:rPr>
        <w:t xml:space="preserve">, </w:t>
      </w:r>
      <w:r w:rsidRPr="00432B64">
        <w:rPr>
          <w:rFonts w:cs="Times New Roman"/>
        </w:rPr>
        <w:t>Writing- Reviewing and Editing</w:t>
      </w:r>
      <w:r>
        <w:rPr>
          <w:rFonts w:cs="Times New Roman"/>
        </w:rPr>
        <w:t xml:space="preserve">. </w:t>
      </w:r>
      <w:r>
        <w:rPr>
          <w:rFonts w:cs="Times New Roman"/>
          <w:b/>
        </w:rPr>
        <w:t xml:space="preserve">Celestina Akasi </w:t>
      </w:r>
      <w:proofErr w:type="spellStart"/>
      <w:r>
        <w:rPr>
          <w:rFonts w:cs="Times New Roman"/>
          <w:b/>
        </w:rPr>
        <w:t>Yalley</w:t>
      </w:r>
      <w:proofErr w:type="spellEnd"/>
      <w:r w:rsidRPr="00432B64">
        <w:rPr>
          <w:rFonts w:cs="Times New Roman"/>
          <w:b/>
        </w:rPr>
        <w:t>:</w:t>
      </w:r>
      <w:r>
        <w:rPr>
          <w:rFonts w:cs="Times New Roman"/>
          <w:b/>
        </w:rPr>
        <w:t xml:space="preserve"> </w:t>
      </w:r>
      <w:r w:rsidRPr="00432B64">
        <w:rPr>
          <w:rFonts w:cs="Times New Roman"/>
        </w:rPr>
        <w:t>Conceptualization, Methodology, Investigation</w:t>
      </w:r>
      <w:r>
        <w:rPr>
          <w:rFonts w:cs="Times New Roman"/>
        </w:rPr>
        <w:t xml:space="preserve">, </w:t>
      </w:r>
      <w:r w:rsidRPr="00432B64">
        <w:rPr>
          <w:rFonts w:cs="Times New Roman"/>
        </w:rPr>
        <w:t>Data curation</w:t>
      </w:r>
      <w:r>
        <w:rPr>
          <w:rFonts w:cs="Times New Roman"/>
        </w:rPr>
        <w:t xml:space="preserve">, </w:t>
      </w:r>
      <w:r w:rsidRPr="00432B64">
        <w:rPr>
          <w:rFonts w:cs="Times New Roman"/>
        </w:rPr>
        <w:t>Writing- Original draft preparation</w:t>
      </w:r>
      <w:r>
        <w:rPr>
          <w:rFonts w:cs="Times New Roman"/>
        </w:rPr>
        <w:t xml:space="preserve">, </w:t>
      </w:r>
      <w:r w:rsidRPr="00432B64">
        <w:rPr>
          <w:rFonts w:cs="Times New Roman"/>
        </w:rPr>
        <w:t>Writing- Reviewing and Editing</w:t>
      </w:r>
      <w:r>
        <w:rPr>
          <w:rFonts w:cs="Times New Roman"/>
        </w:rPr>
        <w:t xml:space="preserve">. </w:t>
      </w:r>
      <w:r w:rsidRPr="003A346A">
        <w:rPr>
          <w:rFonts w:cs="Times New Roman"/>
          <w:b/>
          <w:bCs/>
        </w:rPr>
        <w:t>Ebenezer Aquisman Asare</w:t>
      </w:r>
      <w:r>
        <w:rPr>
          <w:rFonts w:cs="Times New Roman"/>
          <w:b/>
          <w:bCs/>
        </w:rPr>
        <w:t xml:space="preserve">: </w:t>
      </w:r>
      <w:r w:rsidRPr="00432B64">
        <w:rPr>
          <w:rFonts w:cs="Times New Roman"/>
        </w:rPr>
        <w:t>Software</w:t>
      </w:r>
      <w:r>
        <w:rPr>
          <w:rFonts w:cs="Times New Roman"/>
        </w:rPr>
        <w:t xml:space="preserve">, </w:t>
      </w:r>
      <w:r w:rsidRPr="00432B64">
        <w:rPr>
          <w:rFonts w:cs="Times New Roman"/>
        </w:rPr>
        <w:t>Data curation</w:t>
      </w:r>
      <w:r>
        <w:rPr>
          <w:rFonts w:cs="Times New Roman"/>
        </w:rPr>
        <w:t xml:space="preserve">, </w:t>
      </w:r>
      <w:r w:rsidRPr="00432B64">
        <w:rPr>
          <w:rFonts w:cs="Times New Roman"/>
        </w:rPr>
        <w:t>Writing- Original draft preparation</w:t>
      </w:r>
      <w:r>
        <w:rPr>
          <w:rFonts w:cs="Times New Roman"/>
        </w:rPr>
        <w:t xml:space="preserve">, </w:t>
      </w:r>
      <w:r w:rsidRPr="00432B64">
        <w:rPr>
          <w:rFonts w:cs="Times New Roman"/>
        </w:rPr>
        <w:t>Visualization</w:t>
      </w:r>
      <w:r>
        <w:rPr>
          <w:rFonts w:cs="Times New Roman"/>
        </w:rPr>
        <w:t xml:space="preserve">, </w:t>
      </w:r>
      <w:r w:rsidRPr="00432B64">
        <w:rPr>
          <w:rFonts w:cs="Times New Roman"/>
        </w:rPr>
        <w:t>Writing- Reviewing and Editing</w:t>
      </w:r>
      <w:r>
        <w:rPr>
          <w:rFonts w:cs="Times New Roman"/>
        </w:rPr>
        <w:t xml:space="preserve">. </w:t>
      </w:r>
      <w:r w:rsidRPr="003A346A">
        <w:rPr>
          <w:rFonts w:cs="Times New Roman"/>
          <w:b/>
          <w:bCs/>
        </w:rPr>
        <w:t>Cynthia Laar</w:t>
      </w:r>
      <w:r w:rsidRPr="0058154F">
        <w:rPr>
          <w:rFonts w:cs="Times New Roman"/>
          <w:b/>
          <w:bCs/>
        </w:rPr>
        <w:t>:</w:t>
      </w:r>
      <w:r>
        <w:rPr>
          <w:rFonts w:cs="Times New Roman"/>
          <w:b/>
          <w:bCs/>
        </w:rPr>
        <w:t xml:space="preserve"> </w:t>
      </w:r>
      <w:r>
        <w:rPr>
          <w:rFonts w:cs="Times New Roman"/>
        </w:rPr>
        <w:t xml:space="preserve">Supervision, </w:t>
      </w:r>
      <w:r w:rsidRPr="00432B64">
        <w:rPr>
          <w:rFonts w:cs="Times New Roman"/>
        </w:rPr>
        <w:t>Writing- Original draft preparation</w:t>
      </w:r>
      <w:r>
        <w:rPr>
          <w:rFonts w:cs="Times New Roman"/>
        </w:rPr>
        <w:t xml:space="preserve">, </w:t>
      </w:r>
      <w:r w:rsidRPr="00432B64">
        <w:rPr>
          <w:rFonts w:cs="Times New Roman"/>
        </w:rPr>
        <w:t>Writing- Reviewing and Editing</w:t>
      </w:r>
      <w:r>
        <w:rPr>
          <w:rFonts w:cs="Times New Roman"/>
        </w:rPr>
        <w:t xml:space="preserve">. </w:t>
      </w:r>
      <w:r w:rsidRPr="003A346A">
        <w:rPr>
          <w:rFonts w:cs="Times New Roman"/>
          <w:b/>
          <w:bCs/>
        </w:rPr>
        <w:t>Tulika Chakrabarti</w:t>
      </w:r>
      <w:r w:rsidRPr="0058154F">
        <w:rPr>
          <w:rFonts w:cs="Times New Roman"/>
          <w:b/>
          <w:bCs/>
        </w:rPr>
        <w:t>:</w:t>
      </w:r>
      <w:r>
        <w:rPr>
          <w:rFonts w:cs="Times New Roman"/>
          <w:b/>
          <w:bCs/>
        </w:rPr>
        <w:t xml:space="preserve"> </w:t>
      </w:r>
      <w:r w:rsidRPr="00432B64">
        <w:rPr>
          <w:rFonts w:cs="Times New Roman"/>
        </w:rPr>
        <w:t>Writing- Original draft preparation</w:t>
      </w:r>
      <w:r>
        <w:rPr>
          <w:rFonts w:cs="Times New Roman"/>
        </w:rPr>
        <w:t xml:space="preserve">, </w:t>
      </w:r>
      <w:r w:rsidRPr="00432B64">
        <w:rPr>
          <w:rFonts w:cs="Times New Roman"/>
        </w:rPr>
        <w:t>Writing- Reviewing and Editing</w:t>
      </w:r>
      <w:r>
        <w:rPr>
          <w:rFonts w:cs="Times New Roman"/>
        </w:rPr>
        <w:t xml:space="preserve">. </w:t>
      </w:r>
      <w:r>
        <w:rPr>
          <w:rFonts w:cs="Times New Roman"/>
          <w:b/>
          <w:bCs/>
        </w:rPr>
        <w:t xml:space="preserve">Abayneh </w:t>
      </w:r>
      <w:proofErr w:type="spellStart"/>
      <w:r>
        <w:rPr>
          <w:rFonts w:cs="Times New Roman"/>
          <w:b/>
          <w:bCs/>
        </w:rPr>
        <w:t>Ataro</w:t>
      </w:r>
      <w:proofErr w:type="spellEnd"/>
      <w:r>
        <w:rPr>
          <w:rFonts w:cs="Times New Roman"/>
          <w:b/>
          <w:bCs/>
        </w:rPr>
        <w:t xml:space="preserve"> </w:t>
      </w:r>
      <w:proofErr w:type="spellStart"/>
      <w:r>
        <w:rPr>
          <w:rFonts w:cs="Times New Roman"/>
          <w:b/>
          <w:bCs/>
        </w:rPr>
        <w:t>Ambushe</w:t>
      </w:r>
      <w:proofErr w:type="spellEnd"/>
      <w:r w:rsidRPr="0058154F">
        <w:rPr>
          <w:rFonts w:cs="Times New Roman"/>
          <w:b/>
          <w:bCs/>
        </w:rPr>
        <w:t>:</w:t>
      </w:r>
      <w:r>
        <w:rPr>
          <w:rFonts w:cs="Times New Roman"/>
          <w:b/>
          <w:bCs/>
        </w:rPr>
        <w:t xml:space="preserve"> </w:t>
      </w:r>
      <w:r w:rsidRPr="00432B64">
        <w:rPr>
          <w:rFonts w:cs="Times New Roman"/>
        </w:rPr>
        <w:t>Writing- Reviewing and Editing</w:t>
      </w:r>
      <w:r>
        <w:rPr>
          <w:rFonts w:cs="Times New Roman"/>
        </w:rPr>
        <w:t>.</w:t>
      </w:r>
    </w:p>
    <w:p w14:paraId="5D10A927" w14:textId="77777777" w:rsidR="007F6451" w:rsidRDefault="007F6451" w:rsidP="007F6451">
      <w:pPr>
        <w:autoSpaceDE w:val="0"/>
        <w:autoSpaceDN w:val="0"/>
        <w:spacing w:after="0" w:line="360" w:lineRule="auto"/>
        <w:rPr>
          <w:rFonts w:eastAsia="Calibri" w:cs="Times New Roman"/>
          <w:b/>
          <w:bCs/>
          <w:color w:val="000000"/>
        </w:rPr>
      </w:pPr>
    </w:p>
    <w:p w14:paraId="1E45F199" w14:textId="16C6A0B9" w:rsidR="007F6451" w:rsidRPr="00F02005" w:rsidRDefault="007F6451" w:rsidP="007F6451">
      <w:pPr>
        <w:autoSpaceDE w:val="0"/>
        <w:autoSpaceDN w:val="0"/>
        <w:spacing w:after="0" w:line="360" w:lineRule="auto"/>
        <w:rPr>
          <w:rFonts w:eastAsia="Calibri" w:cs="Times New Roman"/>
          <w:b/>
          <w:bCs/>
          <w:color w:val="000000"/>
        </w:rPr>
      </w:pPr>
      <w:r w:rsidRPr="00F02005">
        <w:rPr>
          <w:rFonts w:eastAsia="Calibri" w:cs="Times New Roman"/>
          <w:b/>
          <w:bCs/>
          <w:color w:val="000000"/>
        </w:rPr>
        <w:t>Statements &amp; Declarations</w:t>
      </w:r>
    </w:p>
    <w:p w14:paraId="7C5231E0" w14:textId="77777777" w:rsidR="007F6451" w:rsidRPr="00F02005" w:rsidRDefault="007F6451" w:rsidP="007F6451">
      <w:pPr>
        <w:spacing w:after="120" w:line="360" w:lineRule="auto"/>
        <w:rPr>
          <w:rFonts w:eastAsia="Calibri" w:cs="Times New Roman"/>
        </w:rPr>
      </w:pPr>
      <w:r w:rsidRPr="00F02005">
        <w:rPr>
          <w:rFonts w:eastAsia="Calibri" w:cs="Times New Roman"/>
          <w:b/>
        </w:rPr>
        <w:t>Ethical Approval:</w:t>
      </w:r>
      <w:r w:rsidRPr="00F02005">
        <w:rPr>
          <w:rFonts w:eastAsia="Calibri" w:cs="Times New Roman"/>
        </w:rPr>
        <w:t xml:space="preserve"> </w:t>
      </w:r>
      <w:r w:rsidRPr="007F6451">
        <w:rPr>
          <w:rFonts w:eastAsia="Calibri" w:cs="Times New Roman"/>
          <w:color w:val="000000" w:themeColor="text1"/>
          <w:shd w:val="clear" w:color="auto" w:fill="FFFFFF" w:themeFill="background1"/>
        </w:rPr>
        <w:t>not applicable</w:t>
      </w:r>
    </w:p>
    <w:p w14:paraId="78506086" w14:textId="794E22AE" w:rsidR="007F6451" w:rsidRPr="00F02005" w:rsidRDefault="007F6451" w:rsidP="007F6451">
      <w:pPr>
        <w:spacing w:after="120" w:line="360" w:lineRule="auto"/>
        <w:rPr>
          <w:rFonts w:eastAsia="Calibri" w:cs="Times New Roman"/>
        </w:rPr>
      </w:pPr>
      <w:r w:rsidRPr="00F02005">
        <w:rPr>
          <w:rFonts w:eastAsia="Calibri" w:cs="Times New Roman"/>
          <w:b/>
          <w:bCs/>
        </w:rPr>
        <w:t>Sampling Permissions:</w:t>
      </w:r>
      <w:r w:rsidRPr="00F02005">
        <w:rPr>
          <w:rFonts w:eastAsia="Calibri" w:cs="Times New Roman"/>
        </w:rPr>
        <w:t xml:space="preserve"> </w:t>
      </w:r>
      <w:r w:rsidRPr="007F6451">
        <w:rPr>
          <w:rFonts w:eastAsia="Calibri" w:cs="Times New Roman"/>
        </w:rPr>
        <w:t xml:space="preserve">Groundwater samples were collected from active public boreholes constructed and maintained by World Vision International in the </w:t>
      </w:r>
      <w:proofErr w:type="spellStart"/>
      <w:r w:rsidRPr="007F6451">
        <w:rPr>
          <w:rFonts w:eastAsia="Calibri" w:cs="Times New Roman"/>
        </w:rPr>
        <w:t>Karaga</w:t>
      </w:r>
      <w:proofErr w:type="spellEnd"/>
      <w:r w:rsidRPr="007F6451">
        <w:rPr>
          <w:rFonts w:eastAsia="Calibri" w:cs="Times New Roman"/>
        </w:rPr>
        <w:t xml:space="preserve"> District of Northern Ghana. All boreholes sampled are publicly accessible and located outside restricted or privately owned land. As a result, no specific permissions from landowners were required for groundwater sample collection.</w:t>
      </w:r>
    </w:p>
    <w:p w14:paraId="3E93E226" w14:textId="77777777" w:rsidR="007F6451" w:rsidRPr="00F02005" w:rsidRDefault="007F6451" w:rsidP="007F6451">
      <w:pPr>
        <w:spacing w:after="0" w:line="360" w:lineRule="auto"/>
        <w:rPr>
          <w:rFonts w:eastAsia="Calibri" w:cs="Times New Roman"/>
        </w:rPr>
      </w:pPr>
      <w:r w:rsidRPr="00F02005">
        <w:rPr>
          <w:rFonts w:eastAsia="Calibri" w:cs="Times New Roman"/>
          <w:b/>
        </w:rPr>
        <w:t>Consent to Participate:</w:t>
      </w:r>
      <w:r w:rsidRPr="00F02005">
        <w:rPr>
          <w:rFonts w:eastAsia="Calibri" w:cs="Times New Roman"/>
        </w:rPr>
        <w:t xml:space="preserve"> not applicable</w:t>
      </w:r>
    </w:p>
    <w:p w14:paraId="4A57B42E" w14:textId="77777777" w:rsidR="007F6451" w:rsidRPr="00F02005" w:rsidRDefault="007F6451" w:rsidP="007F6451">
      <w:pPr>
        <w:spacing w:after="0" w:line="360" w:lineRule="auto"/>
        <w:rPr>
          <w:rFonts w:eastAsia="Calibri" w:cs="Times New Roman"/>
        </w:rPr>
      </w:pPr>
      <w:r w:rsidRPr="00F02005">
        <w:rPr>
          <w:rFonts w:eastAsia="Calibri" w:cs="Times New Roman"/>
          <w:b/>
        </w:rPr>
        <w:t xml:space="preserve">Consent to Publish: </w:t>
      </w:r>
      <w:r w:rsidRPr="00F02005">
        <w:rPr>
          <w:rFonts w:eastAsia="Calibri" w:cs="Times New Roman"/>
        </w:rPr>
        <w:t>not applicable</w:t>
      </w:r>
    </w:p>
    <w:p w14:paraId="21A82387" w14:textId="77777777" w:rsidR="007F6451" w:rsidRPr="00F02005" w:rsidRDefault="007F6451" w:rsidP="007F6451">
      <w:pPr>
        <w:autoSpaceDE w:val="0"/>
        <w:autoSpaceDN w:val="0"/>
        <w:spacing w:after="0" w:line="360" w:lineRule="auto"/>
        <w:rPr>
          <w:rFonts w:eastAsia="Calibri" w:cs="Times New Roman"/>
          <w:bCs/>
          <w:color w:val="000000"/>
        </w:rPr>
      </w:pPr>
      <w:r w:rsidRPr="00F02005">
        <w:rPr>
          <w:rFonts w:eastAsia="Calibri" w:cs="Times New Roman"/>
          <w:b/>
          <w:bCs/>
          <w:color w:val="000000"/>
        </w:rPr>
        <w:t xml:space="preserve">Funding: </w:t>
      </w:r>
      <w:r w:rsidRPr="00F02005">
        <w:rPr>
          <w:rFonts w:eastAsia="Calibri" w:cs="Times New Roman"/>
          <w:bCs/>
          <w:color w:val="000000"/>
        </w:rPr>
        <w:t>The authors declare that no funds, grants, or other support were received during the preparation of this manuscript.</w:t>
      </w:r>
    </w:p>
    <w:p w14:paraId="4A67AB37" w14:textId="77777777" w:rsidR="007F6451" w:rsidRPr="00F02005" w:rsidRDefault="007F6451" w:rsidP="007F6451">
      <w:pPr>
        <w:autoSpaceDE w:val="0"/>
        <w:autoSpaceDN w:val="0"/>
        <w:spacing w:after="0" w:line="360" w:lineRule="auto"/>
        <w:rPr>
          <w:rFonts w:eastAsia="Calibri" w:cs="Times New Roman"/>
          <w:bCs/>
          <w:color w:val="000000"/>
        </w:rPr>
      </w:pPr>
      <w:r w:rsidRPr="00F02005">
        <w:rPr>
          <w:rFonts w:eastAsia="Calibri" w:cs="Times New Roman"/>
          <w:b/>
          <w:bCs/>
          <w:color w:val="000000"/>
        </w:rPr>
        <w:t>Competing Interests:</w:t>
      </w:r>
      <w:r w:rsidRPr="00F02005">
        <w:rPr>
          <w:rFonts w:eastAsia="Calibri" w:cs="Times New Roman"/>
          <w:bCs/>
          <w:color w:val="000000"/>
        </w:rPr>
        <w:t xml:space="preserve"> </w:t>
      </w:r>
      <w:bookmarkStart w:id="40" w:name="_Hlk212285025"/>
      <w:r w:rsidRPr="00F02005">
        <w:rPr>
          <w:rFonts w:eastAsia="Calibri" w:cs="Times New Roman"/>
          <w:bCs/>
          <w:color w:val="000000"/>
        </w:rPr>
        <w:t xml:space="preserve">Emmanuel </w:t>
      </w:r>
      <w:proofErr w:type="spellStart"/>
      <w:r w:rsidRPr="00F02005">
        <w:rPr>
          <w:rFonts w:eastAsia="Calibri" w:cs="Times New Roman"/>
          <w:bCs/>
          <w:color w:val="000000"/>
        </w:rPr>
        <w:t>Daanoba</w:t>
      </w:r>
      <w:proofErr w:type="spellEnd"/>
      <w:r w:rsidRPr="00F02005">
        <w:rPr>
          <w:rFonts w:eastAsia="Calibri" w:cs="Times New Roman"/>
          <w:bCs/>
          <w:color w:val="000000"/>
        </w:rPr>
        <w:t xml:space="preserve"> </w:t>
      </w:r>
      <w:proofErr w:type="spellStart"/>
      <w:r w:rsidRPr="00F02005">
        <w:rPr>
          <w:rFonts w:eastAsia="Calibri" w:cs="Times New Roman"/>
          <w:bCs/>
          <w:color w:val="000000"/>
        </w:rPr>
        <w:t>Sunkari</w:t>
      </w:r>
      <w:proofErr w:type="spellEnd"/>
      <w:r w:rsidRPr="00F02005">
        <w:rPr>
          <w:rFonts w:eastAsia="Calibri" w:cs="Times New Roman"/>
          <w:bCs/>
          <w:color w:val="000000"/>
        </w:rPr>
        <w:t xml:space="preserve"> is an Editorial Board Member of Scientific Reports. The author declares that they were not involved in the editorial handling or decision-making process for this manuscript. Therefore, the authors have no relevant financial or non-financial interests to disclose.</w:t>
      </w:r>
    </w:p>
    <w:bookmarkEnd w:id="40"/>
    <w:p w14:paraId="0620272A" w14:textId="77777777" w:rsidR="007F6451" w:rsidRPr="00F02005" w:rsidRDefault="007F6451" w:rsidP="007F6451">
      <w:pPr>
        <w:autoSpaceDE w:val="0"/>
        <w:autoSpaceDN w:val="0"/>
        <w:spacing w:after="0" w:line="360" w:lineRule="auto"/>
        <w:rPr>
          <w:rFonts w:cs="Times New Roman"/>
          <w:color w:val="000000"/>
        </w:rPr>
      </w:pPr>
      <w:r w:rsidRPr="00F02005">
        <w:rPr>
          <w:rFonts w:eastAsia="Calibri" w:cs="Times New Roman"/>
          <w:b/>
          <w:color w:val="0D0D0D"/>
        </w:rPr>
        <w:lastRenderedPageBreak/>
        <w:t xml:space="preserve">Data Availability: </w:t>
      </w:r>
      <w:r w:rsidRPr="00F02005">
        <w:rPr>
          <w:rFonts w:eastAsia="Calibri" w:cs="Times New Roman"/>
          <w:color w:val="0D0D0D"/>
        </w:rPr>
        <w:t>The authors declare that the data supporting the findings of this study are available within the paper.</w:t>
      </w:r>
    </w:p>
    <w:p w14:paraId="1A8B22FE" w14:textId="77777777" w:rsidR="007F6451" w:rsidRPr="00F02005" w:rsidRDefault="007F6451" w:rsidP="007F6451">
      <w:pPr>
        <w:pStyle w:val="NormalWeb"/>
        <w:spacing w:line="360" w:lineRule="auto"/>
        <w:jc w:val="both"/>
      </w:pPr>
    </w:p>
    <w:p w14:paraId="048F289C" w14:textId="68011170" w:rsidR="003A346A" w:rsidRPr="0058154F" w:rsidRDefault="003A346A" w:rsidP="003A346A">
      <w:pPr>
        <w:spacing w:line="480" w:lineRule="auto"/>
        <w:rPr>
          <w:rFonts w:cs="Times New Roman"/>
          <w:b/>
          <w:bCs/>
        </w:rPr>
      </w:pPr>
    </w:p>
    <w:p w14:paraId="2E8BFDF8" w14:textId="77777777" w:rsidR="003A346A" w:rsidRPr="00381924" w:rsidRDefault="003A346A" w:rsidP="004860E9">
      <w:pPr>
        <w:spacing w:line="360" w:lineRule="auto"/>
      </w:pPr>
    </w:p>
    <w:p w14:paraId="282A945F" w14:textId="77777777" w:rsidR="00844783" w:rsidRPr="00381924" w:rsidRDefault="00844783" w:rsidP="004860E9">
      <w:pPr>
        <w:spacing w:line="360" w:lineRule="auto"/>
      </w:pPr>
    </w:p>
    <w:p w14:paraId="480FB6DB" w14:textId="77777777" w:rsidR="00844783" w:rsidRPr="00381924" w:rsidRDefault="00844783" w:rsidP="004860E9">
      <w:pPr>
        <w:spacing w:line="360" w:lineRule="auto"/>
      </w:pPr>
    </w:p>
    <w:p w14:paraId="7100F9E8" w14:textId="77777777" w:rsidR="00844783" w:rsidRDefault="00844783" w:rsidP="004860E9">
      <w:pPr>
        <w:spacing w:line="360" w:lineRule="auto"/>
      </w:pPr>
    </w:p>
    <w:p w14:paraId="1037C2DC" w14:textId="77777777" w:rsidR="00ED2DE4" w:rsidRDefault="00ED2DE4" w:rsidP="004860E9">
      <w:pPr>
        <w:spacing w:line="360" w:lineRule="auto"/>
      </w:pPr>
    </w:p>
    <w:p w14:paraId="387A7981" w14:textId="77777777" w:rsidR="00ED2DE4" w:rsidRDefault="00ED2DE4" w:rsidP="004860E9">
      <w:pPr>
        <w:spacing w:line="360" w:lineRule="auto"/>
      </w:pPr>
    </w:p>
    <w:p w14:paraId="7FC8B3C7" w14:textId="51A5DF7D" w:rsidR="001F3008" w:rsidRPr="00381924" w:rsidRDefault="001F3008" w:rsidP="004860E9">
      <w:pPr>
        <w:spacing w:line="360" w:lineRule="auto"/>
        <w:rPr>
          <w:b/>
          <w:bCs/>
        </w:rPr>
      </w:pPr>
      <w:r w:rsidRPr="00381924">
        <w:rPr>
          <w:b/>
          <w:bCs/>
        </w:rPr>
        <w:t>References</w:t>
      </w:r>
    </w:p>
    <w:p w14:paraId="393F39B1" w14:textId="1F44BA79" w:rsidR="00F03B99" w:rsidRPr="00F03B99" w:rsidRDefault="00001188" w:rsidP="00F03B99">
      <w:pPr>
        <w:widowControl w:val="0"/>
        <w:autoSpaceDE w:val="0"/>
        <w:autoSpaceDN w:val="0"/>
        <w:adjustRightInd w:val="0"/>
        <w:spacing w:line="360" w:lineRule="auto"/>
        <w:ind w:left="640" w:hanging="640"/>
        <w:rPr>
          <w:rFonts w:cs="Times New Roman"/>
          <w:noProof/>
        </w:rPr>
      </w:pPr>
      <w:r w:rsidRPr="00381924">
        <w:rPr>
          <w:b/>
          <w:bCs/>
        </w:rPr>
        <w:fldChar w:fldCharType="begin" w:fldLock="1"/>
      </w:r>
      <w:r w:rsidRPr="00381924">
        <w:rPr>
          <w:b/>
          <w:bCs/>
        </w:rPr>
        <w:instrText xml:space="preserve">ADDIN Mendeley Bibliography CSL_BIBLIOGRAPHY </w:instrText>
      </w:r>
      <w:r w:rsidRPr="00381924">
        <w:rPr>
          <w:b/>
          <w:bCs/>
        </w:rPr>
        <w:fldChar w:fldCharType="separate"/>
      </w:r>
      <w:r w:rsidR="00F03B99" w:rsidRPr="00F03B99">
        <w:rPr>
          <w:rFonts w:cs="Times New Roman"/>
          <w:noProof/>
        </w:rPr>
        <w:t>1.</w:t>
      </w:r>
      <w:r w:rsidR="00F03B99" w:rsidRPr="00F03B99">
        <w:rPr>
          <w:rFonts w:cs="Times New Roman"/>
          <w:noProof/>
        </w:rPr>
        <w:tab/>
        <w:t xml:space="preserve">Abanyie, S. K., Ampadu, B., Frimpong, N. A. &amp; Yahans Amuah, E. E. Impact of improved water supply on livelihood and health: Emphasis on Doba and Nayagnia, Ghana. </w:t>
      </w:r>
      <w:r w:rsidR="00F03B99" w:rsidRPr="00F03B99">
        <w:rPr>
          <w:rFonts w:cs="Times New Roman"/>
          <w:i/>
          <w:iCs/>
          <w:noProof/>
        </w:rPr>
        <w:t>Innov. Green Dev.</w:t>
      </w:r>
      <w:r w:rsidR="00F03B99" w:rsidRPr="00F03B99">
        <w:rPr>
          <w:rFonts w:cs="Times New Roman"/>
          <w:noProof/>
        </w:rPr>
        <w:t xml:space="preserve"> </w:t>
      </w:r>
      <w:r w:rsidR="00F03B99" w:rsidRPr="00F03B99">
        <w:rPr>
          <w:rFonts w:cs="Times New Roman"/>
          <w:b/>
          <w:bCs/>
          <w:noProof/>
        </w:rPr>
        <w:t>2</w:t>
      </w:r>
      <w:r w:rsidR="00F03B99" w:rsidRPr="00F03B99">
        <w:rPr>
          <w:rFonts w:cs="Times New Roman"/>
          <w:noProof/>
        </w:rPr>
        <w:t>, 100033 (2023).</w:t>
      </w:r>
    </w:p>
    <w:p w14:paraId="499515AA"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w:t>
      </w:r>
      <w:r w:rsidRPr="00F03B99">
        <w:rPr>
          <w:rFonts w:cs="Times New Roman"/>
          <w:noProof/>
        </w:rPr>
        <w:tab/>
        <w:t xml:space="preserve">Kwoyiga, L. &amp; Stefan, C. Groundwater development for dry season irrigation in North East Ghana: The place of local knowledge. </w:t>
      </w:r>
      <w:r w:rsidRPr="00F03B99">
        <w:rPr>
          <w:rFonts w:cs="Times New Roman"/>
          <w:i/>
          <w:iCs/>
          <w:noProof/>
        </w:rPr>
        <w:t>Water (Switzerland)</w:t>
      </w:r>
      <w:r w:rsidRPr="00F03B99">
        <w:rPr>
          <w:rFonts w:cs="Times New Roman"/>
          <w:noProof/>
        </w:rPr>
        <w:t xml:space="preserve"> </w:t>
      </w:r>
      <w:r w:rsidRPr="00F03B99">
        <w:rPr>
          <w:rFonts w:cs="Times New Roman"/>
          <w:b/>
          <w:bCs/>
          <w:noProof/>
        </w:rPr>
        <w:t>10</w:t>
      </w:r>
      <w:r w:rsidRPr="00F03B99">
        <w:rPr>
          <w:rFonts w:cs="Times New Roman"/>
          <w:noProof/>
        </w:rPr>
        <w:t>, (2018).</w:t>
      </w:r>
    </w:p>
    <w:p w14:paraId="776CF6D7"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w:t>
      </w:r>
      <w:r w:rsidRPr="00F03B99">
        <w:rPr>
          <w:rFonts w:cs="Times New Roman"/>
          <w:noProof/>
        </w:rPr>
        <w:tab/>
        <w:t xml:space="preserve">Araya, D., Podgorski, J., Kumi, M., Mainoo, P. A. &amp; Berg, M. Fluoride contamination of groundwater resources in Ghana: Country-wide hazard modeling and estimated population at risk. </w:t>
      </w:r>
      <w:r w:rsidRPr="00F03B99">
        <w:rPr>
          <w:rFonts w:cs="Times New Roman"/>
          <w:i/>
          <w:iCs/>
          <w:noProof/>
        </w:rPr>
        <w:t>Water Res.</w:t>
      </w:r>
      <w:r w:rsidRPr="00F03B99">
        <w:rPr>
          <w:rFonts w:cs="Times New Roman"/>
          <w:noProof/>
        </w:rPr>
        <w:t xml:space="preserve"> </w:t>
      </w:r>
      <w:r w:rsidRPr="00F03B99">
        <w:rPr>
          <w:rFonts w:cs="Times New Roman"/>
          <w:b/>
          <w:bCs/>
          <w:noProof/>
        </w:rPr>
        <w:t>212</w:t>
      </w:r>
      <w:r w:rsidRPr="00F03B99">
        <w:rPr>
          <w:rFonts w:cs="Times New Roman"/>
          <w:noProof/>
        </w:rPr>
        <w:t>, . [ (2022).</w:t>
      </w:r>
    </w:p>
    <w:p w14:paraId="2A469F60"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4.</w:t>
      </w:r>
      <w:r w:rsidRPr="00F03B99">
        <w:rPr>
          <w:rFonts w:cs="Times New Roman"/>
          <w:noProof/>
        </w:rPr>
        <w:tab/>
        <w:t xml:space="preserve">Chegbeleh, L. P., Akurugu, B. A. &amp; Yidana, S. M. Assessment of Groundwater Quality in the Talensi District, Northern Ghana. </w:t>
      </w:r>
      <w:r w:rsidRPr="00F03B99">
        <w:rPr>
          <w:rFonts w:cs="Times New Roman"/>
          <w:i/>
          <w:iCs/>
          <w:noProof/>
        </w:rPr>
        <w:t>Sci. World J.</w:t>
      </w:r>
      <w:r w:rsidRPr="00F03B99">
        <w:rPr>
          <w:rFonts w:cs="Times New Roman"/>
          <w:noProof/>
        </w:rPr>
        <w:t xml:space="preserve"> </w:t>
      </w:r>
      <w:r w:rsidRPr="00F03B99">
        <w:rPr>
          <w:rFonts w:cs="Times New Roman"/>
          <w:b/>
          <w:bCs/>
          <w:noProof/>
        </w:rPr>
        <w:t>2020</w:t>
      </w:r>
      <w:r w:rsidRPr="00F03B99">
        <w:rPr>
          <w:rFonts w:cs="Times New Roman"/>
          <w:noProof/>
        </w:rPr>
        <w:t>, . [ (2020).</w:t>
      </w:r>
    </w:p>
    <w:p w14:paraId="725CF6B8"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5.</w:t>
      </w:r>
      <w:r w:rsidRPr="00F03B99">
        <w:rPr>
          <w:rFonts w:cs="Times New Roman"/>
          <w:noProof/>
        </w:rPr>
        <w:tab/>
        <w:t xml:space="preserve">Sunkari, E. D. &amp; Ambushe, A. A. Groundwater fluoride contamination, sources, hotspots, health hazards, and sustainable containment measures: A systematic review of the Ghanaian context. </w:t>
      </w:r>
      <w:r w:rsidRPr="00F03B99">
        <w:rPr>
          <w:rFonts w:cs="Times New Roman"/>
          <w:i/>
          <w:iCs/>
          <w:noProof/>
        </w:rPr>
        <w:t>Groundw. Sustain. Dev.</w:t>
      </w:r>
      <w:r w:rsidRPr="00F03B99">
        <w:rPr>
          <w:rFonts w:cs="Times New Roman"/>
          <w:noProof/>
        </w:rPr>
        <w:t xml:space="preserve"> </w:t>
      </w:r>
      <w:r w:rsidRPr="00F03B99">
        <w:rPr>
          <w:rFonts w:cs="Times New Roman"/>
          <w:b/>
          <w:bCs/>
          <w:noProof/>
        </w:rPr>
        <w:t>27</w:t>
      </w:r>
      <w:r w:rsidRPr="00F03B99">
        <w:rPr>
          <w:rFonts w:cs="Times New Roman"/>
          <w:noProof/>
        </w:rPr>
        <w:t>, . [ (2024).</w:t>
      </w:r>
    </w:p>
    <w:p w14:paraId="7371F0AB"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lastRenderedPageBreak/>
        <w:t>6.</w:t>
      </w:r>
      <w:r w:rsidRPr="00F03B99">
        <w:rPr>
          <w:rFonts w:cs="Times New Roman"/>
          <w:noProof/>
        </w:rPr>
        <w:tab/>
        <w:t xml:space="preserve">Sunkari, E. D., Hudu, A., Fosu, S., Gyimah, E. &amp; Oppong, O. Hydrogeochemistry, sources, enrichment mechanism and human health risk assessment of groundwater fluoride in Saboba District in the Oti sub-basin of the Volta River Basin, northern Ghana. </w:t>
      </w:r>
      <w:r w:rsidRPr="00F03B99">
        <w:rPr>
          <w:rFonts w:cs="Times New Roman"/>
          <w:i/>
          <w:iCs/>
          <w:noProof/>
        </w:rPr>
        <w:t>Groundw. Sustain. Dev.</w:t>
      </w:r>
      <w:r w:rsidRPr="00F03B99">
        <w:rPr>
          <w:rFonts w:cs="Times New Roman"/>
          <w:noProof/>
        </w:rPr>
        <w:t xml:space="preserve"> </w:t>
      </w:r>
      <w:r w:rsidRPr="00F03B99">
        <w:rPr>
          <w:rFonts w:cs="Times New Roman"/>
          <w:b/>
          <w:bCs/>
          <w:noProof/>
        </w:rPr>
        <w:t>25</w:t>
      </w:r>
      <w:r w:rsidRPr="00F03B99">
        <w:rPr>
          <w:rFonts w:cs="Times New Roman"/>
          <w:noProof/>
        </w:rPr>
        <w:t>, . [ (2024).</w:t>
      </w:r>
    </w:p>
    <w:p w14:paraId="752ACBD3"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7.</w:t>
      </w:r>
      <w:r w:rsidRPr="00F03B99">
        <w:rPr>
          <w:rFonts w:cs="Times New Roman"/>
          <w:noProof/>
        </w:rPr>
        <w:tab/>
        <w:t xml:space="preserve">Ashong, G. W., Ababio, B. A., Kwaansa-Ansah, E. E., Koranteng, S. K. &amp; Muktar, G. D. H. Investigation of fluoride concentrations, water quality, and non-carcinogenic health risks of borehole water in bongo district, northern Ghana. </w:t>
      </w:r>
      <w:r w:rsidRPr="00F03B99">
        <w:rPr>
          <w:rFonts w:cs="Times New Roman"/>
          <w:i/>
          <w:iCs/>
          <w:noProof/>
        </w:rPr>
        <w:t>Heliyon</w:t>
      </w:r>
      <w:r w:rsidRPr="00F03B99">
        <w:rPr>
          <w:rFonts w:cs="Times New Roman"/>
          <w:noProof/>
        </w:rPr>
        <w:t xml:space="preserve"> </w:t>
      </w:r>
      <w:r w:rsidRPr="00F03B99">
        <w:rPr>
          <w:rFonts w:cs="Times New Roman"/>
          <w:b/>
          <w:bCs/>
          <w:noProof/>
        </w:rPr>
        <w:t>10</w:t>
      </w:r>
      <w:r w:rsidRPr="00F03B99">
        <w:rPr>
          <w:rFonts w:cs="Times New Roman"/>
          <w:noProof/>
        </w:rPr>
        <w:t>, ), e27554. [ (2024).</w:t>
      </w:r>
    </w:p>
    <w:p w14:paraId="05DA59AA"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8.</w:t>
      </w:r>
      <w:r w:rsidRPr="00F03B99">
        <w:rPr>
          <w:rFonts w:cs="Times New Roman"/>
          <w:noProof/>
        </w:rPr>
        <w:tab/>
        <w:t xml:space="preserve">Ganyaglo, S. Y. </w:t>
      </w:r>
      <w:r w:rsidRPr="00F03B99">
        <w:rPr>
          <w:rFonts w:cs="Times New Roman"/>
          <w:i/>
          <w:iCs/>
          <w:noProof/>
        </w:rPr>
        <w:t>et al.</w:t>
      </w:r>
      <w:r w:rsidRPr="00F03B99">
        <w:rPr>
          <w:rFonts w:cs="Times New Roman"/>
          <w:noProof/>
        </w:rPr>
        <w:t xml:space="preserve"> Groundwater fluoride contamination and probabilistic health risk assessment in fluoride endemic areas of the Upper East Region, Ghana. </w:t>
      </w:r>
      <w:r w:rsidRPr="00F03B99">
        <w:rPr>
          <w:rFonts w:cs="Times New Roman"/>
          <w:i/>
          <w:iCs/>
          <w:noProof/>
        </w:rPr>
        <w:t>Chemosphere</w:t>
      </w:r>
      <w:r w:rsidRPr="00F03B99">
        <w:rPr>
          <w:rFonts w:cs="Times New Roman"/>
          <w:noProof/>
        </w:rPr>
        <w:t xml:space="preserve"> </w:t>
      </w:r>
      <w:r w:rsidRPr="00F03B99">
        <w:rPr>
          <w:rFonts w:cs="Times New Roman"/>
          <w:b/>
          <w:bCs/>
          <w:noProof/>
        </w:rPr>
        <w:t>233</w:t>
      </w:r>
      <w:r w:rsidRPr="00F03B99">
        <w:rPr>
          <w:rFonts w:cs="Times New Roman"/>
          <w:noProof/>
        </w:rPr>
        <w:t>, 862–872 (2019).</w:t>
      </w:r>
    </w:p>
    <w:p w14:paraId="24AE738D"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9.</w:t>
      </w:r>
      <w:r w:rsidRPr="00F03B99">
        <w:rPr>
          <w:rFonts w:cs="Times New Roman"/>
          <w:noProof/>
        </w:rPr>
        <w:tab/>
        <w:t xml:space="preserve">Chidiac, S., El Najjar, P., Ouaini, N., El Rayess, Y. &amp; El Azzi, D. A comprehensive review of water quality indices (WQIs): history, models, attempts and perspectives. </w:t>
      </w:r>
      <w:r w:rsidRPr="00F03B99">
        <w:rPr>
          <w:rFonts w:cs="Times New Roman"/>
          <w:i/>
          <w:iCs/>
          <w:noProof/>
        </w:rPr>
        <w:t>Rev. Environ. Sci. Biotechnol.</w:t>
      </w:r>
      <w:r w:rsidRPr="00F03B99">
        <w:rPr>
          <w:rFonts w:cs="Times New Roman"/>
          <w:noProof/>
        </w:rPr>
        <w:t xml:space="preserve"> </w:t>
      </w:r>
      <w:r w:rsidRPr="00F03B99">
        <w:rPr>
          <w:rFonts w:cs="Times New Roman"/>
          <w:b/>
          <w:bCs/>
          <w:noProof/>
        </w:rPr>
        <w:t>22</w:t>
      </w:r>
      <w:r w:rsidRPr="00F03B99">
        <w:rPr>
          <w:rFonts w:cs="Times New Roman"/>
          <w:noProof/>
        </w:rPr>
        <w:t>, 349–395 (2023).</w:t>
      </w:r>
    </w:p>
    <w:p w14:paraId="5393A2D1"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10.</w:t>
      </w:r>
      <w:r w:rsidRPr="00F03B99">
        <w:rPr>
          <w:rFonts w:cs="Times New Roman"/>
          <w:noProof/>
        </w:rPr>
        <w:tab/>
        <w:t xml:space="preserve">Seifi, A., Dehghani, M. &amp; Singh, V. P. Uncertainty analysis of water quality index (WQI) for groundwater quality evaluation: Application of Monte-Carlo method for weight allocation. </w:t>
      </w:r>
      <w:r w:rsidRPr="00F03B99">
        <w:rPr>
          <w:rFonts w:cs="Times New Roman"/>
          <w:i/>
          <w:iCs/>
          <w:noProof/>
        </w:rPr>
        <w:t>Ecol. Indic.</w:t>
      </w:r>
      <w:r w:rsidRPr="00F03B99">
        <w:rPr>
          <w:rFonts w:cs="Times New Roman"/>
          <w:noProof/>
        </w:rPr>
        <w:t xml:space="preserve"> </w:t>
      </w:r>
      <w:r w:rsidRPr="00F03B99">
        <w:rPr>
          <w:rFonts w:cs="Times New Roman"/>
          <w:b/>
          <w:bCs/>
          <w:noProof/>
        </w:rPr>
        <w:t>117</w:t>
      </w:r>
      <w:r w:rsidRPr="00F03B99">
        <w:rPr>
          <w:rFonts w:cs="Times New Roman"/>
          <w:noProof/>
        </w:rPr>
        <w:t>, (2020).</w:t>
      </w:r>
    </w:p>
    <w:p w14:paraId="61DA0769"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11.</w:t>
      </w:r>
      <w:r w:rsidRPr="00F03B99">
        <w:rPr>
          <w:rFonts w:cs="Times New Roman"/>
          <w:noProof/>
        </w:rPr>
        <w:tab/>
        <w:t xml:space="preserve">Wang, X., Tian, Y. &amp; Liu, C. Assessment of groundwater quality in a highly urbanized coastal city using water quality index model and bayesian model averaging. </w:t>
      </w:r>
      <w:r w:rsidRPr="00F03B99">
        <w:rPr>
          <w:rFonts w:cs="Times New Roman"/>
          <w:i/>
          <w:iCs/>
          <w:noProof/>
        </w:rPr>
        <w:t>Front. Environ. Sci.</w:t>
      </w:r>
      <w:r w:rsidRPr="00F03B99">
        <w:rPr>
          <w:rFonts w:cs="Times New Roman"/>
          <w:noProof/>
        </w:rPr>
        <w:t xml:space="preserve"> </w:t>
      </w:r>
      <w:r w:rsidRPr="00F03B99">
        <w:rPr>
          <w:rFonts w:cs="Times New Roman"/>
          <w:b/>
          <w:bCs/>
          <w:noProof/>
        </w:rPr>
        <w:t>11</w:t>
      </w:r>
      <w:r w:rsidRPr="00F03B99">
        <w:rPr>
          <w:rFonts w:cs="Times New Roman"/>
          <w:noProof/>
        </w:rPr>
        <w:t>, . [ (2023).</w:t>
      </w:r>
    </w:p>
    <w:p w14:paraId="045B3F09"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12.</w:t>
      </w:r>
      <w:r w:rsidRPr="00F03B99">
        <w:rPr>
          <w:rFonts w:cs="Times New Roman"/>
          <w:noProof/>
        </w:rPr>
        <w:tab/>
        <w:t xml:space="preserve">Oh, J., Kim, K. H., Kim, H. R., Park, S. &amp; Yun, S. T. Using isometric log-ratio in compositional data analysis for developing a groundwater pollution index. </w:t>
      </w:r>
      <w:r w:rsidRPr="00F03B99">
        <w:rPr>
          <w:rFonts w:cs="Times New Roman"/>
          <w:i/>
          <w:iCs/>
          <w:noProof/>
        </w:rPr>
        <w:t>Sci. Rep.</w:t>
      </w:r>
      <w:r w:rsidRPr="00F03B99">
        <w:rPr>
          <w:rFonts w:cs="Times New Roman"/>
          <w:noProof/>
        </w:rPr>
        <w:t xml:space="preserve"> </w:t>
      </w:r>
      <w:r w:rsidRPr="00F03B99">
        <w:rPr>
          <w:rFonts w:cs="Times New Roman"/>
          <w:b/>
          <w:bCs/>
          <w:noProof/>
        </w:rPr>
        <w:t>14</w:t>
      </w:r>
      <w:r w:rsidRPr="00F03B99">
        <w:rPr>
          <w:rFonts w:cs="Times New Roman"/>
          <w:noProof/>
        </w:rPr>
        <w:t>, . [ (2024).</w:t>
      </w:r>
    </w:p>
    <w:p w14:paraId="3B8DE15C"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13.</w:t>
      </w:r>
      <w:r w:rsidRPr="00F03B99">
        <w:rPr>
          <w:rFonts w:cs="Times New Roman"/>
          <w:noProof/>
        </w:rPr>
        <w:tab/>
        <w:t xml:space="preserve">Shelton, J. L., Engle, M. A., Buccianti, A. &amp; Blondes, M. S. The isometric log-ratio (ilr)-ion plot: A proposed alternative to the Piper diagram. </w:t>
      </w:r>
      <w:r w:rsidRPr="00F03B99">
        <w:rPr>
          <w:rFonts w:cs="Times New Roman"/>
          <w:i/>
          <w:iCs/>
          <w:noProof/>
        </w:rPr>
        <w:t>J. Geochemical Explor.</w:t>
      </w:r>
      <w:r w:rsidRPr="00F03B99">
        <w:rPr>
          <w:rFonts w:cs="Times New Roman"/>
          <w:noProof/>
        </w:rPr>
        <w:t xml:space="preserve"> </w:t>
      </w:r>
      <w:r w:rsidRPr="00F03B99">
        <w:rPr>
          <w:rFonts w:cs="Times New Roman"/>
          <w:b/>
          <w:bCs/>
          <w:noProof/>
        </w:rPr>
        <w:t>190</w:t>
      </w:r>
      <w:r w:rsidRPr="00F03B99">
        <w:rPr>
          <w:rFonts w:cs="Times New Roman"/>
          <w:noProof/>
        </w:rPr>
        <w:t>, 130–141 (2018).</w:t>
      </w:r>
    </w:p>
    <w:p w14:paraId="4D0B5CE3"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14.</w:t>
      </w:r>
      <w:r w:rsidRPr="00F03B99">
        <w:rPr>
          <w:rFonts w:cs="Times New Roman"/>
          <w:noProof/>
        </w:rPr>
        <w:tab/>
        <w:t xml:space="preserve">Kaur, L., Rishi, M. S. &amp; Siddiqui, A. U. Deterministic and probabilistic health risk assessment techniques to evaluate non-carcinogenic human health risk (NHHR) due to fluoride and nitrate in groundwater of Panipat, Haryana, India. </w:t>
      </w:r>
      <w:r w:rsidRPr="00F03B99">
        <w:rPr>
          <w:rFonts w:cs="Times New Roman"/>
          <w:i/>
          <w:iCs/>
          <w:noProof/>
        </w:rPr>
        <w:t>Environ. Pollut.</w:t>
      </w:r>
      <w:r w:rsidRPr="00F03B99">
        <w:rPr>
          <w:rFonts w:cs="Times New Roman"/>
          <w:noProof/>
        </w:rPr>
        <w:t xml:space="preserve"> </w:t>
      </w:r>
      <w:r w:rsidRPr="00F03B99">
        <w:rPr>
          <w:rFonts w:cs="Times New Roman"/>
          <w:b/>
          <w:bCs/>
          <w:noProof/>
        </w:rPr>
        <w:t>259</w:t>
      </w:r>
      <w:r w:rsidRPr="00F03B99">
        <w:rPr>
          <w:rFonts w:cs="Times New Roman"/>
          <w:noProof/>
        </w:rPr>
        <w:t>, . [ (2020).</w:t>
      </w:r>
    </w:p>
    <w:p w14:paraId="47F761D5"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lastRenderedPageBreak/>
        <w:t>15.</w:t>
      </w:r>
      <w:r w:rsidRPr="00F03B99">
        <w:rPr>
          <w:rFonts w:cs="Times New Roman"/>
          <w:noProof/>
        </w:rPr>
        <w:tab/>
        <w:t xml:space="preserve">Gao, Y. </w:t>
      </w:r>
      <w:r w:rsidRPr="00F03B99">
        <w:rPr>
          <w:rFonts w:cs="Times New Roman"/>
          <w:i/>
          <w:iCs/>
          <w:noProof/>
        </w:rPr>
        <w:t>et al.</w:t>
      </w:r>
      <w:r w:rsidRPr="00F03B99">
        <w:rPr>
          <w:rFonts w:cs="Times New Roman"/>
          <w:noProof/>
        </w:rPr>
        <w:t xml:space="preserve"> Cumulative health risk assessment of multiple chemicals in groundwater based on deterministic and Monte Carlo models in a large semiarid basin. </w:t>
      </w:r>
      <w:r w:rsidRPr="00F03B99">
        <w:rPr>
          <w:rFonts w:cs="Times New Roman"/>
          <w:i/>
          <w:iCs/>
          <w:noProof/>
        </w:rPr>
        <w:t>J. Clean. Prod.</w:t>
      </w:r>
      <w:r w:rsidRPr="00F03B99">
        <w:rPr>
          <w:rFonts w:cs="Times New Roman"/>
          <w:noProof/>
        </w:rPr>
        <w:t xml:space="preserve"> </w:t>
      </w:r>
      <w:r w:rsidRPr="00F03B99">
        <w:rPr>
          <w:rFonts w:cs="Times New Roman"/>
          <w:b/>
          <w:bCs/>
          <w:noProof/>
        </w:rPr>
        <w:t>352</w:t>
      </w:r>
      <w:r w:rsidRPr="00F03B99">
        <w:rPr>
          <w:rFonts w:cs="Times New Roman"/>
          <w:noProof/>
        </w:rPr>
        <w:t>, (2022).</w:t>
      </w:r>
    </w:p>
    <w:p w14:paraId="7870FB65"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16.</w:t>
      </w:r>
      <w:r w:rsidRPr="00F03B99">
        <w:rPr>
          <w:rFonts w:cs="Times New Roman"/>
          <w:noProof/>
        </w:rPr>
        <w:tab/>
        <w:t xml:space="preserve">Ma, Z. </w:t>
      </w:r>
      <w:r w:rsidRPr="00F03B99">
        <w:rPr>
          <w:rFonts w:cs="Times New Roman"/>
          <w:i/>
          <w:iCs/>
          <w:noProof/>
        </w:rPr>
        <w:t>et al.</w:t>
      </w:r>
      <w:r w:rsidRPr="00F03B99">
        <w:rPr>
          <w:rFonts w:cs="Times New Roman"/>
          <w:noProof/>
        </w:rPr>
        <w:t xml:space="preserve"> Groundwater Health Risk Assessment Based on Monte Carlo Model Sensitivity Analysis of Cr and As—A Case Study of Yinchuan City. </w:t>
      </w:r>
      <w:r w:rsidRPr="00F03B99">
        <w:rPr>
          <w:rFonts w:cs="Times New Roman"/>
          <w:i/>
          <w:iCs/>
          <w:noProof/>
        </w:rPr>
        <w:t>Water (Switzerland)</w:t>
      </w:r>
      <w:r w:rsidRPr="00F03B99">
        <w:rPr>
          <w:rFonts w:cs="Times New Roman"/>
          <w:noProof/>
        </w:rPr>
        <w:t xml:space="preserve"> </w:t>
      </w:r>
      <w:r w:rsidRPr="00F03B99">
        <w:rPr>
          <w:rFonts w:cs="Times New Roman"/>
          <w:b/>
          <w:bCs/>
          <w:noProof/>
        </w:rPr>
        <w:t>14</w:t>
      </w:r>
      <w:r w:rsidRPr="00F03B99">
        <w:rPr>
          <w:rFonts w:cs="Times New Roman"/>
          <w:noProof/>
        </w:rPr>
        <w:t>, 2419 (2022).</w:t>
      </w:r>
    </w:p>
    <w:p w14:paraId="21695BC9"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17.</w:t>
      </w:r>
      <w:r w:rsidRPr="00F03B99">
        <w:rPr>
          <w:rFonts w:cs="Times New Roman"/>
          <w:noProof/>
        </w:rPr>
        <w:tab/>
        <w:t xml:space="preserve">Yan, J., Chen, J. &amp; Zhang, W. A new probabilistic assessment process for human health risk (HHR) in groundwater with extensive fluoride and nitrate optimized by non parametric estimation method. </w:t>
      </w:r>
      <w:r w:rsidRPr="00F03B99">
        <w:rPr>
          <w:rFonts w:cs="Times New Roman"/>
          <w:i/>
          <w:iCs/>
          <w:noProof/>
        </w:rPr>
        <w:t>Water Res.</w:t>
      </w:r>
      <w:r w:rsidRPr="00F03B99">
        <w:rPr>
          <w:rFonts w:cs="Times New Roman"/>
          <w:noProof/>
        </w:rPr>
        <w:t xml:space="preserve"> </w:t>
      </w:r>
      <w:r w:rsidRPr="00F03B99">
        <w:rPr>
          <w:rFonts w:cs="Times New Roman"/>
          <w:b/>
          <w:bCs/>
          <w:noProof/>
        </w:rPr>
        <w:t>243</w:t>
      </w:r>
      <w:r w:rsidRPr="00F03B99">
        <w:rPr>
          <w:rFonts w:cs="Times New Roman"/>
          <w:noProof/>
        </w:rPr>
        <w:t>, . [ (2023).</w:t>
      </w:r>
    </w:p>
    <w:p w14:paraId="61F2FEDE"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18.</w:t>
      </w:r>
      <w:r w:rsidRPr="00F03B99">
        <w:rPr>
          <w:rFonts w:cs="Times New Roman"/>
          <w:noProof/>
        </w:rPr>
        <w:tab/>
        <w:t xml:space="preserve">Yan, Y. </w:t>
      </w:r>
      <w:r w:rsidRPr="00F03B99">
        <w:rPr>
          <w:rFonts w:cs="Times New Roman"/>
          <w:i/>
          <w:iCs/>
          <w:noProof/>
        </w:rPr>
        <w:t>et al.</w:t>
      </w:r>
      <w:r w:rsidRPr="00F03B99">
        <w:rPr>
          <w:rFonts w:cs="Times New Roman"/>
          <w:noProof/>
        </w:rPr>
        <w:t xml:space="preserve"> Groundwater suitability assessment for irrigation and drinking purposes by integrating spatial analysis, machine learning, water quality index, and health risk model. </w:t>
      </w:r>
      <w:r w:rsidRPr="00F03B99">
        <w:rPr>
          <w:rFonts w:cs="Times New Roman"/>
          <w:i/>
          <w:iCs/>
          <w:noProof/>
        </w:rPr>
        <w:t>Environ. Sci. Pollut. Res.</w:t>
      </w:r>
      <w:r w:rsidRPr="00F03B99">
        <w:rPr>
          <w:rFonts w:cs="Times New Roman"/>
          <w:noProof/>
        </w:rPr>
        <w:t xml:space="preserve"> </w:t>
      </w:r>
      <w:r w:rsidRPr="00F03B99">
        <w:rPr>
          <w:rFonts w:cs="Times New Roman"/>
          <w:b/>
          <w:bCs/>
          <w:noProof/>
        </w:rPr>
        <w:t>31</w:t>
      </w:r>
      <w:r w:rsidRPr="00F03B99">
        <w:rPr>
          <w:rFonts w:cs="Times New Roman"/>
          <w:noProof/>
        </w:rPr>
        <w:t>, 39155–39176 (2024).</w:t>
      </w:r>
    </w:p>
    <w:p w14:paraId="4228641D"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19.</w:t>
      </w:r>
      <w:r w:rsidRPr="00F03B99">
        <w:rPr>
          <w:rFonts w:cs="Times New Roman"/>
          <w:noProof/>
        </w:rPr>
        <w:tab/>
        <w:t xml:space="preserve">Liu, L. </w:t>
      </w:r>
      <w:r w:rsidRPr="00F03B99">
        <w:rPr>
          <w:rFonts w:cs="Times New Roman"/>
          <w:i/>
          <w:iCs/>
          <w:noProof/>
        </w:rPr>
        <w:t>et al.</w:t>
      </w:r>
      <w:r w:rsidRPr="00F03B99">
        <w:rPr>
          <w:rFonts w:cs="Times New Roman"/>
          <w:noProof/>
        </w:rPr>
        <w:t xml:space="preserve"> Chemical Characteristics-Based Evolution of Groundwater in Tailan River Basin, Xinjiang, China. </w:t>
      </w:r>
      <w:r w:rsidRPr="00F03B99">
        <w:rPr>
          <w:rFonts w:cs="Times New Roman"/>
          <w:i/>
          <w:iCs/>
          <w:noProof/>
        </w:rPr>
        <w:t>Water (Switzerland)</w:t>
      </w:r>
      <w:r w:rsidRPr="00F03B99">
        <w:rPr>
          <w:rFonts w:cs="Times New Roman"/>
          <w:noProof/>
        </w:rPr>
        <w:t xml:space="preserve"> </w:t>
      </w:r>
      <w:r w:rsidRPr="00F03B99">
        <w:rPr>
          <w:rFonts w:cs="Times New Roman"/>
          <w:b/>
          <w:bCs/>
          <w:noProof/>
        </w:rPr>
        <w:t>15</w:t>
      </w:r>
      <w:r w:rsidRPr="00F03B99">
        <w:rPr>
          <w:rFonts w:cs="Times New Roman"/>
          <w:noProof/>
        </w:rPr>
        <w:t>, 3917 (2023).</w:t>
      </w:r>
    </w:p>
    <w:p w14:paraId="229581BB"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20.</w:t>
      </w:r>
      <w:r w:rsidRPr="00F03B99">
        <w:rPr>
          <w:rFonts w:cs="Times New Roman"/>
          <w:noProof/>
        </w:rPr>
        <w:tab/>
        <w:t xml:space="preserve">Jadoon, W. A., Zaheer, M., Tariq, A., Sajjad, R. U. &amp; Varol, M. Assessment of hydrochemical characteristics, health risks and quality of groundwater for drinking and irrigation purposes in a mountainous region of Pakistan. </w:t>
      </w:r>
      <w:r w:rsidRPr="00F03B99">
        <w:rPr>
          <w:rFonts w:cs="Times New Roman"/>
          <w:i/>
          <w:iCs/>
          <w:noProof/>
        </w:rPr>
        <w:t>Environ. Sci. Pollut. Res.</w:t>
      </w:r>
      <w:r w:rsidRPr="00F03B99">
        <w:rPr>
          <w:rFonts w:cs="Times New Roman"/>
          <w:noProof/>
        </w:rPr>
        <w:t xml:space="preserve"> </w:t>
      </w:r>
      <w:r w:rsidRPr="00F03B99">
        <w:rPr>
          <w:rFonts w:cs="Times New Roman"/>
          <w:b/>
          <w:bCs/>
          <w:noProof/>
        </w:rPr>
        <w:t>31</w:t>
      </w:r>
      <w:r w:rsidRPr="00F03B99">
        <w:rPr>
          <w:rFonts w:cs="Times New Roman"/>
          <w:noProof/>
        </w:rPr>
        <w:t>, 43967–43986 (2024).</w:t>
      </w:r>
    </w:p>
    <w:p w14:paraId="5C9EAA90"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21.</w:t>
      </w:r>
      <w:r w:rsidRPr="00F03B99">
        <w:rPr>
          <w:rFonts w:cs="Times New Roman"/>
          <w:noProof/>
        </w:rPr>
        <w:tab/>
        <w:t xml:space="preserve">Tan, M., Gao, Z. &amp; Jiang, B. Comprehensive Assessment of Groundwater Hydrochemistry, Driving Forces, Water Quality, and Associated Health Hazards in the Wen River Basin, Northern China. </w:t>
      </w:r>
      <w:r w:rsidRPr="00F03B99">
        <w:rPr>
          <w:rFonts w:cs="Times New Roman"/>
          <w:i/>
          <w:iCs/>
          <w:noProof/>
        </w:rPr>
        <w:t>Sustain.</w:t>
      </w:r>
      <w:r w:rsidRPr="00F03B99">
        <w:rPr>
          <w:rFonts w:cs="Times New Roman"/>
          <w:noProof/>
        </w:rPr>
        <w:t xml:space="preserve"> </w:t>
      </w:r>
      <w:r w:rsidRPr="00F03B99">
        <w:rPr>
          <w:rFonts w:cs="Times New Roman"/>
          <w:b/>
          <w:bCs/>
          <w:noProof/>
        </w:rPr>
        <w:t>16</w:t>
      </w:r>
      <w:r w:rsidRPr="00F03B99">
        <w:rPr>
          <w:rFonts w:cs="Times New Roman"/>
          <w:noProof/>
        </w:rPr>
        <w:t>, ), 10928. [ (2024).</w:t>
      </w:r>
    </w:p>
    <w:p w14:paraId="4E024907"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22.</w:t>
      </w:r>
      <w:r w:rsidRPr="00F03B99">
        <w:rPr>
          <w:rFonts w:cs="Times New Roman"/>
          <w:noProof/>
        </w:rPr>
        <w:tab/>
        <w:t xml:space="preserve">Rajendran, G., Rooby, J. &amp; Govindan, V. Influence of groundwater quality on human health and its suitability for drinking and irrigation uses: a review. </w:t>
      </w:r>
      <w:r w:rsidRPr="00F03B99">
        <w:rPr>
          <w:rFonts w:cs="Times New Roman"/>
          <w:i/>
          <w:iCs/>
          <w:noProof/>
        </w:rPr>
        <w:t>Int. J. Environ. Anal. Chem.</w:t>
      </w:r>
      <w:r w:rsidRPr="00F03B99">
        <w:rPr>
          <w:rFonts w:cs="Times New Roman"/>
          <w:noProof/>
        </w:rPr>
        <w:t xml:space="preserve"> </w:t>
      </w:r>
      <w:r w:rsidRPr="00F03B99">
        <w:rPr>
          <w:rFonts w:cs="Times New Roman"/>
          <w:b/>
          <w:bCs/>
          <w:noProof/>
        </w:rPr>
        <w:t>103</w:t>
      </w:r>
      <w:r w:rsidRPr="00F03B99">
        <w:rPr>
          <w:rFonts w:cs="Times New Roman"/>
          <w:noProof/>
        </w:rPr>
        <w:t>, 8110–8128 (2023).</w:t>
      </w:r>
    </w:p>
    <w:p w14:paraId="48B86EE7"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23.</w:t>
      </w:r>
      <w:r w:rsidRPr="00F03B99">
        <w:rPr>
          <w:rFonts w:cs="Times New Roman"/>
          <w:noProof/>
        </w:rPr>
        <w:tab/>
        <w:t xml:space="preserve">Li, X. </w:t>
      </w:r>
      <w:r w:rsidRPr="00F03B99">
        <w:rPr>
          <w:rFonts w:cs="Times New Roman"/>
          <w:i/>
          <w:iCs/>
          <w:noProof/>
        </w:rPr>
        <w:t>et al.</w:t>
      </w:r>
      <w:r w:rsidRPr="00F03B99">
        <w:rPr>
          <w:rFonts w:cs="Times New Roman"/>
          <w:noProof/>
        </w:rPr>
        <w:t xml:space="preserve"> Recent advances in groundwater pollution research using machine learning from 2000 to 2023: A bibliometric analysis. </w:t>
      </w:r>
      <w:r w:rsidRPr="00F03B99">
        <w:rPr>
          <w:rFonts w:cs="Times New Roman"/>
          <w:i/>
          <w:iCs/>
          <w:noProof/>
        </w:rPr>
        <w:t>Environ. Res.</w:t>
      </w:r>
      <w:r w:rsidRPr="00F03B99">
        <w:rPr>
          <w:rFonts w:cs="Times New Roman"/>
          <w:noProof/>
        </w:rPr>
        <w:t xml:space="preserve"> </w:t>
      </w:r>
      <w:r w:rsidRPr="00F03B99">
        <w:rPr>
          <w:rFonts w:cs="Times New Roman"/>
          <w:b/>
          <w:bCs/>
          <w:noProof/>
        </w:rPr>
        <w:t>267</w:t>
      </w:r>
      <w:r w:rsidRPr="00F03B99">
        <w:rPr>
          <w:rFonts w:cs="Times New Roman"/>
          <w:noProof/>
        </w:rPr>
        <w:t>, (2025).</w:t>
      </w:r>
    </w:p>
    <w:p w14:paraId="66837A31"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24.</w:t>
      </w:r>
      <w:r w:rsidRPr="00F03B99">
        <w:rPr>
          <w:rFonts w:cs="Times New Roman"/>
          <w:noProof/>
        </w:rPr>
        <w:tab/>
        <w:t xml:space="preserve">Aware, S., Zolekar, R. &amp; Kasar, S. Techniques and Indices for Groundwater Quality Assessment: A Comprehensive Review. </w:t>
      </w:r>
      <w:r w:rsidRPr="00F03B99">
        <w:rPr>
          <w:rFonts w:cs="Times New Roman"/>
          <w:i/>
          <w:iCs/>
          <w:noProof/>
        </w:rPr>
        <w:t>Hydrospatial Anal.</w:t>
      </w:r>
      <w:r w:rsidRPr="00F03B99">
        <w:rPr>
          <w:rFonts w:cs="Times New Roman"/>
          <w:noProof/>
        </w:rPr>
        <w:t xml:space="preserve"> </w:t>
      </w:r>
      <w:r w:rsidRPr="00F03B99">
        <w:rPr>
          <w:rFonts w:cs="Times New Roman"/>
          <w:b/>
          <w:bCs/>
          <w:noProof/>
        </w:rPr>
        <w:t>1</w:t>
      </w:r>
      <w:r w:rsidRPr="00F03B99">
        <w:rPr>
          <w:rFonts w:cs="Times New Roman"/>
          <w:noProof/>
        </w:rPr>
        <w:t xml:space="preserve">, 20 </w:t>
      </w:r>
      <w:r w:rsidRPr="00F03B99">
        <w:rPr>
          <w:rFonts w:cs="Times New Roman"/>
          <w:noProof/>
        </w:rPr>
        <w:lastRenderedPageBreak/>
        <w:t>(2025).</w:t>
      </w:r>
    </w:p>
    <w:p w14:paraId="5CF3A7AE"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25.</w:t>
      </w:r>
      <w:r w:rsidRPr="00F03B99">
        <w:rPr>
          <w:rFonts w:cs="Times New Roman"/>
          <w:noProof/>
        </w:rPr>
        <w:tab/>
        <w:t xml:space="preserve">An, Y., Zhang, Y. &amp; Yan, X. An Integrated Bayesian and Machine Learning Approach Application to Identification of Groundwater Contamination Source Parameters. </w:t>
      </w:r>
      <w:r w:rsidRPr="00F03B99">
        <w:rPr>
          <w:rFonts w:cs="Times New Roman"/>
          <w:i/>
          <w:iCs/>
          <w:noProof/>
        </w:rPr>
        <w:t>Water (Switzerland)</w:t>
      </w:r>
      <w:r w:rsidRPr="00F03B99">
        <w:rPr>
          <w:rFonts w:cs="Times New Roman"/>
          <w:noProof/>
        </w:rPr>
        <w:t xml:space="preserve"> </w:t>
      </w:r>
      <w:r w:rsidRPr="00F03B99">
        <w:rPr>
          <w:rFonts w:cs="Times New Roman"/>
          <w:b/>
          <w:bCs/>
          <w:noProof/>
        </w:rPr>
        <w:t>14</w:t>
      </w:r>
      <w:r w:rsidRPr="00F03B99">
        <w:rPr>
          <w:rFonts w:cs="Times New Roman"/>
          <w:noProof/>
        </w:rPr>
        <w:t>, ), 2447. [ (2022).</w:t>
      </w:r>
    </w:p>
    <w:p w14:paraId="0A749E0C"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26.</w:t>
      </w:r>
      <w:r w:rsidRPr="00F03B99">
        <w:rPr>
          <w:rFonts w:cs="Times New Roman"/>
          <w:noProof/>
        </w:rPr>
        <w:tab/>
        <w:t xml:space="preserve">Sunkari, E. D., Abdul-Wahab, D., Gutiérrez, M., Chakrabarti, P. &amp; Ambushe, A. A. Geochemical and machine learning approaches to groundwater fluoride prediction in Karaga District, Northern Ghana. </w:t>
      </w:r>
      <w:r w:rsidRPr="00F03B99">
        <w:rPr>
          <w:rFonts w:cs="Times New Roman"/>
          <w:i/>
          <w:iCs/>
          <w:noProof/>
        </w:rPr>
        <w:t>Sci. Rep.</w:t>
      </w:r>
      <w:r w:rsidRPr="00F03B99">
        <w:rPr>
          <w:rFonts w:cs="Times New Roman"/>
          <w:noProof/>
        </w:rPr>
        <w:t xml:space="preserve"> </w:t>
      </w:r>
      <w:r w:rsidRPr="00F03B99">
        <w:rPr>
          <w:rFonts w:cs="Times New Roman"/>
          <w:b/>
          <w:bCs/>
          <w:noProof/>
        </w:rPr>
        <w:t>16</w:t>
      </w:r>
      <w:r w:rsidRPr="00F03B99">
        <w:rPr>
          <w:rFonts w:cs="Times New Roman"/>
          <w:noProof/>
        </w:rPr>
        <w:t>, . [ (2026).</w:t>
      </w:r>
    </w:p>
    <w:p w14:paraId="36DFF20D"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27.</w:t>
      </w:r>
      <w:r w:rsidRPr="00F03B99">
        <w:rPr>
          <w:rFonts w:cs="Times New Roman"/>
          <w:noProof/>
        </w:rPr>
        <w:tab/>
        <w:t xml:space="preserve">Nicholson, S. E. The West African Sahel: A Review of Recent Studies on the Rainfall Regime and Its Interannual Variability. </w:t>
      </w:r>
      <w:r w:rsidRPr="00F03B99">
        <w:rPr>
          <w:rFonts w:cs="Times New Roman"/>
          <w:i/>
          <w:iCs/>
          <w:noProof/>
        </w:rPr>
        <w:t>ISRN Meteorol.</w:t>
      </w:r>
      <w:r w:rsidRPr="00F03B99">
        <w:rPr>
          <w:rFonts w:cs="Times New Roman"/>
          <w:noProof/>
        </w:rPr>
        <w:t xml:space="preserve"> </w:t>
      </w:r>
      <w:r w:rsidRPr="00F03B99">
        <w:rPr>
          <w:rFonts w:cs="Times New Roman"/>
          <w:b/>
          <w:bCs/>
          <w:noProof/>
        </w:rPr>
        <w:t>2013</w:t>
      </w:r>
      <w:r w:rsidRPr="00F03B99">
        <w:rPr>
          <w:rFonts w:cs="Times New Roman"/>
          <w:noProof/>
        </w:rPr>
        <w:t>, 1–32 (2013).</w:t>
      </w:r>
    </w:p>
    <w:p w14:paraId="48559F55"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28.</w:t>
      </w:r>
      <w:r w:rsidRPr="00F03B99">
        <w:rPr>
          <w:rFonts w:cs="Times New Roman"/>
          <w:noProof/>
        </w:rPr>
        <w:tab/>
        <w:t xml:space="preserve">Owusu, K. &amp; Waylen, P. Trends in spatio-temporal variability in annual rainfall in Ghana (1951-2000). </w:t>
      </w:r>
      <w:r w:rsidRPr="00F03B99">
        <w:rPr>
          <w:rFonts w:cs="Times New Roman"/>
          <w:i/>
          <w:iCs/>
          <w:noProof/>
        </w:rPr>
        <w:t>Weather</w:t>
      </w:r>
      <w:r w:rsidRPr="00F03B99">
        <w:rPr>
          <w:rFonts w:cs="Times New Roman"/>
          <w:noProof/>
        </w:rPr>
        <w:t xml:space="preserve"> </w:t>
      </w:r>
      <w:r w:rsidRPr="00F03B99">
        <w:rPr>
          <w:rFonts w:cs="Times New Roman"/>
          <w:b/>
          <w:bCs/>
          <w:noProof/>
        </w:rPr>
        <w:t>64</w:t>
      </w:r>
      <w:r w:rsidRPr="00F03B99">
        <w:rPr>
          <w:rFonts w:cs="Times New Roman"/>
          <w:noProof/>
        </w:rPr>
        <w:t>, 115–120 (2009).</w:t>
      </w:r>
    </w:p>
    <w:p w14:paraId="17CE6C14"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29.</w:t>
      </w:r>
      <w:r w:rsidRPr="00F03B99">
        <w:rPr>
          <w:rFonts w:cs="Times New Roman"/>
          <w:noProof/>
        </w:rPr>
        <w:tab/>
        <w:t xml:space="preserve">Yidana, S. M., Fynn, O. F., Chegbeleh, L. P., Loh, Y. &amp; Obeng, M. A. Analysis of recharge and groundwater flow in parts of a weathered aquifer system in Northern Ghana. </w:t>
      </w:r>
      <w:r w:rsidRPr="00F03B99">
        <w:rPr>
          <w:rFonts w:cs="Times New Roman"/>
          <w:i/>
          <w:iCs/>
          <w:noProof/>
        </w:rPr>
        <w:t>J. Appl. Water Eng. Res.</w:t>
      </w:r>
      <w:r w:rsidRPr="00F03B99">
        <w:rPr>
          <w:rFonts w:cs="Times New Roman"/>
          <w:noProof/>
        </w:rPr>
        <w:t xml:space="preserve"> </w:t>
      </w:r>
      <w:r w:rsidRPr="00F03B99">
        <w:rPr>
          <w:rFonts w:cs="Times New Roman"/>
          <w:b/>
          <w:bCs/>
          <w:noProof/>
        </w:rPr>
        <w:t>2</w:t>
      </w:r>
      <w:r w:rsidRPr="00F03B99">
        <w:rPr>
          <w:rFonts w:cs="Times New Roman"/>
          <w:noProof/>
        </w:rPr>
        <w:t>, 91–104 (2014).</w:t>
      </w:r>
    </w:p>
    <w:p w14:paraId="6514F9D4"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30.</w:t>
      </w:r>
      <w:r w:rsidRPr="00F03B99">
        <w:rPr>
          <w:rFonts w:cs="Times New Roman"/>
          <w:noProof/>
        </w:rPr>
        <w:tab/>
        <w:t xml:space="preserve">Aliou, A. S., Dzikunoo, E. A., Yidana, S. M., Loh, Y. &amp; Chegbeleh, L. P. Investigation of Geophysical Signatures for Successful Exploration of Groundwater in Highly Indurated Sedimentary Basins: A Look at the Nasia Basin, NE Ghana. </w:t>
      </w:r>
      <w:r w:rsidRPr="00F03B99">
        <w:rPr>
          <w:rFonts w:cs="Times New Roman"/>
          <w:i/>
          <w:iCs/>
          <w:noProof/>
        </w:rPr>
        <w:t>Nat. Resour. Res.</w:t>
      </w:r>
      <w:r w:rsidRPr="00F03B99">
        <w:rPr>
          <w:rFonts w:cs="Times New Roman"/>
          <w:noProof/>
        </w:rPr>
        <w:t xml:space="preserve"> </w:t>
      </w:r>
      <w:r w:rsidRPr="00F03B99">
        <w:rPr>
          <w:rFonts w:cs="Times New Roman"/>
          <w:b/>
          <w:bCs/>
          <w:noProof/>
        </w:rPr>
        <w:t>31</w:t>
      </w:r>
      <w:r w:rsidRPr="00F03B99">
        <w:rPr>
          <w:rFonts w:cs="Times New Roman"/>
          <w:noProof/>
        </w:rPr>
        <w:t>, 3223–3251 (2022).</w:t>
      </w:r>
    </w:p>
    <w:p w14:paraId="70C12D8D"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31.</w:t>
      </w:r>
      <w:r w:rsidRPr="00F03B99">
        <w:rPr>
          <w:rFonts w:cs="Times New Roman"/>
          <w:noProof/>
        </w:rPr>
        <w:tab/>
        <w:t xml:space="preserve">Aryan, Y., Pon, T., Panneerselvam, B. &amp; Dikshit, A. K. A comprehensive review of human health risks of arsenic and fluoride contamination of groundwater in the South Asia region. </w:t>
      </w:r>
      <w:r w:rsidRPr="00F03B99">
        <w:rPr>
          <w:rFonts w:cs="Times New Roman"/>
          <w:i/>
          <w:iCs/>
          <w:noProof/>
        </w:rPr>
        <w:t>J. Water Health</w:t>
      </w:r>
      <w:r w:rsidRPr="00F03B99">
        <w:rPr>
          <w:rFonts w:cs="Times New Roman"/>
          <w:noProof/>
        </w:rPr>
        <w:t xml:space="preserve"> </w:t>
      </w:r>
      <w:r w:rsidRPr="00F03B99">
        <w:rPr>
          <w:rFonts w:cs="Times New Roman"/>
          <w:b/>
          <w:bCs/>
          <w:noProof/>
        </w:rPr>
        <w:t>22</w:t>
      </w:r>
      <w:r w:rsidRPr="00F03B99">
        <w:rPr>
          <w:rFonts w:cs="Times New Roman"/>
          <w:noProof/>
        </w:rPr>
        <w:t>, 235–267 (2024).</w:t>
      </w:r>
    </w:p>
    <w:p w14:paraId="3DFD7DDF"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32.</w:t>
      </w:r>
      <w:r w:rsidRPr="00F03B99">
        <w:rPr>
          <w:rFonts w:cs="Times New Roman"/>
          <w:noProof/>
        </w:rPr>
        <w:tab/>
        <w:t xml:space="preserve">Sunkari, E. D., Iddrisu, R., Turkson, J., Okyere, M. B. &amp; Ambushe, A. A. Hydrogeochemical evaluation of groundwater evolution and quality in some Voltaian aquifers of Kintampo South District, Bono East Region, Ghana: Implications from chemometric analysis, geochemical modeling and geospatial mapping techniques. </w:t>
      </w:r>
      <w:r w:rsidRPr="00F03B99">
        <w:rPr>
          <w:rFonts w:cs="Times New Roman"/>
          <w:i/>
          <w:iCs/>
          <w:noProof/>
        </w:rPr>
        <w:t>HydroResearch</w:t>
      </w:r>
      <w:r w:rsidRPr="00F03B99">
        <w:rPr>
          <w:rFonts w:cs="Times New Roman"/>
          <w:noProof/>
        </w:rPr>
        <w:t xml:space="preserve"> </w:t>
      </w:r>
      <w:r w:rsidRPr="00F03B99">
        <w:rPr>
          <w:rFonts w:cs="Times New Roman"/>
          <w:b/>
          <w:bCs/>
          <w:noProof/>
        </w:rPr>
        <w:t>8</w:t>
      </w:r>
      <w:r w:rsidRPr="00F03B99">
        <w:rPr>
          <w:rFonts w:cs="Times New Roman"/>
          <w:noProof/>
        </w:rPr>
        <w:t>, 13–27 (2025).</w:t>
      </w:r>
    </w:p>
    <w:p w14:paraId="40D2B365"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33.</w:t>
      </w:r>
      <w:r w:rsidRPr="00F03B99">
        <w:rPr>
          <w:rFonts w:cs="Times New Roman"/>
          <w:noProof/>
        </w:rPr>
        <w:tab/>
        <w:t xml:space="preserve">Sunkari, E. D., Zeon, O. D., Asante-Annor, A., Nunoo, S. &amp; Ambushe, A. A. Geochemistry, enrichment mechanisms and geomedical assessment of </w:t>
      </w:r>
      <w:r w:rsidRPr="00F03B99">
        <w:rPr>
          <w:rFonts w:cs="Times New Roman"/>
          <w:noProof/>
        </w:rPr>
        <w:lastRenderedPageBreak/>
        <w:t xml:space="preserve">fluoridated groundwater in some parts of the largest semi-arid sedimentary basin in Ghana. </w:t>
      </w:r>
      <w:r w:rsidRPr="00F03B99">
        <w:rPr>
          <w:rFonts w:cs="Times New Roman"/>
          <w:i/>
          <w:iCs/>
          <w:noProof/>
        </w:rPr>
        <w:t>J. Geochemical Explor.</w:t>
      </w:r>
      <w:r w:rsidRPr="00F03B99">
        <w:rPr>
          <w:rFonts w:cs="Times New Roman"/>
          <w:noProof/>
        </w:rPr>
        <w:t xml:space="preserve"> </w:t>
      </w:r>
      <w:r w:rsidRPr="00F03B99">
        <w:rPr>
          <w:rFonts w:cs="Times New Roman"/>
          <w:b/>
          <w:bCs/>
          <w:noProof/>
        </w:rPr>
        <w:t>280</w:t>
      </w:r>
      <w:r w:rsidRPr="00F03B99">
        <w:rPr>
          <w:rFonts w:cs="Times New Roman"/>
          <w:noProof/>
        </w:rPr>
        <w:t>, . [ (2026).</w:t>
      </w:r>
    </w:p>
    <w:p w14:paraId="6E390C4B"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34.</w:t>
      </w:r>
      <w:r w:rsidRPr="00F03B99">
        <w:rPr>
          <w:rFonts w:cs="Times New Roman"/>
          <w:noProof/>
        </w:rPr>
        <w:tab/>
        <w:t xml:space="preserve">Chegbeleh, L. P., Aklika, D. K. &amp; Akurugu, B. A. Hydrochemical characterization and suitability assessment of groundwater quality in the saboba and chereponi districts, Ghana. </w:t>
      </w:r>
      <w:r w:rsidRPr="00F03B99">
        <w:rPr>
          <w:rFonts w:cs="Times New Roman"/>
          <w:i/>
          <w:iCs/>
          <w:noProof/>
        </w:rPr>
        <w:t>Hydrology</w:t>
      </w:r>
      <w:r w:rsidRPr="00F03B99">
        <w:rPr>
          <w:rFonts w:cs="Times New Roman"/>
          <w:noProof/>
        </w:rPr>
        <w:t xml:space="preserve"> </w:t>
      </w:r>
      <w:r w:rsidRPr="00F03B99">
        <w:rPr>
          <w:rFonts w:cs="Times New Roman"/>
          <w:b/>
          <w:bCs/>
          <w:noProof/>
        </w:rPr>
        <w:t>7</w:t>
      </w:r>
      <w:r w:rsidRPr="00F03B99">
        <w:rPr>
          <w:rFonts w:cs="Times New Roman"/>
          <w:noProof/>
        </w:rPr>
        <w:t>, 53 (2020).</w:t>
      </w:r>
    </w:p>
    <w:p w14:paraId="1D999AF3"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35.</w:t>
      </w:r>
      <w:r w:rsidRPr="00F03B99">
        <w:rPr>
          <w:rFonts w:cs="Times New Roman"/>
          <w:noProof/>
        </w:rPr>
        <w:tab/>
        <w:t xml:space="preserve">WHO/UNICEF. Drinking-water. </w:t>
      </w:r>
      <w:r w:rsidRPr="00F03B99">
        <w:rPr>
          <w:rFonts w:cs="Times New Roman"/>
          <w:i/>
          <w:iCs/>
          <w:noProof/>
        </w:rPr>
        <w:t>Newsroom</w:t>
      </w:r>
      <w:r w:rsidRPr="00F03B99">
        <w:rPr>
          <w:rFonts w:cs="Times New Roman"/>
          <w:noProof/>
        </w:rPr>
        <w:t xml:space="preserve"> (2019).</w:t>
      </w:r>
    </w:p>
    <w:p w14:paraId="28DA1FF0"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36.</w:t>
      </w:r>
      <w:r w:rsidRPr="00F03B99">
        <w:rPr>
          <w:rFonts w:cs="Times New Roman"/>
          <w:noProof/>
        </w:rPr>
        <w:tab/>
        <w:t>Asare, E. A. &amp; Abdul-Wahab, D. Neutrosophic Partial Least Squares (N-PLS). at https://doi.org/10.5281/zenodo.18131413 (2026).</w:t>
      </w:r>
    </w:p>
    <w:p w14:paraId="530814DA"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37.</w:t>
      </w:r>
      <w:r w:rsidRPr="00F03B99">
        <w:rPr>
          <w:rFonts w:cs="Times New Roman"/>
          <w:noProof/>
        </w:rPr>
        <w:tab/>
        <w:t xml:space="preserve">Piironen, J. &amp; Vehtari, A. Sparsity information and regularization in the horseshoe and other shrinkage priors. </w:t>
      </w:r>
      <w:r w:rsidRPr="00F03B99">
        <w:rPr>
          <w:rFonts w:cs="Times New Roman"/>
          <w:i/>
          <w:iCs/>
          <w:noProof/>
        </w:rPr>
        <w:t>Electron. J. Stat.</w:t>
      </w:r>
      <w:r w:rsidRPr="00F03B99">
        <w:rPr>
          <w:rFonts w:cs="Times New Roman"/>
          <w:noProof/>
        </w:rPr>
        <w:t xml:space="preserve"> </w:t>
      </w:r>
      <w:r w:rsidRPr="00F03B99">
        <w:rPr>
          <w:rFonts w:cs="Times New Roman"/>
          <w:b/>
          <w:bCs/>
          <w:noProof/>
        </w:rPr>
        <w:t>11</w:t>
      </w:r>
      <w:r w:rsidRPr="00F03B99">
        <w:rPr>
          <w:rFonts w:cs="Times New Roman"/>
          <w:noProof/>
        </w:rPr>
        <w:t>, 5018–5051 (2017).</w:t>
      </w:r>
    </w:p>
    <w:p w14:paraId="7814C0CA"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38.</w:t>
      </w:r>
      <w:r w:rsidRPr="00F03B99">
        <w:rPr>
          <w:rFonts w:cs="Times New Roman"/>
          <w:noProof/>
        </w:rPr>
        <w:tab/>
        <w:t xml:space="preserve">Wang, Y. </w:t>
      </w:r>
      <w:r w:rsidRPr="00F03B99">
        <w:rPr>
          <w:rFonts w:cs="Times New Roman"/>
          <w:i/>
          <w:iCs/>
          <w:noProof/>
        </w:rPr>
        <w:t>et al.</w:t>
      </w:r>
      <w:r w:rsidRPr="00F03B99">
        <w:rPr>
          <w:rFonts w:cs="Times New Roman"/>
          <w:noProof/>
        </w:rPr>
        <w:t xml:space="preserve"> Evaluation of Groundwater Quality for Drinking and Irrigation Purposes Using GIS-Based IWQI, EWQI and HHR Model. </w:t>
      </w:r>
      <w:r w:rsidRPr="00F03B99">
        <w:rPr>
          <w:rFonts w:cs="Times New Roman"/>
          <w:i/>
          <w:iCs/>
          <w:noProof/>
        </w:rPr>
        <w:t>Water (Switzerland)</w:t>
      </w:r>
      <w:r w:rsidRPr="00F03B99">
        <w:rPr>
          <w:rFonts w:cs="Times New Roman"/>
          <w:noProof/>
        </w:rPr>
        <w:t xml:space="preserve"> </w:t>
      </w:r>
      <w:r w:rsidRPr="00F03B99">
        <w:rPr>
          <w:rFonts w:cs="Times New Roman"/>
          <w:b/>
          <w:bCs/>
          <w:noProof/>
        </w:rPr>
        <w:t>15</w:t>
      </w:r>
      <w:r w:rsidRPr="00F03B99">
        <w:rPr>
          <w:rFonts w:cs="Times New Roman"/>
          <w:noProof/>
        </w:rPr>
        <w:t>, 2233 (2023).</w:t>
      </w:r>
    </w:p>
    <w:p w14:paraId="4F34FE2B" w14:textId="77777777" w:rsidR="00F03B99" w:rsidRPr="00F03B99" w:rsidRDefault="00F03B99" w:rsidP="00F03B99">
      <w:pPr>
        <w:widowControl w:val="0"/>
        <w:autoSpaceDE w:val="0"/>
        <w:autoSpaceDN w:val="0"/>
        <w:adjustRightInd w:val="0"/>
        <w:spacing w:line="360" w:lineRule="auto"/>
        <w:ind w:left="640" w:hanging="640"/>
        <w:rPr>
          <w:rFonts w:cs="Times New Roman"/>
          <w:noProof/>
        </w:rPr>
      </w:pPr>
      <w:r w:rsidRPr="00F03B99">
        <w:rPr>
          <w:rFonts w:cs="Times New Roman"/>
          <w:noProof/>
        </w:rPr>
        <w:t>39.</w:t>
      </w:r>
      <w:r w:rsidRPr="00F03B99">
        <w:rPr>
          <w:rFonts w:cs="Times New Roman"/>
          <w:noProof/>
        </w:rPr>
        <w:tab/>
        <w:t xml:space="preserve">Gorgij, A. D. &amp; Moayeri, M. M. Proposing a novel method for the irrigation water quality assessment, using entropy weighted method, entitled: “EIWQI”. </w:t>
      </w:r>
      <w:r w:rsidRPr="00F03B99">
        <w:rPr>
          <w:rFonts w:cs="Times New Roman"/>
          <w:i/>
          <w:iCs/>
          <w:noProof/>
        </w:rPr>
        <w:t>Environ. Earth Sci.</w:t>
      </w:r>
      <w:r w:rsidRPr="00F03B99">
        <w:rPr>
          <w:rFonts w:cs="Times New Roman"/>
          <w:noProof/>
        </w:rPr>
        <w:t xml:space="preserve"> </w:t>
      </w:r>
      <w:r w:rsidRPr="00F03B99">
        <w:rPr>
          <w:rFonts w:cs="Times New Roman"/>
          <w:b/>
          <w:bCs/>
          <w:noProof/>
        </w:rPr>
        <w:t>82</w:t>
      </w:r>
      <w:r w:rsidRPr="00F03B99">
        <w:rPr>
          <w:rFonts w:cs="Times New Roman"/>
          <w:noProof/>
        </w:rPr>
        <w:t>, (2023).</w:t>
      </w:r>
    </w:p>
    <w:p w14:paraId="7FF9585F" w14:textId="3E34E451" w:rsidR="001F607B" w:rsidRDefault="00001188" w:rsidP="009622BA">
      <w:pPr>
        <w:widowControl w:val="0"/>
        <w:autoSpaceDE w:val="0"/>
        <w:autoSpaceDN w:val="0"/>
        <w:adjustRightInd w:val="0"/>
        <w:spacing w:line="360" w:lineRule="auto"/>
        <w:ind w:left="480" w:hanging="480"/>
        <w:rPr>
          <w:b/>
          <w:bCs/>
        </w:rPr>
      </w:pPr>
      <w:r w:rsidRPr="00381924">
        <w:rPr>
          <w:b/>
          <w:bCs/>
        </w:rPr>
        <w:fldChar w:fldCharType="end"/>
      </w:r>
      <w:bookmarkEnd w:id="39"/>
    </w:p>
    <w:p w14:paraId="27CC7A99" w14:textId="77777777" w:rsidR="00ED2DE4" w:rsidRDefault="00ED2DE4" w:rsidP="00ED2DE4">
      <w:pPr>
        <w:spacing w:after="0"/>
      </w:pPr>
      <w:bookmarkStart w:id="41" w:name="table-1.-descriptive-statistics"/>
    </w:p>
    <w:p w14:paraId="4E34147B" w14:textId="77777777" w:rsidR="00ED2DE4" w:rsidRDefault="00ED2DE4" w:rsidP="00ED2DE4">
      <w:pPr>
        <w:spacing w:after="0"/>
      </w:pPr>
    </w:p>
    <w:p w14:paraId="0DAF456B" w14:textId="77777777" w:rsidR="00ED2DE4" w:rsidRDefault="00ED2DE4" w:rsidP="00ED2DE4">
      <w:pPr>
        <w:spacing w:after="0"/>
      </w:pPr>
    </w:p>
    <w:p w14:paraId="3800233B" w14:textId="77777777" w:rsidR="00ED2DE4" w:rsidRDefault="00ED2DE4" w:rsidP="00ED2DE4">
      <w:pPr>
        <w:spacing w:after="0"/>
      </w:pPr>
    </w:p>
    <w:p w14:paraId="0912D97D" w14:textId="77777777" w:rsidR="00ED2DE4" w:rsidRDefault="00ED2DE4" w:rsidP="00ED2DE4">
      <w:pPr>
        <w:spacing w:after="0"/>
      </w:pPr>
    </w:p>
    <w:p w14:paraId="131FB3EC" w14:textId="77777777" w:rsidR="00ED2DE4" w:rsidRDefault="00ED2DE4" w:rsidP="00ED2DE4">
      <w:pPr>
        <w:spacing w:after="0"/>
      </w:pPr>
    </w:p>
    <w:p w14:paraId="1657FE93" w14:textId="77777777" w:rsidR="00ED2DE4" w:rsidRDefault="00ED2DE4" w:rsidP="00ED2DE4">
      <w:pPr>
        <w:spacing w:after="0"/>
      </w:pPr>
    </w:p>
    <w:p w14:paraId="263A78EA" w14:textId="77777777" w:rsidR="00ED2DE4" w:rsidRDefault="00ED2DE4" w:rsidP="00ED2DE4">
      <w:pPr>
        <w:spacing w:after="0"/>
      </w:pPr>
    </w:p>
    <w:p w14:paraId="4D1F8408" w14:textId="77777777" w:rsidR="00ED2DE4" w:rsidRDefault="00ED2DE4" w:rsidP="00ED2DE4">
      <w:pPr>
        <w:spacing w:after="0"/>
      </w:pPr>
    </w:p>
    <w:p w14:paraId="39274D6A" w14:textId="77777777" w:rsidR="00ED2DE4" w:rsidRDefault="00ED2DE4" w:rsidP="00ED2DE4">
      <w:pPr>
        <w:spacing w:after="0"/>
      </w:pPr>
    </w:p>
    <w:p w14:paraId="0CEAE2BE" w14:textId="77777777" w:rsidR="00ED2DE4" w:rsidRDefault="00ED2DE4" w:rsidP="00ED2DE4">
      <w:pPr>
        <w:spacing w:after="0"/>
      </w:pPr>
    </w:p>
    <w:p w14:paraId="42FBF5FD" w14:textId="77777777" w:rsidR="00ED2DE4" w:rsidRDefault="00ED2DE4" w:rsidP="00ED2DE4">
      <w:pPr>
        <w:spacing w:after="0"/>
      </w:pPr>
    </w:p>
    <w:p w14:paraId="6BAE3204" w14:textId="77777777" w:rsidR="00ED2DE4" w:rsidRDefault="00ED2DE4" w:rsidP="00ED2DE4">
      <w:pPr>
        <w:spacing w:after="0"/>
      </w:pPr>
    </w:p>
    <w:p w14:paraId="7C8AA2B9" w14:textId="77777777" w:rsidR="00ED2DE4" w:rsidRDefault="00ED2DE4" w:rsidP="00ED2DE4">
      <w:pPr>
        <w:spacing w:after="0"/>
      </w:pPr>
    </w:p>
    <w:p w14:paraId="6730096D" w14:textId="77777777" w:rsidR="00ED2DE4" w:rsidRDefault="00ED2DE4" w:rsidP="00ED2DE4">
      <w:pPr>
        <w:spacing w:after="0"/>
      </w:pPr>
    </w:p>
    <w:p w14:paraId="5797933E" w14:textId="77777777" w:rsidR="00ED2DE4" w:rsidRDefault="00ED2DE4" w:rsidP="00ED2DE4">
      <w:pPr>
        <w:spacing w:after="0"/>
      </w:pPr>
    </w:p>
    <w:p w14:paraId="4257306C" w14:textId="77777777" w:rsidR="00ED2DE4" w:rsidRDefault="00ED2DE4" w:rsidP="00ED2DE4">
      <w:pPr>
        <w:spacing w:after="0"/>
      </w:pPr>
    </w:p>
    <w:p w14:paraId="09183228" w14:textId="77777777" w:rsidR="00ED2DE4" w:rsidRDefault="00ED2DE4" w:rsidP="00ED2DE4">
      <w:pPr>
        <w:spacing w:after="0"/>
      </w:pPr>
    </w:p>
    <w:p w14:paraId="4EE7E476" w14:textId="77777777" w:rsidR="00ED2DE4" w:rsidRDefault="00ED2DE4" w:rsidP="00ED2DE4">
      <w:pPr>
        <w:spacing w:after="0"/>
      </w:pPr>
    </w:p>
    <w:p w14:paraId="16CA7332" w14:textId="77777777" w:rsidR="00095B9E" w:rsidRDefault="00095B9E" w:rsidP="00ED2DE4">
      <w:pPr>
        <w:spacing w:after="0"/>
        <w:sectPr w:rsidR="00095B9E" w:rsidSect="00ED2DE4">
          <w:pgSz w:w="11906" w:h="16838"/>
          <w:pgMar w:top="1440" w:right="1800" w:bottom="1440" w:left="1800" w:header="708" w:footer="708" w:gutter="0"/>
          <w:lnNumType w:countBy="1" w:restart="continuous"/>
          <w:cols w:space="708"/>
          <w:docGrid w:linePitch="360"/>
        </w:sectPr>
      </w:pPr>
    </w:p>
    <w:p w14:paraId="46123671" w14:textId="77C94ABD" w:rsidR="00ED2DE4" w:rsidRPr="00E45C91" w:rsidRDefault="00ED2DE4" w:rsidP="00ED2DE4">
      <w:pPr>
        <w:spacing w:after="0" w:line="360" w:lineRule="auto"/>
      </w:pPr>
      <w:r>
        <w:lastRenderedPageBreak/>
        <w:t xml:space="preserve">Table </w:t>
      </w:r>
      <w:r w:rsidRPr="00E45C91">
        <w:t>1</w:t>
      </w:r>
      <w:r>
        <w:t xml:space="preserve">. </w:t>
      </w:r>
      <w:r w:rsidRPr="00E45C91">
        <w:t xml:space="preserve">Descriptive statistics for field parameters and major ions in the 34 sampled groundwater sources. </w:t>
      </w:r>
    </w:p>
    <w:tbl>
      <w:tblPr>
        <w:tblStyle w:val="Manu"/>
        <w:tblW w:w="9444" w:type="dxa"/>
        <w:tblLook w:val="04A0" w:firstRow="1" w:lastRow="0" w:firstColumn="1" w:lastColumn="0" w:noHBand="0" w:noVBand="1"/>
      </w:tblPr>
      <w:tblGrid>
        <w:gridCol w:w="2129"/>
        <w:gridCol w:w="867"/>
        <w:gridCol w:w="1012"/>
        <w:gridCol w:w="1012"/>
        <w:gridCol w:w="868"/>
        <w:gridCol w:w="931"/>
        <w:gridCol w:w="889"/>
        <w:gridCol w:w="868"/>
        <w:gridCol w:w="868"/>
      </w:tblGrid>
      <w:tr w:rsidR="00ED2DE4" w:rsidRPr="00E11209" w14:paraId="4489219F"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2129" w:type="dxa"/>
            <w:noWrap/>
            <w:hideMark/>
          </w:tcPr>
          <w:p w14:paraId="43BF694A" w14:textId="77777777" w:rsidR="00ED2DE4" w:rsidRPr="00E11209" w:rsidRDefault="00ED2DE4" w:rsidP="001F4D09">
            <w:pPr>
              <w:jc w:val="left"/>
              <w:rPr>
                <w:rFonts w:eastAsia="Times New Roman" w:cs="Times New Roman"/>
                <w:i/>
                <w:iCs/>
                <w:color w:val="000000"/>
                <w:lang w:eastAsia="en-GB"/>
              </w:rPr>
            </w:pPr>
            <w:bookmarkStart w:id="42" w:name="table-2.-whogsa-compliance"/>
            <w:bookmarkEnd w:id="41"/>
            <w:r w:rsidRPr="00E11209">
              <w:rPr>
                <w:rFonts w:eastAsia="Times New Roman" w:cs="Times New Roman"/>
                <w:iCs/>
                <w:color w:val="000000"/>
                <w:lang w:eastAsia="en-GB"/>
              </w:rPr>
              <w:t>Parameter</w:t>
            </w:r>
          </w:p>
        </w:tc>
        <w:tc>
          <w:tcPr>
            <w:tcW w:w="867" w:type="dxa"/>
            <w:noWrap/>
            <w:hideMark/>
          </w:tcPr>
          <w:p w14:paraId="2137065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Count</w:t>
            </w:r>
          </w:p>
        </w:tc>
        <w:tc>
          <w:tcPr>
            <w:tcW w:w="1012" w:type="dxa"/>
            <w:noWrap/>
            <w:hideMark/>
          </w:tcPr>
          <w:p w14:paraId="56FBE66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Mean</w:t>
            </w:r>
          </w:p>
        </w:tc>
        <w:tc>
          <w:tcPr>
            <w:tcW w:w="1012" w:type="dxa"/>
            <w:noWrap/>
            <w:hideMark/>
          </w:tcPr>
          <w:p w14:paraId="18C2648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Std</w:t>
            </w:r>
          </w:p>
        </w:tc>
        <w:tc>
          <w:tcPr>
            <w:tcW w:w="868" w:type="dxa"/>
            <w:noWrap/>
            <w:hideMark/>
          </w:tcPr>
          <w:p w14:paraId="7497F6A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Min</w:t>
            </w:r>
          </w:p>
        </w:tc>
        <w:tc>
          <w:tcPr>
            <w:tcW w:w="931" w:type="dxa"/>
            <w:noWrap/>
            <w:hideMark/>
          </w:tcPr>
          <w:p w14:paraId="04DE0318"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Q1</w:t>
            </w:r>
          </w:p>
        </w:tc>
        <w:tc>
          <w:tcPr>
            <w:tcW w:w="889" w:type="dxa"/>
            <w:noWrap/>
            <w:hideMark/>
          </w:tcPr>
          <w:p w14:paraId="5429599A"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Median</w:t>
            </w:r>
          </w:p>
        </w:tc>
        <w:tc>
          <w:tcPr>
            <w:tcW w:w="868" w:type="dxa"/>
            <w:noWrap/>
            <w:hideMark/>
          </w:tcPr>
          <w:p w14:paraId="515F576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Q3</w:t>
            </w:r>
          </w:p>
        </w:tc>
        <w:tc>
          <w:tcPr>
            <w:tcW w:w="868" w:type="dxa"/>
            <w:noWrap/>
            <w:hideMark/>
          </w:tcPr>
          <w:p w14:paraId="51A8672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Max</w:t>
            </w:r>
          </w:p>
        </w:tc>
      </w:tr>
      <w:tr w:rsidR="00ED2DE4" w:rsidRPr="00E11209" w14:paraId="7C129F0C" w14:textId="77777777" w:rsidTr="001F4D09">
        <w:trPr>
          <w:trHeight w:val="300"/>
        </w:trPr>
        <w:tc>
          <w:tcPr>
            <w:tcW w:w="2129" w:type="dxa"/>
            <w:noWrap/>
            <w:hideMark/>
          </w:tcPr>
          <w:p w14:paraId="5BDBB94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pH</w:t>
            </w:r>
          </w:p>
        </w:tc>
        <w:tc>
          <w:tcPr>
            <w:tcW w:w="867" w:type="dxa"/>
            <w:noWrap/>
            <w:hideMark/>
          </w:tcPr>
          <w:p w14:paraId="17600E4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5B10445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7.57</w:t>
            </w:r>
          </w:p>
        </w:tc>
        <w:tc>
          <w:tcPr>
            <w:tcW w:w="1012" w:type="dxa"/>
            <w:noWrap/>
            <w:hideMark/>
          </w:tcPr>
          <w:p w14:paraId="1A1B485A"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0.55</w:t>
            </w:r>
          </w:p>
        </w:tc>
        <w:tc>
          <w:tcPr>
            <w:tcW w:w="868" w:type="dxa"/>
            <w:noWrap/>
            <w:hideMark/>
          </w:tcPr>
          <w:p w14:paraId="23B370C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6</w:t>
            </w:r>
          </w:p>
        </w:tc>
        <w:tc>
          <w:tcPr>
            <w:tcW w:w="931" w:type="dxa"/>
            <w:noWrap/>
            <w:hideMark/>
          </w:tcPr>
          <w:p w14:paraId="35F9373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7.3175</w:t>
            </w:r>
          </w:p>
        </w:tc>
        <w:tc>
          <w:tcPr>
            <w:tcW w:w="889" w:type="dxa"/>
            <w:noWrap/>
            <w:hideMark/>
          </w:tcPr>
          <w:p w14:paraId="34C8EF8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7.7</w:t>
            </w:r>
          </w:p>
        </w:tc>
        <w:tc>
          <w:tcPr>
            <w:tcW w:w="868" w:type="dxa"/>
            <w:noWrap/>
            <w:hideMark/>
          </w:tcPr>
          <w:p w14:paraId="1B9B16F8"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7.9</w:t>
            </w:r>
          </w:p>
        </w:tc>
        <w:tc>
          <w:tcPr>
            <w:tcW w:w="868" w:type="dxa"/>
            <w:noWrap/>
            <w:hideMark/>
          </w:tcPr>
          <w:p w14:paraId="27CCEFA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8.33</w:t>
            </w:r>
          </w:p>
        </w:tc>
      </w:tr>
      <w:tr w:rsidR="00ED2DE4" w:rsidRPr="00E11209" w14:paraId="14A2B95C" w14:textId="77777777" w:rsidTr="001F4D09">
        <w:trPr>
          <w:trHeight w:val="300"/>
        </w:trPr>
        <w:tc>
          <w:tcPr>
            <w:tcW w:w="2129" w:type="dxa"/>
            <w:noWrap/>
            <w:hideMark/>
          </w:tcPr>
          <w:p w14:paraId="716C973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EC</w:t>
            </w:r>
          </w:p>
        </w:tc>
        <w:tc>
          <w:tcPr>
            <w:tcW w:w="867" w:type="dxa"/>
            <w:noWrap/>
            <w:hideMark/>
          </w:tcPr>
          <w:p w14:paraId="6DF18BDE"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668FA5BA"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1061.91</w:t>
            </w:r>
          </w:p>
        </w:tc>
        <w:tc>
          <w:tcPr>
            <w:tcW w:w="1012" w:type="dxa"/>
            <w:noWrap/>
            <w:hideMark/>
          </w:tcPr>
          <w:p w14:paraId="2FD5C7E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1632.03</w:t>
            </w:r>
          </w:p>
        </w:tc>
        <w:tc>
          <w:tcPr>
            <w:tcW w:w="868" w:type="dxa"/>
            <w:noWrap/>
            <w:hideMark/>
          </w:tcPr>
          <w:p w14:paraId="3763DCD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66.6</w:t>
            </w:r>
          </w:p>
        </w:tc>
        <w:tc>
          <w:tcPr>
            <w:tcW w:w="931" w:type="dxa"/>
            <w:noWrap/>
            <w:hideMark/>
          </w:tcPr>
          <w:p w14:paraId="0D1CD73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678</w:t>
            </w:r>
          </w:p>
        </w:tc>
        <w:tc>
          <w:tcPr>
            <w:tcW w:w="889" w:type="dxa"/>
            <w:noWrap/>
            <w:hideMark/>
          </w:tcPr>
          <w:p w14:paraId="267A078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744.5</w:t>
            </w:r>
          </w:p>
        </w:tc>
        <w:tc>
          <w:tcPr>
            <w:tcW w:w="868" w:type="dxa"/>
            <w:noWrap/>
            <w:hideMark/>
          </w:tcPr>
          <w:p w14:paraId="328024CE"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827.0</w:t>
            </w:r>
          </w:p>
        </w:tc>
        <w:tc>
          <w:tcPr>
            <w:tcW w:w="868" w:type="dxa"/>
            <w:noWrap/>
            <w:hideMark/>
          </w:tcPr>
          <w:p w14:paraId="7910CD5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9890</w:t>
            </w:r>
          </w:p>
        </w:tc>
      </w:tr>
      <w:tr w:rsidR="00ED2DE4" w:rsidRPr="00E11209" w14:paraId="4584C193" w14:textId="77777777" w:rsidTr="001F4D09">
        <w:trPr>
          <w:trHeight w:val="300"/>
        </w:trPr>
        <w:tc>
          <w:tcPr>
            <w:tcW w:w="2129" w:type="dxa"/>
            <w:noWrap/>
            <w:hideMark/>
          </w:tcPr>
          <w:p w14:paraId="41ADB2CC"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TDS</w:t>
            </w:r>
            <w:r>
              <w:rPr>
                <w:rFonts w:eastAsia="Times New Roman" w:cs="Times New Roman"/>
                <w:iCs/>
                <w:color w:val="000000"/>
                <w:lang w:eastAsia="en-GB"/>
              </w:rPr>
              <w:t xml:space="preserve"> (mg/L)</w:t>
            </w:r>
          </w:p>
        </w:tc>
        <w:tc>
          <w:tcPr>
            <w:tcW w:w="867" w:type="dxa"/>
            <w:noWrap/>
            <w:hideMark/>
          </w:tcPr>
          <w:p w14:paraId="3FB114A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0772FF2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618.09</w:t>
            </w:r>
          </w:p>
        </w:tc>
        <w:tc>
          <w:tcPr>
            <w:tcW w:w="1012" w:type="dxa"/>
            <w:noWrap/>
            <w:hideMark/>
          </w:tcPr>
          <w:p w14:paraId="61B3278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829.10</w:t>
            </w:r>
          </w:p>
        </w:tc>
        <w:tc>
          <w:tcPr>
            <w:tcW w:w="868" w:type="dxa"/>
            <w:noWrap/>
            <w:hideMark/>
          </w:tcPr>
          <w:p w14:paraId="31002DE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46.62</w:t>
            </w:r>
          </w:p>
        </w:tc>
        <w:tc>
          <w:tcPr>
            <w:tcW w:w="931" w:type="dxa"/>
            <w:noWrap/>
            <w:hideMark/>
          </w:tcPr>
          <w:p w14:paraId="6EEDB1C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369.5</w:t>
            </w:r>
          </w:p>
        </w:tc>
        <w:tc>
          <w:tcPr>
            <w:tcW w:w="889" w:type="dxa"/>
            <w:noWrap/>
            <w:hideMark/>
          </w:tcPr>
          <w:p w14:paraId="2FCB499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427.0</w:t>
            </w:r>
          </w:p>
        </w:tc>
        <w:tc>
          <w:tcPr>
            <w:tcW w:w="868" w:type="dxa"/>
            <w:noWrap/>
            <w:hideMark/>
          </w:tcPr>
          <w:p w14:paraId="24D1DA6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552.3</w:t>
            </w:r>
          </w:p>
        </w:tc>
        <w:tc>
          <w:tcPr>
            <w:tcW w:w="868" w:type="dxa"/>
            <w:noWrap/>
            <w:hideMark/>
          </w:tcPr>
          <w:p w14:paraId="21B55B8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4950</w:t>
            </w:r>
          </w:p>
        </w:tc>
      </w:tr>
      <w:tr w:rsidR="00ED2DE4" w:rsidRPr="00E11209" w14:paraId="7EBCA374" w14:textId="77777777" w:rsidTr="001F4D09">
        <w:trPr>
          <w:trHeight w:val="300"/>
        </w:trPr>
        <w:tc>
          <w:tcPr>
            <w:tcW w:w="2129" w:type="dxa"/>
            <w:noWrap/>
            <w:hideMark/>
          </w:tcPr>
          <w:p w14:paraId="1103107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Na</w:t>
            </w:r>
            <w:r w:rsidRPr="00653BF5">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3D9AE2C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79FA74F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183.55</w:t>
            </w:r>
          </w:p>
        </w:tc>
        <w:tc>
          <w:tcPr>
            <w:tcW w:w="1012" w:type="dxa"/>
            <w:noWrap/>
            <w:hideMark/>
          </w:tcPr>
          <w:p w14:paraId="1866C41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368.22</w:t>
            </w:r>
          </w:p>
        </w:tc>
        <w:tc>
          <w:tcPr>
            <w:tcW w:w="868" w:type="dxa"/>
            <w:noWrap/>
            <w:hideMark/>
          </w:tcPr>
          <w:p w14:paraId="397D400E"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1.19</w:t>
            </w:r>
          </w:p>
        </w:tc>
        <w:tc>
          <w:tcPr>
            <w:tcW w:w="931" w:type="dxa"/>
            <w:noWrap/>
            <w:hideMark/>
          </w:tcPr>
          <w:p w14:paraId="150F3E8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50.075</w:t>
            </w:r>
          </w:p>
        </w:tc>
        <w:tc>
          <w:tcPr>
            <w:tcW w:w="889" w:type="dxa"/>
            <w:noWrap/>
            <w:hideMark/>
          </w:tcPr>
          <w:p w14:paraId="04DF0BBA"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111.6</w:t>
            </w:r>
          </w:p>
        </w:tc>
        <w:tc>
          <w:tcPr>
            <w:tcW w:w="868" w:type="dxa"/>
            <w:noWrap/>
            <w:hideMark/>
          </w:tcPr>
          <w:p w14:paraId="7BD19F01"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164.0</w:t>
            </w:r>
          </w:p>
        </w:tc>
        <w:tc>
          <w:tcPr>
            <w:tcW w:w="868" w:type="dxa"/>
            <w:noWrap/>
            <w:hideMark/>
          </w:tcPr>
          <w:p w14:paraId="33CDF1A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2144</w:t>
            </w:r>
          </w:p>
        </w:tc>
      </w:tr>
      <w:tr w:rsidR="00ED2DE4" w:rsidRPr="00E11209" w14:paraId="1832BB2D" w14:textId="77777777" w:rsidTr="001F4D09">
        <w:trPr>
          <w:trHeight w:val="300"/>
        </w:trPr>
        <w:tc>
          <w:tcPr>
            <w:tcW w:w="2129" w:type="dxa"/>
            <w:noWrap/>
            <w:hideMark/>
          </w:tcPr>
          <w:p w14:paraId="25D788C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K</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58A7535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263640E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25.27</w:t>
            </w:r>
          </w:p>
        </w:tc>
        <w:tc>
          <w:tcPr>
            <w:tcW w:w="1012" w:type="dxa"/>
            <w:noWrap/>
            <w:hideMark/>
          </w:tcPr>
          <w:p w14:paraId="0A63914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57.45</w:t>
            </w:r>
          </w:p>
        </w:tc>
        <w:tc>
          <w:tcPr>
            <w:tcW w:w="868" w:type="dxa"/>
            <w:noWrap/>
            <w:hideMark/>
          </w:tcPr>
          <w:p w14:paraId="28C99B6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0.6</w:t>
            </w:r>
          </w:p>
        </w:tc>
        <w:tc>
          <w:tcPr>
            <w:tcW w:w="931" w:type="dxa"/>
            <w:noWrap/>
            <w:hideMark/>
          </w:tcPr>
          <w:p w14:paraId="595B77E3"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1.4</w:t>
            </w:r>
          </w:p>
        </w:tc>
        <w:tc>
          <w:tcPr>
            <w:tcW w:w="889" w:type="dxa"/>
            <w:noWrap/>
            <w:hideMark/>
          </w:tcPr>
          <w:p w14:paraId="2513258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2.0</w:t>
            </w:r>
          </w:p>
        </w:tc>
        <w:tc>
          <w:tcPr>
            <w:tcW w:w="868" w:type="dxa"/>
            <w:noWrap/>
            <w:hideMark/>
          </w:tcPr>
          <w:p w14:paraId="6A9321E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4.0</w:t>
            </w:r>
          </w:p>
        </w:tc>
        <w:tc>
          <w:tcPr>
            <w:tcW w:w="868" w:type="dxa"/>
            <w:noWrap/>
            <w:hideMark/>
          </w:tcPr>
          <w:p w14:paraId="29896D4C"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195</w:t>
            </w:r>
          </w:p>
        </w:tc>
      </w:tr>
      <w:tr w:rsidR="00ED2DE4" w:rsidRPr="00E11209" w14:paraId="226187B2" w14:textId="77777777" w:rsidTr="001F4D09">
        <w:trPr>
          <w:trHeight w:val="300"/>
        </w:trPr>
        <w:tc>
          <w:tcPr>
            <w:tcW w:w="2129" w:type="dxa"/>
            <w:noWrap/>
            <w:hideMark/>
          </w:tcPr>
          <w:p w14:paraId="6D437A8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Mg</w:t>
            </w:r>
            <w:r w:rsidRPr="00A90274">
              <w:rPr>
                <w:rFonts w:eastAsia="Times New Roman" w:cs="Times New Roman"/>
                <w:iCs/>
                <w:color w:val="000000"/>
                <w:vertAlign w:val="superscript"/>
                <w:lang w:eastAsia="en-GB"/>
              </w:rPr>
              <w:t>2+</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50C043F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7AFC3A1C"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4.19</w:t>
            </w:r>
          </w:p>
        </w:tc>
        <w:tc>
          <w:tcPr>
            <w:tcW w:w="1012" w:type="dxa"/>
            <w:noWrap/>
            <w:hideMark/>
          </w:tcPr>
          <w:p w14:paraId="394E4D2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8.15</w:t>
            </w:r>
          </w:p>
        </w:tc>
        <w:tc>
          <w:tcPr>
            <w:tcW w:w="868" w:type="dxa"/>
            <w:noWrap/>
            <w:hideMark/>
          </w:tcPr>
          <w:p w14:paraId="0BF2396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0.001</w:t>
            </w:r>
          </w:p>
        </w:tc>
        <w:tc>
          <w:tcPr>
            <w:tcW w:w="931" w:type="dxa"/>
            <w:noWrap/>
            <w:hideMark/>
          </w:tcPr>
          <w:p w14:paraId="6691817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1.1</w:t>
            </w:r>
          </w:p>
        </w:tc>
        <w:tc>
          <w:tcPr>
            <w:tcW w:w="889" w:type="dxa"/>
            <w:noWrap/>
            <w:hideMark/>
          </w:tcPr>
          <w:p w14:paraId="77203932"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1.5</w:t>
            </w:r>
          </w:p>
        </w:tc>
        <w:tc>
          <w:tcPr>
            <w:tcW w:w="868" w:type="dxa"/>
            <w:noWrap/>
            <w:hideMark/>
          </w:tcPr>
          <w:p w14:paraId="2A3F2F3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5.1</w:t>
            </w:r>
          </w:p>
        </w:tc>
        <w:tc>
          <w:tcPr>
            <w:tcW w:w="868" w:type="dxa"/>
            <w:noWrap/>
            <w:hideMark/>
          </w:tcPr>
          <w:p w14:paraId="550455E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46.8</w:t>
            </w:r>
          </w:p>
        </w:tc>
      </w:tr>
      <w:tr w:rsidR="00ED2DE4" w:rsidRPr="00E11209" w14:paraId="63868450" w14:textId="77777777" w:rsidTr="001F4D09">
        <w:trPr>
          <w:trHeight w:val="300"/>
        </w:trPr>
        <w:tc>
          <w:tcPr>
            <w:tcW w:w="2129" w:type="dxa"/>
            <w:noWrap/>
            <w:hideMark/>
          </w:tcPr>
          <w:p w14:paraId="129F714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Ca</w:t>
            </w:r>
            <w:r w:rsidRPr="00A90274">
              <w:rPr>
                <w:rFonts w:eastAsia="Times New Roman" w:cs="Times New Roman"/>
                <w:iCs/>
                <w:color w:val="000000"/>
                <w:vertAlign w:val="superscript"/>
                <w:lang w:eastAsia="en-GB"/>
              </w:rPr>
              <w:t>2+</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09C9CB2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1D832B2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7.98</w:t>
            </w:r>
          </w:p>
        </w:tc>
        <w:tc>
          <w:tcPr>
            <w:tcW w:w="1012" w:type="dxa"/>
            <w:noWrap/>
            <w:hideMark/>
          </w:tcPr>
          <w:p w14:paraId="4C1C23EE"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22.52</w:t>
            </w:r>
          </w:p>
        </w:tc>
        <w:tc>
          <w:tcPr>
            <w:tcW w:w="868" w:type="dxa"/>
            <w:noWrap/>
            <w:hideMark/>
          </w:tcPr>
          <w:p w14:paraId="6E9B3F58"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0.001</w:t>
            </w:r>
          </w:p>
        </w:tc>
        <w:tc>
          <w:tcPr>
            <w:tcW w:w="931" w:type="dxa"/>
            <w:noWrap/>
            <w:hideMark/>
          </w:tcPr>
          <w:p w14:paraId="54DA03A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0.6</w:t>
            </w:r>
          </w:p>
        </w:tc>
        <w:tc>
          <w:tcPr>
            <w:tcW w:w="889" w:type="dxa"/>
            <w:noWrap/>
            <w:hideMark/>
          </w:tcPr>
          <w:p w14:paraId="4ACB4B6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1.5</w:t>
            </w:r>
          </w:p>
        </w:tc>
        <w:tc>
          <w:tcPr>
            <w:tcW w:w="868" w:type="dxa"/>
            <w:noWrap/>
            <w:hideMark/>
          </w:tcPr>
          <w:p w14:paraId="7419770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2.9</w:t>
            </w:r>
          </w:p>
        </w:tc>
        <w:tc>
          <w:tcPr>
            <w:tcW w:w="868" w:type="dxa"/>
            <w:noWrap/>
            <w:hideMark/>
          </w:tcPr>
          <w:p w14:paraId="0FF9217D"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125.6</w:t>
            </w:r>
          </w:p>
        </w:tc>
      </w:tr>
      <w:tr w:rsidR="00ED2DE4" w:rsidRPr="00E11209" w14:paraId="06595BF3" w14:textId="77777777" w:rsidTr="001F4D09">
        <w:trPr>
          <w:trHeight w:val="300"/>
        </w:trPr>
        <w:tc>
          <w:tcPr>
            <w:tcW w:w="2129" w:type="dxa"/>
            <w:noWrap/>
            <w:hideMark/>
          </w:tcPr>
          <w:p w14:paraId="3A8ECAFA"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Cl</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130DB17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0F5DD12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168.08</w:t>
            </w:r>
          </w:p>
        </w:tc>
        <w:tc>
          <w:tcPr>
            <w:tcW w:w="1012" w:type="dxa"/>
            <w:noWrap/>
            <w:hideMark/>
          </w:tcPr>
          <w:p w14:paraId="1D2CFA51"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619.53</w:t>
            </w:r>
          </w:p>
        </w:tc>
        <w:tc>
          <w:tcPr>
            <w:tcW w:w="868" w:type="dxa"/>
            <w:noWrap/>
            <w:hideMark/>
          </w:tcPr>
          <w:p w14:paraId="618BBDA8"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0.26</w:t>
            </w:r>
          </w:p>
        </w:tc>
        <w:tc>
          <w:tcPr>
            <w:tcW w:w="931" w:type="dxa"/>
            <w:noWrap/>
            <w:hideMark/>
          </w:tcPr>
          <w:p w14:paraId="48F7B3C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5.34</w:t>
            </w:r>
          </w:p>
        </w:tc>
        <w:tc>
          <w:tcPr>
            <w:tcW w:w="889" w:type="dxa"/>
            <w:noWrap/>
            <w:hideMark/>
          </w:tcPr>
          <w:p w14:paraId="61B848F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16.3</w:t>
            </w:r>
          </w:p>
        </w:tc>
        <w:tc>
          <w:tcPr>
            <w:tcW w:w="868" w:type="dxa"/>
            <w:noWrap/>
            <w:hideMark/>
          </w:tcPr>
          <w:p w14:paraId="75D3C84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36.3</w:t>
            </w:r>
          </w:p>
        </w:tc>
        <w:tc>
          <w:tcPr>
            <w:tcW w:w="868" w:type="dxa"/>
            <w:noWrap/>
            <w:hideMark/>
          </w:tcPr>
          <w:p w14:paraId="58B72D8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3520</w:t>
            </w:r>
          </w:p>
        </w:tc>
      </w:tr>
      <w:tr w:rsidR="00ED2DE4" w:rsidRPr="00E11209" w14:paraId="44EBA3F3" w14:textId="77777777" w:rsidTr="001F4D09">
        <w:trPr>
          <w:trHeight w:val="300"/>
        </w:trPr>
        <w:tc>
          <w:tcPr>
            <w:tcW w:w="2129" w:type="dxa"/>
            <w:noWrap/>
            <w:hideMark/>
          </w:tcPr>
          <w:p w14:paraId="2D29219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SO</w:t>
            </w:r>
            <w:r w:rsidRPr="00E11209">
              <w:rPr>
                <w:rFonts w:eastAsia="Times New Roman" w:cs="Times New Roman"/>
                <w:iCs/>
                <w:color w:val="000000"/>
                <w:vertAlign w:val="subscript"/>
                <w:lang w:eastAsia="en-GB"/>
              </w:rPr>
              <w:t>4</w:t>
            </w:r>
            <w:r w:rsidRPr="00A90274">
              <w:rPr>
                <w:rFonts w:eastAsia="Times New Roman" w:cs="Times New Roman"/>
                <w:iCs/>
                <w:color w:val="000000"/>
                <w:vertAlign w:val="superscript"/>
                <w:lang w:eastAsia="en-GB"/>
              </w:rPr>
              <w:t>2-</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1DFA6D0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2B368BB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4.69</w:t>
            </w:r>
          </w:p>
        </w:tc>
        <w:tc>
          <w:tcPr>
            <w:tcW w:w="1012" w:type="dxa"/>
            <w:noWrap/>
            <w:hideMark/>
          </w:tcPr>
          <w:p w14:paraId="669A3528"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5.40</w:t>
            </w:r>
          </w:p>
        </w:tc>
        <w:tc>
          <w:tcPr>
            <w:tcW w:w="868" w:type="dxa"/>
            <w:noWrap/>
            <w:hideMark/>
          </w:tcPr>
          <w:p w14:paraId="44F6254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0.001</w:t>
            </w:r>
          </w:p>
        </w:tc>
        <w:tc>
          <w:tcPr>
            <w:tcW w:w="931" w:type="dxa"/>
            <w:noWrap/>
            <w:hideMark/>
          </w:tcPr>
          <w:p w14:paraId="32012E9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0.425</w:t>
            </w:r>
          </w:p>
        </w:tc>
        <w:tc>
          <w:tcPr>
            <w:tcW w:w="889" w:type="dxa"/>
            <w:noWrap/>
            <w:hideMark/>
          </w:tcPr>
          <w:p w14:paraId="7266601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4.1</w:t>
            </w:r>
          </w:p>
        </w:tc>
        <w:tc>
          <w:tcPr>
            <w:tcW w:w="868" w:type="dxa"/>
            <w:noWrap/>
            <w:hideMark/>
          </w:tcPr>
          <w:p w14:paraId="5C80C2B2"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7.6</w:t>
            </w:r>
          </w:p>
        </w:tc>
        <w:tc>
          <w:tcPr>
            <w:tcW w:w="868" w:type="dxa"/>
            <w:noWrap/>
            <w:hideMark/>
          </w:tcPr>
          <w:p w14:paraId="52BA020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26.7</w:t>
            </w:r>
          </w:p>
        </w:tc>
      </w:tr>
      <w:tr w:rsidR="00ED2DE4" w:rsidRPr="00E11209" w14:paraId="66DAC679" w14:textId="77777777" w:rsidTr="001F4D09">
        <w:trPr>
          <w:trHeight w:val="300"/>
        </w:trPr>
        <w:tc>
          <w:tcPr>
            <w:tcW w:w="2129" w:type="dxa"/>
            <w:noWrap/>
            <w:hideMark/>
          </w:tcPr>
          <w:p w14:paraId="1EFD74F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HCO</w:t>
            </w:r>
            <w:r w:rsidRPr="00E11209">
              <w:rPr>
                <w:rFonts w:eastAsia="Times New Roman" w:cs="Times New Roman"/>
                <w:iCs/>
                <w:color w:val="000000"/>
                <w:vertAlign w:val="subscript"/>
                <w:lang w:eastAsia="en-GB"/>
              </w:rPr>
              <w:t>3</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7C7D4A2C"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6D93726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310.38</w:t>
            </w:r>
          </w:p>
        </w:tc>
        <w:tc>
          <w:tcPr>
            <w:tcW w:w="1012" w:type="dxa"/>
            <w:noWrap/>
            <w:hideMark/>
          </w:tcPr>
          <w:p w14:paraId="4C9862A2"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143.47</w:t>
            </w:r>
          </w:p>
        </w:tc>
        <w:tc>
          <w:tcPr>
            <w:tcW w:w="868" w:type="dxa"/>
            <w:noWrap/>
            <w:hideMark/>
          </w:tcPr>
          <w:p w14:paraId="0D0CC7E2"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19.7</w:t>
            </w:r>
          </w:p>
        </w:tc>
        <w:tc>
          <w:tcPr>
            <w:tcW w:w="931" w:type="dxa"/>
            <w:noWrap/>
            <w:hideMark/>
          </w:tcPr>
          <w:p w14:paraId="3E5CD33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229.025</w:t>
            </w:r>
          </w:p>
        </w:tc>
        <w:tc>
          <w:tcPr>
            <w:tcW w:w="889" w:type="dxa"/>
            <w:noWrap/>
            <w:hideMark/>
          </w:tcPr>
          <w:p w14:paraId="0A1F9B9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316.6</w:t>
            </w:r>
          </w:p>
        </w:tc>
        <w:tc>
          <w:tcPr>
            <w:tcW w:w="868" w:type="dxa"/>
            <w:noWrap/>
            <w:hideMark/>
          </w:tcPr>
          <w:p w14:paraId="79A14CBE"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426.7</w:t>
            </w:r>
          </w:p>
        </w:tc>
        <w:tc>
          <w:tcPr>
            <w:tcW w:w="868" w:type="dxa"/>
            <w:noWrap/>
            <w:hideMark/>
          </w:tcPr>
          <w:p w14:paraId="3C0A012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520</w:t>
            </w:r>
          </w:p>
        </w:tc>
      </w:tr>
      <w:tr w:rsidR="00ED2DE4" w:rsidRPr="00E11209" w14:paraId="63D277A2" w14:textId="77777777" w:rsidTr="001F4D09">
        <w:trPr>
          <w:trHeight w:val="300"/>
        </w:trPr>
        <w:tc>
          <w:tcPr>
            <w:tcW w:w="2129" w:type="dxa"/>
            <w:noWrap/>
            <w:hideMark/>
          </w:tcPr>
          <w:p w14:paraId="71FD0E95"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NO</w:t>
            </w:r>
            <w:r w:rsidRPr="00E11209">
              <w:rPr>
                <w:rFonts w:eastAsia="Times New Roman" w:cs="Times New Roman"/>
                <w:iCs/>
                <w:color w:val="000000"/>
                <w:vertAlign w:val="subscript"/>
                <w:lang w:eastAsia="en-GB"/>
              </w:rPr>
              <w:t>3</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14256949"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7A44D26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7.84</w:t>
            </w:r>
          </w:p>
        </w:tc>
        <w:tc>
          <w:tcPr>
            <w:tcW w:w="1012" w:type="dxa"/>
            <w:noWrap/>
            <w:hideMark/>
          </w:tcPr>
          <w:p w14:paraId="3D49E004"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12.27</w:t>
            </w:r>
          </w:p>
        </w:tc>
        <w:tc>
          <w:tcPr>
            <w:tcW w:w="868" w:type="dxa"/>
            <w:noWrap/>
            <w:hideMark/>
          </w:tcPr>
          <w:p w14:paraId="5623BE5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0.001</w:t>
            </w:r>
          </w:p>
        </w:tc>
        <w:tc>
          <w:tcPr>
            <w:tcW w:w="931" w:type="dxa"/>
            <w:noWrap/>
            <w:hideMark/>
          </w:tcPr>
          <w:p w14:paraId="3448DA21"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0.9075</w:t>
            </w:r>
          </w:p>
        </w:tc>
        <w:tc>
          <w:tcPr>
            <w:tcW w:w="889" w:type="dxa"/>
            <w:noWrap/>
            <w:hideMark/>
          </w:tcPr>
          <w:p w14:paraId="69E5005F"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3.0</w:t>
            </w:r>
          </w:p>
        </w:tc>
        <w:tc>
          <w:tcPr>
            <w:tcW w:w="868" w:type="dxa"/>
            <w:noWrap/>
            <w:hideMark/>
          </w:tcPr>
          <w:p w14:paraId="114C3B4B"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10.4</w:t>
            </w:r>
          </w:p>
        </w:tc>
        <w:tc>
          <w:tcPr>
            <w:tcW w:w="868" w:type="dxa"/>
            <w:noWrap/>
            <w:hideMark/>
          </w:tcPr>
          <w:p w14:paraId="348B6C9C"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55</w:t>
            </w:r>
          </w:p>
        </w:tc>
      </w:tr>
      <w:tr w:rsidR="00ED2DE4" w:rsidRPr="00E11209" w14:paraId="633E76A8" w14:textId="77777777" w:rsidTr="001F4D09">
        <w:trPr>
          <w:trHeight w:val="300"/>
        </w:trPr>
        <w:tc>
          <w:tcPr>
            <w:tcW w:w="2129" w:type="dxa"/>
            <w:noWrap/>
            <w:hideMark/>
          </w:tcPr>
          <w:p w14:paraId="1C446F53"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F</w:t>
            </w:r>
            <w:r w:rsidRPr="00CD0A5E">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867" w:type="dxa"/>
            <w:noWrap/>
            <w:hideMark/>
          </w:tcPr>
          <w:p w14:paraId="086F8518"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34</w:t>
            </w:r>
          </w:p>
        </w:tc>
        <w:tc>
          <w:tcPr>
            <w:tcW w:w="1012" w:type="dxa"/>
            <w:noWrap/>
            <w:hideMark/>
          </w:tcPr>
          <w:p w14:paraId="39519733"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1.34</w:t>
            </w:r>
          </w:p>
        </w:tc>
        <w:tc>
          <w:tcPr>
            <w:tcW w:w="1012" w:type="dxa"/>
            <w:noWrap/>
            <w:hideMark/>
          </w:tcPr>
          <w:p w14:paraId="0A22633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1.31</w:t>
            </w:r>
          </w:p>
        </w:tc>
        <w:tc>
          <w:tcPr>
            <w:tcW w:w="868" w:type="dxa"/>
            <w:noWrap/>
            <w:hideMark/>
          </w:tcPr>
          <w:p w14:paraId="6443CBE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0.07</w:t>
            </w:r>
          </w:p>
        </w:tc>
        <w:tc>
          <w:tcPr>
            <w:tcW w:w="931" w:type="dxa"/>
            <w:noWrap/>
            <w:hideMark/>
          </w:tcPr>
          <w:p w14:paraId="17F14D5C"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0.805</w:t>
            </w:r>
          </w:p>
        </w:tc>
        <w:tc>
          <w:tcPr>
            <w:tcW w:w="889" w:type="dxa"/>
            <w:noWrap/>
            <w:hideMark/>
          </w:tcPr>
          <w:p w14:paraId="1F317500"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1.0</w:t>
            </w:r>
          </w:p>
        </w:tc>
        <w:tc>
          <w:tcPr>
            <w:tcW w:w="868" w:type="dxa"/>
            <w:noWrap/>
            <w:hideMark/>
          </w:tcPr>
          <w:p w14:paraId="47624BC7"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1.3</w:t>
            </w:r>
          </w:p>
        </w:tc>
        <w:tc>
          <w:tcPr>
            <w:tcW w:w="868" w:type="dxa"/>
            <w:noWrap/>
            <w:hideMark/>
          </w:tcPr>
          <w:p w14:paraId="2101F5C6" w14:textId="77777777" w:rsidR="00ED2DE4" w:rsidRPr="00E11209" w:rsidRDefault="00ED2DE4" w:rsidP="001F4D09">
            <w:pPr>
              <w:jc w:val="left"/>
              <w:rPr>
                <w:rFonts w:eastAsia="Times New Roman" w:cs="Times New Roman"/>
                <w:i/>
                <w:iCs/>
                <w:color w:val="000000"/>
                <w:lang w:eastAsia="en-GB"/>
              </w:rPr>
            </w:pPr>
            <w:r w:rsidRPr="00E11209">
              <w:rPr>
                <w:rFonts w:eastAsia="Times New Roman" w:cs="Times New Roman"/>
                <w:iCs/>
                <w:color w:val="000000"/>
                <w:lang w:eastAsia="en-GB"/>
              </w:rPr>
              <w:t>6.04</w:t>
            </w:r>
          </w:p>
        </w:tc>
      </w:tr>
    </w:tbl>
    <w:p w14:paraId="6E5B010A" w14:textId="77777777" w:rsidR="00ED2DE4" w:rsidRPr="00E45C91" w:rsidRDefault="00ED2DE4" w:rsidP="00ED2DE4"/>
    <w:p w14:paraId="3443E00F" w14:textId="77777777" w:rsidR="00ED2DE4" w:rsidRPr="00E45C91" w:rsidRDefault="00ED2DE4" w:rsidP="00ED2DE4">
      <w:pPr>
        <w:spacing w:after="0"/>
      </w:pPr>
      <w:r>
        <w:t xml:space="preserve">Table </w:t>
      </w:r>
      <w:r w:rsidRPr="00E45C91">
        <w:t>2</w:t>
      </w:r>
      <w:r w:rsidRPr="00ED2DE4">
        <w:t xml:space="preserve">. </w:t>
      </w:r>
      <w:r w:rsidRPr="00E45C91">
        <w:t xml:space="preserve">Compliance of groundwater parameters with WHO and GSA guideline values, reported as exceedance counts and percentages. </w:t>
      </w:r>
    </w:p>
    <w:tbl>
      <w:tblPr>
        <w:tblStyle w:val="Manu"/>
        <w:tblW w:w="0" w:type="auto"/>
        <w:tblLook w:val="04A0" w:firstRow="1" w:lastRow="0" w:firstColumn="1" w:lastColumn="0" w:noHBand="0" w:noVBand="1"/>
      </w:tblPr>
      <w:tblGrid>
        <w:gridCol w:w="1476"/>
        <w:gridCol w:w="1084"/>
        <w:gridCol w:w="1860"/>
        <w:gridCol w:w="1981"/>
        <w:gridCol w:w="821"/>
        <w:gridCol w:w="711"/>
      </w:tblGrid>
      <w:tr w:rsidR="00ED2DE4" w:rsidRPr="00387870" w14:paraId="5ABF312A"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tcPr>
          <w:p w14:paraId="2AF76A01" w14:textId="77777777" w:rsidR="00ED2DE4" w:rsidRPr="00E11209" w:rsidRDefault="00ED2DE4" w:rsidP="001F4D09">
            <w:pPr>
              <w:jc w:val="left"/>
              <w:rPr>
                <w:rFonts w:eastAsia="Times New Roman" w:cs="Times New Roman"/>
                <w:iCs/>
                <w:color w:val="000000"/>
                <w:lang w:eastAsia="en-GB"/>
              </w:rPr>
            </w:pPr>
            <w:bookmarkStart w:id="43" w:name="table-3.-vip-weights"/>
            <w:bookmarkEnd w:id="42"/>
            <w:r w:rsidRPr="00E11209">
              <w:rPr>
                <w:rFonts w:eastAsia="Times New Roman" w:cs="Times New Roman"/>
                <w:iCs/>
                <w:color w:val="000000"/>
                <w:lang w:eastAsia="en-GB"/>
              </w:rPr>
              <w:t>Parameter</w:t>
            </w:r>
          </w:p>
        </w:tc>
        <w:tc>
          <w:tcPr>
            <w:tcW w:w="0" w:type="auto"/>
            <w:noWrap/>
            <w:vAlign w:val="center"/>
            <w:hideMark/>
          </w:tcPr>
          <w:p w14:paraId="70AA77EF"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Guideline</w:t>
            </w:r>
          </w:p>
        </w:tc>
        <w:tc>
          <w:tcPr>
            <w:tcW w:w="0" w:type="auto"/>
            <w:noWrap/>
            <w:vAlign w:val="center"/>
            <w:hideMark/>
          </w:tcPr>
          <w:p w14:paraId="56C80847"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Exceedance</w:t>
            </w:r>
            <w:r>
              <w:rPr>
                <w:rFonts w:eastAsia="Times New Roman" w:cs="Times New Roman"/>
                <w:iCs/>
                <w:color w:val="000000"/>
                <w:lang w:eastAsia="en-GB"/>
              </w:rPr>
              <w:t xml:space="preserve"> </w:t>
            </w:r>
            <w:r w:rsidRPr="00387870">
              <w:rPr>
                <w:rFonts w:eastAsia="Times New Roman" w:cs="Times New Roman"/>
                <w:iCs/>
                <w:color w:val="000000"/>
                <w:lang w:eastAsia="en-GB"/>
              </w:rPr>
              <w:t>Count</w:t>
            </w:r>
          </w:p>
        </w:tc>
        <w:tc>
          <w:tcPr>
            <w:tcW w:w="0" w:type="auto"/>
            <w:noWrap/>
            <w:vAlign w:val="center"/>
            <w:hideMark/>
          </w:tcPr>
          <w:p w14:paraId="52F280C1"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Exceedance Percent</w:t>
            </w:r>
          </w:p>
        </w:tc>
        <w:tc>
          <w:tcPr>
            <w:tcW w:w="0" w:type="auto"/>
            <w:noWrap/>
            <w:vAlign w:val="center"/>
            <w:hideMark/>
          </w:tcPr>
          <w:p w14:paraId="3C425AB5"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Mean</w:t>
            </w:r>
          </w:p>
        </w:tc>
        <w:tc>
          <w:tcPr>
            <w:tcW w:w="0" w:type="auto"/>
            <w:noWrap/>
            <w:vAlign w:val="center"/>
            <w:hideMark/>
          </w:tcPr>
          <w:p w14:paraId="589EAF7D"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Max</w:t>
            </w:r>
          </w:p>
        </w:tc>
      </w:tr>
      <w:tr w:rsidR="00ED2DE4" w:rsidRPr="00387870" w14:paraId="0D539C82" w14:textId="77777777" w:rsidTr="001F4D09">
        <w:trPr>
          <w:trHeight w:val="300"/>
        </w:trPr>
        <w:tc>
          <w:tcPr>
            <w:tcW w:w="0" w:type="auto"/>
          </w:tcPr>
          <w:p w14:paraId="73CE0187"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pH</w:t>
            </w:r>
          </w:p>
        </w:tc>
        <w:tc>
          <w:tcPr>
            <w:tcW w:w="0" w:type="auto"/>
            <w:noWrap/>
            <w:vAlign w:val="center"/>
            <w:hideMark/>
          </w:tcPr>
          <w:p w14:paraId="411DA01D"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6.5-8.5</w:t>
            </w:r>
          </w:p>
        </w:tc>
        <w:tc>
          <w:tcPr>
            <w:tcW w:w="0" w:type="auto"/>
            <w:noWrap/>
            <w:vAlign w:val="center"/>
            <w:hideMark/>
          </w:tcPr>
          <w:p w14:paraId="28944CF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w:t>
            </w:r>
          </w:p>
        </w:tc>
        <w:tc>
          <w:tcPr>
            <w:tcW w:w="0" w:type="auto"/>
            <w:noWrap/>
            <w:vAlign w:val="center"/>
            <w:hideMark/>
          </w:tcPr>
          <w:p w14:paraId="5C5A07D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5.9</w:t>
            </w:r>
          </w:p>
        </w:tc>
        <w:tc>
          <w:tcPr>
            <w:tcW w:w="0" w:type="auto"/>
            <w:noWrap/>
            <w:vAlign w:val="center"/>
            <w:hideMark/>
          </w:tcPr>
          <w:p w14:paraId="04EC522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7.6</w:t>
            </w:r>
          </w:p>
        </w:tc>
        <w:tc>
          <w:tcPr>
            <w:tcW w:w="0" w:type="auto"/>
            <w:noWrap/>
            <w:vAlign w:val="center"/>
            <w:hideMark/>
          </w:tcPr>
          <w:p w14:paraId="791748DF"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8.33</w:t>
            </w:r>
          </w:p>
        </w:tc>
      </w:tr>
      <w:tr w:rsidR="00ED2DE4" w:rsidRPr="00387870" w14:paraId="7D65BC89" w14:textId="77777777" w:rsidTr="001F4D09">
        <w:trPr>
          <w:trHeight w:val="300"/>
        </w:trPr>
        <w:tc>
          <w:tcPr>
            <w:tcW w:w="0" w:type="auto"/>
          </w:tcPr>
          <w:p w14:paraId="5BA7E6B1"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EC</w:t>
            </w:r>
          </w:p>
        </w:tc>
        <w:tc>
          <w:tcPr>
            <w:tcW w:w="0" w:type="auto"/>
            <w:noWrap/>
            <w:vAlign w:val="center"/>
            <w:hideMark/>
          </w:tcPr>
          <w:p w14:paraId="5349E85F"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1500</w:t>
            </w:r>
          </w:p>
        </w:tc>
        <w:tc>
          <w:tcPr>
            <w:tcW w:w="0" w:type="auto"/>
            <w:noWrap/>
            <w:vAlign w:val="center"/>
            <w:hideMark/>
          </w:tcPr>
          <w:p w14:paraId="556456B5"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3</w:t>
            </w:r>
          </w:p>
        </w:tc>
        <w:tc>
          <w:tcPr>
            <w:tcW w:w="0" w:type="auto"/>
            <w:noWrap/>
            <w:vAlign w:val="center"/>
            <w:hideMark/>
          </w:tcPr>
          <w:p w14:paraId="055F419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8.8</w:t>
            </w:r>
          </w:p>
        </w:tc>
        <w:tc>
          <w:tcPr>
            <w:tcW w:w="0" w:type="auto"/>
            <w:noWrap/>
            <w:vAlign w:val="center"/>
            <w:hideMark/>
          </w:tcPr>
          <w:p w14:paraId="3262E2B1"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1061.9</w:t>
            </w:r>
          </w:p>
        </w:tc>
        <w:tc>
          <w:tcPr>
            <w:tcW w:w="0" w:type="auto"/>
            <w:noWrap/>
            <w:vAlign w:val="center"/>
            <w:hideMark/>
          </w:tcPr>
          <w:p w14:paraId="169F6EAE"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9890</w:t>
            </w:r>
          </w:p>
        </w:tc>
      </w:tr>
      <w:tr w:rsidR="00ED2DE4" w:rsidRPr="00387870" w14:paraId="7DD6164A" w14:textId="77777777" w:rsidTr="001F4D09">
        <w:trPr>
          <w:trHeight w:val="300"/>
        </w:trPr>
        <w:tc>
          <w:tcPr>
            <w:tcW w:w="0" w:type="auto"/>
          </w:tcPr>
          <w:p w14:paraId="42FEBDDE"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TDS</w:t>
            </w:r>
            <w:r>
              <w:rPr>
                <w:rFonts w:eastAsia="Times New Roman" w:cs="Times New Roman"/>
                <w:iCs/>
                <w:color w:val="000000"/>
                <w:lang w:eastAsia="en-GB"/>
              </w:rPr>
              <w:t xml:space="preserve"> (mg/L)</w:t>
            </w:r>
          </w:p>
        </w:tc>
        <w:tc>
          <w:tcPr>
            <w:tcW w:w="0" w:type="auto"/>
            <w:noWrap/>
            <w:vAlign w:val="center"/>
            <w:hideMark/>
          </w:tcPr>
          <w:p w14:paraId="41C6CF48"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1000</w:t>
            </w:r>
          </w:p>
        </w:tc>
        <w:tc>
          <w:tcPr>
            <w:tcW w:w="0" w:type="auto"/>
            <w:noWrap/>
            <w:vAlign w:val="center"/>
            <w:hideMark/>
          </w:tcPr>
          <w:p w14:paraId="030ACAA3"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3</w:t>
            </w:r>
          </w:p>
        </w:tc>
        <w:tc>
          <w:tcPr>
            <w:tcW w:w="0" w:type="auto"/>
            <w:noWrap/>
            <w:vAlign w:val="center"/>
            <w:hideMark/>
          </w:tcPr>
          <w:p w14:paraId="500C7BA6"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8.8</w:t>
            </w:r>
          </w:p>
        </w:tc>
        <w:tc>
          <w:tcPr>
            <w:tcW w:w="0" w:type="auto"/>
            <w:noWrap/>
            <w:vAlign w:val="center"/>
            <w:hideMark/>
          </w:tcPr>
          <w:p w14:paraId="09F05E23"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618.1</w:t>
            </w:r>
          </w:p>
        </w:tc>
        <w:tc>
          <w:tcPr>
            <w:tcW w:w="0" w:type="auto"/>
            <w:noWrap/>
            <w:vAlign w:val="center"/>
            <w:hideMark/>
          </w:tcPr>
          <w:p w14:paraId="65580C2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4950</w:t>
            </w:r>
          </w:p>
        </w:tc>
      </w:tr>
      <w:tr w:rsidR="00ED2DE4" w:rsidRPr="00387870" w14:paraId="0477CDCB" w14:textId="77777777" w:rsidTr="001F4D09">
        <w:trPr>
          <w:trHeight w:val="300"/>
        </w:trPr>
        <w:tc>
          <w:tcPr>
            <w:tcW w:w="0" w:type="auto"/>
          </w:tcPr>
          <w:p w14:paraId="19221FF4"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Na</w:t>
            </w:r>
            <w:r w:rsidRPr="00653BF5">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4D308BE9"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200</w:t>
            </w:r>
          </w:p>
        </w:tc>
        <w:tc>
          <w:tcPr>
            <w:tcW w:w="0" w:type="auto"/>
            <w:noWrap/>
            <w:vAlign w:val="center"/>
            <w:hideMark/>
          </w:tcPr>
          <w:p w14:paraId="5A74534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6</w:t>
            </w:r>
          </w:p>
        </w:tc>
        <w:tc>
          <w:tcPr>
            <w:tcW w:w="0" w:type="auto"/>
            <w:noWrap/>
            <w:vAlign w:val="center"/>
            <w:hideMark/>
          </w:tcPr>
          <w:p w14:paraId="3BAC426E"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17.6</w:t>
            </w:r>
          </w:p>
        </w:tc>
        <w:tc>
          <w:tcPr>
            <w:tcW w:w="0" w:type="auto"/>
            <w:noWrap/>
            <w:vAlign w:val="center"/>
            <w:hideMark/>
          </w:tcPr>
          <w:p w14:paraId="5A7D5C29"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183.6</w:t>
            </w:r>
          </w:p>
        </w:tc>
        <w:tc>
          <w:tcPr>
            <w:tcW w:w="0" w:type="auto"/>
            <w:noWrap/>
            <w:vAlign w:val="center"/>
            <w:hideMark/>
          </w:tcPr>
          <w:p w14:paraId="164587CF"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2144</w:t>
            </w:r>
          </w:p>
        </w:tc>
      </w:tr>
      <w:tr w:rsidR="00ED2DE4" w:rsidRPr="00387870" w14:paraId="426DFC77" w14:textId="77777777" w:rsidTr="001F4D09">
        <w:trPr>
          <w:trHeight w:val="300"/>
        </w:trPr>
        <w:tc>
          <w:tcPr>
            <w:tcW w:w="0" w:type="auto"/>
          </w:tcPr>
          <w:p w14:paraId="031EA411"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K</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4988BFF2"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12</w:t>
            </w:r>
          </w:p>
        </w:tc>
        <w:tc>
          <w:tcPr>
            <w:tcW w:w="0" w:type="auto"/>
            <w:noWrap/>
            <w:vAlign w:val="center"/>
            <w:hideMark/>
          </w:tcPr>
          <w:p w14:paraId="1E38815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6</w:t>
            </w:r>
          </w:p>
        </w:tc>
        <w:tc>
          <w:tcPr>
            <w:tcW w:w="0" w:type="auto"/>
            <w:noWrap/>
            <w:vAlign w:val="center"/>
            <w:hideMark/>
          </w:tcPr>
          <w:p w14:paraId="78C753C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17.6</w:t>
            </w:r>
          </w:p>
        </w:tc>
        <w:tc>
          <w:tcPr>
            <w:tcW w:w="0" w:type="auto"/>
            <w:noWrap/>
            <w:vAlign w:val="center"/>
            <w:hideMark/>
          </w:tcPr>
          <w:p w14:paraId="11E4E8D6"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25.3</w:t>
            </w:r>
          </w:p>
        </w:tc>
        <w:tc>
          <w:tcPr>
            <w:tcW w:w="0" w:type="auto"/>
            <w:noWrap/>
            <w:vAlign w:val="center"/>
            <w:hideMark/>
          </w:tcPr>
          <w:p w14:paraId="15C5056E"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195</w:t>
            </w:r>
          </w:p>
        </w:tc>
      </w:tr>
      <w:tr w:rsidR="00ED2DE4" w:rsidRPr="00387870" w14:paraId="5F0156E5" w14:textId="77777777" w:rsidTr="001F4D09">
        <w:trPr>
          <w:trHeight w:val="300"/>
        </w:trPr>
        <w:tc>
          <w:tcPr>
            <w:tcW w:w="0" w:type="auto"/>
          </w:tcPr>
          <w:p w14:paraId="107B4138"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Mg</w:t>
            </w:r>
            <w:r w:rsidRPr="00A90274">
              <w:rPr>
                <w:rFonts w:eastAsia="Times New Roman" w:cs="Times New Roman"/>
                <w:iCs/>
                <w:color w:val="000000"/>
                <w:vertAlign w:val="superscript"/>
                <w:lang w:eastAsia="en-GB"/>
              </w:rPr>
              <w:t>2+</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6381A89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50</w:t>
            </w:r>
          </w:p>
        </w:tc>
        <w:tc>
          <w:tcPr>
            <w:tcW w:w="0" w:type="auto"/>
            <w:noWrap/>
            <w:vAlign w:val="center"/>
            <w:hideMark/>
          </w:tcPr>
          <w:p w14:paraId="002E230C"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0</w:t>
            </w:r>
          </w:p>
        </w:tc>
        <w:tc>
          <w:tcPr>
            <w:tcW w:w="0" w:type="auto"/>
            <w:noWrap/>
            <w:vAlign w:val="center"/>
            <w:hideMark/>
          </w:tcPr>
          <w:p w14:paraId="05032395"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0.0</w:t>
            </w:r>
          </w:p>
        </w:tc>
        <w:tc>
          <w:tcPr>
            <w:tcW w:w="0" w:type="auto"/>
            <w:noWrap/>
            <w:vAlign w:val="center"/>
            <w:hideMark/>
          </w:tcPr>
          <w:p w14:paraId="6478C2A6"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4.2</w:t>
            </w:r>
          </w:p>
        </w:tc>
        <w:tc>
          <w:tcPr>
            <w:tcW w:w="0" w:type="auto"/>
            <w:noWrap/>
            <w:vAlign w:val="center"/>
            <w:hideMark/>
          </w:tcPr>
          <w:p w14:paraId="07D0595F"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46.8</w:t>
            </w:r>
          </w:p>
        </w:tc>
      </w:tr>
      <w:tr w:rsidR="00ED2DE4" w:rsidRPr="00387870" w14:paraId="7D042DB6" w14:textId="77777777" w:rsidTr="001F4D09">
        <w:trPr>
          <w:trHeight w:val="300"/>
        </w:trPr>
        <w:tc>
          <w:tcPr>
            <w:tcW w:w="0" w:type="auto"/>
          </w:tcPr>
          <w:p w14:paraId="516F70AC"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Ca</w:t>
            </w:r>
            <w:r w:rsidRPr="00A90274">
              <w:rPr>
                <w:rFonts w:eastAsia="Times New Roman" w:cs="Times New Roman"/>
                <w:iCs/>
                <w:color w:val="000000"/>
                <w:vertAlign w:val="superscript"/>
                <w:lang w:eastAsia="en-GB"/>
              </w:rPr>
              <w:t>2+</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3B425C63"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75</w:t>
            </w:r>
          </w:p>
        </w:tc>
        <w:tc>
          <w:tcPr>
            <w:tcW w:w="0" w:type="auto"/>
            <w:noWrap/>
            <w:vAlign w:val="center"/>
            <w:hideMark/>
          </w:tcPr>
          <w:p w14:paraId="7BDF1D0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w:t>
            </w:r>
          </w:p>
        </w:tc>
        <w:tc>
          <w:tcPr>
            <w:tcW w:w="0" w:type="auto"/>
            <w:noWrap/>
            <w:vAlign w:val="center"/>
            <w:hideMark/>
          </w:tcPr>
          <w:p w14:paraId="39687D7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2.9</w:t>
            </w:r>
          </w:p>
        </w:tc>
        <w:tc>
          <w:tcPr>
            <w:tcW w:w="0" w:type="auto"/>
            <w:noWrap/>
            <w:vAlign w:val="center"/>
            <w:hideMark/>
          </w:tcPr>
          <w:p w14:paraId="78A11603"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8.0</w:t>
            </w:r>
          </w:p>
        </w:tc>
        <w:tc>
          <w:tcPr>
            <w:tcW w:w="0" w:type="auto"/>
            <w:noWrap/>
            <w:vAlign w:val="center"/>
            <w:hideMark/>
          </w:tcPr>
          <w:p w14:paraId="56D6799C"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125.6</w:t>
            </w:r>
          </w:p>
        </w:tc>
      </w:tr>
      <w:tr w:rsidR="00ED2DE4" w:rsidRPr="00387870" w14:paraId="29C5CFE3" w14:textId="77777777" w:rsidTr="001F4D09">
        <w:trPr>
          <w:trHeight w:val="300"/>
        </w:trPr>
        <w:tc>
          <w:tcPr>
            <w:tcW w:w="0" w:type="auto"/>
          </w:tcPr>
          <w:p w14:paraId="245A895E"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Cl</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4054A481"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250</w:t>
            </w:r>
          </w:p>
        </w:tc>
        <w:tc>
          <w:tcPr>
            <w:tcW w:w="0" w:type="auto"/>
            <w:noWrap/>
            <w:vAlign w:val="center"/>
            <w:hideMark/>
          </w:tcPr>
          <w:p w14:paraId="0A37BC0A"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3</w:t>
            </w:r>
          </w:p>
        </w:tc>
        <w:tc>
          <w:tcPr>
            <w:tcW w:w="0" w:type="auto"/>
            <w:noWrap/>
            <w:vAlign w:val="center"/>
            <w:hideMark/>
          </w:tcPr>
          <w:p w14:paraId="17357093"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8.8</w:t>
            </w:r>
          </w:p>
        </w:tc>
        <w:tc>
          <w:tcPr>
            <w:tcW w:w="0" w:type="auto"/>
            <w:noWrap/>
            <w:vAlign w:val="center"/>
            <w:hideMark/>
          </w:tcPr>
          <w:p w14:paraId="782C7FEE"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168.1</w:t>
            </w:r>
          </w:p>
        </w:tc>
        <w:tc>
          <w:tcPr>
            <w:tcW w:w="0" w:type="auto"/>
            <w:noWrap/>
            <w:vAlign w:val="center"/>
            <w:hideMark/>
          </w:tcPr>
          <w:p w14:paraId="5E34C711"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3520</w:t>
            </w:r>
          </w:p>
        </w:tc>
      </w:tr>
      <w:tr w:rsidR="00ED2DE4" w:rsidRPr="00387870" w14:paraId="2A4B84D1" w14:textId="77777777" w:rsidTr="001F4D09">
        <w:trPr>
          <w:trHeight w:val="300"/>
        </w:trPr>
        <w:tc>
          <w:tcPr>
            <w:tcW w:w="0" w:type="auto"/>
          </w:tcPr>
          <w:p w14:paraId="24C502D8"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SO</w:t>
            </w:r>
            <w:r w:rsidRPr="00E11209">
              <w:rPr>
                <w:rFonts w:eastAsia="Times New Roman" w:cs="Times New Roman"/>
                <w:iCs/>
                <w:color w:val="000000"/>
                <w:vertAlign w:val="subscript"/>
                <w:lang w:eastAsia="en-GB"/>
              </w:rPr>
              <w:t>4</w:t>
            </w:r>
            <w:r w:rsidRPr="00A90274">
              <w:rPr>
                <w:rFonts w:eastAsia="Times New Roman" w:cs="Times New Roman"/>
                <w:iCs/>
                <w:color w:val="000000"/>
                <w:vertAlign w:val="superscript"/>
                <w:lang w:eastAsia="en-GB"/>
              </w:rPr>
              <w:t>2-</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350AE7F8"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250</w:t>
            </w:r>
          </w:p>
        </w:tc>
        <w:tc>
          <w:tcPr>
            <w:tcW w:w="0" w:type="auto"/>
            <w:noWrap/>
            <w:vAlign w:val="center"/>
            <w:hideMark/>
          </w:tcPr>
          <w:p w14:paraId="7E71E437"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0</w:t>
            </w:r>
          </w:p>
        </w:tc>
        <w:tc>
          <w:tcPr>
            <w:tcW w:w="0" w:type="auto"/>
            <w:noWrap/>
            <w:vAlign w:val="center"/>
            <w:hideMark/>
          </w:tcPr>
          <w:p w14:paraId="724D0AFD"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0.0</w:t>
            </w:r>
          </w:p>
        </w:tc>
        <w:tc>
          <w:tcPr>
            <w:tcW w:w="0" w:type="auto"/>
            <w:noWrap/>
            <w:vAlign w:val="center"/>
            <w:hideMark/>
          </w:tcPr>
          <w:p w14:paraId="10AB733D"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4.7</w:t>
            </w:r>
          </w:p>
        </w:tc>
        <w:tc>
          <w:tcPr>
            <w:tcW w:w="0" w:type="auto"/>
            <w:noWrap/>
            <w:vAlign w:val="center"/>
            <w:hideMark/>
          </w:tcPr>
          <w:p w14:paraId="1C70B138"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26.7</w:t>
            </w:r>
          </w:p>
        </w:tc>
      </w:tr>
      <w:tr w:rsidR="00ED2DE4" w:rsidRPr="00387870" w14:paraId="5B20774C" w14:textId="77777777" w:rsidTr="001F4D09">
        <w:trPr>
          <w:trHeight w:val="300"/>
        </w:trPr>
        <w:tc>
          <w:tcPr>
            <w:tcW w:w="0" w:type="auto"/>
          </w:tcPr>
          <w:p w14:paraId="2E3306BD"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HCO</w:t>
            </w:r>
            <w:r w:rsidRPr="00E11209">
              <w:rPr>
                <w:rFonts w:eastAsia="Times New Roman" w:cs="Times New Roman"/>
                <w:iCs/>
                <w:color w:val="000000"/>
                <w:vertAlign w:val="subscript"/>
                <w:lang w:eastAsia="en-GB"/>
              </w:rPr>
              <w:t>3</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76965F11"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300</w:t>
            </w:r>
          </w:p>
        </w:tc>
        <w:tc>
          <w:tcPr>
            <w:tcW w:w="0" w:type="auto"/>
            <w:noWrap/>
            <w:vAlign w:val="center"/>
            <w:hideMark/>
          </w:tcPr>
          <w:p w14:paraId="01CA0A49"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19</w:t>
            </w:r>
          </w:p>
        </w:tc>
        <w:tc>
          <w:tcPr>
            <w:tcW w:w="0" w:type="auto"/>
            <w:noWrap/>
            <w:vAlign w:val="center"/>
            <w:hideMark/>
          </w:tcPr>
          <w:p w14:paraId="3EF956C8"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55.9</w:t>
            </w:r>
          </w:p>
        </w:tc>
        <w:tc>
          <w:tcPr>
            <w:tcW w:w="0" w:type="auto"/>
            <w:noWrap/>
            <w:vAlign w:val="center"/>
            <w:hideMark/>
          </w:tcPr>
          <w:p w14:paraId="7E82FC57"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310.4</w:t>
            </w:r>
          </w:p>
        </w:tc>
        <w:tc>
          <w:tcPr>
            <w:tcW w:w="0" w:type="auto"/>
            <w:noWrap/>
            <w:vAlign w:val="center"/>
            <w:hideMark/>
          </w:tcPr>
          <w:p w14:paraId="0217839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520</w:t>
            </w:r>
          </w:p>
        </w:tc>
      </w:tr>
      <w:tr w:rsidR="00ED2DE4" w:rsidRPr="00387870" w14:paraId="7DB1BF02" w14:textId="77777777" w:rsidTr="001F4D09">
        <w:trPr>
          <w:trHeight w:val="300"/>
        </w:trPr>
        <w:tc>
          <w:tcPr>
            <w:tcW w:w="0" w:type="auto"/>
          </w:tcPr>
          <w:p w14:paraId="078D7BFA"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NO</w:t>
            </w:r>
            <w:r w:rsidRPr="00E11209">
              <w:rPr>
                <w:rFonts w:eastAsia="Times New Roman" w:cs="Times New Roman"/>
                <w:iCs/>
                <w:color w:val="000000"/>
                <w:vertAlign w:val="subscript"/>
                <w:lang w:eastAsia="en-GB"/>
              </w:rPr>
              <w:t>3</w:t>
            </w:r>
            <w:r w:rsidRPr="00A90274">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59D9D65F"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50</w:t>
            </w:r>
          </w:p>
        </w:tc>
        <w:tc>
          <w:tcPr>
            <w:tcW w:w="0" w:type="auto"/>
            <w:noWrap/>
            <w:vAlign w:val="center"/>
            <w:hideMark/>
          </w:tcPr>
          <w:p w14:paraId="1501EF54"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w:t>
            </w:r>
          </w:p>
        </w:tc>
        <w:tc>
          <w:tcPr>
            <w:tcW w:w="0" w:type="auto"/>
            <w:noWrap/>
            <w:vAlign w:val="center"/>
            <w:hideMark/>
          </w:tcPr>
          <w:p w14:paraId="064723D0"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2.9</w:t>
            </w:r>
          </w:p>
        </w:tc>
        <w:tc>
          <w:tcPr>
            <w:tcW w:w="0" w:type="auto"/>
            <w:noWrap/>
            <w:vAlign w:val="center"/>
            <w:hideMark/>
          </w:tcPr>
          <w:p w14:paraId="7235A22D"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7.8</w:t>
            </w:r>
          </w:p>
        </w:tc>
        <w:tc>
          <w:tcPr>
            <w:tcW w:w="0" w:type="auto"/>
            <w:noWrap/>
            <w:vAlign w:val="center"/>
            <w:hideMark/>
          </w:tcPr>
          <w:p w14:paraId="0E9B7A5B"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55</w:t>
            </w:r>
          </w:p>
        </w:tc>
      </w:tr>
      <w:tr w:rsidR="00ED2DE4" w:rsidRPr="00387870" w14:paraId="39307264" w14:textId="77777777" w:rsidTr="001F4D09">
        <w:trPr>
          <w:trHeight w:val="300"/>
        </w:trPr>
        <w:tc>
          <w:tcPr>
            <w:tcW w:w="0" w:type="auto"/>
          </w:tcPr>
          <w:p w14:paraId="26F9BAA5" w14:textId="77777777" w:rsidR="00ED2DE4" w:rsidRPr="00387870" w:rsidRDefault="00ED2DE4" w:rsidP="001F4D09">
            <w:pPr>
              <w:jc w:val="left"/>
              <w:rPr>
                <w:rFonts w:eastAsia="Times New Roman" w:cs="Times New Roman"/>
                <w:iCs/>
                <w:color w:val="000000"/>
                <w:lang w:eastAsia="en-GB"/>
              </w:rPr>
            </w:pPr>
            <w:r w:rsidRPr="00E11209">
              <w:rPr>
                <w:rFonts w:eastAsia="Times New Roman" w:cs="Times New Roman"/>
                <w:iCs/>
                <w:color w:val="000000"/>
                <w:lang w:eastAsia="en-GB"/>
              </w:rPr>
              <w:t>F</w:t>
            </w:r>
            <w:r w:rsidRPr="00CD0A5E">
              <w:rPr>
                <w:rFonts w:eastAsia="Times New Roman" w:cs="Times New Roman"/>
                <w:iCs/>
                <w:color w:val="000000"/>
                <w:vertAlign w:val="superscript"/>
                <w:lang w:eastAsia="en-GB"/>
              </w:rPr>
              <w:t>-</w:t>
            </w:r>
            <w:r>
              <w:rPr>
                <w:rFonts w:eastAsia="Times New Roman" w:cs="Times New Roman"/>
                <w:iCs/>
                <w:color w:val="000000"/>
                <w:lang w:eastAsia="en-GB"/>
              </w:rPr>
              <w:t xml:space="preserve"> </w:t>
            </w:r>
            <w:r w:rsidRPr="00653BF5">
              <w:rPr>
                <w:rFonts w:eastAsia="Times New Roman" w:cs="Times New Roman"/>
                <w:iCs/>
                <w:color w:val="000000"/>
                <w:lang w:eastAsia="en-GB"/>
              </w:rPr>
              <w:t>(mg/L)</w:t>
            </w:r>
          </w:p>
        </w:tc>
        <w:tc>
          <w:tcPr>
            <w:tcW w:w="0" w:type="auto"/>
            <w:noWrap/>
            <w:vAlign w:val="center"/>
            <w:hideMark/>
          </w:tcPr>
          <w:p w14:paraId="557A1CCA"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1.5</w:t>
            </w:r>
          </w:p>
        </w:tc>
        <w:tc>
          <w:tcPr>
            <w:tcW w:w="0" w:type="auto"/>
            <w:noWrap/>
            <w:vAlign w:val="center"/>
            <w:hideMark/>
          </w:tcPr>
          <w:p w14:paraId="48AF4AD9"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6</w:t>
            </w:r>
          </w:p>
        </w:tc>
        <w:tc>
          <w:tcPr>
            <w:tcW w:w="0" w:type="auto"/>
            <w:noWrap/>
            <w:vAlign w:val="center"/>
            <w:hideMark/>
          </w:tcPr>
          <w:p w14:paraId="07D73C07"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17.6</w:t>
            </w:r>
          </w:p>
        </w:tc>
        <w:tc>
          <w:tcPr>
            <w:tcW w:w="0" w:type="auto"/>
            <w:noWrap/>
            <w:vAlign w:val="center"/>
            <w:hideMark/>
          </w:tcPr>
          <w:p w14:paraId="6726A02C"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1.3</w:t>
            </w:r>
          </w:p>
        </w:tc>
        <w:tc>
          <w:tcPr>
            <w:tcW w:w="0" w:type="auto"/>
            <w:noWrap/>
            <w:vAlign w:val="center"/>
            <w:hideMark/>
          </w:tcPr>
          <w:p w14:paraId="4FDBAAB3" w14:textId="77777777" w:rsidR="00ED2DE4" w:rsidRPr="00387870" w:rsidRDefault="00ED2DE4" w:rsidP="001F4D09">
            <w:pPr>
              <w:jc w:val="center"/>
              <w:rPr>
                <w:rFonts w:eastAsia="Times New Roman" w:cs="Times New Roman"/>
                <w:i/>
                <w:iCs/>
                <w:color w:val="000000"/>
                <w:lang w:eastAsia="en-GB"/>
              </w:rPr>
            </w:pPr>
            <w:r w:rsidRPr="00387870">
              <w:rPr>
                <w:rFonts w:eastAsia="Times New Roman" w:cs="Times New Roman"/>
                <w:iCs/>
                <w:color w:val="000000"/>
                <w:lang w:eastAsia="en-GB"/>
              </w:rPr>
              <w:t>6.04</w:t>
            </w:r>
          </w:p>
        </w:tc>
      </w:tr>
    </w:tbl>
    <w:p w14:paraId="12A1263F" w14:textId="77777777" w:rsidR="00ED2DE4" w:rsidRPr="00E45C91" w:rsidRDefault="00ED2DE4" w:rsidP="00ED2DE4"/>
    <w:p w14:paraId="4B44F00A" w14:textId="77777777" w:rsidR="00ED2DE4" w:rsidRDefault="00ED2DE4" w:rsidP="00ED2DE4">
      <w:pPr>
        <w:spacing w:after="0"/>
        <w:jc w:val="left"/>
      </w:pPr>
    </w:p>
    <w:p w14:paraId="2EB98F78" w14:textId="7932CEEE" w:rsidR="00ED2DE4" w:rsidRPr="00E974DC" w:rsidRDefault="00ED2DE4" w:rsidP="00ED2DE4">
      <w:pPr>
        <w:spacing w:after="0"/>
      </w:pPr>
      <w:r w:rsidRPr="00E974DC">
        <w:t xml:space="preserve">Table </w:t>
      </w:r>
      <w:r>
        <w:t>3</w:t>
      </w:r>
      <w:r w:rsidRPr="00E974DC">
        <w:t>. Class</w:t>
      </w:r>
      <w:r>
        <w:t>-</w:t>
      </w:r>
      <w:r w:rsidRPr="00E974DC">
        <w:t xml:space="preserve">wise summary of NPLS-GWQI scores and neutrosophic membership components for the sampled groundwater. </w:t>
      </w:r>
    </w:p>
    <w:tbl>
      <w:tblPr>
        <w:tblStyle w:val="Manu"/>
        <w:tblW w:w="0" w:type="auto"/>
        <w:tblLook w:val="04A0" w:firstRow="1" w:lastRow="0" w:firstColumn="1" w:lastColumn="0" w:noHBand="0" w:noVBand="1"/>
      </w:tblPr>
      <w:tblGrid>
        <w:gridCol w:w="1408"/>
        <w:gridCol w:w="1469"/>
        <w:gridCol w:w="1964"/>
        <w:gridCol w:w="2043"/>
      </w:tblGrid>
      <w:tr w:rsidR="00ED2DE4" w:rsidRPr="00E974DC" w14:paraId="2947FE8B"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noWrap/>
            <w:hideMark/>
          </w:tcPr>
          <w:p w14:paraId="1FC1AE49" w14:textId="77777777" w:rsidR="00ED2DE4" w:rsidRPr="00E974DC" w:rsidRDefault="00ED2DE4" w:rsidP="001F4D09">
            <w:pPr>
              <w:rPr>
                <w:rFonts w:eastAsiaTheme="minorHAnsi"/>
                <w:i/>
                <w:iCs/>
              </w:rPr>
            </w:pPr>
            <w:r w:rsidRPr="00E974DC">
              <w:rPr>
                <w:rFonts w:eastAsiaTheme="minorHAnsi"/>
                <w:iCs/>
              </w:rPr>
              <w:t>Quality Class</w:t>
            </w:r>
          </w:p>
        </w:tc>
        <w:tc>
          <w:tcPr>
            <w:tcW w:w="0" w:type="auto"/>
            <w:noWrap/>
            <w:hideMark/>
          </w:tcPr>
          <w:p w14:paraId="6447E921" w14:textId="77777777" w:rsidR="00ED2DE4" w:rsidRPr="00E974DC" w:rsidRDefault="00ED2DE4" w:rsidP="001F4D09">
            <w:pPr>
              <w:rPr>
                <w:rFonts w:eastAsiaTheme="minorHAnsi"/>
                <w:i/>
                <w:iCs/>
              </w:rPr>
            </w:pPr>
            <w:r w:rsidRPr="00E974DC">
              <w:rPr>
                <w:rFonts w:eastAsiaTheme="minorHAnsi"/>
                <w:iCs/>
              </w:rPr>
              <w:t>Sample Count</w:t>
            </w:r>
          </w:p>
        </w:tc>
        <w:tc>
          <w:tcPr>
            <w:tcW w:w="0" w:type="auto"/>
            <w:noWrap/>
            <w:hideMark/>
          </w:tcPr>
          <w:p w14:paraId="35C78330" w14:textId="77777777" w:rsidR="00ED2DE4" w:rsidRPr="00E974DC" w:rsidRDefault="00ED2DE4" w:rsidP="001F4D09">
            <w:pPr>
              <w:rPr>
                <w:rFonts w:eastAsiaTheme="minorHAnsi"/>
                <w:i/>
                <w:iCs/>
              </w:rPr>
            </w:pPr>
            <w:r w:rsidRPr="00E974DC">
              <w:rPr>
                <w:rFonts w:eastAsiaTheme="minorHAnsi"/>
                <w:iCs/>
              </w:rPr>
              <w:t>Mean NPLS GWQI</w:t>
            </w:r>
          </w:p>
        </w:tc>
        <w:tc>
          <w:tcPr>
            <w:tcW w:w="0" w:type="auto"/>
            <w:noWrap/>
            <w:hideMark/>
          </w:tcPr>
          <w:p w14:paraId="42008701" w14:textId="77777777" w:rsidR="00ED2DE4" w:rsidRPr="00E974DC" w:rsidRDefault="00ED2DE4" w:rsidP="001F4D09">
            <w:pPr>
              <w:rPr>
                <w:rFonts w:eastAsiaTheme="minorHAnsi"/>
                <w:i/>
                <w:iCs/>
              </w:rPr>
            </w:pPr>
            <w:r w:rsidRPr="00E974DC">
              <w:rPr>
                <w:rFonts w:eastAsiaTheme="minorHAnsi"/>
                <w:iCs/>
              </w:rPr>
              <w:t>Mean Indeterminacy</w:t>
            </w:r>
          </w:p>
        </w:tc>
      </w:tr>
      <w:tr w:rsidR="00ED2DE4" w:rsidRPr="00E974DC" w14:paraId="031E700A" w14:textId="77777777" w:rsidTr="001F4D09">
        <w:trPr>
          <w:trHeight w:val="300"/>
        </w:trPr>
        <w:tc>
          <w:tcPr>
            <w:tcW w:w="0" w:type="auto"/>
            <w:noWrap/>
            <w:hideMark/>
          </w:tcPr>
          <w:p w14:paraId="49FCD16B" w14:textId="77777777" w:rsidR="00ED2DE4" w:rsidRPr="00E974DC" w:rsidRDefault="00ED2DE4" w:rsidP="001F4D09">
            <w:pPr>
              <w:rPr>
                <w:rFonts w:eastAsiaTheme="minorHAnsi"/>
                <w:i/>
                <w:iCs/>
              </w:rPr>
            </w:pPr>
            <w:r w:rsidRPr="00E974DC">
              <w:rPr>
                <w:rFonts w:eastAsiaTheme="minorHAnsi"/>
                <w:iCs/>
              </w:rPr>
              <w:t>Excellent</w:t>
            </w:r>
          </w:p>
        </w:tc>
        <w:tc>
          <w:tcPr>
            <w:tcW w:w="0" w:type="auto"/>
            <w:noWrap/>
            <w:hideMark/>
          </w:tcPr>
          <w:p w14:paraId="02FAD52F" w14:textId="77777777" w:rsidR="00ED2DE4" w:rsidRPr="00E974DC" w:rsidRDefault="00ED2DE4" w:rsidP="001F4D09">
            <w:pPr>
              <w:rPr>
                <w:rFonts w:eastAsiaTheme="minorHAnsi"/>
                <w:i/>
                <w:iCs/>
              </w:rPr>
            </w:pPr>
            <w:r w:rsidRPr="00E974DC">
              <w:rPr>
                <w:rFonts w:eastAsiaTheme="minorHAnsi"/>
                <w:iCs/>
              </w:rPr>
              <w:t>25</w:t>
            </w:r>
          </w:p>
        </w:tc>
        <w:tc>
          <w:tcPr>
            <w:tcW w:w="0" w:type="auto"/>
            <w:noWrap/>
            <w:hideMark/>
          </w:tcPr>
          <w:p w14:paraId="6BD12159" w14:textId="77777777" w:rsidR="00ED2DE4" w:rsidRPr="00E974DC" w:rsidRDefault="00ED2DE4" w:rsidP="001F4D09">
            <w:pPr>
              <w:rPr>
                <w:rFonts w:eastAsiaTheme="minorHAnsi"/>
                <w:i/>
                <w:iCs/>
              </w:rPr>
            </w:pPr>
            <w:r w:rsidRPr="00E974DC">
              <w:rPr>
                <w:rFonts w:eastAsiaTheme="minorHAnsi"/>
                <w:iCs/>
              </w:rPr>
              <w:t>29.697</w:t>
            </w:r>
          </w:p>
        </w:tc>
        <w:tc>
          <w:tcPr>
            <w:tcW w:w="0" w:type="auto"/>
            <w:noWrap/>
            <w:hideMark/>
          </w:tcPr>
          <w:p w14:paraId="50F932CB" w14:textId="77777777" w:rsidR="00ED2DE4" w:rsidRPr="00E974DC" w:rsidRDefault="00ED2DE4" w:rsidP="001F4D09">
            <w:pPr>
              <w:rPr>
                <w:rFonts w:eastAsiaTheme="minorHAnsi"/>
                <w:i/>
                <w:iCs/>
              </w:rPr>
            </w:pPr>
            <w:r w:rsidRPr="00E974DC">
              <w:rPr>
                <w:rFonts w:eastAsiaTheme="minorHAnsi"/>
                <w:iCs/>
              </w:rPr>
              <w:t>0.117</w:t>
            </w:r>
          </w:p>
        </w:tc>
      </w:tr>
      <w:tr w:rsidR="00ED2DE4" w:rsidRPr="00E974DC" w14:paraId="7945F8BE" w14:textId="77777777" w:rsidTr="001F4D09">
        <w:trPr>
          <w:trHeight w:val="300"/>
        </w:trPr>
        <w:tc>
          <w:tcPr>
            <w:tcW w:w="0" w:type="auto"/>
            <w:noWrap/>
            <w:hideMark/>
          </w:tcPr>
          <w:p w14:paraId="41BCDE63" w14:textId="77777777" w:rsidR="00ED2DE4" w:rsidRPr="00E974DC" w:rsidRDefault="00ED2DE4" w:rsidP="001F4D09">
            <w:pPr>
              <w:rPr>
                <w:rFonts w:eastAsiaTheme="minorHAnsi"/>
                <w:i/>
                <w:iCs/>
              </w:rPr>
            </w:pPr>
            <w:r w:rsidRPr="00E974DC">
              <w:rPr>
                <w:rFonts w:eastAsiaTheme="minorHAnsi"/>
                <w:iCs/>
              </w:rPr>
              <w:t>Good</w:t>
            </w:r>
          </w:p>
        </w:tc>
        <w:tc>
          <w:tcPr>
            <w:tcW w:w="0" w:type="auto"/>
            <w:noWrap/>
            <w:hideMark/>
          </w:tcPr>
          <w:p w14:paraId="05AC62FF" w14:textId="77777777" w:rsidR="00ED2DE4" w:rsidRPr="00E974DC" w:rsidRDefault="00ED2DE4" w:rsidP="001F4D09">
            <w:pPr>
              <w:rPr>
                <w:rFonts w:eastAsiaTheme="minorHAnsi"/>
                <w:i/>
                <w:iCs/>
              </w:rPr>
            </w:pPr>
            <w:r w:rsidRPr="00E974DC">
              <w:rPr>
                <w:rFonts w:eastAsiaTheme="minorHAnsi"/>
                <w:iCs/>
              </w:rPr>
              <w:t>1</w:t>
            </w:r>
          </w:p>
        </w:tc>
        <w:tc>
          <w:tcPr>
            <w:tcW w:w="0" w:type="auto"/>
            <w:noWrap/>
            <w:hideMark/>
          </w:tcPr>
          <w:p w14:paraId="415E91C0" w14:textId="77777777" w:rsidR="00ED2DE4" w:rsidRPr="00E974DC" w:rsidRDefault="00ED2DE4" w:rsidP="001F4D09">
            <w:pPr>
              <w:rPr>
                <w:rFonts w:eastAsiaTheme="minorHAnsi"/>
                <w:i/>
                <w:iCs/>
              </w:rPr>
            </w:pPr>
            <w:r w:rsidRPr="00E974DC">
              <w:rPr>
                <w:rFonts w:eastAsiaTheme="minorHAnsi"/>
                <w:iCs/>
              </w:rPr>
              <w:t>51.072</w:t>
            </w:r>
          </w:p>
        </w:tc>
        <w:tc>
          <w:tcPr>
            <w:tcW w:w="0" w:type="auto"/>
            <w:noWrap/>
            <w:hideMark/>
          </w:tcPr>
          <w:p w14:paraId="640A46AB" w14:textId="77777777" w:rsidR="00ED2DE4" w:rsidRPr="00E974DC" w:rsidRDefault="00ED2DE4" w:rsidP="001F4D09">
            <w:pPr>
              <w:rPr>
                <w:rFonts w:eastAsiaTheme="minorHAnsi"/>
                <w:i/>
                <w:iCs/>
              </w:rPr>
            </w:pPr>
            <w:r w:rsidRPr="00E974DC">
              <w:rPr>
                <w:rFonts w:eastAsiaTheme="minorHAnsi"/>
                <w:iCs/>
              </w:rPr>
              <w:t>0.191</w:t>
            </w:r>
          </w:p>
        </w:tc>
      </w:tr>
      <w:tr w:rsidR="00ED2DE4" w:rsidRPr="00E974DC" w14:paraId="78B38744" w14:textId="77777777" w:rsidTr="001F4D09">
        <w:trPr>
          <w:trHeight w:val="300"/>
        </w:trPr>
        <w:tc>
          <w:tcPr>
            <w:tcW w:w="0" w:type="auto"/>
            <w:noWrap/>
            <w:hideMark/>
          </w:tcPr>
          <w:p w14:paraId="0C647D13" w14:textId="77777777" w:rsidR="00ED2DE4" w:rsidRPr="00E974DC" w:rsidRDefault="00ED2DE4" w:rsidP="001F4D09">
            <w:pPr>
              <w:rPr>
                <w:rFonts w:eastAsiaTheme="minorHAnsi"/>
                <w:i/>
                <w:iCs/>
              </w:rPr>
            </w:pPr>
            <w:r w:rsidRPr="00E974DC">
              <w:rPr>
                <w:rFonts w:eastAsiaTheme="minorHAnsi"/>
                <w:iCs/>
              </w:rPr>
              <w:t>Poor</w:t>
            </w:r>
          </w:p>
        </w:tc>
        <w:tc>
          <w:tcPr>
            <w:tcW w:w="0" w:type="auto"/>
            <w:noWrap/>
            <w:hideMark/>
          </w:tcPr>
          <w:p w14:paraId="061EF2AF" w14:textId="77777777" w:rsidR="00ED2DE4" w:rsidRPr="00E974DC" w:rsidRDefault="00ED2DE4" w:rsidP="001F4D09">
            <w:pPr>
              <w:rPr>
                <w:rFonts w:eastAsiaTheme="minorHAnsi"/>
                <w:i/>
                <w:iCs/>
              </w:rPr>
            </w:pPr>
            <w:r w:rsidRPr="00E974DC">
              <w:rPr>
                <w:rFonts w:eastAsiaTheme="minorHAnsi"/>
                <w:iCs/>
              </w:rPr>
              <w:t>1</w:t>
            </w:r>
          </w:p>
        </w:tc>
        <w:tc>
          <w:tcPr>
            <w:tcW w:w="0" w:type="auto"/>
            <w:noWrap/>
            <w:hideMark/>
          </w:tcPr>
          <w:p w14:paraId="6C50E090" w14:textId="77777777" w:rsidR="00ED2DE4" w:rsidRPr="00E974DC" w:rsidRDefault="00ED2DE4" w:rsidP="001F4D09">
            <w:pPr>
              <w:rPr>
                <w:rFonts w:eastAsiaTheme="minorHAnsi"/>
                <w:i/>
                <w:iCs/>
              </w:rPr>
            </w:pPr>
            <w:r w:rsidRPr="00E974DC">
              <w:rPr>
                <w:rFonts w:eastAsiaTheme="minorHAnsi"/>
                <w:iCs/>
              </w:rPr>
              <w:t>148.109</w:t>
            </w:r>
          </w:p>
        </w:tc>
        <w:tc>
          <w:tcPr>
            <w:tcW w:w="0" w:type="auto"/>
            <w:noWrap/>
            <w:hideMark/>
          </w:tcPr>
          <w:p w14:paraId="75C3EEF8" w14:textId="77777777" w:rsidR="00ED2DE4" w:rsidRPr="00E974DC" w:rsidRDefault="00ED2DE4" w:rsidP="001F4D09">
            <w:pPr>
              <w:rPr>
                <w:rFonts w:eastAsiaTheme="minorHAnsi"/>
                <w:i/>
                <w:iCs/>
              </w:rPr>
            </w:pPr>
            <w:r w:rsidRPr="00E974DC">
              <w:rPr>
                <w:rFonts w:eastAsiaTheme="minorHAnsi"/>
                <w:iCs/>
              </w:rPr>
              <w:t>0.083</w:t>
            </w:r>
          </w:p>
        </w:tc>
      </w:tr>
      <w:tr w:rsidR="00ED2DE4" w:rsidRPr="00E974DC" w14:paraId="5989082F" w14:textId="77777777" w:rsidTr="001F4D09">
        <w:trPr>
          <w:trHeight w:val="300"/>
        </w:trPr>
        <w:tc>
          <w:tcPr>
            <w:tcW w:w="0" w:type="auto"/>
            <w:noWrap/>
            <w:hideMark/>
          </w:tcPr>
          <w:p w14:paraId="1A59408E" w14:textId="77777777" w:rsidR="00ED2DE4" w:rsidRPr="00E974DC" w:rsidRDefault="00ED2DE4" w:rsidP="001F4D09">
            <w:pPr>
              <w:rPr>
                <w:rFonts w:eastAsiaTheme="minorHAnsi"/>
                <w:i/>
                <w:iCs/>
              </w:rPr>
            </w:pPr>
            <w:r w:rsidRPr="00E974DC">
              <w:rPr>
                <w:rFonts w:eastAsiaTheme="minorHAnsi"/>
                <w:iCs/>
              </w:rPr>
              <w:t>Very Poor</w:t>
            </w:r>
          </w:p>
        </w:tc>
        <w:tc>
          <w:tcPr>
            <w:tcW w:w="0" w:type="auto"/>
            <w:noWrap/>
            <w:hideMark/>
          </w:tcPr>
          <w:p w14:paraId="6D0E3D02" w14:textId="77777777" w:rsidR="00ED2DE4" w:rsidRPr="00E974DC" w:rsidRDefault="00ED2DE4" w:rsidP="001F4D09">
            <w:pPr>
              <w:rPr>
                <w:rFonts w:eastAsiaTheme="minorHAnsi"/>
                <w:i/>
                <w:iCs/>
              </w:rPr>
            </w:pPr>
            <w:r w:rsidRPr="00E974DC">
              <w:rPr>
                <w:rFonts w:eastAsiaTheme="minorHAnsi"/>
                <w:iCs/>
              </w:rPr>
              <w:t>3</w:t>
            </w:r>
          </w:p>
        </w:tc>
        <w:tc>
          <w:tcPr>
            <w:tcW w:w="0" w:type="auto"/>
            <w:noWrap/>
            <w:hideMark/>
          </w:tcPr>
          <w:p w14:paraId="5647631F" w14:textId="77777777" w:rsidR="00ED2DE4" w:rsidRPr="00E974DC" w:rsidRDefault="00ED2DE4" w:rsidP="001F4D09">
            <w:pPr>
              <w:rPr>
                <w:rFonts w:eastAsiaTheme="minorHAnsi"/>
                <w:i/>
                <w:iCs/>
              </w:rPr>
            </w:pPr>
            <w:r w:rsidRPr="00E974DC">
              <w:rPr>
                <w:rFonts w:eastAsiaTheme="minorHAnsi"/>
                <w:iCs/>
              </w:rPr>
              <w:t>274.478</w:t>
            </w:r>
          </w:p>
        </w:tc>
        <w:tc>
          <w:tcPr>
            <w:tcW w:w="0" w:type="auto"/>
            <w:noWrap/>
            <w:hideMark/>
          </w:tcPr>
          <w:p w14:paraId="0BB27D99" w14:textId="77777777" w:rsidR="00ED2DE4" w:rsidRPr="00E974DC" w:rsidRDefault="00ED2DE4" w:rsidP="001F4D09">
            <w:pPr>
              <w:rPr>
                <w:rFonts w:eastAsiaTheme="minorHAnsi"/>
                <w:i/>
                <w:iCs/>
              </w:rPr>
            </w:pPr>
            <w:r w:rsidRPr="00E974DC">
              <w:rPr>
                <w:rFonts w:eastAsiaTheme="minorHAnsi"/>
                <w:iCs/>
              </w:rPr>
              <w:t>0.089</w:t>
            </w:r>
          </w:p>
        </w:tc>
      </w:tr>
      <w:tr w:rsidR="00ED2DE4" w:rsidRPr="00E974DC" w14:paraId="77D2C03A" w14:textId="77777777" w:rsidTr="001F4D09">
        <w:trPr>
          <w:trHeight w:val="300"/>
        </w:trPr>
        <w:tc>
          <w:tcPr>
            <w:tcW w:w="0" w:type="auto"/>
            <w:noWrap/>
            <w:hideMark/>
          </w:tcPr>
          <w:p w14:paraId="790BD65A" w14:textId="77777777" w:rsidR="00ED2DE4" w:rsidRPr="00E974DC" w:rsidRDefault="00ED2DE4" w:rsidP="001F4D09">
            <w:pPr>
              <w:rPr>
                <w:rFonts w:eastAsiaTheme="minorHAnsi"/>
                <w:i/>
                <w:iCs/>
              </w:rPr>
            </w:pPr>
            <w:r w:rsidRPr="00E974DC">
              <w:rPr>
                <w:rFonts w:eastAsiaTheme="minorHAnsi"/>
                <w:iCs/>
              </w:rPr>
              <w:t>Unsuitable</w:t>
            </w:r>
          </w:p>
        </w:tc>
        <w:tc>
          <w:tcPr>
            <w:tcW w:w="0" w:type="auto"/>
            <w:noWrap/>
            <w:hideMark/>
          </w:tcPr>
          <w:p w14:paraId="562B2E62" w14:textId="77777777" w:rsidR="00ED2DE4" w:rsidRPr="00E974DC" w:rsidRDefault="00ED2DE4" w:rsidP="001F4D09">
            <w:pPr>
              <w:rPr>
                <w:rFonts w:eastAsiaTheme="minorHAnsi"/>
                <w:i/>
                <w:iCs/>
              </w:rPr>
            </w:pPr>
            <w:r w:rsidRPr="00E974DC">
              <w:rPr>
                <w:rFonts w:eastAsiaTheme="minorHAnsi"/>
                <w:iCs/>
              </w:rPr>
              <w:t>4</w:t>
            </w:r>
          </w:p>
        </w:tc>
        <w:tc>
          <w:tcPr>
            <w:tcW w:w="0" w:type="auto"/>
            <w:noWrap/>
            <w:hideMark/>
          </w:tcPr>
          <w:p w14:paraId="519F50D3" w14:textId="77777777" w:rsidR="00ED2DE4" w:rsidRPr="00E974DC" w:rsidRDefault="00ED2DE4" w:rsidP="001F4D09">
            <w:pPr>
              <w:rPr>
                <w:rFonts w:eastAsiaTheme="minorHAnsi"/>
                <w:i/>
                <w:iCs/>
              </w:rPr>
            </w:pPr>
            <w:r w:rsidRPr="00E974DC">
              <w:rPr>
                <w:rFonts w:eastAsiaTheme="minorHAnsi"/>
                <w:iCs/>
              </w:rPr>
              <w:t>476.532</w:t>
            </w:r>
          </w:p>
        </w:tc>
        <w:tc>
          <w:tcPr>
            <w:tcW w:w="0" w:type="auto"/>
            <w:noWrap/>
            <w:hideMark/>
          </w:tcPr>
          <w:p w14:paraId="67EC85B8" w14:textId="77777777" w:rsidR="00ED2DE4" w:rsidRPr="00E974DC" w:rsidRDefault="00ED2DE4" w:rsidP="001F4D09">
            <w:pPr>
              <w:rPr>
                <w:rFonts w:eastAsiaTheme="minorHAnsi"/>
                <w:i/>
                <w:iCs/>
              </w:rPr>
            </w:pPr>
            <w:r w:rsidRPr="00E974DC">
              <w:rPr>
                <w:rFonts w:eastAsiaTheme="minorHAnsi"/>
                <w:iCs/>
              </w:rPr>
              <w:t>0.034</w:t>
            </w:r>
          </w:p>
        </w:tc>
      </w:tr>
    </w:tbl>
    <w:p w14:paraId="6B256FD9" w14:textId="77777777" w:rsidR="00ED2DE4" w:rsidRPr="00E974DC" w:rsidRDefault="00ED2DE4" w:rsidP="00ED2DE4"/>
    <w:p w14:paraId="1640BE90" w14:textId="77777777" w:rsidR="00ED2DE4" w:rsidRDefault="00ED2DE4" w:rsidP="00ED2DE4"/>
    <w:p w14:paraId="768F60B9" w14:textId="77777777" w:rsidR="00ED2DE4" w:rsidRPr="00E45C91" w:rsidRDefault="00ED2DE4" w:rsidP="00ED2DE4">
      <w:pPr>
        <w:spacing w:after="0"/>
      </w:pPr>
      <w:r>
        <w:lastRenderedPageBreak/>
        <w:t xml:space="preserve">Table 4. </w:t>
      </w:r>
      <w:r w:rsidRPr="00E45C91">
        <w:t>Variable-importance weights for the hydrochemical inputs contributing to the NPLS-GWQI model.</w:t>
      </w:r>
    </w:p>
    <w:tbl>
      <w:tblPr>
        <w:tblStyle w:val="Manu"/>
        <w:tblW w:w="0" w:type="auto"/>
        <w:tblLook w:val="04A0" w:firstRow="1" w:lastRow="0" w:firstColumn="1" w:lastColumn="0" w:noHBand="0" w:noVBand="1"/>
      </w:tblPr>
      <w:tblGrid>
        <w:gridCol w:w="1108"/>
        <w:gridCol w:w="2367"/>
        <w:gridCol w:w="681"/>
      </w:tblGrid>
      <w:tr w:rsidR="00ED2DE4" w:rsidRPr="0096501A" w14:paraId="6FB2A350"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noWrap/>
            <w:hideMark/>
          </w:tcPr>
          <w:p w14:paraId="757E93C9" w14:textId="77777777" w:rsidR="00ED2DE4" w:rsidRPr="0096501A" w:rsidRDefault="00ED2DE4" w:rsidP="001F4D09">
            <w:pPr>
              <w:jc w:val="left"/>
              <w:rPr>
                <w:rFonts w:eastAsia="Times New Roman" w:cs="Times New Roman"/>
                <w:i/>
                <w:iCs/>
                <w:color w:val="000000"/>
                <w:lang w:eastAsia="en-GB"/>
              </w:rPr>
            </w:pPr>
            <w:bookmarkStart w:id="44" w:name="table-4.-gwqi-classification"/>
            <w:bookmarkEnd w:id="43"/>
            <w:r w:rsidRPr="0096501A">
              <w:rPr>
                <w:rFonts w:eastAsia="Times New Roman" w:cs="Times New Roman"/>
                <w:iCs/>
                <w:color w:val="000000"/>
                <w:lang w:eastAsia="en-GB"/>
              </w:rPr>
              <w:t>Parameter</w:t>
            </w:r>
          </w:p>
        </w:tc>
        <w:tc>
          <w:tcPr>
            <w:tcW w:w="0" w:type="auto"/>
            <w:noWrap/>
            <w:vAlign w:val="center"/>
            <w:hideMark/>
          </w:tcPr>
          <w:p w14:paraId="13F88C85" w14:textId="77777777" w:rsidR="00ED2DE4" w:rsidRPr="0096501A" w:rsidRDefault="00ED2DE4" w:rsidP="001F4D09">
            <w:pPr>
              <w:jc w:val="center"/>
              <w:rPr>
                <w:rFonts w:eastAsia="Times New Roman" w:cs="Times New Roman"/>
                <w:i/>
                <w:iCs/>
                <w:color w:val="000000"/>
                <w:lang w:eastAsia="en-GB"/>
              </w:rPr>
            </w:pPr>
            <w:r>
              <w:rPr>
                <w:rFonts w:eastAsia="Times New Roman" w:cs="Times New Roman"/>
                <w:iCs/>
                <w:color w:val="000000"/>
                <w:lang w:eastAsia="en-GB"/>
              </w:rPr>
              <w:t>N-</w:t>
            </w:r>
            <w:r w:rsidRPr="0096501A">
              <w:rPr>
                <w:rFonts w:eastAsia="Times New Roman" w:cs="Times New Roman"/>
                <w:iCs/>
                <w:color w:val="000000"/>
                <w:lang w:eastAsia="en-GB"/>
              </w:rPr>
              <w:t>VIP</w:t>
            </w:r>
            <w:r>
              <w:rPr>
                <w:rFonts w:eastAsia="Times New Roman" w:cs="Times New Roman"/>
                <w:iCs/>
                <w:color w:val="000000"/>
                <w:lang w:eastAsia="en-GB"/>
              </w:rPr>
              <w:t xml:space="preserve"> </w:t>
            </w:r>
            <w:r w:rsidRPr="0096501A">
              <w:rPr>
                <w:rFonts w:eastAsia="Times New Roman" w:cs="Times New Roman"/>
                <w:iCs/>
                <w:color w:val="000000"/>
                <w:lang w:eastAsia="en-GB"/>
              </w:rPr>
              <w:t>Dynamic</w:t>
            </w:r>
            <w:r>
              <w:rPr>
                <w:rFonts w:eastAsia="Times New Roman" w:cs="Times New Roman"/>
                <w:iCs/>
                <w:color w:val="000000"/>
                <w:lang w:eastAsia="en-GB"/>
              </w:rPr>
              <w:t xml:space="preserve"> </w:t>
            </w:r>
            <w:r w:rsidRPr="0096501A">
              <w:rPr>
                <w:rFonts w:eastAsia="Times New Roman" w:cs="Times New Roman"/>
                <w:iCs/>
                <w:color w:val="000000"/>
                <w:lang w:eastAsia="en-GB"/>
              </w:rPr>
              <w:t>Weight</w:t>
            </w:r>
          </w:p>
        </w:tc>
        <w:tc>
          <w:tcPr>
            <w:tcW w:w="0" w:type="auto"/>
            <w:noWrap/>
            <w:vAlign w:val="center"/>
            <w:hideMark/>
          </w:tcPr>
          <w:p w14:paraId="41337F97"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Rank</w:t>
            </w:r>
          </w:p>
        </w:tc>
      </w:tr>
      <w:tr w:rsidR="00ED2DE4" w:rsidRPr="0096501A" w14:paraId="4D3F2D95" w14:textId="77777777" w:rsidTr="001F4D09">
        <w:trPr>
          <w:trHeight w:val="300"/>
        </w:trPr>
        <w:tc>
          <w:tcPr>
            <w:tcW w:w="0" w:type="auto"/>
            <w:noWrap/>
            <w:hideMark/>
          </w:tcPr>
          <w:p w14:paraId="33301DA3"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EC</w:t>
            </w:r>
          </w:p>
        </w:tc>
        <w:tc>
          <w:tcPr>
            <w:tcW w:w="0" w:type="auto"/>
            <w:noWrap/>
            <w:vAlign w:val="center"/>
            <w:hideMark/>
          </w:tcPr>
          <w:p w14:paraId="57EDCD81"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0.1019</w:t>
            </w:r>
          </w:p>
        </w:tc>
        <w:tc>
          <w:tcPr>
            <w:tcW w:w="0" w:type="auto"/>
            <w:noWrap/>
            <w:vAlign w:val="center"/>
            <w:hideMark/>
          </w:tcPr>
          <w:p w14:paraId="58F1BF27"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1</w:t>
            </w:r>
          </w:p>
        </w:tc>
      </w:tr>
      <w:tr w:rsidR="00ED2DE4" w:rsidRPr="0096501A" w14:paraId="619C345C" w14:textId="77777777" w:rsidTr="001F4D09">
        <w:trPr>
          <w:trHeight w:val="300"/>
        </w:trPr>
        <w:tc>
          <w:tcPr>
            <w:tcW w:w="0" w:type="auto"/>
            <w:noWrap/>
            <w:hideMark/>
          </w:tcPr>
          <w:p w14:paraId="0BC494FC"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Cl</w:t>
            </w:r>
          </w:p>
        </w:tc>
        <w:tc>
          <w:tcPr>
            <w:tcW w:w="0" w:type="auto"/>
            <w:noWrap/>
            <w:vAlign w:val="center"/>
            <w:hideMark/>
          </w:tcPr>
          <w:p w14:paraId="0F943196"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0.1012</w:t>
            </w:r>
          </w:p>
        </w:tc>
        <w:tc>
          <w:tcPr>
            <w:tcW w:w="0" w:type="auto"/>
            <w:noWrap/>
            <w:vAlign w:val="center"/>
            <w:hideMark/>
          </w:tcPr>
          <w:p w14:paraId="433EF726"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2</w:t>
            </w:r>
          </w:p>
        </w:tc>
      </w:tr>
      <w:tr w:rsidR="00ED2DE4" w:rsidRPr="0096501A" w14:paraId="7F29185E" w14:textId="77777777" w:rsidTr="001F4D09">
        <w:trPr>
          <w:trHeight w:val="300"/>
        </w:trPr>
        <w:tc>
          <w:tcPr>
            <w:tcW w:w="0" w:type="auto"/>
            <w:noWrap/>
            <w:hideMark/>
          </w:tcPr>
          <w:p w14:paraId="4091992B"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TDS</w:t>
            </w:r>
          </w:p>
        </w:tc>
        <w:tc>
          <w:tcPr>
            <w:tcW w:w="0" w:type="auto"/>
            <w:noWrap/>
            <w:vAlign w:val="center"/>
            <w:hideMark/>
          </w:tcPr>
          <w:p w14:paraId="2CADE81B"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0.1011</w:t>
            </w:r>
          </w:p>
        </w:tc>
        <w:tc>
          <w:tcPr>
            <w:tcW w:w="0" w:type="auto"/>
            <w:noWrap/>
            <w:vAlign w:val="center"/>
            <w:hideMark/>
          </w:tcPr>
          <w:p w14:paraId="26AE135A"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3</w:t>
            </w:r>
          </w:p>
        </w:tc>
      </w:tr>
      <w:tr w:rsidR="00ED2DE4" w:rsidRPr="0096501A" w14:paraId="5B4D374E" w14:textId="77777777" w:rsidTr="001F4D09">
        <w:trPr>
          <w:trHeight w:val="300"/>
        </w:trPr>
        <w:tc>
          <w:tcPr>
            <w:tcW w:w="0" w:type="auto"/>
            <w:noWrap/>
            <w:hideMark/>
          </w:tcPr>
          <w:p w14:paraId="6698C296"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Ca</w:t>
            </w:r>
          </w:p>
        </w:tc>
        <w:tc>
          <w:tcPr>
            <w:tcW w:w="0" w:type="auto"/>
            <w:noWrap/>
            <w:vAlign w:val="center"/>
            <w:hideMark/>
          </w:tcPr>
          <w:p w14:paraId="0D6DD8D3"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0.0996</w:t>
            </w:r>
          </w:p>
        </w:tc>
        <w:tc>
          <w:tcPr>
            <w:tcW w:w="0" w:type="auto"/>
            <w:noWrap/>
            <w:vAlign w:val="center"/>
            <w:hideMark/>
          </w:tcPr>
          <w:p w14:paraId="4A23D272"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4</w:t>
            </w:r>
          </w:p>
        </w:tc>
      </w:tr>
      <w:tr w:rsidR="00ED2DE4" w:rsidRPr="0096501A" w14:paraId="70B3542B" w14:textId="77777777" w:rsidTr="001F4D09">
        <w:trPr>
          <w:trHeight w:val="300"/>
        </w:trPr>
        <w:tc>
          <w:tcPr>
            <w:tcW w:w="0" w:type="auto"/>
            <w:noWrap/>
            <w:hideMark/>
          </w:tcPr>
          <w:p w14:paraId="3C4F87A6"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K</w:t>
            </w:r>
          </w:p>
        </w:tc>
        <w:tc>
          <w:tcPr>
            <w:tcW w:w="0" w:type="auto"/>
            <w:noWrap/>
            <w:vAlign w:val="center"/>
            <w:hideMark/>
          </w:tcPr>
          <w:p w14:paraId="5213BCC0"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0.0956</w:t>
            </w:r>
          </w:p>
        </w:tc>
        <w:tc>
          <w:tcPr>
            <w:tcW w:w="0" w:type="auto"/>
            <w:noWrap/>
            <w:vAlign w:val="center"/>
            <w:hideMark/>
          </w:tcPr>
          <w:p w14:paraId="5A3CFC99"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5</w:t>
            </w:r>
          </w:p>
        </w:tc>
      </w:tr>
      <w:tr w:rsidR="00ED2DE4" w:rsidRPr="0096501A" w14:paraId="4F14478F" w14:textId="77777777" w:rsidTr="001F4D09">
        <w:trPr>
          <w:trHeight w:val="300"/>
        </w:trPr>
        <w:tc>
          <w:tcPr>
            <w:tcW w:w="0" w:type="auto"/>
            <w:noWrap/>
            <w:hideMark/>
          </w:tcPr>
          <w:p w14:paraId="2AB0E69D"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Na</w:t>
            </w:r>
          </w:p>
        </w:tc>
        <w:tc>
          <w:tcPr>
            <w:tcW w:w="0" w:type="auto"/>
            <w:noWrap/>
            <w:vAlign w:val="center"/>
            <w:hideMark/>
          </w:tcPr>
          <w:p w14:paraId="5F8BEB93"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0.0945</w:t>
            </w:r>
          </w:p>
        </w:tc>
        <w:tc>
          <w:tcPr>
            <w:tcW w:w="0" w:type="auto"/>
            <w:noWrap/>
            <w:vAlign w:val="center"/>
            <w:hideMark/>
          </w:tcPr>
          <w:p w14:paraId="15D95EBD"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6</w:t>
            </w:r>
          </w:p>
        </w:tc>
      </w:tr>
      <w:tr w:rsidR="00ED2DE4" w:rsidRPr="0096501A" w14:paraId="25625554" w14:textId="77777777" w:rsidTr="001F4D09">
        <w:trPr>
          <w:trHeight w:val="300"/>
        </w:trPr>
        <w:tc>
          <w:tcPr>
            <w:tcW w:w="0" w:type="auto"/>
            <w:noWrap/>
            <w:hideMark/>
          </w:tcPr>
          <w:p w14:paraId="580A1D0D"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F</w:t>
            </w:r>
          </w:p>
        </w:tc>
        <w:tc>
          <w:tcPr>
            <w:tcW w:w="0" w:type="auto"/>
            <w:noWrap/>
            <w:vAlign w:val="center"/>
            <w:hideMark/>
          </w:tcPr>
          <w:p w14:paraId="17096F57"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0.0907</w:t>
            </w:r>
          </w:p>
        </w:tc>
        <w:tc>
          <w:tcPr>
            <w:tcW w:w="0" w:type="auto"/>
            <w:noWrap/>
            <w:vAlign w:val="center"/>
            <w:hideMark/>
          </w:tcPr>
          <w:p w14:paraId="60011A7F"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7</w:t>
            </w:r>
          </w:p>
        </w:tc>
      </w:tr>
      <w:tr w:rsidR="00ED2DE4" w:rsidRPr="0096501A" w14:paraId="18F39872" w14:textId="77777777" w:rsidTr="001F4D09">
        <w:trPr>
          <w:trHeight w:val="300"/>
        </w:trPr>
        <w:tc>
          <w:tcPr>
            <w:tcW w:w="0" w:type="auto"/>
            <w:noWrap/>
            <w:hideMark/>
          </w:tcPr>
          <w:p w14:paraId="48702D2A"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HCO3</w:t>
            </w:r>
          </w:p>
        </w:tc>
        <w:tc>
          <w:tcPr>
            <w:tcW w:w="0" w:type="auto"/>
            <w:noWrap/>
            <w:vAlign w:val="center"/>
            <w:hideMark/>
          </w:tcPr>
          <w:p w14:paraId="12818033"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0.0729</w:t>
            </w:r>
          </w:p>
        </w:tc>
        <w:tc>
          <w:tcPr>
            <w:tcW w:w="0" w:type="auto"/>
            <w:noWrap/>
            <w:vAlign w:val="center"/>
            <w:hideMark/>
          </w:tcPr>
          <w:p w14:paraId="0D1FD323"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8</w:t>
            </w:r>
          </w:p>
        </w:tc>
      </w:tr>
      <w:tr w:rsidR="00ED2DE4" w:rsidRPr="0096501A" w14:paraId="162EAD04" w14:textId="77777777" w:rsidTr="001F4D09">
        <w:trPr>
          <w:trHeight w:val="300"/>
        </w:trPr>
        <w:tc>
          <w:tcPr>
            <w:tcW w:w="0" w:type="auto"/>
            <w:noWrap/>
            <w:hideMark/>
          </w:tcPr>
          <w:p w14:paraId="542BFFC4"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NO3</w:t>
            </w:r>
          </w:p>
        </w:tc>
        <w:tc>
          <w:tcPr>
            <w:tcW w:w="0" w:type="auto"/>
            <w:noWrap/>
            <w:vAlign w:val="center"/>
            <w:hideMark/>
          </w:tcPr>
          <w:p w14:paraId="36FFDE71"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0.0714</w:t>
            </w:r>
          </w:p>
        </w:tc>
        <w:tc>
          <w:tcPr>
            <w:tcW w:w="0" w:type="auto"/>
            <w:noWrap/>
            <w:vAlign w:val="center"/>
            <w:hideMark/>
          </w:tcPr>
          <w:p w14:paraId="11055F88"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9</w:t>
            </w:r>
          </w:p>
        </w:tc>
      </w:tr>
      <w:tr w:rsidR="00ED2DE4" w:rsidRPr="0096501A" w14:paraId="65E77A43" w14:textId="77777777" w:rsidTr="001F4D09">
        <w:trPr>
          <w:trHeight w:val="300"/>
        </w:trPr>
        <w:tc>
          <w:tcPr>
            <w:tcW w:w="0" w:type="auto"/>
            <w:noWrap/>
            <w:hideMark/>
          </w:tcPr>
          <w:p w14:paraId="17B0264E"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Mg</w:t>
            </w:r>
          </w:p>
        </w:tc>
        <w:tc>
          <w:tcPr>
            <w:tcW w:w="0" w:type="auto"/>
            <w:noWrap/>
            <w:vAlign w:val="center"/>
            <w:hideMark/>
          </w:tcPr>
          <w:p w14:paraId="5BBA4C7C"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0.0704</w:t>
            </w:r>
          </w:p>
        </w:tc>
        <w:tc>
          <w:tcPr>
            <w:tcW w:w="0" w:type="auto"/>
            <w:noWrap/>
            <w:vAlign w:val="center"/>
            <w:hideMark/>
          </w:tcPr>
          <w:p w14:paraId="15151C33"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10</w:t>
            </w:r>
          </w:p>
        </w:tc>
      </w:tr>
      <w:tr w:rsidR="00ED2DE4" w:rsidRPr="0096501A" w14:paraId="3368FC6B" w14:textId="77777777" w:rsidTr="001F4D09">
        <w:trPr>
          <w:trHeight w:val="300"/>
        </w:trPr>
        <w:tc>
          <w:tcPr>
            <w:tcW w:w="0" w:type="auto"/>
            <w:noWrap/>
            <w:hideMark/>
          </w:tcPr>
          <w:p w14:paraId="7C4A3CD8"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SO4</w:t>
            </w:r>
          </w:p>
        </w:tc>
        <w:tc>
          <w:tcPr>
            <w:tcW w:w="0" w:type="auto"/>
            <w:noWrap/>
            <w:vAlign w:val="center"/>
            <w:hideMark/>
          </w:tcPr>
          <w:p w14:paraId="470D28DF"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0.0602</w:t>
            </w:r>
          </w:p>
        </w:tc>
        <w:tc>
          <w:tcPr>
            <w:tcW w:w="0" w:type="auto"/>
            <w:noWrap/>
            <w:vAlign w:val="center"/>
            <w:hideMark/>
          </w:tcPr>
          <w:p w14:paraId="5EE5DD55"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11</w:t>
            </w:r>
          </w:p>
        </w:tc>
      </w:tr>
      <w:tr w:rsidR="00ED2DE4" w:rsidRPr="0096501A" w14:paraId="4898323E" w14:textId="77777777" w:rsidTr="001F4D09">
        <w:trPr>
          <w:trHeight w:val="300"/>
        </w:trPr>
        <w:tc>
          <w:tcPr>
            <w:tcW w:w="0" w:type="auto"/>
            <w:noWrap/>
            <w:hideMark/>
          </w:tcPr>
          <w:p w14:paraId="5DA855FB" w14:textId="77777777" w:rsidR="00ED2DE4" w:rsidRPr="0096501A" w:rsidRDefault="00ED2DE4" w:rsidP="001F4D09">
            <w:pPr>
              <w:jc w:val="left"/>
              <w:rPr>
                <w:rFonts w:eastAsia="Times New Roman" w:cs="Times New Roman"/>
                <w:i/>
                <w:iCs/>
                <w:color w:val="000000"/>
                <w:lang w:eastAsia="en-GB"/>
              </w:rPr>
            </w:pPr>
            <w:r w:rsidRPr="0096501A">
              <w:rPr>
                <w:rFonts w:eastAsia="Times New Roman" w:cs="Times New Roman"/>
                <w:iCs/>
                <w:color w:val="000000"/>
                <w:lang w:eastAsia="en-GB"/>
              </w:rPr>
              <w:t>pH</w:t>
            </w:r>
          </w:p>
        </w:tc>
        <w:tc>
          <w:tcPr>
            <w:tcW w:w="0" w:type="auto"/>
            <w:noWrap/>
            <w:vAlign w:val="center"/>
            <w:hideMark/>
          </w:tcPr>
          <w:p w14:paraId="1DF77878"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0.0405</w:t>
            </w:r>
          </w:p>
        </w:tc>
        <w:tc>
          <w:tcPr>
            <w:tcW w:w="0" w:type="auto"/>
            <w:noWrap/>
            <w:vAlign w:val="center"/>
            <w:hideMark/>
          </w:tcPr>
          <w:p w14:paraId="39D557DB" w14:textId="77777777" w:rsidR="00ED2DE4" w:rsidRPr="0096501A" w:rsidRDefault="00ED2DE4" w:rsidP="001F4D09">
            <w:pPr>
              <w:jc w:val="center"/>
              <w:rPr>
                <w:rFonts w:eastAsia="Times New Roman" w:cs="Times New Roman"/>
                <w:i/>
                <w:iCs/>
                <w:color w:val="000000"/>
                <w:lang w:eastAsia="en-GB"/>
              </w:rPr>
            </w:pPr>
            <w:r w:rsidRPr="0096501A">
              <w:rPr>
                <w:rFonts w:eastAsia="Times New Roman" w:cs="Times New Roman"/>
                <w:iCs/>
                <w:color w:val="000000"/>
                <w:lang w:eastAsia="en-GB"/>
              </w:rPr>
              <w:t>12</w:t>
            </w:r>
          </w:p>
        </w:tc>
      </w:tr>
    </w:tbl>
    <w:p w14:paraId="11CC4B85" w14:textId="77777777" w:rsidR="00ED2DE4" w:rsidRPr="00E45C91" w:rsidRDefault="00ED2DE4" w:rsidP="00ED2DE4"/>
    <w:p w14:paraId="6579DC5F" w14:textId="77777777" w:rsidR="00ED2DE4" w:rsidRPr="00E45C91" w:rsidRDefault="00ED2DE4" w:rsidP="00ED2DE4">
      <w:pPr>
        <w:spacing w:after="0"/>
      </w:pPr>
      <w:bookmarkStart w:id="45" w:name="table-5.-parallel-analysis"/>
      <w:bookmarkEnd w:id="44"/>
      <w:r>
        <w:t xml:space="preserve">Table </w:t>
      </w:r>
      <w:r w:rsidRPr="00E45C91">
        <w:t>5</w:t>
      </w:r>
      <w:r>
        <w:t>.</w:t>
      </w:r>
      <w:r w:rsidRPr="00E45C91">
        <w:t xml:space="preserve"> Parallel-analysis results used to determine the number of retained compositional components. </w:t>
      </w:r>
    </w:p>
    <w:tbl>
      <w:tblPr>
        <w:tblStyle w:val="Manu"/>
        <w:tblW w:w="5000" w:type="pct"/>
        <w:tblLook w:val="04A0" w:firstRow="1" w:lastRow="0" w:firstColumn="1" w:lastColumn="0" w:noHBand="0" w:noVBand="1"/>
      </w:tblPr>
      <w:tblGrid>
        <w:gridCol w:w="1830"/>
        <w:gridCol w:w="3116"/>
        <w:gridCol w:w="3552"/>
        <w:gridCol w:w="1464"/>
      </w:tblGrid>
      <w:tr w:rsidR="00ED2DE4" w:rsidRPr="00F36377" w14:paraId="75AEB975"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918" w:type="pct"/>
            <w:noWrap/>
            <w:hideMark/>
          </w:tcPr>
          <w:p w14:paraId="0F08050D" w14:textId="77777777" w:rsidR="00ED2DE4" w:rsidRPr="00F36377" w:rsidRDefault="00ED2DE4" w:rsidP="001F4D09">
            <w:pPr>
              <w:jc w:val="left"/>
              <w:rPr>
                <w:rFonts w:eastAsia="Times New Roman" w:cs="Times New Roman"/>
                <w:i/>
                <w:iCs/>
                <w:color w:val="000000"/>
                <w:lang w:eastAsia="en-GB"/>
              </w:rPr>
            </w:pPr>
            <w:bookmarkStart w:id="46" w:name="table-6.-clr-loadings"/>
            <w:bookmarkEnd w:id="45"/>
            <w:r w:rsidRPr="00F36377">
              <w:rPr>
                <w:rFonts w:eastAsia="Times New Roman" w:cs="Times New Roman"/>
                <w:iCs/>
                <w:color w:val="000000"/>
                <w:lang w:eastAsia="en-GB"/>
              </w:rPr>
              <w:t>Component</w:t>
            </w:r>
          </w:p>
        </w:tc>
        <w:tc>
          <w:tcPr>
            <w:tcW w:w="1564" w:type="pct"/>
            <w:noWrap/>
            <w:hideMark/>
          </w:tcPr>
          <w:p w14:paraId="41B683B6" w14:textId="77777777" w:rsidR="00ED2DE4" w:rsidRPr="00F36377" w:rsidRDefault="00ED2DE4" w:rsidP="001F4D09">
            <w:pPr>
              <w:jc w:val="center"/>
              <w:rPr>
                <w:rFonts w:eastAsia="Times New Roman" w:cs="Times New Roman"/>
                <w:i/>
                <w:iCs/>
                <w:color w:val="000000"/>
                <w:lang w:eastAsia="en-GB"/>
              </w:rPr>
            </w:pPr>
            <w:r w:rsidRPr="00B30226">
              <w:rPr>
                <w:rFonts w:eastAsia="Times New Roman" w:cs="Times New Roman"/>
                <w:iCs/>
                <w:color w:val="000000"/>
                <w:lang w:eastAsia="en-GB"/>
              </w:rPr>
              <w:t>Observed Eigenvalue</w:t>
            </w:r>
          </w:p>
        </w:tc>
        <w:tc>
          <w:tcPr>
            <w:tcW w:w="1783" w:type="pct"/>
            <w:noWrap/>
            <w:hideMark/>
          </w:tcPr>
          <w:p w14:paraId="11E7BB9B"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Random</w:t>
            </w:r>
            <w:r w:rsidRPr="00B30226">
              <w:rPr>
                <w:rFonts w:eastAsia="Times New Roman" w:cs="Times New Roman"/>
                <w:iCs/>
                <w:color w:val="000000"/>
                <w:lang w:eastAsia="en-GB"/>
              </w:rPr>
              <w:t xml:space="preserve"> </w:t>
            </w:r>
            <w:r w:rsidRPr="00F36377">
              <w:rPr>
                <w:rFonts w:eastAsia="Times New Roman" w:cs="Times New Roman"/>
                <w:iCs/>
                <w:color w:val="000000"/>
                <w:lang w:eastAsia="en-GB"/>
              </w:rPr>
              <w:t>95</w:t>
            </w:r>
            <w:r w:rsidRPr="00F36377">
              <w:rPr>
                <w:rFonts w:eastAsia="Times New Roman" w:cs="Times New Roman"/>
                <w:iCs/>
                <w:color w:val="000000"/>
                <w:vertAlign w:val="superscript"/>
                <w:lang w:eastAsia="en-GB"/>
              </w:rPr>
              <w:t>th</w:t>
            </w:r>
            <w:r w:rsidRPr="00B30226">
              <w:rPr>
                <w:rFonts w:eastAsia="Times New Roman" w:cs="Times New Roman"/>
                <w:iCs/>
                <w:color w:val="000000"/>
                <w:lang w:eastAsia="en-GB"/>
              </w:rPr>
              <w:t xml:space="preserve"> </w:t>
            </w:r>
            <w:r w:rsidRPr="00F36377">
              <w:rPr>
                <w:rFonts w:eastAsia="Times New Roman" w:cs="Times New Roman"/>
                <w:iCs/>
                <w:color w:val="000000"/>
                <w:lang w:eastAsia="en-GB"/>
              </w:rPr>
              <w:t>Eigenvalue</w:t>
            </w:r>
          </w:p>
        </w:tc>
        <w:tc>
          <w:tcPr>
            <w:tcW w:w="735" w:type="pct"/>
            <w:noWrap/>
            <w:hideMark/>
          </w:tcPr>
          <w:p w14:paraId="0214DEA9"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Retained</w:t>
            </w:r>
          </w:p>
        </w:tc>
      </w:tr>
      <w:tr w:rsidR="00ED2DE4" w:rsidRPr="00F36377" w14:paraId="30842A30" w14:textId="77777777" w:rsidTr="001F4D09">
        <w:trPr>
          <w:trHeight w:val="300"/>
        </w:trPr>
        <w:tc>
          <w:tcPr>
            <w:tcW w:w="918" w:type="pct"/>
            <w:noWrap/>
            <w:hideMark/>
          </w:tcPr>
          <w:p w14:paraId="4B0DA2F5"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PC1</w:t>
            </w:r>
          </w:p>
        </w:tc>
        <w:tc>
          <w:tcPr>
            <w:tcW w:w="1564" w:type="pct"/>
            <w:noWrap/>
            <w:hideMark/>
          </w:tcPr>
          <w:p w14:paraId="65317FAC"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10.05</w:t>
            </w:r>
          </w:p>
        </w:tc>
        <w:tc>
          <w:tcPr>
            <w:tcW w:w="1783" w:type="pct"/>
            <w:noWrap/>
            <w:hideMark/>
          </w:tcPr>
          <w:p w14:paraId="36FBCE30"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2.39</w:t>
            </w:r>
          </w:p>
        </w:tc>
        <w:tc>
          <w:tcPr>
            <w:tcW w:w="735" w:type="pct"/>
            <w:noWrap/>
            <w:hideMark/>
          </w:tcPr>
          <w:p w14:paraId="7521E612"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TRUE</w:t>
            </w:r>
          </w:p>
        </w:tc>
      </w:tr>
      <w:tr w:rsidR="00ED2DE4" w:rsidRPr="00F36377" w14:paraId="138350AD" w14:textId="77777777" w:rsidTr="001F4D09">
        <w:trPr>
          <w:trHeight w:val="300"/>
        </w:trPr>
        <w:tc>
          <w:tcPr>
            <w:tcW w:w="918" w:type="pct"/>
            <w:noWrap/>
            <w:hideMark/>
          </w:tcPr>
          <w:p w14:paraId="595351C5"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PC2</w:t>
            </w:r>
          </w:p>
        </w:tc>
        <w:tc>
          <w:tcPr>
            <w:tcW w:w="1564" w:type="pct"/>
            <w:noWrap/>
            <w:hideMark/>
          </w:tcPr>
          <w:p w14:paraId="6C74E6B4"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6.81</w:t>
            </w:r>
          </w:p>
        </w:tc>
        <w:tc>
          <w:tcPr>
            <w:tcW w:w="1783" w:type="pct"/>
            <w:noWrap/>
            <w:hideMark/>
          </w:tcPr>
          <w:p w14:paraId="5BC3760F"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1.86</w:t>
            </w:r>
          </w:p>
        </w:tc>
        <w:tc>
          <w:tcPr>
            <w:tcW w:w="735" w:type="pct"/>
            <w:noWrap/>
            <w:hideMark/>
          </w:tcPr>
          <w:p w14:paraId="7495023A"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TRUE</w:t>
            </w:r>
          </w:p>
        </w:tc>
      </w:tr>
      <w:tr w:rsidR="00ED2DE4" w:rsidRPr="00F36377" w14:paraId="3A92E506" w14:textId="77777777" w:rsidTr="001F4D09">
        <w:trPr>
          <w:trHeight w:val="300"/>
        </w:trPr>
        <w:tc>
          <w:tcPr>
            <w:tcW w:w="918" w:type="pct"/>
            <w:noWrap/>
            <w:hideMark/>
          </w:tcPr>
          <w:p w14:paraId="2FBABC03"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PC3</w:t>
            </w:r>
          </w:p>
        </w:tc>
        <w:tc>
          <w:tcPr>
            <w:tcW w:w="1564" w:type="pct"/>
            <w:noWrap/>
            <w:hideMark/>
          </w:tcPr>
          <w:p w14:paraId="29CB9DA7"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5.11</w:t>
            </w:r>
          </w:p>
        </w:tc>
        <w:tc>
          <w:tcPr>
            <w:tcW w:w="1783" w:type="pct"/>
            <w:noWrap/>
            <w:hideMark/>
          </w:tcPr>
          <w:p w14:paraId="036BCBFD"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1.50</w:t>
            </w:r>
          </w:p>
        </w:tc>
        <w:tc>
          <w:tcPr>
            <w:tcW w:w="735" w:type="pct"/>
            <w:noWrap/>
            <w:hideMark/>
          </w:tcPr>
          <w:p w14:paraId="597D64DA"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TRUE</w:t>
            </w:r>
          </w:p>
        </w:tc>
      </w:tr>
      <w:tr w:rsidR="00ED2DE4" w:rsidRPr="00F36377" w14:paraId="7BB94F5D" w14:textId="77777777" w:rsidTr="001F4D09">
        <w:trPr>
          <w:trHeight w:val="300"/>
        </w:trPr>
        <w:tc>
          <w:tcPr>
            <w:tcW w:w="918" w:type="pct"/>
            <w:noWrap/>
            <w:hideMark/>
          </w:tcPr>
          <w:p w14:paraId="3068EB40"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PC4</w:t>
            </w:r>
          </w:p>
        </w:tc>
        <w:tc>
          <w:tcPr>
            <w:tcW w:w="1564" w:type="pct"/>
            <w:noWrap/>
            <w:hideMark/>
          </w:tcPr>
          <w:p w14:paraId="4415C872"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2.43</w:t>
            </w:r>
          </w:p>
        </w:tc>
        <w:tc>
          <w:tcPr>
            <w:tcW w:w="1783" w:type="pct"/>
            <w:noWrap/>
            <w:hideMark/>
          </w:tcPr>
          <w:p w14:paraId="12B7A139"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1.24</w:t>
            </w:r>
          </w:p>
        </w:tc>
        <w:tc>
          <w:tcPr>
            <w:tcW w:w="735" w:type="pct"/>
            <w:noWrap/>
            <w:hideMark/>
          </w:tcPr>
          <w:p w14:paraId="29B0B916"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TRUE</w:t>
            </w:r>
          </w:p>
        </w:tc>
      </w:tr>
      <w:tr w:rsidR="00ED2DE4" w:rsidRPr="00F36377" w14:paraId="169DCBCB" w14:textId="77777777" w:rsidTr="001F4D09">
        <w:trPr>
          <w:trHeight w:val="300"/>
        </w:trPr>
        <w:tc>
          <w:tcPr>
            <w:tcW w:w="918" w:type="pct"/>
            <w:noWrap/>
            <w:hideMark/>
          </w:tcPr>
          <w:p w14:paraId="0F26A2D7"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PC5</w:t>
            </w:r>
          </w:p>
        </w:tc>
        <w:tc>
          <w:tcPr>
            <w:tcW w:w="1564" w:type="pct"/>
            <w:noWrap/>
            <w:hideMark/>
          </w:tcPr>
          <w:p w14:paraId="5841D5EA"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1.31</w:t>
            </w:r>
          </w:p>
        </w:tc>
        <w:tc>
          <w:tcPr>
            <w:tcW w:w="1783" w:type="pct"/>
            <w:noWrap/>
            <w:hideMark/>
          </w:tcPr>
          <w:p w14:paraId="70B85A9B"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1.01</w:t>
            </w:r>
          </w:p>
        </w:tc>
        <w:tc>
          <w:tcPr>
            <w:tcW w:w="735" w:type="pct"/>
            <w:noWrap/>
            <w:hideMark/>
          </w:tcPr>
          <w:p w14:paraId="6B78DC06"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TRUE</w:t>
            </w:r>
          </w:p>
        </w:tc>
      </w:tr>
      <w:tr w:rsidR="00ED2DE4" w:rsidRPr="00F36377" w14:paraId="380D8956" w14:textId="77777777" w:rsidTr="001F4D09">
        <w:trPr>
          <w:trHeight w:val="300"/>
        </w:trPr>
        <w:tc>
          <w:tcPr>
            <w:tcW w:w="918" w:type="pct"/>
            <w:noWrap/>
            <w:hideMark/>
          </w:tcPr>
          <w:p w14:paraId="3E9FD6BB"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PC6</w:t>
            </w:r>
          </w:p>
        </w:tc>
        <w:tc>
          <w:tcPr>
            <w:tcW w:w="1564" w:type="pct"/>
            <w:noWrap/>
            <w:hideMark/>
          </w:tcPr>
          <w:p w14:paraId="14FD8F50"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0.48</w:t>
            </w:r>
          </w:p>
        </w:tc>
        <w:tc>
          <w:tcPr>
            <w:tcW w:w="1783" w:type="pct"/>
            <w:noWrap/>
            <w:hideMark/>
          </w:tcPr>
          <w:p w14:paraId="5E6FBF8F"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0.81</w:t>
            </w:r>
          </w:p>
        </w:tc>
        <w:tc>
          <w:tcPr>
            <w:tcW w:w="735" w:type="pct"/>
            <w:noWrap/>
            <w:hideMark/>
          </w:tcPr>
          <w:p w14:paraId="0014C671"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FALSE</w:t>
            </w:r>
          </w:p>
        </w:tc>
      </w:tr>
      <w:tr w:rsidR="00ED2DE4" w:rsidRPr="00F36377" w14:paraId="5B011DA1" w14:textId="77777777" w:rsidTr="001F4D09">
        <w:trPr>
          <w:trHeight w:val="300"/>
        </w:trPr>
        <w:tc>
          <w:tcPr>
            <w:tcW w:w="918" w:type="pct"/>
            <w:noWrap/>
            <w:hideMark/>
          </w:tcPr>
          <w:p w14:paraId="7A5A6921"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PC7</w:t>
            </w:r>
          </w:p>
        </w:tc>
        <w:tc>
          <w:tcPr>
            <w:tcW w:w="1564" w:type="pct"/>
            <w:noWrap/>
            <w:hideMark/>
          </w:tcPr>
          <w:p w14:paraId="79800A00"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0.33</w:t>
            </w:r>
          </w:p>
        </w:tc>
        <w:tc>
          <w:tcPr>
            <w:tcW w:w="1783" w:type="pct"/>
            <w:noWrap/>
            <w:hideMark/>
          </w:tcPr>
          <w:p w14:paraId="400C9B4F"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0.62</w:t>
            </w:r>
          </w:p>
        </w:tc>
        <w:tc>
          <w:tcPr>
            <w:tcW w:w="735" w:type="pct"/>
            <w:noWrap/>
            <w:hideMark/>
          </w:tcPr>
          <w:p w14:paraId="3EAF0289"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FALSE</w:t>
            </w:r>
          </w:p>
        </w:tc>
      </w:tr>
      <w:tr w:rsidR="00ED2DE4" w:rsidRPr="00F36377" w14:paraId="707A22E6" w14:textId="77777777" w:rsidTr="001F4D09">
        <w:trPr>
          <w:trHeight w:val="300"/>
        </w:trPr>
        <w:tc>
          <w:tcPr>
            <w:tcW w:w="918" w:type="pct"/>
            <w:noWrap/>
            <w:hideMark/>
          </w:tcPr>
          <w:p w14:paraId="54DA9DDA" w14:textId="77777777" w:rsidR="00ED2DE4" w:rsidRPr="00F36377" w:rsidRDefault="00ED2DE4" w:rsidP="001F4D09">
            <w:pPr>
              <w:jc w:val="left"/>
              <w:rPr>
                <w:rFonts w:eastAsia="Times New Roman" w:cs="Times New Roman"/>
                <w:i/>
                <w:iCs/>
                <w:color w:val="000000"/>
                <w:lang w:eastAsia="en-GB"/>
              </w:rPr>
            </w:pPr>
            <w:r w:rsidRPr="00F36377">
              <w:rPr>
                <w:rFonts w:eastAsia="Times New Roman" w:cs="Times New Roman"/>
                <w:iCs/>
                <w:color w:val="000000"/>
                <w:lang w:eastAsia="en-GB"/>
              </w:rPr>
              <w:t>PC8</w:t>
            </w:r>
          </w:p>
        </w:tc>
        <w:tc>
          <w:tcPr>
            <w:tcW w:w="1564" w:type="pct"/>
            <w:noWrap/>
            <w:hideMark/>
          </w:tcPr>
          <w:p w14:paraId="61E69168"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0.16</w:t>
            </w:r>
          </w:p>
        </w:tc>
        <w:tc>
          <w:tcPr>
            <w:tcW w:w="1783" w:type="pct"/>
            <w:noWrap/>
            <w:hideMark/>
          </w:tcPr>
          <w:p w14:paraId="65651B1F" w14:textId="77777777" w:rsidR="00ED2DE4" w:rsidRPr="00F36377" w:rsidRDefault="00ED2DE4" w:rsidP="001F4D09">
            <w:pPr>
              <w:jc w:val="center"/>
              <w:rPr>
                <w:rFonts w:eastAsia="Times New Roman" w:cs="Times New Roman"/>
                <w:i/>
                <w:iCs/>
                <w:color w:val="000000"/>
                <w:lang w:eastAsia="en-GB"/>
              </w:rPr>
            </w:pPr>
            <w:r w:rsidRPr="00B30226">
              <w:rPr>
                <w:rFonts w:cs="Times New Roman"/>
                <w:iCs/>
                <w:color w:val="000000"/>
              </w:rPr>
              <w:t>0.48</w:t>
            </w:r>
          </w:p>
        </w:tc>
        <w:tc>
          <w:tcPr>
            <w:tcW w:w="735" w:type="pct"/>
            <w:noWrap/>
            <w:hideMark/>
          </w:tcPr>
          <w:p w14:paraId="72CE5404" w14:textId="77777777" w:rsidR="00ED2DE4" w:rsidRPr="00F36377" w:rsidRDefault="00ED2DE4" w:rsidP="001F4D09">
            <w:pPr>
              <w:jc w:val="center"/>
              <w:rPr>
                <w:rFonts w:eastAsia="Times New Roman" w:cs="Times New Roman"/>
                <w:i/>
                <w:iCs/>
                <w:color w:val="000000"/>
                <w:lang w:eastAsia="en-GB"/>
              </w:rPr>
            </w:pPr>
            <w:r w:rsidRPr="00F36377">
              <w:rPr>
                <w:rFonts w:eastAsia="Times New Roman" w:cs="Times New Roman"/>
                <w:iCs/>
                <w:color w:val="000000"/>
                <w:lang w:eastAsia="en-GB"/>
              </w:rPr>
              <w:t>FALSE</w:t>
            </w:r>
          </w:p>
        </w:tc>
      </w:tr>
    </w:tbl>
    <w:p w14:paraId="1899BEBA" w14:textId="77777777" w:rsidR="00ED2DE4" w:rsidRPr="00E45C91" w:rsidRDefault="00ED2DE4" w:rsidP="00ED2DE4"/>
    <w:p w14:paraId="165A47D7" w14:textId="77777777" w:rsidR="00ED2DE4" w:rsidRPr="00E45C91" w:rsidRDefault="00ED2DE4" w:rsidP="00ED2DE4">
      <w:pPr>
        <w:spacing w:after="0"/>
      </w:pPr>
      <w:r>
        <w:t xml:space="preserve">Table </w:t>
      </w:r>
      <w:r w:rsidRPr="00E45C91">
        <w:t>6</w:t>
      </w:r>
      <w:r>
        <w:t>.</w:t>
      </w:r>
      <w:r w:rsidRPr="00E45C91">
        <w:t xml:space="preserve"> Centred log-ratio loading structure and process labels for the five retained hydrochemical components. </w:t>
      </w:r>
    </w:p>
    <w:tbl>
      <w:tblPr>
        <w:tblStyle w:val="Manu"/>
        <w:tblW w:w="0" w:type="auto"/>
        <w:tblLook w:val="04A0" w:firstRow="1" w:lastRow="0" w:firstColumn="1" w:lastColumn="0" w:noHBand="0" w:noVBand="1"/>
      </w:tblPr>
      <w:tblGrid>
        <w:gridCol w:w="1035"/>
        <w:gridCol w:w="772"/>
        <w:gridCol w:w="772"/>
        <w:gridCol w:w="771"/>
        <w:gridCol w:w="771"/>
        <w:gridCol w:w="784"/>
        <w:gridCol w:w="771"/>
        <w:gridCol w:w="771"/>
        <w:gridCol w:w="771"/>
        <w:gridCol w:w="771"/>
        <w:gridCol w:w="1973"/>
      </w:tblGrid>
      <w:tr w:rsidR="00ED2DE4" w:rsidRPr="00EC5882" w14:paraId="54DB588C" w14:textId="77777777" w:rsidTr="001F4D09">
        <w:trPr>
          <w:cnfStyle w:val="100000000000" w:firstRow="1" w:lastRow="0" w:firstColumn="0" w:lastColumn="0" w:oddVBand="0" w:evenVBand="0" w:oddHBand="0" w:evenHBand="0" w:firstRowFirstColumn="0" w:firstRowLastColumn="0" w:lastRowFirstColumn="0" w:lastRowLastColumn="0"/>
          <w:trHeight w:val="20"/>
        </w:trPr>
        <w:tc>
          <w:tcPr>
            <w:tcW w:w="0" w:type="auto"/>
            <w:noWrap/>
            <w:vAlign w:val="bottom"/>
            <w:hideMark/>
          </w:tcPr>
          <w:p w14:paraId="2082BAC8" w14:textId="77777777" w:rsidR="00ED2DE4" w:rsidRPr="00EC5882" w:rsidRDefault="00ED2DE4" w:rsidP="001F4D09">
            <w:pPr>
              <w:jc w:val="left"/>
              <w:rPr>
                <w:rFonts w:eastAsia="Times New Roman" w:cs="Times New Roman"/>
                <w:i/>
                <w:iCs/>
                <w:color w:val="000000"/>
                <w:lang w:eastAsia="en-GB"/>
              </w:rPr>
            </w:pPr>
            <w:bookmarkStart w:id="47" w:name="table-7.-geochemical-constraints"/>
            <w:bookmarkEnd w:id="46"/>
            <w:r w:rsidRPr="00EC5882">
              <w:rPr>
                <w:rFonts w:eastAsia="Times New Roman" w:cs="Times New Roman"/>
                <w:iCs/>
                <w:color w:val="000000"/>
                <w:lang w:eastAsia="en-GB"/>
              </w:rPr>
              <w:t>Process</w:t>
            </w:r>
          </w:p>
        </w:tc>
        <w:tc>
          <w:tcPr>
            <w:tcW w:w="0" w:type="auto"/>
            <w:noWrap/>
            <w:vAlign w:val="bottom"/>
            <w:hideMark/>
          </w:tcPr>
          <w:p w14:paraId="52443C8F"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Ca</w:t>
            </w:r>
            <w:r w:rsidRPr="001A5367">
              <w:rPr>
                <w:rFonts w:eastAsia="Times New Roman" w:cs="Times New Roman"/>
                <w:iCs/>
                <w:color w:val="000000"/>
                <w:vertAlign w:val="superscript"/>
                <w:lang w:eastAsia="en-GB"/>
              </w:rPr>
              <w:t>2+</w:t>
            </w:r>
          </w:p>
        </w:tc>
        <w:tc>
          <w:tcPr>
            <w:tcW w:w="0" w:type="auto"/>
            <w:noWrap/>
            <w:vAlign w:val="bottom"/>
            <w:hideMark/>
          </w:tcPr>
          <w:p w14:paraId="1ED412BE"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Mg</w:t>
            </w:r>
            <w:r w:rsidRPr="001A5367">
              <w:rPr>
                <w:rFonts w:eastAsia="Times New Roman" w:cs="Times New Roman"/>
                <w:iCs/>
                <w:color w:val="000000"/>
                <w:vertAlign w:val="superscript"/>
                <w:lang w:eastAsia="en-GB"/>
              </w:rPr>
              <w:t>2+</w:t>
            </w:r>
          </w:p>
        </w:tc>
        <w:tc>
          <w:tcPr>
            <w:tcW w:w="0" w:type="auto"/>
            <w:noWrap/>
            <w:vAlign w:val="bottom"/>
            <w:hideMark/>
          </w:tcPr>
          <w:p w14:paraId="48DFBFDD"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Na</w:t>
            </w:r>
            <w:r w:rsidRPr="001A5367">
              <w:rPr>
                <w:rFonts w:eastAsia="Times New Roman" w:cs="Times New Roman"/>
                <w:iCs/>
                <w:color w:val="000000"/>
                <w:vertAlign w:val="superscript"/>
                <w:lang w:eastAsia="en-GB"/>
              </w:rPr>
              <w:t>+</w:t>
            </w:r>
          </w:p>
        </w:tc>
        <w:tc>
          <w:tcPr>
            <w:tcW w:w="0" w:type="auto"/>
            <w:noWrap/>
            <w:vAlign w:val="bottom"/>
            <w:hideMark/>
          </w:tcPr>
          <w:p w14:paraId="4AD06E01"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K</w:t>
            </w:r>
            <w:r w:rsidRPr="001A5367">
              <w:rPr>
                <w:rFonts w:eastAsia="Times New Roman" w:cs="Times New Roman"/>
                <w:iCs/>
                <w:color w:val="000000"/>
                <w:vertAlign w:val="superscript"/>
                <w:lang w:eastAsia="en-GB"/>
              </w:rPr>
              <w:t>+</w:t>
            </w:r>
          </w:p>
        </w:tc>
        <w:tc>
          <w:tcPr>
            <w:tcW w:w="0" w:type="auto"/>
            <w:noWrap/>
            <w:vAlign w:val="bottom"/>
            <w:hideMark/>
          </w:tcPr>
          <w:p w14:paraId="39190BB5"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HCO</w:t>
            </w:r>
            <w:r w:rsidRPr="001A5367">
              <w:rPr>
                <w:rFonts w:eastAsia="Times New Roman" w:cs="Times New Roman"/>
                <w:iCs/>
                <w:color w:val="000000"/>
                <w:vertAlign w:val="subscript"/>
                <w:lang w:eastAsia="en-GB"/>
              </w:rPr>
              <w:t>3</w:t>
            </w:r>
            <w:r w:rsidRPr="001A5367">
              <w:rPr>
                <w:rFonts w:eastAsia="Times New Roman" w:cs="Times New Roman"/>
                <w:iCs/>
                <w:color w:val="000000"/>
                <w:vertAlign w:val="superscript"/>
                <w:lang w:eastAsia="en-GB"/>
              </w:rPr>
              <w:t>-</w:t>
            </w:r>
          </w:p>
        </w:tc>
        <w:tc>
          <w:tcPr>
            <w:tcW w:w="0" w:type="auto"/>
            <w:noWrap/>
            <w:vAlign w:val="bottom"/>
            <w:hideMark/>
          </w:tcPr>
          <w:p w14:paraId="10E2F573"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Cl</w:t>
            </w:r>
            <w:r w:rsidRPr="001A5367">
              <w:rPr>
                <w:rFonts w:eastAsia="Times New Roman" w:cs="Times New Roman"/>
                <w:iCs/>
                <w:color w:val="000000"/>
                <w:vertAlign w:val="superscript"/>
                <w:lang w:eastAsia="en-GB"/>
              </w:rPr>
              <w:t>-</w:t>
            </w:r>
          </w:p>
        </w:tc>
        <w:tc>
          <w:tcPr>
            <w:tcW w:w="0" w:type="auto"/>
            <w:noWrap/>
            <w:vAlign w:val="bottom"/>
            <w:hideMark/>
          </w:tcPr>
          <w:p w14:paraId="6DEEF652"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SO</w:t>
            </w:r>
            <w:r w:rsidRPr="001A5367">
              <w:rPr>
                <w:rFonts w:eastAsia="Times New Roman" w:cs="Times New Roman"/>
                <w:iCs/>
                <w:color w:val="000000"/>
                <w:vertAlign w:val="subscript"/>
                <w:lang w:eastAsia="en-GB"/>
              </w:rPr>
              <w:t>4</w:t>
            </w:r>
            <w:r w:rsidRPr="001A5367">
              <w:rPr>
                <w:rFonts w:eastAsia="Times New Roman" w:cs="Times New Roman"/>
                <w:iCs/>
                <w:color w:val="000000"/>
                <w:vertAlign w:val="superscript"/>
                <w:lang w:eastAsia="en-GB"/>
              </w:rPr>
              <w:t>2-</w:t>
            </w:r>
          </w:p>
        </w:tc>
        <w:tc>
          <w:tcPr>
            <w:tcW w:w="0" w:type="auto"/>
            <w:noWrap/>
            <w:vAlign w:val="bottom"/>
            <w:hideMark/>
          </w:tcPr>
          <w:p w14:paraId="036C94D0"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NO</w:t>
            </w:r>
            <w:r w:rsidRPr="001A5367">
              <w:rPr>
                <w:rFonts w:eastAsia="Times New Roman" w:cs="Times New Roman"/>
                <w:iCs/>
                <w:color w:val="000000"/>
                <w:vertAlign w:val="subscript"/>
                <w:lang w:eastAsia="en-GB"/>
              </w:rPr>
              <w:t>3</w:t>
            </w:r>
            <w:r w:rsidRPr="001A5367">
              <w:rPr>
                <w:rFonts w:eastAsia="Times New Roman" w:cs="Times New Roman"/>
                <w:iCs/>
                <w:color w:val="000000"/>
                <w:vertAlign w:val="superscript"/>
                <w:lang w:eastAsia="en-GB"/>
              </w:rPr>
              <w:t>-</w:t>
            </w:r>
          </w:p>
        </w:tc>
        <w:tc>
          <w:tcPr>
            <w:tcW w:w="0" w:type="auto"/>
            <w:noWrap/>
            <w:vAlign w:val="bottom"/>
            <w:hideMark/>
          </w:tcPr>
          <w:p w14:paraId="7795AE20"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F</w:t>
            </w:r>
            <w:r w:rsidRPr="001A5367">
              <w:rPr>
                <w:rFonts w:eastAsia="Times New Roman" w:cs="Times New Roman"/>
                <w:iCs/>
                <w:color w:val="000000"/>
                <w:vertAlign w:val="superscript"/>
                <w:lang w:eastAsia="en-GB"/>
              </w:rPr>
              <w:t>-</w:t>
            </w:r>
          </w:p>
        </w:tc>
        <w:tc>
          <w:tcPr>
            <w:tcW w:w="0" w:type="auto"/>
            <w:noWrap/>
            <w:vAlign w:val="bottom"/>
            <w:hideMark/>
          </w:tcPr>
          <w:p w14:paraId="4445F52A"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 xml:space="preserve">Probable Process </w:t>
            </w:r>
          </w:p>
          <w:p w14:paraId="4ADB29B1"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Name</w:t>
            </w:r>
          </w:p>
        </w:tc>
      </w:tr>
      <w:tr w:rsidR="00ED2DE4" w:rsidRPr="00EC5882" w14:paraId="5C97CFE5" w14:textId="77777777" w:rsidTr="001F4D09">
        <w:trPr>
          <w:trHeight w:val="20"/>
        </w:trPr>
        <w:tc>
          <w:tcPr>
            <w:tcW w:w="0" w:type="auto"/>
            <w:noWrap/>
            <w:vAlign w:val="bottom"/>
            <w:hideMark/>
          </w:tcPr>
          <w:p w14:paraId="7DE0C640"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Process 1</w:t>
            </w:r>
          </w:p>
        </w:tc>
        <w:tc>
          <w:tcPr>
            <w:tcW w:w="0" w:type="auto"/>
            <w:noWrap/>
            <w:vAlign w:val="bottom"/>
            <w:hideMark/>
          </w:tcPr>
          <w:p w14:paraId="33228BD3"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0.146</w:t>
            </w:r>
          </w:p>
        </w:tc>
        <w:tc>
          <w:tcPr>
            <w:tcW w:w="0" w:type="auto"/>
            <w:noWrap/>
            <w:vAlign w:val="bottom"/>
            <w:hideMark/>
          </w:tcPr>
          <w:p w14:paraId="4F5AD9D2"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-0.096</w:t>
            </w:r>
          </w:p>
        </w:tc>
        <w:tc>
          <w:tcPr>
            <w:tcW w:w="0" w:type="auto"/>
            <w:noWrap/>
            <w:vAlign w:val="bottom"/>
            <w:hideMark/>
          </w:tcPr>
          <w:p w14:paraId="6B6321A8"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0.589</w:t>
            </w:r>
          </w:p>
        </w:tc>
        <w:tc>
          <w:tcPr>
            <w:tcW w:w="0" w:type="auto"/>
            <w:noWrap/>
            <w:vAlign w:val="bottom"/>
            <w:hideMark/>
          </w:tcPr>
          <w:p w14:paraId="550F181A"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-0.555</w:t>
            </w:r>
          </w:p>
        </w:tc>
        <w:tc>
          <w:tcPr>
            <w:tcW w:w="0" w:type="auto"/>
            <w:noWrap/>
            <w:vAlign w:val="bottom"/>
            <w:hideMark/>
          </w:tcPr>
          <w:p w14:paraId="3F1C70D7"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-0.014</w:t>
            </w:r>
          </w:p>
        </w:tc>
        <w:tc>
          <w:tcPr>
            <w:tcW w:w="0" w:type="auto"/>
            <w:noWrap/>
            <w:vAlign w:val="bottom"/>
            <w:hideMark/>
          </w:tcPr>
          <w:p w14:paraId="4121C850"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0.456</w:t>
            </w:r>
          </w:p>
        </w:tc>
        <w:tc>
          <w:tcPr>
            <w:tcW w:w="0" w:type="auto"/>
            <w:noWrap/>
            <w:vAlign w:val="bottom"/>
            <w:hideMark/>
          </w:tcPr>
          <w:p w14:paraId="480E8798"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-0.266</w:t>
            </w:r>
          </w:p>
        </w:tc>
        <w:tc>
          <w:tcPr>
            <w:tcW w:w="0" w:type="auto"/>
            <w:noWrap/>
            <w:vAlign w:val="bottom"/>
            <w:hideMark/>
          </w:tcPr>
          <w:p w14:paraId="7074A696"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-0.159</w:t>
            </w:r>
          </w:p>
        </w:tc>
        <w:tc>
          <w:tcPr>
            <w:tcW w:w="0" w:type="auto"/>
            <w:noWrap/>
            <w:vAlign w:val="bottom"/>
            <w:hideMark/>
          </w:tcPr>
          <w:p w14:paraId="4627B690"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-0.101</w:t>
            </w:r>
          </w:p>
        </w:tc>
        <w:tc>
          <w:tcPr>
            <w:tcW w:w="0" w:type="auto"/>
            <w:noWrap/>
            <w:vAlign w:val="bottom"/>
            <w:hideMark/>
          </w:tcPr>
          <w:p w14:paraId="7C9385B4"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 xml:space="preserve">Na-Cl Enrichment </w:t>
            </w:r>
          </w:p>
          <w:p w14:paraId="427D50F6"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Signature</w:t>
            </w:r>
          </w:p>
        </w:tc>
      </w:tr>
      <w:tr w:rsidR="00ED2DE4" w:rsidRPr="00EC5882" w14:paraId="20DE8892" w14:textId="77777777" w:rsidTr="001F4D09">
        <w:trPr>
          <w:trHeight w:val="20"/>
        </w:trPr>
        <w:tc>
          <w:tcPr>
            <w:tcW w:w="0" w:type="auto"/>
            <w:noWrap/>
            <w:vAlign w:val="bottom"/>
            <w:hideMark/>
          </w:tcPr>
          <w:p w14:paraId="470F7EED"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Process 2</w:t>
            </w:r>
          </w:p>
        </w:tc>
        <w:tc>
          <w:tcPr>
            <w:tcW w:w="0" w:type="auto"/>
            <w:noWrap/>
            <w:vAlign w:val="bottom"/>
            <w:hideMark/>
          </w:tcPr>
          <w:p w14:paraId="388511CE"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0.180</w:t>
            </w:r>
          </w:p>
        </w:tc>
        <w:tc>
          <w:tcPr>
            <w:tcW w:w="0" w:type="auto"/>
            <w:noWrap/>
            <w:vAlign w:val="bottom"/>
            <w:hideMark/>
          </w:tcPr>
          <w:p w14:paraId="6408DF28"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0.176</w:t>
            </w:r>
          </w:p>
        </w:tc>
        <w:tc>
          <w:tcPr>
            <w:tcW w:w="0" w:type="auto"/>
            <w:noWrap/>
            <w:vAlign w:val="bottom"/>
            <w:hideMark/>
          </w:tcPr>
          <w:p w14:paraId="4365DAC5"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-0.108</w:t>
            </w:r>
          </w:p>
        </w:tc>
        <w:tc>
          <w:tcPr>
            <w:tcW w:w="0" w:type="auto"/>
            <w:noWrap/>
            <w:vAlign w:val="bottom"/>
            <w:hideMark/>
          </w:tcPr>
          <w:p w14:paraId="35869E38"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0.166</w:t>
            </w:r>
          </w:p>
        </w:tc>
        <w:tc>
          <w:tcPr>
            <w:tcW w:w="0" w:type="auto"/>
            <w:noWrap/>
            <w:vAlign w:val="bottom"/>
            <w:hideMark/>
          </w:tcPr>
          <w:p w14:paraId="08709E58"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0.025</w:t>
            </w:r>
          </w:p>
        </w:tc>
        <w:tc>
          <w:tcPr>
            <w:tcW w:w="0" w:type="auto"/>
            <w:noWrap/>
            <w:vAlign w:val="bottom"/>
            <w:hideMark/>
          </w:tcPr>
          <w:p w14:paraId="63773AD5"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-0.036</w:t>
            </w:r>
          </w:p>
        </w:tc>
        <w:tc>
          <w:tcPr>
            <w:tcW w:w="0" w:type="auto"/>
            <w:noWrap/>
            <w:vAlign w:val="bottom"/>
            <w:hideMark/>
          </w:tcPr>
          <w:p w14:paraId="7018E54D"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-0.868</w:t>
            </w:r>
          </w:p>
        </w:tc>
        <w:tc>
          <w:tcPr>
            <w:tcW w:w="0" w:type="auto"/>
            <w:noWrap/>
            <w:vAlign w:val="bottom"/>
            <w:hideMark/>
          </w:tcPr>
          <w:p w14:paraId="0621B8B5"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0.362</w:t>
            </w:r>
          </w:p>
        </w:tc>
        <w:tc>
          <w:tcPr>
            <w:tcW w:w="0" w:type="auto"/>
            <w:noWrap/>
            <w:vAlign w:val="bottom"/>
            <w:hideMark/>
          </w:tcPr>
          <w:p w14:paraId="56B7A370"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0.104</w:t>
            </w:r>
          </w:p>
        </w:tc>
        <w:tc>
          <w:tcPr>
            <w:tcW w:w="0" w:type="auto"/>
            <w:noWrap/>
            <w:vAlign w:val="bottom"/>
            <w:hideMark/>
          </w:tcPr>
          <w:p w14:paraId="5E05D58E"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NO</w:t>
            </w:r>
            <w:r w:rsidRPr="00B83EE2">
              <w:rPr>
                <w:rFonts w:eastAsia="Times New Roman" w:cs="Times New Roman"/>
                <w:iCs/>
                <w:color w:val="000000"/>
                <w:vertAlign w:val="subscript"/>
                <w:lang w:eastAsia="en-GB"/>
              </w:rPr>
              <w:t>3</w:t>
            </w:r>
            <w:r w:rsidRPr="00EC5882">
              <w:rPr>
                <w:rFonts w:eastAsia="Times New Roman" w:cs="Times New Roman"/>
                <w:iCs/>
                <w:color w:val="000000"/>
                <w:lang w:eastAsia="en-GB"/>
              </w:rPr>
              <w:t>-Ca Association</w:t>
            </w:r>
          </w:p>
        </w:tc>
      </w:tr>
      <w:tr w:rsidR="00ED2DE4" w:rsidRPr="00EC5882" w14:paraId="7868A713" w14:textId="77777777" w:rsidTr="001F4D09">
        <w:trPr>
          <w:trHeight w:val="20"/>
        </w:trPr>
        <w:tc>
          <w:tcPr>
            <w:tcW w:w="0" w:type="auto"/>
            <w:noWrap/>
            <w:vAlign w:val="bottom"/>
            <w:hideMark/>
          </w:tcPr>
          <w:p w14:paraId="142A16AB"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Process 3</w:t>
            </w:r>
          </w:p>
        </w:tc>
        <w:tc>
          <w:tcPr>
            <w:tcW w:w="0" w:type="auto"/>
            <w:noWrap/>
            <w:vAlign w:val="bottom"/>
            <w:hideMark/>
          </w:tcPr>
          <w:p w14:paraId="2DB4587E"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0.055</w:t>
            </w:r>
          </w:p>
        </w:tc>
        <w:tc>
          <w:tcPr>
            <w:tcW w:w="0" w:type="auto"/>
            <w:noWrap/>
            <w:vAlign w:val="bottom"/>
            <w:hideMark/>
          </w:tcPr>
          <w:p w14:paraId="7AB3A05A"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0.448</w:t>
            </w:r>
          </w:p>
        </w:tc>
        <w:tc>
          <w:tcPr>
            <w:tcW w:w="0" w:type="auto"/>
            <w:noWrap/>
            <w:vAlign w:val="bottom"/>
            <w:hideMark/>
          </w:tcPr>
          <w:p w14:paraId="581BA0F1"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0.125</w:t>
            </w:r>
          </w:p>
        </w:tc>
        <w:tc>
          <w:tcPr>
            <w:tcW w:w="0" w:type="auto"/>
            <w:noWrap/>
            <w:vAlign w:val="bottom"/>
            <w:hideMark/>
          </w:tcPr>
          <w:p w14:paraId="36FA2E52"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0.118</w:t>
            </w:r>
          </w:p>
        </w:tc>
        <w:tc>
          <w:tcPr>
            <w:tcW w:w="0" w:type="auto"/>
            <w:noWrap/>
            <w:vAlign w:val="bottom"/>
            <w:hideMark/>
          </w:tcPr>
          <w:p w14:paraId="36CFC16D"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0.028</w:t>
            </w:r>
          </w:p>
        </w:tc>
        <w:tc>
          <w:tcPr>
            <w:tcW w:w="0" w:type="auto"/>
            <w:noWrap/>
            <w:vAlign w:val="bottom"/>
            <w:hideMark/>
          </w:tcPr>
          <w:p w14:paraId="5B3C50EE"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-0.215</w:t>
            </w:r>
          </w:p>
        </w:tc>
        <w:tc>
          <w:tcPr>
            <w:tcW w:w="0" w:type="auto"/>
            <w:noWrap/>
            <w:vAlign w:val="bottom"/>
            <w:hideMark/>
          </w:tcPr>
          <w:p w14:paraId="33F9AE9A"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-0.154</w:t>
            </w:r>
          </w:p>
        </w:tc>
        <w:tc>
          <w:tcPr>
            <w:tcW w:w="0" w:type="auto"/>
            <w:noWrap/>
            <w:vAlign w:val="bottom"/>
            <w:hideMark/>
          </w:tcPr>
          <w:p w14:paraId="0CAC1241"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-0.757</w:t>
            </w:r>
          </w:p>
        </w:tc>
        <w:tc>
          <w:tcPr>
            <w:tcW w:w="0" w:type="auto"/>
            <w:noWrap/>
            <w:vAlign w:val="bottom"/>
            <w:hideMark/>
          </w:tcPr>
          <w:p w14:paraId="404505F4"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0.352</w:t>
            </w:r>
          </w:p>
        </w:tc>
        <w:tc>
          <w:tcPr>
            <w:tcW w:w="0" w:type="auto"/>
            <w:noWrap/>
            <w:vAlign w:val="bottom"/>
            <w:hideMark/>
          </w:tcPr>
          <w:p w14:paraId="33024047"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Mg-F Association</w:t>
            </w:r>
          </w:p>
        </w:tc>
      </w:tr>
      <w:tr w:rsidR="00ED2DE4" w:rsidRPr="00EC5882" w14:paraId="0E5C81AA" w14:textId="77777777" w:rsidTr="001F4D09">
        <w:trPr>
          <w:trHeight w:val="20"/>
        </w:trPr>
        <w:tc>
          <w:tcPr>
            <w:tcW w:w="0" w:type="auto"/>
            <w:noWrap/>
            <w:vAlign w:val="bottom"/>
            <w:hideMark/>
          </w:tcPr>
          <w:p w14:paraId="61DE8873"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Process 4</w:t>
            </w:r>
          </w:p>
        </w:tc>
        <w:tc>
          <w:tcPr>
            <w:tcW w:w="0" w:type="auto"/>
            <w:noWrap/>
            <w:vAlign w:val="bottom"/>
            <w:hideMark/>
          </w:tcPr>
          <w:p w14:paraId="31258A0E"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0.100</w:t>
            </w:r>
          </w:p>
        </w:tc>
        <w:tc>
          <w:tcPr>
            <w:tcW w:w="0" w:type="auto"/>
            <w:noWrap/>
            <w:vAlign w:val="bottom"/>
            <w:hideMark/>
          </w:tcPr>
          <w:p w14:paraId="082E129B"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-0.757</w:t>
            </w:r>
          </w:p>
        </w:tc>
        <w:tc>
          <w:tcPr>
            <w:tcW w:w="0" w:type="auto"/>
            <w:noWrap/>
            <w:vAlign w:val="bottom"/>
            <w:hideMark/>
          </w:tcPr>
          <w:p w14:paraId="6A8C7DC7"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-0.053</w:t>
            </w:r>
          </w:p>
        </w:tc>
        <w:tc>
          <w:tcPr>
            <w:tcW w:w="0" w:type="auto"/>
            <w:noWrap/>
            <w:vAlign w:val="bottom"/>
            <w:hideMark/>
          </w:tcPr>
          <w:p w14:paraId="2AC22159"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0.348</w:t>
            </w:r>
          </w:p>
        </w:tc>
        <w:tc>
          <w:tcPr>
            <w:tcW w:w="0" w:type="auto"/>
            <w:noWrap/>
            <w:vAlign w:val="bottom"/>
            <w:hideMark/>
          </w:tcPr>
          <w:p w14:paraId="748615F1"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0.237</w:t>
            </w:r>
          </w:p>
        </w:tc>
        <w:tc>
          <w:tcPr>
            <w:tcW w:w="0" w:type="auto"/>
            <w:noWrap/>
            <w:vAlign w:val="bottom"/>
            <w:hideMark/>
          </w:tcPr>
          <w:p w14:paraId="5704AABF"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0.206</w:t>
            </w:r>
          </w:p>
        </w:tc>
        <w:tc>
          <w:tcPr>
            <w:tcW w:w="0" w:type="auto"/>
            <w:noWrap/>
            <w:vAlign w:val="bottom"/>
            <w:hideMark/>
          </w:tcPr>
          <w:p w14:paraId="69174650"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-0.135</w:t>
            </w:r>
          </w:p>
        </w:tc>
        <w:tc>
          <w:tcPr>
            <w:tcW w:w="0" w:type="auto"/>
            <w:noWrap/>
            <w:vAlign w:val="bottom"/>
            <w:hideMark/>
          </w:tcPr>
          <w:p w14:paraId="3CF15E9A"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-0.268</w:t>
            </w:r>
          </w:p>
        </w:tc>
        <w:tc>
          <w:tcPr>
            <w:tcW w:w="0" w:type="auto"/>
            <w:noWrap/>
            <w:vAlign w:val="bottom"/>
            <w:hideMark/>
          </w:tcPr>
          <w:p w14:paraId="12C7173C"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0.322</w:t>
            </w:r>
          </w:p>
        </w:tc>
        <w:tc>
          <w:tcPr>
            <w:tcW w:w="0" w:type="auto"/>
            <w:noWrap/>
            <w:vAlign w:val="bottom"/>
            <w:hideMark/>
          </w:tcPr>
          <w:p w14:paraId="7AD311BD"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K-F Association</w:t>
            </w:r>
          </w:p>
        </w:tc>
      </w:tr>
      <w:tr w:rsidR="00ED2DE4" w:rsidRPr="00EC5882" w14:paraId="5E5F1089" w14:textId="77777777" w:rsidTr="001F4D09">
        <w:trPr>
          <w:trHeight w:val="20"/>
        </w:trPr>
        <w:tc>
          <w:tcPr>
            <w:tcW w:w="0" w:type="auto"/>
            <w:noWrap/>
            <w:vAlign w:val="bottom"/>
            <w:hideMark/>
          </w:tcPr>
          <w:p w14:paraId="0DE70FEE"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Process 5</w:t>
            </w:r>
          </w:p>
        </w:tc>
        <w:tc>
          <w:tcPr>
            <w:tcW w:w="0" w:type="auto"/>
            <w:noWrap/>
            <w:vAlign w:val="bottom"/>
            <w:hideMark/>
          </w:tcPr>
          <w:p w14:paraId="745AE7A3"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-0.020</w:t>
            </w:r>
          </w:p>
        </w:tc>
        <w:tc>
          <w:tcPr>
            <w:tcW w:w="0" w:type="auto"/>
            <w:noWrap/>
            <w:vAlign w:val="bottom"/>
            <w:hideMark/>
          </w:tcPr>
          <w:p w14:paraId="5E7551AC"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-0.231</w:t>
            </w:r>
          </w:p>
        </w:tc>
        <w:tc>
          <w:tcPr>
            <w:tcW w:w="0" w:type="auto"/>
            <w:noWrap/>
            <w:vAlign w:val="bottom"/>
            <w:hideMark/>
          </w:tcPr>
          <w:p w14:paraId="55CB1E42"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0.519</w:t>
            </w:r>
          </w:p>
        </w:tc>
        <w:tc>
          <w:tcPr>
            <w:tcW w:w="0" w:type="auto"/>
            <w:noWrap/>
            <w:vAlign w:val="bottom"/>
            <w:hideMark/>
          </w:tcPr>
          <w:p w14:paraId="6C549D98"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-0.106</w:t>
            </w:r>
          </w:p>
        </w:tc>
        <w:tc>
          <w:tcPr>
            <w:tcW w:w="0" w:type="auto"/>
            <w:noWrap/>
            <w:vAlign w:val="bottom"/>
            <w:hideMark/>
          </w:tcPr>
          <w:p w14:paraId="052EC556"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0.259</w:t>
            </w:r>
          </w:p>
        </w:tc>
        <w:tc>
          <w:tcPr>
            <w:tcW w:w="0" w:type="auto"/>
            <w:noWrap/>
            <w:vAlign w:val="bottom"/>
            <w:hideMark/>
          </w:tcPr>
          <w:p w14:paraId="6E55241E"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-0.738</w:t>
            </w:r>
          </w:p>
        </w:tc>
        <w:tc>
          <w:tcPr>
            <w:tcW w:w="0" w:type="auto"/>
            <w:noWrap/>
            <w:vAlign w:val="bottom"/>
            <w:hideMark/>
          </w:tcPr>
          <w:p w14:paraId="535795B9"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0.001</w:t>
            </w:r>
          </w:p>
        </w:tc>
        <w:tc>
          <w:tcPr>
            <w:tcW w:w="0" w:type="auto"/>
            <w:noWrap/>
            <w:vAlign w:val="bottom"/>
            <w:hideMark/>
          </w:tcPr>
          <w:p w14:paraId="6217B9BD"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0.203</w:t>
            </w:r>
          </w:p>
        </w:tc>
        <w:tc>
          <w:tcPr>
            <w:tcW w:w="0" w:type="auto"/>
            <w:noWrap/>
            <w:vAlign w:val="bottom"/>
            <w:hideMark/>
          </w:tcPr>
          <w:p w14:paraId="433D7834" w14:textId="77777777" w:rsidR="00ED2DE4" w:rsidRPr="00EC5882" w:rsidRDefault="00ED2DE4" w:rsidP="001F4D09">
            <w:pPr>
              <w:jc w:val="center"/>
              <w:rPr>
                <w:rFonts w:eastAsia="Times New Roman" w:cs="Times New Roman"/>
                <w:i/>
                <w:iCs/>
                <w:color w:val="000000"/>
                <w:lang w:eastAsia="en-GB"/>
              </w:rPr>
            </w:pPr>
            <w:r w:rsidRPr="00EC5882">
              <w:rPr>
                <w:rFonts w:eastAsia="Times New Roman" w:cs="Times New Roman"/>
                <w:iCs/>
                <w:color w:val="000000"/>
                <w:lang w:eastAsia="en-GB"/>
              </w:rPr>
              <w:t>0.114</w:t>
            </w:r>
          </w:p>
        </w:tc>
        <w:tc>
          <w:tcPr>
            <w:tcW w:w="0" w:type="auto"/>
            <w:noWrap/>
            <w:vAlign w:val="bottom"/>
            <w:hideMark/>
          </w:tcPr>
          <w:p w14:paraId="283935FD"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Na-HCO</w:t>
            </w:r>
            <w:r w:rsidRPr="00B83EE2">
              <w:rPr>
                <w:rFonts w:eastAsia="Times New Roman" w:cs="Times New Roman"/>
                <w:iCs/>
                <w:color w:val="000000"/>
                <w:vertAlign w:val="subscript"/>
                <w:lang w:eastAsia="en-GB"/>
              </w:rPr>
              <w:t>3</w:t>
            </w:r>
            <w:r w:rsidRPr="00EC5882">
              <w:rPr>
                <w:rFonts w:eastAsia="Times New Roman" w:cs="Times New Roman"/>
                <w:iCs/>
                <w:color w:val="000000"/>
                <w:lang w:eastAsia="en-GB"/>
              </w:rPr>
              <w:t xml:space="preserve"> Exchange </w:t>
            </w:r>
          </w:p>
          <w:p w14:paraId="35D8EF3F" w14:textId="77777777" w:rsidR="00ED2DE4" w:rsidRPr="00EC5882" w:rsidRDefault="00ED2DE4" w:rsidP="001F4D09">
            <w:pPr>
              <w:jc w:val="left"/>
              <w:rPr>
                <w:rFonts w:eastAsia="Times New Roman" w:cs="Times New Roman"/>
                <w:i/>
                <w:iCs/>
                <w:color w:val="000000"/>
                <w:lang w:eastAsia="en-GB"/>
              </w:rPr>
            </w:pPr>
            <w:r w:rsidRPr="00EC5882">
              <w:rPr>
                <w:rFonts w:eastAsia="Times New Roman" w:cs="Times New Roman"/>
                <w:iCs/>
                <w:color w:val="000000"/>
                <w:lang w:eastAsia="en-GB"/>
              </w:rPr>
              <w:t>Signature</w:t>
            </w:r>
          </w:p>
        </w:tc>
      </w:tr>
    </w:tbl>
    <w:p w14:paraId="6F04670A" w14:textId="77777777" w:rsidR="00B7117E" w:rsidRDefault="00B7117E" w:rsidP="00ED2DE4">
      <w:pPr>
        <w:spacing w:after="0"/>
      </w:pPr>
    </w:p>
    <w:p w14:paraId="4F438521" w14:textId="77777777" w:rsidR="00B7117E" w:rsidRDefault="00B7117E" w:rsidP="00ED2DE4">
      <w:pPr>
        <w:spacing w:after="0"/>
      </w:pPr>
    </w:p>
    <w:p w14:paraId="441FC98A" w14:textId="77777777" w:rsidR="00B7117E" w:rsidRDefault="00B7117E" w:rsidP="00ED2DE4">
      <w:pPr>
        <w:spacing w:after="0"/>
      </w:pPr>
    </w:p>
    <w:p w14:paraId="7118FC8B" w14:textId="7AA9188D" w:rsidR="00ED2DE4" w:rsidRPr="00E45C91" w:rsidRDefault="00ED2DE4" w:rsidP="00ED2DE4">
      <w:pPr>
        <w:spacing w:after="0"/>
      </w:pPr>
      <w:r>
        <w:lastRenderedPageBreak/>
        <w:t xml:space="preserve">Table </w:t>
      </w:r>
      <w:r w:rsidRPr="00E45C91">
        <w:t>7</w:t>
      </w:r>
      <w:r>
        <w:t>.</w:t>
      </w:r>
      <w:r w:rsidRPr="00E45C91">
        <w:t xml:space="preserve"> Summary of deterministic geochemical diagnostic metrics, including exchange-weathering proxies. </w:t>
      </w:r>
    </w:p>
    <w:tbl>
      <w:tblPr>
        <w:tblStyle w:val="Manu"/>
        <w:tblW w:w="0" w:type="auto"/>
        <w:tblLook w:val="04A0" w:firstRow="1" w:lastRow="0" w:firstColumn="1" w:lastColumn="0" w:noHBand="0" w:noVBand="1"/>
      </w:tblPr>
      <w:tblGrid>
        <w:gridCol w:w="1109"/>
        <w:gridCol w:w="876"/>
        <w:gridCol w:w="1121"/>
        <w:gridCol w:w="742"/>
        <w:gridCol w:w="895"/>
        <w:gridCol w:w="675"/>
        <w:gridCol w:w="1298"/>
        <w:gridCol w:w="1298"/>
      </w:tblGrid>
      <w:tr w:rsidR="00ED2DE4" w:rsidRPr="00D01AE7" w14:paraId="2DF56430"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noWrap/>
            <w:hideMark/>
          </w:tcPr>
          <w:p w14:paraId="669D663E" w14:textId="77777777" w:rsidR="00ED2DE4" w:rsidRPr="00AB4968" w:rsidRDefault="00ED2DE4" w:rsidP="001F4D09">
            <w:pPr>
              <w:jc w:val="left"/>
              <w:rPr>
                <w:rFonts w:eastAsia="Times New Roman" w:cs="Times New Roman"/>
                <w:i/>
                <w:iCs/>
                <w:color w:val="000000"/>
                <w:lang w:eastAsia="en-GB"/>
              </w:rPr>
            </w:pPr>
            <w:bookmarkStart w:id="48" w:name="table-8.-process-influence"/>
            <w:bookmarkEnd w:id="47"/>
            <w:proofErr w:type="spellStart"/>
            <w:r w:rsidRPr="00AB4968">
              <w:rPr>
                <w:rFonts w:eastAsia="Times New Roman" w:cs="Times New Roman"/>
                <w:iCs/>
                <w:color w:val="000000"/>
                <w:lang w:eastAsia="en-GB"/>
              </w:rPr>
              <w:t>SampleID</w:t>
            </w:r>
            <w:proofErr w:type="spellEnd"/>
          </w:p>
        </w:tc>
        <w:tc>
          <w:tcPr>
            <w:tcW w:w="0" w:type="auto"/>
            <w:noWrap/>
            <w:hideMark/>
          </w:tcPr>
          <w:p w14:paraId="3F683B34" w14:textId="77777777" w:rsidR="00ED2DE4" w:rsidRDefault="00ED2DE4" w:rsidP="001F4D09">
            <w:pPr>
              <w:jc w:val="left"/>
              <w:rPr>
                <w:rFonts w:eastAsia="Times New Roman" w:cs="Times New Roman"/>
                <w:i/>
                <w:iCs/>
                <w:color w:val="000000"/>
                <w:lang w:eastAsia="en-GB"/>
              </w:rPr>
            </w:pPr>
            <w:r w:rsidRPr="00D01AE7">
              <w:rPr>
                <w:rFonts w:eastAsia="Times New Roman" w:cs="Times New Roman"/>
                <w:iCs/>
                <w:color w:val="000000"/>
                <w:lang w:eastAsia="en-GB"/>
              </w:rPr>
              <w:t xml:space="preserve">Silicate </w:t>
            </w:r>
          </w:p>
          <w:p w14:paraId="1CB41C33" w14:textId="77777777" w:rsidR="00ED2DE4" w:rsidRPr="00AB4968" w:rsidRDefault="00ED2DE4" w:rsidP="001F4D09">
            <w:pPr>
              <w:jc w:val="left"/>
              <w:rPr>
                <w:rFonts w:eastAsia="Times New Roman" w:cs="Times New Roman"/>
                <w:i/>
                <w:iCs/>
                <w:color w:val="000000"/>
                <w:lang w:eastAsia="en-GB"/>
              </w:rPr>
            </w:pPr>
            <w:r w:rsidRPr="00D01AE7">
              <w:rPr>
                <w:rFonts w:eastAsia="Times New Roman" w:cs="Times New Roman"/>
                <w:iCs/>
                <w:color w:val="000000"/>
                <w:lang w:eastAsia="en-GB"/>
              </w:rPr>
              <w:t>Index</w:t>
            </w:r>
          </w:p>
        </w:tc>
        <w:tc>
          <w:tcPr>
            <w:tcW w:w="0" w:type="auto"/>
            <w:noWrap/>
            <w:hideMark/>
          </w:tcPr>
          <w:p w14:paraId="44AA8FFE" w14:textId="77777777" w:rsidR="00ED2DE4" w:rsidRDefault="00ED2DE4" w:rsidP="001F4D09">
            <w:pPr>
              <w:jc w:val="left"/>
              <w:rPr>
                <w:rFonts w:eastAsia="Times New Roman" w:cs="Times New Roman"/>
                <w:i/>
                <w:iCs/>
                <w:color w:val="000000"/>
                <w:lang w:eastAsia="en-GB"/>
              </w:rPr>
            </w:pPr>
            <w:r w:rsidRPr="00D01AE7">
              <w:rPr>
                <w:rFonts w:eastAsia="Times New Roman" w:cs="Times New Roman"/>
                <w:iCs/>
                <w:color w:val="000000"/>
                <w:lang w:eastAsia="en-GB"/>
              </w:rPr>
              <w:t xml:space="preserve">Carbonate </w:t>
            </w:r>
          </w:p>
          <w:p w14:paraId="5E62D757" w14:textId="77777777" w:rsidR="00ED2DE4" w:rsidRPr="00AB4968" w:rsidRDefault="00ED2DE4" w:rsidP="001F4D09">
            <w:pPr>
              <w:jc w:val="left"/>
              <w:rPr>
                <w:rFonts w:eastAsia="Times New Roman" w:cs="Times New Roman"/>
                <w:i/>
                <w:iCs/>
                <w:color w:val="000000"/>
                <w:lang w:eastAsia="en-GB"/>
              </w:rPr>
            </w:pPr>
            <w:r w:rsidRPr="00D01AE7">
              <w:rPr>
                <w:rFonts w:eastAsia="Times New Roman" w:cs="Times New Roman"/>
                <w:iCs/>
                <w:color w:val="000000"/>
                <w:lang w:eastAsia="en-GB"/>
              </w:rPr>
              <w:t>Index</w:t>
            </w:r>
          </w:p>
        </w:tc>
        <w:tc>
          <w:tcPr>
            <w:tcW w:w="0" w:type="auto"/>
            <w:noWrap/>
            <w:hideMark/>
          </w:tcPr>
          <w:p w14:paraId="10EC1D2B" w14:textId="77777777" w:rsidR="00ED2DE4" w:rsidRPr="00AB4968" w:rsidRDefault="00ED2DE4" w:rsidP="001F4D09">
            <w:pPr>
              <w:jc w:val="left"/>
              <w:rPr>
                <w:rFonts w:eastAsia="Times New Roman" w:cs="Times New Roman"/>
                <w:i/>
                <w:iCs/>
                <w:color w:val="000000"/>
                <w:lang w:eastAsia="en-GB"/>
              </w:rPr>
            </w:pPr>
            <w:proofErr w:type="spellStart"/>
            <w:r w:rsidRPr="00AB4968">
              <w:rPr>
                <w:rFonts w:eastAsia="Times New Roman" w:cs="Times New Roman"/>
                <w:iCs/>
                <w:color w:val="000000"/>
                <w:lang w:eastAsia="en-GB"/>
              </w:rPr>
              <w:t>Na</w:t>
            </w:r>
            <w:r w:rsidRPr="00D01AE7">
              <w:rPr>
                <w:rFonts w:eastAsia="Times New Roman" w:cs="Times New Roman"/>
                <w:iCs/>
                <w:color w:val="000000"/>
                <w:lang w:eastAsia="en-GB"/>
              </w:rPr>
              <w:t>:</w:t>
            </w:r>
            <w:r w:rsidRPr="00AB4968">
              <w:rPr>
                <w:rFonts w:eastAsia="Times New Roman" w:cs="Times New Roman"/>
                <w:iCs/>
                <w:color w:val="000000"/>
                <w:lang w:eastAsia="en-GB"/>
              </w:rPr>
              <w:t>Cl</w:t>
            </w:r>
            <w:proofErr w:type="spellEnd"/>
          </w:p>
        </w:tc>
        <w:tc>
          <w:tcPr>
            <w:tcW w:w="0" w:type="auto"/>
            <w:noWrap/>
            <w:hideMark/>
          </w:tcPr>
          <w:p w14:paraId="4D27B810" w14:textId="77777777" w:rsidR="00ED2DE4" w:rsidRPr="00AB4968" w:rsidRDefault="00ED2DE4" w:rsidP="001F4D09">
            <w:pPr>
              <w:jc w:val="left"/>
              <w:rPr>
                <w:rFonts w:eastAsia="Times New Roman" w:cs="Times New Roman"/>
                <w:i/>
                <w:iCs/>
                <w:color w:val="000000"/>
                <w:lang w:eastAsia="en-GB"/>
              </w:rPr>
            </w:pPr>
            <m:oMathPara>
              <m:oMath>
                <m:r>
                  <w:rPr>
                    <w:rFonts w:ascii="Cambria Math" w:eastAsia="Times New Roman" w:hAnsi="Cambria Math" w:cs="Times New Roman"/>
                    <w:color w:val="000000"/>
                    <w:lang w:eastAsia="en-GB"/>
                  </w:rPr>
                  <m:t>CA</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I</m:t>
                    </m:r>
                  </m:e>
                  <m:sub>
                    <m:r>
                      <w:rPr>
                        <w:rFonts w:ascii="Cambria Math" w:eastAsia="Times New Roman" w:hAnsi="Cambria Math" w:cs="Times New Roman"/>
                        <w:color w:val="000000"/>
                        <w:lang w:eastAsia="en-GB"/>
                      </w:rPr>
                      <m:t>1</m:t>
                    </m:r>
                  </m:sub>
                </m:sSub>
              </m:oMath>
            </m:oMathPara>
          </w:p>
        </w:tc>
        <w:tc>
          <w:tcPr>
            <w:tcW w:w="0" w:type="auto"/>
            <w:noWrap/>
            <w:hideMark/>
          </w:tcPr>
          <w:p w14:paraId="07CD158F" w14:textId="77777777" w:rsidR="00ED2DE4" w:rsidRPr="00AB4968" w:rsidRDefault="00ED2DE4" w:rsidP="001F4D09">
            <w:pPr>
              <w:jc w:val="left"/>
              <w:rPr>
                <w:rFonts w:eastAsia="Times New Roman" w:cs="Times New Roman"/>
                <w:i/>
                <w:iCs/>
                <w:color w:val="000000"/>
                <w:lang w:eastAsia="en-GB"/>
              </w:rPr>
            </w:pPr>
            <m:oMathPara>
              <m:oMath>
                <m:r>
                  <w:rPr>
                    <w:rFonts w:ascii="Cambria Math" w:eastAsia="Times New Roman" w:hAnsi="Cambria Math" w:cs="Times New Roman"/>
                    <w:color w:val="000000"/>
                    <w:lang w:eastAsia="en-GB"/>
                  </w:rPr>
                  <m:t>CA</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I</m:t>
                    </m:r>
                  </m:e>
                  <m:sub>
                    <m:r>
                      <w:rPr>
                        <w:rFonts w:ascii="Cambria Math" w:eastAsia="Times New Roman" w:hAnsi="Cambria Math" w:cs="Times New Roman"/>
                        <w:color w:val="000000"/>
                        <w:lang w:eastAsia="en-GB"/>
                      </w:rPr>
                      <m:t>2</m:t>
                    </m:r>
                  </m:sub>
                </m:sSub>
              </m:oMath>
            </m:oMathPara>
          </w:p>
        </w:tc>
        <w:tc>
          <w:tcPr>
            <w:tcW w:w="0" w:type="auto"/>
            <w:noWrap/>
            <w:hideMark/>
          </w:tcPr>
          <w:p w14:paraId="61C0B6F6"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Exchange</w:t>
            </w:r>
            <w:r w:rsidRPr="00D01AE7">
              <w:rPr>
                <w:rFonts w:eastAsia="Times New Roman" w:cs="Times New Roman"/>
                <w:iCs/>
                <w:color w:val="000000"/>
                <w:lang w:eastAsia="en-GB"/>
              </w:rPr>
              <w:t xml:space="preserve"> </w:t>
            </w:r>
            <w:r w:rsidRPr="00AB4968">
              <w:rPr>
                <w:rFonts w:eastAsia="Times New Roman" w:cs="Times New Roman"/>
                <w:iCs/>
                <w:color w:val="000000"/>
                <w:lang w:eastAsia="en-GB"/>
              </w:rPr>
              <w:t>X</w:t>
            </w:r>
          </w:p>
        </w:tc>
        <w:tc>
          <w:tcPr>
            <w:tcW w:w="0" w:type="auto"/>
            <w:noWrap/>
            <w:hideMark/>
          </w:tcPr>
          <w:p w14:paraId="3937D50F"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Exchange</w:t>
            </w:r>
            <w:r w:rsidRPr="00D01AE7">
              <w:rPr>
                <w:rFonts w:eastAsia="Times New Roman" w:cs="Times New Roman"/>
                <w:iCs/>
                <w:color w:val="000000"/>
                <w:lang w:eastAsia="en-GB"/>
              </w:rPr>
              <w:t xml:space="preserve"> </w:t>
            </w:r>
            <w:r w:rsidRPr="00AB4968">
              <w:rPr>
                <w:rFonts w:eastAsia="Times New Roman" w:cs="Times New Roman"/>
                <w:iCs/>
                <w:color w:val="000000"/>
                <w:lang w:eastAsia="en-GB"/>
              </w:rPr>
              <w:t>Y</w:t>
            </w:r>
          </w:p>
        </w:tc>
      </w:tr>
      <w:tr w:rsidR="00ED2DE4" w:rsidRPr="00D01AE7" w14:paraId="7FFC5A8F" w14:textId="77777777" w:rsidTr="001F4D09">
        <w:trPr>
          <w:trHeight w:val="300"/>
        </w:trPr>
        <w:tc>
          <w:tcPr>
            <w:tcW w:w="0" w:type="auto"/>
            <w:noWrap/>
            <w:hideMark/>
          </w:tcPr>
          <w:p w14:paraId="3A1140B5"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KAY1</w:t>
            </w:r>
          </w:p>
        </w:tc>
        <w:tc>
          <w:tcPr>
            <w:tcW w:w="0" w:type="auto"/>
            <w:noWrap/>
            <w:hideMark/>
          </w:tcPr>
          <w:p w14:paraId="42EC2D3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7990033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24D8BD4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21.27</w:t>
            </w:r>
          </w:p>
        </w:tc>
        <w:tc>
          <w:tcPr>
            <w:tcW w:w="0" w:type="auto"/>
            <w:noWrap/>
            <w:hideMark/>
          </w:tcPr>
          <w:p w14:paraId="29E16A1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-20.55</w:t>
            </w:r>
          </w:p>
        </w:tc>
        <w:tc>
          <w:tcPr>
            <w:tcW w:w="0" w:type="auto"/>
            <w:noWrap/>
            <w:hideMark/>
          </w:tcPr>
          <w:p w14:paraId="47B0ABE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-0.91</w:t>
            </w:r>
          </w:p>
        </w:tc>
        <w:tc>
          <w:tcPr>
            <w:tcW w:w="0" w:type="auto"/>
            <w:noWrap/>
            <w:hideMark/>
          </w:tcPr>
          <w:p w14:paraId="5FBFC72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3.81</w:t>
            </w:r>
          </w:p>
        </w:tc>
        <w:tc>
          <w:tcPr>
            <w:tcW w:w="0" w:type="auto"/>
            <w:noWrap/>
            <w:hideMark/>
          </w:tcPr>
          <w:p w14:paraId="5B484E9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-4.06</w:t>
            </w:r>
          </w:p>
        </w:tc>
      </w:tr>
      <w:tr w:rsidR="00ED2DE4" w:rsidRPr="00D01AE7" w14:paraId="210FF045" w14:textId="77777777" w:rsidTr="001F4D09">
        <w:trPr>
          <w:trHeight w:val="300"/>
        </w:trPr>
        <w:tc>
          <w:tcPr>
            <w:tcW w:w="0" w:type="auto"/>
            <w:noWrap/>
            <w:hideMark/>
          </w:tcPr>
          <w:p w14:paraId="0F2B2061"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NYI4</w:t>
            </w:r>
          </w:p>
        </w:tc>
        <w:tc>
          <w:tcPr>
            <w:tcW w:w="0" w:type="auto"/>
            <w:noWrap/>
            <w:hideMark/>
          </w:tcPr>
          <w:p w14:paraId="0485E99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0.98</w:t>
            </w:r>
          </w:p>
        </w:tc>
        <w:tc>
          <w:tcPr>
            <w:tcW w:w="0" w:type="auto"/>
            <w:noWrap/>
            <w:hideMark/>
          </w:tcPr>
          <w:p w14:paraId="205F93E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0DBA18C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7.40</w:t>
            </w:r>
          </w:p>
        </w:tc>
        <w:tc>
          <w:tcPr>
            <w:tcW w:w="0" w:type="auto"/>
            <w:noWrap/>
            <w:hideMark/>
          </w:tcPr>
          <w:p w14:paraId="3754660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-6.43</w:t>
            </w:r>
          </w:p>
        </w:tc>
        <w:tc>
          <w:tcPr>
            <w:tcW w:w="0" w:type="auto"/>
            <w:noWrap/>
            <w:hideMark/>
          </w:tcPr>
          <w:p w14:paraId="3BDBD49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-0.98</w:t>
            </w:r>
          </w:p>
        </w:tc>
        <w:tc>
          <w:tcPr>
            <w:tcW w:w="0" w:type="auto"/>
            <w:noWrap/>
            <w:hideMark/>
          </w:tcPr>
          <w:p w14:paraId="7B76A25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8.43</w:t>
            </w:r>
          </w:p>
        </w:tc>
        <w:tc>
          <w:tcPr>
            <w:tcW w:w="0" w:type="auto"/>
            <w:noWrap/>
            <w:hideMark/>
          </w:tcPr>
          <w:p w14:paraId="113E60B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-8.42</w:t>
            </w:r>
          </w:p>
        </w:tc>
      </w:tr>
      <w:tr w:rsidR="00ED2DE4" w:rsidRPr="00D01AE7" w14:paraId="10C4025D" w14:textId="77777777" w:rsidTr="001F4D09">
        <w:trPr>
          <w:trHeight w:val="300"/>
        </w:trPr>
        <w:tc>
          <w:tcPr>
            <w:tcW w:w="0" w:type="auto"/>
            <w:noWrap/>
            <w:hideMark/>
          </w:tcPr>
          <w:p w14:paraId="7B81409C"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SUS3</w:t>
            </w:r>
          </w:p>
        </w:tc>
        <w:tc>
          <w:tcPr>
            <w:tcW w:w="0" w:type="auto"/>
            <w:noWrap/>
            <w:hideMark/>
          </w:tcPr>
          <w:p w14:paraId="28988DB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0.97</w:t>
            </w:r>
          </w:p>
        </w:tc>
        <w:tc>
          <w:tcPr>
            <w:tcW w:w="0" w:type="auto"/>
            <w:noWrap/>
            <w:hideMark/>
          </w:tcPr>
          <w:p w14:paraId="7F80A43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0529389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10.08</w:t>
            </w:r>
          </w:p>
        </w:tc>
        <w:tc>
          <w:tcPr>
            <w:tcW w:w="0" w:type="auto"/>
            <w:noWrap/>
            <w:hideMark/>
          </w:tcPr>
          <w:p w14:paraId="196D961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-9.15</w:t>
            </w:r>
          </w:p>
        </w:tc>
        <w:tc>
          <w:tcPr>
            <w:tcW w:w="0" w:type="auto"/>
            <w:noWrap/>
            <w:hideMark/>
          </w:tcPr>
          <w:p w14:paraId="1C24770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-0.94</w:t>
            </w:r>
          </w:p>
        </w:tc>
        <w:tc>
          <w:tcPr>
            <w:tcW w:w="0" w:type="auto"/>
            <w:noWrap/>
            <w:hideMark/>
          </w:tcPr>
          <w:p w14:paraId="3DF8277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4.27</w:t>
            </w:r>
          </w:p>
        </w:tc>
        <w:tc>
          <w:tcPr>
            <w:tcW w:w="0" w:type="auto"/>
            <w:noWrap/>
            <w:hideMark/>
          </w:tcPr>
          <w:p w14:paraId="740F79E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-4.42</w:t>
            </w:r>
          </w:p>
        </w:tc>
      </w:tr>
      <w:tr w:rsidR="00ED2DE4" w:rsidRPr="00D01AE7" w14:paraId="1F9B521F" w14:textId="77777777" w:rsidTr="001F4D09">
        <w:trPr>
          <w:trHeight w:val="300"/>
        </w:trPr>
        <w:tc>
          <w:tcPr>
            <w:tcW w:w="0" w:type="auto"/>
            <w:noWrap/>
            <w:hideMark/>
          </w:tcPr>
          <w:p w14:paraId="4A9B57DE"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GBG8</w:t>
            </w:r>
          </w:p>
        </w:tc>
        <w:tc>
          <w:tcPr>
            <w:tcW w:w="0" w:type="auto"/>
            <w:noWrap/>
            <w:hideMark/>
          </w:tcPr>
          <w:p w14:paraId="4486AE5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0.98</w:t>
            </w:r>
          </w:p>
        </w:tc>
        <w:tc>
          <w:tcPr>
            <w:tcW w:w="0" w:type="auto"/>
            <w:noWrap/>
            <w:hideMark/>
          </w:tcPr>
          <w:p w14:paraId="7DDA755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40D4D74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14.01</w:t>
            </w:r>
          </w:p>
        </w:tc>
        <w:tc>
          <w:tcPr>
            <w:tcW w:w="0" w:type="auto"/>
            <w:noWrap/>
            <w:hideMark/>
          </w:tcPr>
          <w:p w14:paraId="4054D4D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-13.08</w:t>
            </w:r>
          </w:p>
        </w:tc>
        <w:tc>
          <w:tcPr>
            <w:tcW w:w="0" w:type="auto"/>
            <w:noWrap/>
            <w:hideMark/>
          </w:tcPr>
          <w:p w14:paraId="1175AEC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-1.01</w:t>
            </w:r>
          </w:p>
        </w:tc>
        <w:tc>
          <w:tcPr>
            <w:tcW w:w="0" w:type="auto"/>
            <w:noWrap/>
            <w:hideMark/>
          </w:tcPr>
          <w:p w14:paraId="6ABE88A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8.32</w:t>
            </w:r>
          </w:p>
        </w:tc>
        <w:tc>
          <w:tcPr>
            <w:tcW w:w="0" w:type="auto"/>
            <w:noWrap/>
            <w:hideMark/>
          </w:tcPr>
          <w:p w14:paraId="2A8DDE7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-8.08</w:t>
            </w:r>
          </w:p>
        </w:tc>
      </w:tr>
      <w:tr w:rsidR="00ED2DE4" w:rsidRPr="00D01AE7" w14:paraId="3E3A8D56" w14:textId="77777777" w:rsidTr="001F4D09">
        <w:trPr>
          <w:trHeight w:val="300"/>
        </w:trPr>
        <w:tc>
          <w:tcPr>
            <w:tcW w:w="0" w:type="auto"/>
            <w:noWrap/>
            <w:hideMark/>
          </w:tcPr>
          <w:p w14:paraId="24AA242A"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TOT1</w:t>
            </w:r>
          </w:p>
        </w:tc>
        <w:tc>
          <w:tcPr>
            <w:tcW w:w="0" w:type="auto"/>
            <w:noWrap/>
            <w:hideMark/>
          </w:tcPr>
          <w:p w14:paraId="2E3A1BE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0.99</w:t>
            </w:r>
          </w:p>
        </w:tc>
        <w:tc>
          <w:tcPr>
            <w:tcW w:w="0" w:type="auto"/>
            <w:noWrap/>
            <w:hideMark/>
          </w:tcPr>
          <w:p w14:paraId="064C383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0.37</w:t>
            </w:r>
          </w:p>
        </w:tc>
        <w:tc>
          <w:tcPr>
            <w:tcW w:w="0" w:type="auto"/>
            <w:noWrap/>
            <w:hideMark/>
          </w:tcPr>
          <w:p w14:paraId="3514852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1.07</w:t>
            </w:r>
          </w:p>
        </w:tc>
        <w:tc>
          <w:tcPr>
            <w:tcW w:w="0" w:type="auto"/>
            <w:noWrap/>
            <w:hideMark/>
          </w:tcPr>
          <w:p w14:paraId="6F44B20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-0.07</w:t>
            </w:r>
          </w:p>
        </w:tc>
        <w:tc>
          <w:tcPr>
            <w:tcW w:w="0" w:type="auto"/>
            <w:noWrap/>
            <w:hideMark/>
          </w:tcPr>
          <w:p w14:paraId="396DE13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-1.15</w:t>
            </w:r>
          </w:p>
        </w:tc>
        <w:tc>
          <w:tcPr>
            <w:tcW w:w="0" w:type="auto"/>
            <w:noWrap/>
            <w:hideMark/>
          </w:tcPr>
          <w:p w14:paraId="47653FB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1.28</w:t>
            </w:r>
          </w:p>
        </w:tc>
        <w:tc>
          <w:tcPr>
            <w:tcW w:w="0" w:type="auto"/>
            <w:noWrap/>
            <w:hideMark/>
          </w:tcPr>
          <w:p w14:paraId="124A0F5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-0.57</w:t>
            </w:r>
          </w:p>
        </w:tc>
      </w:tr>
      <w:tr w:rsidR="00ED2DE4" w:rsidRPr="00D01AE7" w14:paraId="4CFE45B5" w14:textId="77777777" w:rsidTr="001F4D09">
        <w:trPr>
          <w:trHeight w:val="300"/>
        </w:trPr>
        <w:tc>
          <w:tcPr>
            <w:tcW w:w="0" w:type="auto"/>
            <w:noWrap/>
            <w:hideMark/>
          </w:tcPr>
          <w:p w14:paraId="674D0032"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NAN1</w:t>
            </w:r>
          </w:p>
        </w:tc>
        <w:tc>
          <w:tcPr>
            <w:tcW w:w="0" w:type="auto"/>
            <w:noWrap/>
            <w:hideMark/>
          </w:tcPr>
          <w:p w14:paraId="100D63D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0.98</w:t>
            </w:r>
          </w:p>
        </w:tc>
        <w:tc>
          <w:tcPr>
            <w:tcW w:w="0" w:type="auto"/>
            <w:noWrap/>
            <w:hideMark/>
          </w:tcPr>
          <w:p w14:paraId="6CBC1B9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077BBD6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9.81</w:t>
            </w:r>
          </w:p>
        </w:tc>
        <w:tc>
          <w:tcPr>
            <w:tcW w:w="0" w:type="auto"/>
            <w:noWrap/>
            <w:hideMark/>
          </w:tcPr>
          <w:p w14:paraId="311D3BB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-8.84</w:t>
            </w:r>
          </w:p>
        </w:tc>
        <w:tc>
          <w:tcPr>
            <w:tcW w:w="0" w:type="auto"/>
            <w:noWrap/>
            <w:hideMark/>
          </w:tcPr>
          <w:p w14:paraId="49895AB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-1.03</w:t>
            </w:r>
          </w:p>
        </w:tc>
        <w:tc>
          <w:tcPr>
            <w:tcW w:w="0" w:type="auto"/>
            <w:noWrap/>
            <w:hideMark/>
          </w:tcPr>
          <w:p w14:paraId="3568DF0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8.28</w:t>
            </w:r>
          </w:p>
        </w:tc>
        <w:tc>
          <w:tcPr>
            <w:tcW w:w="0" w:type="auto"/>
            <w:noWrap/>
            <w:hideMark/>
          </w:tcPr>
          <w:p w14:paraId="134158F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-7.85</w:t>
            </w:r>
          </w:p>
        </w:tc>
      </w:tr>
      <w:tr w:rsidR="00ED2DE4" w:rsidRPr="00D01AE7" w14:paraId="08421C54" w14:textId="77777777" w:rsidTr="001F4D09">
        <w:trPr>
          <w:trHeight w:val="300"/>
        </w:trPr>
        <w:tc>
          <w:tcPr>
            <w:tcW w:w="0" w:type="auto"/>
            <w:noWrap/>
            <w:hideMark/>
          </w:tcPr>
          <w:p w14:paraId="51C50C04"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NAN4</w:t>
            </w:r>
          </w:p>
        </w:tc>
        <w:tc>
          <w:tcPr>
            <w:tcW w:w="0" w:type="auto"/>
            <w:noWrap/>
            <w:hideMark/>
          </w:tcPr>
          <w:p w14:paraId="0F6AD87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0.98</w:t>
            </w:r>
          </w:p>
        </w:tc>
        <w:tc>
          <w:tcPr>
            <w:tcW w:w="0" w:type="auto"/>
            <w:noWrap/>
            <w:hideMark/>
          </w:tcPr>
          <w:p w14:paraId="10FDF22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793F246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9.48</w:t>
            </w:r>
          </w:p>
        </w:tc>
        <w:tc>
          <w:tcPr>
            <w:tcW w:w="0" w:type="auto"/>
            <w:noWrap/>
            <w:hideMark/>
          </w:tcPr>
          <w:p w14:paraId="066518C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-8.53</w:t>
            </w:r>
          </w:p>
        </w:tc>
        <w:tc>
          <w:tcPr>
            <w:tcW w:w="0" w:type="auto"/>
            <w:noWrap/>
            <w:hideMark/>
          </w:tcPr>
          <w:p w14:paraId="6F755B1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-0.97</w:t>
            </w:r>
          </w:p>
        </w:tc>
        <w:tc>
          <w:tcPr>
            <w:tcW w:w="0" w:type="auto"/>
            <w:noWrap/>
            <w:hideMark/>
          </w:tcPr>
          <w:p w14:paraId="043493C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6.38</w:t>
            </w:r>
          </w:p>
        </w:tc>
        <w:tc>
          <w:tcPr>
            <w:tcW w:w="0" w:type="auto"/>
            <w:noWrap/>
            <w:hideMark/>
          </w:tcPr>
          <w:p w14:paraId="70159D5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-6.46</w:t>
            </w:r>
          </w:p>
        </w:tc>
      </w:tr>
      <w:tr w:rsidR="00ED2DE4" w:rsidRPr="00D01AE7" w14:paraId="66EB783C" w14:textId="77777777" w:rsidTr="001F4D09">
        <w:trPr>
          <w:trHeight w:val="300"/>
        </w:trPr>
        <w:tc>
          <w:tcPr>
            <w:tcW w:w="0" w:type="auto"/>
            <w:noWrap/>
            <w:hideMark/>
          </w:tcPr>
          <w:p w14:paraId="6B457098"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MAM7</w:t>
            </w:r>
          </w:p>
        </w:tc>
        <w:tc>
          <w:tcPr>
            <w:tcW w:w="0" w:type="auto"/>
            <w:noWrap/>
            <w:hideMark/>
          </w:tcPr>
          <w:p w14:paraId="61FD6C4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0.97</w:t>
            </w:r>
          </w:p>
        </w:tc>
        <w:tc>
          <w:tcPr>
            <w:tcW w:w="0" w:type="auto"/>
            <w:noWrap/>
            <w:hideMark/>
          </w:tcPr>
          <w:p w14:paraId="522EEF5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6DA02AB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8.02</w:t>
            </w:r>
          </w:p>
        </w:tc>
        <w:tc>
          <w:tcPr>
            <w:tcW w:w="0" w:type="auto"/>
            <w:noWrap/>
            <w:hideMark/>
          </w:tcPr>
          <w:p w14:paraId="3493164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-7.07</w:t>
            </w:r>
          </w:p>
        </w:tc>
        <w:tc>
          <w:tcPr>
            <w:tcW w:w="0" w:type="auto"/>
            <w:noWrap/>
            <w:hideMark/>
          </w:tcPr>
          <w:p w14:paraId="09CA886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39DE718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5.94</w:t>
            </w:r>
          </w:p>
        </w:tc>
        <w:tc>
          <w:tcPr>
            <w:tcW w:w="0" w:type="auto"/>
            <w:noWrap/>
            <w:hideMark/>
          </w:tcPr>
          <w:p w14:paraId="25B68A7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-5.98</w:t>
            </w:r>
          </w:p>
        </w:tc>
      </w:tr>
      <w:tr w:rsidR="00ED2DE4" w:rsidRPr="00D01AE7" w14:paraId="26B2131C" w14:textId="77777777" w:rsidTr="001F4D09">
        <w:trPr>
          <w:trHeight w:val="300"/>
        </w:trPr>
        <w:tc>
          <w:tcPr>
            <w:tcW w:w="0" w:type="auto"/>
            <w:noWrap/>
            <w:hideMark/>
          </w:tcPr>
          <w:p w14:paraId="727070AF"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BIB4</w:t>
            </w:r>
          </w:p>
        </w:tc>
        <w:tc>
          <w:tcPr>
            <w:tcW w:w="0" w:type="auto"/>
            <w:noWrap/>
            <w:hideMark/>
          </w:tcPr>
          <w:p w14:paraId="5E9FD01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0.97</w:t>
            </w:r>
          </w:p>
        </w:tc>
        <w:tc>
          <w:tcPr>
            <w:tcW w:w="0" w:type="auto"/>
            <w:noWrap/>
            <w:hideMark/>
          </w:tcPr>
          <w:p w14:paraId="33FE555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3F1C249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18.97</w:t>
            </w:r>
          </w:p>
        </w:tc>
        <w:tc>
          <w:tcPr>
            <w:tcW w:w="0" w:type="auto"/>
            <w:noWrap/>
            <w:hideMark/>
          </w:tcPr>
          <w:p w14:paraId="35B5CEF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-18.07</w:t>
            </w:r>
          </w:p>
        </w:tc>
        <w:tc>
          <w:tcPr>
            <w:tcW w:w="0" w:type="auto"/>
            <w:noWrap/>
            <w:hideMark/>
          </w:tcPr>
          <w:p w14:paraId="1AD0AB9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5253E15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6.76</w:t>
            </w:r>
          </w:p>
        </w:tc>
        <w:tc>
          <w:tcPr>
            <w:tcW w:w="0" w:type="auto"/>
            <w:noWrap/>
            <w:hideMark/>
          </w:tcPr>
          <w:p w14:paraId="76F817B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-6.89</w:t>
            </w:r>
          </w:p>
        </w:tc>
      </w:tr>
      <w:tr w:rsidR="00ED2DE4" w:rsidRPr="00D01AE7" w14:paraId="6041DB67" w14:textId="77777777" w:rsidTr="001F4D09">
        <w:trPr>
          <w:trHeight w:val="300"/>
        </w:trPr>
        <w:tc>
          <w:tcPr>
            <w:tcW w:w="0" w:type="auto"/>
            <w:noWrap/>
            <w:hideMark/>
          </w:tcPr>
          <w:p w14:paraId="1893CE00"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MAM7</w:t>
            </w:r>
          </w:p>
        </w:tc>
        <w:tc>
          <w:tcPr>
            <w:tcW w:w="0" w:type="auto"/>
            <w:noWrap/>
            <w:hideMark/>
          </w:tcPr>
          <w:p w14:paraId="79528BA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0.94</w:t>
            </w:r>
          </w:p>
        </w:tc>
        <w:tc>
          <w:tcPr>
            <w:tcW w:w="0" w:type="auto"/>
            <w:noWrap/>
            <w:hideMark/>
          </w:tcPr>
          <w:p w14:paraId="6EC43B3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6.81</w:t>
            </w:r>
          </w:p>
        </w:tc>
        <w:tc>
          <w:tcPr>
            <w:tcW w:w="0" w:type="auto"/>
            <w:noWrap/>
            <w:hideMark/>
          </w:tcPr>
          <w:p w14:paraId="79218E9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0.94</w:t>
            </w:r>
          </w:p>
        </w:tc>
        <w:tc>
          <w:tcPr>
            <w:tcW w:w="0" w:type="auto"/>
            <w:noWrap/>
            <w:hideMark/>
          </w:tcPr>
          <w:p w14:paraId="176730D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0.06</w:t>
            </w:r>
          </w:p>
        </w:tc>
        <w:tc>
          <w:tcPr>
            <w:tcW w:w="0" w:type="auto"/>
            <w:noWrap/>
            <w:hideMark/>
          </w:tcPr>
          <w:p w14:paraId="6CC850D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5.93</w:t>
            </w:r>
          </w:p>
        </w:tc>
        <w:tc>
          <w:tcPr>
            <w:tcW w:w="0" w:type="auto"/>
            <w:noWrap/>
            <w:hideMark/>
          </w:tcPr>
          <w:p w14:paraId="5BD2013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-6.04</w:t>
            </w:r>
          </w:p>
        </w:tc>
        <w:tc>
          <w:tcPr>
            <w:tcW w:w="0" w:type="auto"/>
            <w:noWrap/>
            <w:hideMark/>
          </w:tcPr>
          <w:p w14:paraId="2284EB4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5.38</w:t>
            </w:r>
          </w:p>
        </w:tc>
      </w:tr>
      <w:tr w:rsidR="00ED2DE4" w:rsidRPr="00D01AE7" w14:paraId="09B133B2" w14:textId="77777777" w:rsidTr="001F4D09">
        <w:trPr>
          <w:trHeight w:val="300"/>
        </w:trPr>
        <w:tc>
          <w:tcPr>
            <w:tcW w:w="0" w:type="auto"/>
            <w:noWrap/>
            <w:hideMark/>
          </w:tcPr>
          <w:p w14:paraId="598AE07F"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ZAZ165</w:t>
            </w:r>
          </w:p>
        </w:tc>
        <w:tc>
          <w:tcPr>
            <w:tcW w:w="0" w:type="auto"/>
            <w:noWrap/>
            <w:hideMark/>
          </w:tcPr>
          <w:p w14:paraId="3FD35F6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0.93</w:t>
            </w:r>
          </w:p>
        </w:tc>
        <w:tc>
          <w:tcPr>
            <w:tcW w:w="0" w:type="auto"/>
            <w:noWrap/>
            <w:hideMark/>
          </w:tcPr>
          <w:p w14:paraId="2B0092A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50077B3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7.12</w:t>
            </w:r>
          </w:p>
        </w:tc>
        <w:tc>
          <w:tcPr>
            <w:tcW w:w="0" w:type="auto"/>
            <w:noWrap/>
            <w:hideMark/>
          </w:tcPr>
          <w:p w14:paraId="4A0DF52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-581.52</w:t>
            </w:r>
          </w:p>
        </w:tc>
        <w:tc>
          <w:tcPr>
            <w:tcW w:w="0" w:type="auto"/>
            <w:noWrap/>
            <w:hideMark/>
          </w:tcPr>
          <w:p w14:paraId="148361D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-0.53</w:t>
            </w:r>
          </w:p>
        </w:tc>
        <w:tc>
          <w:tcPr>
            <w:tcW w:w="0" w:type="auto"/>
            <w:noWrap/>
            <w:hideMark/>
          </w:tcPr>
          <w:p w14:paraId="0F4C57A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7ECC965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-7.59</w:t>
            </w:r>
          </w:p>
        </w:tc>
      </w:tr>
      <w:tr w:rsidR="00ED2DE4" w:rsidRPr="00D01AE7" w14:paraId="6E0FBD23" w14:textId="77777777" w:rsidTr="001F4D09">
        <w:trPr>
          <w:trHeight w:val="300"/>
        </w:trPr>
        <w:tc>
          <w:tcPr>
            <w:tcW w:w="0" w:type="auto"/>
            <w:noWrap/>
            <w:hideMark/>
          </w:tcPr>
          <w:p w14:paraId="6E18F945"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TAT170</w:t>
            </w:r>
          </w:p>
        </w:tc>
        <w:tc>
          <w:tcPr>
            <w:tcW w:w="0" w:type="auto"/>
            <w:noWrap/>
            <w:hideMark/>
          </w:tcPr>
          <w:p w14:paraId="4F1FC27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0.94</w:t>
            </w:r>
          </w:p>
        </w:tc>
        <w:tc>
          <w:tcPr>
            <w:tcW w:w="0" w:type="auto"/>
            <w:noWrap/>
            <w:hideMark/>
          </w:tcPr>
          <w:p w14:paraId="1073B5A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420DB05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2.01</w:t>
            </w:r>
          </w:p>
        </w:tc>
        <w:tc>
          <w:tcPr>
            <w:tcW w:w="0" w:type="auto"/>
            <w:noWrap/>
            <w:hideMark/>
          </w:tcPr>
          <w:p w14:paraId="2234166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-166.75</w:t>
            </w:r>
          </w:p>
        </w:tc>
        <w:tc>
          <w:tcPr>
            <w:tcW w:w="0" w:type="auto"/>
            <w:noWrap/>
            <w:hideMark/>
          </w:tcPr>
          <w:p w14:paraId="434BA0B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-0.56</w:t>
            </w:r>
          </w:p>
        </w:tc>
        <w:tc>
          <w:tcPr>
            <w:tcW w:w="0" w:type="auto"/>
            <w:noWrap/>
            <w:hideMark/>
          </w:tcPr>
          <w:p w14:paraId="4760802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5C20B6C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-7.42</w:t>
            </w:r>
          </w:p>
        </w:tc>
      </w:tr>
      <w:tr w:rsidR="00ED2DE4" w:rsidRPr="00D01AE7" w14:paraId="5E0A84DB" w14:textId="77777777" w:rsidTr="001F4D09">
        <w:trPr>
          <w:trHeight w:val="300"/>
        </w:trPr>
        <w:tc>
          <w:tcPr>
            <w:tcW w:w="0" w:type="auto"/>
            <w:noWrap/>
            <w:hideMark/>
          </w:tcPr>
          <w:p w14:paraId="6CD7DC4D"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BAF195</w:t>
            </w:r>
          </w:p>
        </w:tc>
        <w:tc>
          <w:tcPr>
            <w:tcW w:w="0" w:type="auto"/>
            <w:noWrap/>
            <w:hideMark/>
          </w:tcPr>
          <w:p w14:paraId="302B681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0C45066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4F13ABA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2.16</w:t>
            </w:r>
          </w:p>
        </w:tc>
        <w:tc>
          <w:tcPr>
            <w:tcW w:w="0" w:type="auto"/>
            <w:noWrap/>
            <w:hideMark/>
          </w:tcPr>
          <w:p w14:paraId="40AC364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-209.17</w:t>
            </w:r>
          </w:p>
        </w:tc>
        <w:tc>
          <w:tcPr>
            <w:tcW w:w="0" w:type="auto"/>
            <w:noWrap/>
            <w:hideMark/>
          </w:tcPr>
          <w:p w14:paraId="29AA0B4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-0.61</w:t>
            </w:r>
          </w:p>
        </w:tc>
        <w:tc>
          <w:tcPr>
            <w:tcW w:w="0" w:type="auto"/>
            <w:noWrap/>
            <w:hideMark/>
          </w:tcPr>
          <w:p w14:paraId="7B7F1D9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56A0488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-7.64</w:t>
            </w:r>
          </w:p>
        </w:tc>
      </w:tr>
      <w:tr w:rsidR="00ED2DE4" w:rsidRPr="00D01AE7" w14:paraId="5A458F6B" w14:textId="77777777" w:rsidTr="001F4D09">
        <w:trPr>
          <w:trHeight w:val="300"/>
        </w:trPr>
        <w:tc>
          <w:tcPr>
            <w:tcW w:w="0" w:type="auto"/>
            <w:noWrap/>
            <w:hideMark/>
          </w:tcPr>
          <w:p w14:paraId="5497B966"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NYG170</w:t>
            </w:r>
          </w:p>
        </w:tc>
        <w:tc>
          <w:tcPr>
            <w:tcW w:w="0" w:type="auto"/>
            <w:noWrap/>
            <w:hideMark/>
          </w:tcPr>
          <w:p w14:paraId="5BB050D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161A8A0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132DBEF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5.29</w:t>
            </w:r>
          </w:p>
        </w:tc>
        <w:tc>
          <w:tcPr>
            <w:tcW w:w="0" w:type="auto"/>
            <w:noWrap/>
            <w:hideMark/>
          </w:tcPr>
          <w:p w14:paraId="5D03680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-444.68</w:t>
            </w:r>
          </w:p>
        </w:tc>
        <w:tc>
          <w:tcPr>
            <w:tcW w:w="0" w:type="auto"/>
            <w:noWrap/>
            <w:hideMark/>
          </w:tcPr>
          <w:p w14:paraId="66BA1EF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-0.56</w:t>
            </w:r>
          </w:p>
        </w:tc>
        <w:tc>
          <w:tcPr>
            <w:tcW w:w="0" w:type="auto"/>
            <w:noWrap/>
            <w:hideMark/>
          </w:tcPr>
          <w:p w14:paraId="0D42EEC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5BD01F1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-7.60</w:t>
            </w:r>
          </w:p>
        </w:tc>
      </w:tr>
      <w:tr w:rsidR="00ED2DE4" w:rsidRPr="00D01AE7" w14:paraId="29545585" w14:textId="77777777" w:rsidTr="001F4D09">
        <w:trPr>
          <w:trHeight w:val="300"/>
        </w:trPr>
        <w:tc>
          <w:tcPr>
            <w:tcW w:w="0" w:type="auto"/>
            <w:noWrap/>
            <w:hideMark/>
          </w:tcPr>
          <w:p w14:paraId="399BE273"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LAL85</w:t>
            </w:r>
          </w:p>
        </w:tc>
        <w:tc>
          <w:tcPr>
            <w:tcW w:w="0" w:type="auto"/>
            <w:noWrap/>
            <w:hideMark/>
          </w:tcPr>
          <w:p w14:paraId="2C4B22C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0.85</w:t>
            </w:r>
          </w:p>
        </w:tc>
        <w:tc>
          <w:tcPr>
            <w:tcW w:w="0" w:type="auto"/>
            <w:noWrap/>
            <w:hideMark/>
          </w:tcPr>
          <w:p w14:paraId="5983082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0.10</w:t>
            </w:r>
          </w:p>
        </w:tc>
        <w:tc>
          <w:tcPr>
            <w:tcW w:w="0" w:type="auto"/>
            <w:noWrap/>
            <w:hideMark/>
          </w:tcPr>
          <w:p w14:paraId="12DDDAA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1.62</w:t>
            </w:r>
          </w:p>
        </w:tc>
        <w:tc>
          <w:tcPr>
            <w:tcW w:w="0" w:type="auto"/>
            <w:noWrap/>
            <w:hideMark/>
          </w:tcPr>
          <w:p w14:paraId="6419070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-68.23</w:t>
            </w:r>
          </w:p>
        </w:tc>
        <w:tc>
          <w:tcPr>
            <w:tcW w:w="0" w:type="auto"/>
            <w:noWrap/>
            <w:hideMark/>
          </w:tcPr>
          <w:p w14:paraId="2F2EE49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-0.54</w:t>
            </w:r>
          </w:p>
        </w:tc>
        <w:tc>
          <w:tcPr>
            <w:tcW w:w="0" w:type="auto"/>
            <w:noWrap/>
            <w:hideMark/>
          </w:tcPr>
          <w:p w14:paraId="3504614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0414B44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-3.45</w:t>
            </w:r>
          </w:p>
        </w:tc>
      </w:tr>
      <w:tr w:rsidR="00ED2DE4" w:rsidRPr="00D01AE7" w14:paraId="67DC6CF1" w14:textId="77777777" w:rsidTr="001F4D09">
        <w:trPr>
          <w:trHeight w:val="300"/>
        </w:trPr>
        <w:tc>
          <w:tcPr>
            <w:tcW w:w="0" w:type="auto"/>
            <w:noWrap/>
            <w:hideMark/>
          </w:tcPr>
          <w:p w14:paraId="2361875D"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TUT4</w:t>
            </w:r>
          </w:p>
        </w:tc>
        <w:tc>
          <w:tcPr>
            <w:tcW w:w="0" w:type="auto"/>
            <w:noWrap/>
            <w:hideMark/>
          </w:tcPr>
          <w:p w14:paraId="6F92CF8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0.92</w:t>
            </w:r>
          </w:p>
        </w:tc>
        <w:tc>
          <w:tcPr>
            <w:tcW w:w="0" w:type="auto"/>
            <w:noWrap/>
            <w:hideMark/>
          </w:tcPr>
          <w:p w14:paraId="6E30589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0.07</w:t>
            </w:r>
          </w:p>
        </w:tc>
        <w:tc>
          <w:tcPr>
            <w:tcW w:w="0" w:type="auto"/>
            <w:noWrap/>
            <w:hideMark/>
          </w:tcPr>
          <w:p w14:paraId="4FC37E1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69.01</w:t>
            </w:r>
          </w:p>
        </w:tc>
        <w:tc>
          <w:tcPr>
            <w:tcW w:w="0" w:type="auto"/>
            <w:noWrap/>
            <w:hideMark/>
          </w:tcPr>
          <w:p w14:paraId="19C8D4C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-69.28</w:t>
            </w:r>
          </w:p>
        </w:tc>
        <w:tc>
          <w:tcPr>
            <w:tcW w:w="0" w:type="auto"/>
            <w:noWrap/>
            <w:hideMark/>
          </w:tcPr>
          <w:p w14:paraId="4896C3E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-0.78</w:t>
            </w:r>
          </w:p>
        </w:tc>
        <w:tc>
          <w:tcPr>
            <w:tcW w:w="0" w:type="auto"/>
            <w:noWrap/>
            <w:hideMark/>
          </w:tcPr>
          <w:p w14:paraId="5AE591C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5.49</w:t>
            </w:r>
          </w:p>
        </w:tc>
        <w:tc>
          <w:tcPr>
            <w:tcW w:w="0" w:type="auto"/>
            <w:noWrap/>
            <w:hideMark/>
          </w:tcPr>
          <w:p w14:paraId="3416C04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-6.65</w:t>
            </w:r>
          </w:p>
        </w:tc>
      </w:tr>
      <w:tr w:rsidR="00ED2DE4" w:rsidRPr="00D01AE7" w14:paraId="05CAE13E" w14:textId="77777777" w:rsidTr="001F4D09">
        <w:trPr>
          <w:trHeight w:val="300"/>
        </w:trPr>
        <w:tc>
          <w:tcPr>
            <w:tcW w:w="0" w:type="auto"/>
            <w:noWrap/>
            <w:hideMark/>
          </w:tcPr>
          <w:p w14:paraId="0E4C3604"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NYC5</w:t>
            </w:r>
          </w:p>
        </w:tc>
        <w:tc>
          <w:tcPr>
            <w:tcW w:w="0" w:type="auto"/>
            <w:noWrap/>
            <w:hideMark/>
          </w:tcPr>
          <w:p w14:paraId="1CC0F07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0.90</w:t>
            </w:r>
          </w:p>
        </w:tc>
        <w:tc>
          <w:tcPr>
            <w:tcW w:w="0" w:type="auto"/>
            <w:noWrap/>
            <w:hideMark/>
          </w:tcPr>
          <w:p w14:paraId="30D6349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0.10</w:t>
            </w:r>
          </w:p>
        </w:tc>
        <w:tc>
          <w:tcPr>
            <w:tcW w:w="0" w:type="auto"/>
            <w:noWrap/>
            <w:hideMark/>
          </w:tcPr>
          <w:p w14:paraId="24AB53A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26.72</w:t>
            </w:r>
          </w:p>
        </w:tc>
        <w:tc>
          <w:tcPr>
            <w:tcW w:w="0" w:type="auto"/>
            <w:noWrap/>
            <w:hideMark/>
          </w:tcPr>
          <w:p w14:paraId="5BB4F14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-26.39</w:t>
            </w:r>
          </w:p>
        </w:tc>
        <w:tc>
          <w:tcPr>
            <w:tcW w:w="0" w:type="auto"/>
            <w:noWrap/>
            <w:hideMark/>
          </w:tcPr>
          <w:p w14:paraId="47981E4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-0.81</w:t>
            </w:r>
          </w:p>
        </w:tc>
        <w:tc>
          <w:tcPr>
            <w:tcW w:w="0" w:type="auto"/>
            <w:noWrap/>
            <w:hideMark/>
          </w:tcPr>
          <w:p w14:paraId="31CF926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4.40</w:t>
            </w:r>
          </w:p>
        </w:tc>
        <w:tc>
          <w:tcPr>
            <w:tcW w:w="0" w:type="auto"/>
            <w:noWrap/>
            <w:hideMark/>
          </w:tcPr>
          <w:p w14:paraId="0330E4E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-5.01</w:t>
            </w:r>
          </w:p>
        </w:tc>
      </w:tr>
      <w:tr w:rsidR="00ED2DE4" w:rsidRPr="00D01AE7" w14:paraId="71DB9C90" w14:textId="77777777" w:rsidTr="001F4D09">
        <w:trPr>
          <w:trHeight w:val="300"/>
        </w:trPr>
        <w:tc>
          <w:tcPr>
            <w:tcW w:w="0" w:type="auto"/>
            <w:noWrap/>
            <w:hideMark/>
          </w:tcPr>
          <w:p w14:paraId="532FC125"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SUJ7</w:t>
            </w:r>
          </w:p>
        </w:tc>
        <w:tc>
          <w:tcPr>
            <w:tcW w:w="0" w:type="auto"/>
            <w:noWrap/>
            <w:hideMark/>
          </w:tcPr>
          <w:p w14:paraId="6A118D0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0.87</w:t>
            </w:r>
          </w:p>
        </w:tc>
        <w:tc>
          <w:tcPr>
            <w:tcW w:w="0" w:type="auto"/>
            <w:noWrap/>
            <w:hideMark/>
          </w:tcPr>
          <w:p w14:paraId="3E5D673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0.12</w:t>
            </w:r>
          </w:p>
        </w:tc>
        <w:tc>
          <w:tcPr>
            <w:tcW w:w="0" w:type="auto"/>
            <w:noWrap/>
            <w:hideMark/>
          </w:tcPr>
          <w:p w14:paraId="204CAE7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19.50</w:t>
            </w:r>
          </w:p>
        </w:tc>
        <w:tc>
          <w:tcPr>
            <w:tcW w:w="0" w:type="auto"/>
            <w:noWrap/>
            <w:hideMark/>
          </w:tcPr>
          <w:p w14:paraId="38CE327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-18.86</w:t>
            </w:r>
          </w:p>
        </w:tc>
        <w:tc>
          <w:tcPr>
            <w:tcW w:w="0" w:type="auto"/>
            <w:noWrap/>
            <w:hideMark/>
          </w:tcPr>
          <w:p w14:paraId="59730F9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-0.74</w:t>
            </w:r>
          </w:p>
        </w:tc>
        <w:tc>
          <w:tcPr>
            <w:tcW w:w="0" w:type="auto"/>
            <w:noWrap/>
            <w:hideMark/>
          </w:tcPr>
          <w:p w14:paraId="2E2AFB1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3.61</w:t>
            </w:r>
          </w:p>
        </w:tc>
        <w:tc>
          <w:tcPr>
            <w:tcW w:w="0" w:type="auto"/>
            <w:noWrap/>
            <w:hideMark/>
          </w:tcPr>
          <w:p w14:paraId="41EE666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-4.37</w:t>
            </w:r>
          </w:p>
        </w:tc>
      </w:tr>
      <w:tr w:rsidR="00ED2DE4" w:rsidRPr="00D01AE7" w14:paraId="37CD3711" w14:textId="77777777" w:rsidTr="001F4D09">
        <w:trPr>
          <w:trHeight w:val="300"/>
        </w:trPr>
        <w:tc>
          <w:tcPr>
            <w:tcW w:w="0" w:type="auto"/>
            <w:noWrap/>
            <w:hideMark/>
          </w:tcPr>
          <w:p w14:paraId="11123906"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ISJ2</w:t>
            </w:r>
          </w:p>
        </w:tc>
        <w:tc>
          <w:tcPr>
            <w:tcW w:w="0" w:type="auto"/>
            <w:noWrap/>
            <w:hideMark/>
          </w:tcPr>
          <w:p w14:paraId="032266A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59C82B5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0.05</w:t>
            </w:r>
          </w:p>
        </w:tc>
        <w:tc>
          <w:tcPr>
            <w:tcW w:w="0" w:type="auto"/>
            <w:noWrap/>
            <w:hideMark/>
          </w:tcPr>
          <w:p w14:paraId="6F32B3C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5.32</w:t>
            </w:r>
          </w:p>
        </w:tc>
        <w:tc>
          <w:tcPr>
            <w:tcW w:w="0" w:type="auto"/>
            <w:noWrap/>
            <w:hideMark/>
          </w:tcPr>
          <w:p w14:paraId="07285CC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-4.38</w:t>
            </w:r>
          </w:p>
        </w:tc>
        <w:tc>
          <w:tcPr>
            <w:tcW w:w="0" w:type="auto"/>
            <w:noWrap/>
            <w:hideMark/>
          </w:tcPr>
          <w:p w14:paraId="327BCC4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-0.90</w:t>
            </w:r>
          </w:p>
        </w:tc>
        <w:tc>
          <w:tcPr>
            <w:tcW w:w="0" w:type="auto"/>
            <w:noWrap/>
            <w:hideMark/>
          </w:tcPr>
          <w:p w14:paraId="5259A4E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6.18</w:t>
            </w:r>
          </w:p>
        </w:tc>
        <w:tc>
          <w:tcPr>
            <w:tcW w:w="0" w:type="auto"/>
            <w:noWrap/>
            <w:hideMark/>
          </w:tcPr>
          <w:p w14:paraId="5418003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-6.64</w:t>
            </w:r>
          </w:p>
        </w:tc>
      </w:tr>
      <w:tr w:rsidR="00ED2DE4" w:rsidRPr="00D01AE7" w14:paraId="7C3C1F63" w14:textId="77777777" w:rsidTr="001F4D09">
        <w:trPr>
          <w:trHeight w:val="300"/>
        </w:trPr>
        <w:tc>
          <w:tcPr>
            <w:tcW w:w="0" w:type="auto"/>
            <w:noWrap/>
            <w:hideMark/>
          </w:tcPr>
          <w:p w14:paraId="56C64F08"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DAN4</w:t>
            </w:r>
          </w:p>
        </w:tc>
        <w:tc>
          <w:tcPr>
            <w:tcW w:w="0" w:type="auto"/>
            <w:noWrap/>
            <w:hideMark/>
          </w:tcPr>
          <w:p w14:paraId="10D2C72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0.99</w:t>
            </w:r>
          </w:p>
        </w:tc>
        <w:tc>
          <w:tcPr>
            <w:tcW w:w="0" w:type="auto"/>
            <w:noWrap/>
            <w:hideMark/>
          </w:tcPr>
          <w:p w14:paraId="012F674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1299100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9.58</w:t>
            </w:r>
          </w:p>
        </w:tc>
        <w:tc>
          <w:tcPr>
            <w:tcW w:w="0" w:type="auto"/>
            <w:noWrap/>
            <w:hideMark/>
          </w:tcPr>
          <w:p w14:paraId="1508366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-8.69</w:t>
            </w:r>
          </w:p>
        </w:tc>
        <w:tc>
          <w:tcPr>
            <w:tcW w:w="0" w:type="auto"/>
            <w:noWrap/>
            <w:hideMark/>
          </w:tcPr>
          <w:p w14:paraId="771C07A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095ED8B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2.73</w:t>
            </w:r>
          </w:p>
        </w:tc>
        <w:tc>
          <w:tcPr>
            <w:tcW w:w="0" w:type="auto"/>
            <w:noWrap/>
            <w:hideMark/>
          </w:tcPr>
          <w:p w14:paraId="16ACBF8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-2.84</w:t>
            </w:r>
          </w:p>
        </w:tc>
      </w:tr>
      <w:tr w:rsidR="00ED2DE4" w:rsidRPr="00D01AE7" w14:paraId="7F1A6D7D" w14:textId="77777777" w:rsidTr="001F4D09">
        <w:trPr>
          <w:trHeight w:val="300"/>
        </w:trPr>
        <w:tc>
          <w:tcPr>
            <w:tcW w:w="0" w:type="auto"/>
            <w:noWrap/>
            <w:hideMark/>
          </w:tcPr>
          <w:p w14:paraId="298D2382"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KPK6</w:t>
            </w:r>
          </w:p>
        </w:tc>
        <w:tc>
          <w:tcPr>
            <w:tcW w:w="0" w:type="auto"/>
            <w:noWrap/>
            <w:hideMark/>
          </w:tcPr>
          <w:p w14:paraId="2698068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313F036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5972F75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7.63</w:t>
            </w:r>
          </w:p>
        </w:tc>
        <w:tc>
          <w:tcPr>
            <w:tcW w:w="0" w:type="auto"/>
            <w:noWrap/>
            <w:hideMark/>
          </w:tcPr>
          <w:p w14:paraId="2A8690E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-6.91</w:t>
            </w:r>
          </w:p>
        </w:tc>
        <w:tc>
          <w:tcPr>
            <w:tcW w:w="0" w:type="auto"/>
            <w:noWrap/>
            <w:hideMark/>
          </w:tcPr>
          <w:p w14:paraId="0772BE4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-0.48</w:t>
            </w:r>
          </w:p>
        </w:tc>
        <w:tc>
          <w:tcPr>
            <w:tcW w:w="0" w:type="auto"/>
            <w:noWrap/>
            <w:hideMark/>
          </w:tcPr>
          <w:p w14:paraId="57FA45A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0.37</w:t>
            </w:r>
          </w:p>
        </w:tc>
        <w:tc>
          <w:tcPr>
            <w:tcW w:w="0" w:type="auto"/>
            <w:noWrap/>
            <w:hideMark/>
          </w:tcPr>
          <w:p w14:paraId="374F7A7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-0.71</w:t>
            </w:r>
          </w:p>
        </w:tc>
      </w:tr>
      <w:tr w:rsidR="00ED2DE4" w:rsidRPr="00D01AE7" w14:paraId="3E6AA27F" w14:textId="77777777" w:rsidTr="001F4D09">
        <w:trPr>
          <w:trHeight w:val="300"/>
        </w:trPr>
        <w:tc>
          <w:tcPr>
            <w:tcW w:w="0" w:type="auto"/>
            <w:noWrap/>
            <w:hideMark/>
          </w:tcPr>
          <w:p w14:paraId="33E74614"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BIB9</w:t>
            </w:r>
          </w:p>
        </w:tc>
        <w:tc>
          <w:tcPr>
            <w:tcW w:w="0" w:type="auto"/>
            <w:noWrap/>
            <w:hideMark/>
          </w:tcPr>
          <w:p w14:paraId="4A7835D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1.00</w:t>
            </w:r>
          </w:p>
        </w:tc>
        <w:tc>
          <w:tcPr>
            <w:tcW w:w="0" w:type="auto"/>
            <w:noWrap/>
            <w:hideMark/>
          </w:tcPr>
          <w:p w14:paraId="00B7863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0.00</w:t>
            </w:r>
          </w:p>
        </w:tc>
        <w:tc>
          <w:tcPr>
            <w:tcW w:w="0" w:type="auto"/>
            <w:noWrap/>
            <w:hideMark/>
          </w:tcPr>
          <w:p w14:paraId="1BA52D3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5.30</w:t>
            </w:r>
          </w:p>
        </w:tc>
        <w:tc>
          <w:tcPr>
            <w:tcW w:w="0" w:type="auto"/>
            <w:noWrap/>
            <w:hideMark/>
          </w:tcPr>
          <w:p w14:paraId="2AC4A87E"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-5.07</w:t>
            </w:r>
          </w:p>
        </w:tc>
        <w:tc>
          <w:tcPr>
            <w:tcW w:w="0" w:type="auto"/>
            <w:noWrap/>
            <w:hideMark/>
          </w:tcPr>
          <w:p w14:paraId="5580C55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-0.61</w:t>
            </w:r>
          </w:p>
        </w:tc>
        <w:tc>
          <w:tcPr>
            <w:tcW w:w="0" w:type="auto"/>
            <w:noWrap/>
            <w:hideMark/>
          </w:tcPr>
          <w:p w14:paraId="4820BCA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0.27</w:t>
            </w:r>
          </w:p>
        </w:tc>
        <w:tc>
          <w:tcPr>
            <w:tcW w:w="0" w:type="auto"/>
            <w:noWrap/>
            <w:hideMark/>
          </w:tcPr>
          <w:p w14:paraId="2AF2C48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-0.45</w:t>
            </w:r>
          </w:p>
        </w:tc>
      </w:tr>
      <w:tr w:rsidR="00ED2DE4" w:rsidRPr="00D01AE7" w14:paraId="675F639E" w14:textId="77777777" w:rsidTr="001F4D09">
        <w:trPr>
          <w:trHeight w:val="300"/>
        </w:trPr>
        <w:tc>
          <w:tcPr>
            <w:tcW w:w="0" w:type="auto"/>
            <w:noWrap/>
            <w:hideMark/>
          </w:tcPr>
          <w:p w14:paraId="1BE8BD1A"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KAP2</w:t>
            </w:r>
          </w:p>
        </w:tc>
        <w:tc>
          <w:tcPr>
            <w:tcW w:w="0" w:type="auto"/>
            <w:noWrap/>
            <w:hideMark/>
          </w:tcPr>
          <w:p w14:paraId="4AAB558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0.62</w:t>
            </w:r>
          </w:p>
        </w:tc>
        <w:tc>
          <w:tcPr>
            <w:tcW w:w="0" w:type="auto"/>
            <w:noWrap/>
            <w:hideMark/>
          </w:tcPr>
          <w:p w14:paraId="29FDEA8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0.66</w:t>
            </w:r>
          </w:p>
        </w:tc>
        <w:tc>
          <w:tcPr>
            <w:tcW w:w="0" w:type="auto"/>
            <w:noWrap/>
            <w:hideMark/>
          </w:tcPr>
          <w:p w14:paraId="0D1AEA8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1.99</w:t>
            </w:r>
          </w:p>
        </w:tc>
        <w:tc>
          <w:tcPr>
            <w:tcW w:w="0" w:type="auto"/>
            <w:noWrap/>
            <w:hideMark/>
          </w:tcPr>
          <w:p w14:paraId="5CA3FA5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-1.04</w:t>
            </w:r>
          </w:p>
        </w:tc>
        <w:tc>
          <w:tcPr>
            <w:tcW w:w="0" w:type="auto"/>
            <w:noWrap/>
            <w:hideMark/>
          </w:tcPr>
          <w:p w14:paraId="19C77F0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-0.38</w:t>
            </w:r>
          </w:p>
        </w:tc>
        <w:tc>
          <w:tcPr>
            <w:tcW w:w="0" w:type="auto"/>
            <w:noWrap/>
            <w:hideMark/>
          </w:tcPr>
          <w:p w14:paraId="1561C5F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1.04</w:t>
            </w:r>
          </w:p>
        </w:tc>
        <w:tc>
          <w:tcPr>
            <w:tcW w:w="0" w:type="auto"/>
            <w:noWrap/>
            <w:hideMark/>
          </w:tcPr>
          <w:p w14:paraId="62F4E0C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-0.84</w:t>
            </w:r>
          </w:p>
        </w:tc>
      </w:tr>
      <w:tr w:rsidR="00ED2DE4" w:rsidRPr="00D01AE7" w14:paraId="3D01B038" w14:textId="77777777" w:rsidTr="001F4D09">
        <w:trPr>
          <w:trHeight w:val="300"/>
        </w:trPr>
        <w:tc>
          <w:tcPr>
            <w:tcW w:w="0" w:type="auto"/>
            <w:noWrap/>
            <w:hideMark/>
          </w:tcPr>
          <w:p w14:paraId="517D88E0"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GBG2</w:t>
            </w:r>
          </w:p>
        </w:tc>
        <w:tc>
          <w:tcPr>
            <w:tcW w:w="0" w:type="auto"/>
            <w:noWrap/>
            <w:hideMark/>
          </w:tcPr>
          <w:p w14:paraId="57F8E97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0.98</w:t>
            </w:r>
          </w:p>
        </w:tc>
        <w:tc>
          <w:tcPr>
            <w:tcW w:w="0" w:type="auto"/>
            <w:noWrap/>
            <w:hideMark/>
          </w:tcPr>
          <w:p w14:paraId="0321703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34DBD79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18.84</w:t>
            </w:r>
          </w:p>
        </w:tc>
        <w:tc>
          <w:tcPr>
            <w:tcW w:w="0" w:type="auto"/>
            <w:noWrap/>
            <w:hideMark/>
          </w:tcPr>
          <w:p w14:paraId="70EA5FE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-18.03</w:t>
            </w:r>
          </w:p>
        </w:tc>
        <w:tc>
          <w:tcPr>
            <w:tcW w:w="0" w:type="auto"/>
            <w:noWrap/>
            <w:hideMark/>
          </w:tcPr>
          <w:p w14:paraId="6A6DD33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-1.00</w:t>
            </w:r>
          </w:p>
        </w:tc>
        <w:tc>
          <w:tcPr>
            <w:tcW w:w="0" w:type="auto"/>
            <w:noWrap/>
            <w:hideMark/>
          </w:tcPr>
          <w:p w14:paraId="124BFA8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4.86</w:t>
            </w:r>
          </w:p>
        </w:tc>
        <w:tc>
          <w:tcPr>
            <w:tcW w:w="0" w:type="auto"/>
            <w:noWrap/>
            <w:hideMark/>
          </w:tcPr>
          <w:p w14:paraId="07D622C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-4.81</w:t>
            </w:r>
          </w:p>
        </w:tc>
      </w:tr>
      <w:tr w:rsidR="00ED2DE4" w:rsidRPr="00D01AE7" w14:paraId="7937A275" w14:textId="77777777" w:rsidTr="001F4D09">
        <w:trPr>
          <w:trHeight w:val="300"/>
        </w:trPr>
        <w:tc>
          <w:tcPr>
            <w:tcW w:w="0" w:type="auto"/>
            <w:noWrap/>
            <w:hideMark/>
          </w:tcPr>
          <w:p w14:paraId="04D23275"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NAN6</w:t>
            </w:r>
          </w:p>
        </w:tc>
        <w:tc>
          <w:tcPr>
            <w:tcW w:w="0" w:type="auto"/>
            <w:noWrap/>
            <w:hideMark/>
          </w:tcPr>
          <w:p w14:paraId="0EE66B6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0.75</w:t>
            </w:r>
          </w:p>
        </w:tc>
        <w:tc>
          <w:tcPr>
            <w:tcW w:w="0" w:type="auto"/>
            <w:noWrap/>
            <w:hideMark/>
          </w:tcPr>
          <w:p w14:paraId="38B2168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0.19</w:t>
            </w:r>
          </w:p>
        </w:tc>
        <w:tc>
          <w:tcPr>
            <w:tcW w:w="0" w:type="auto"/>
            <w:noWrap/>
            <w:hideMark/>
          </w:tcPr>
          <w:p w14:paraId="2317B61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5.53</w:t>
            </w:r>
          </w:p>
        </w:tc>
        <w:tc>
          <w:tcPr>
            <w:tcW w:w="0" w:type="auto"/>
            <w:noWrap/>
            <w:hideMark/>
          </w:tcPr>
          <w:p w14:paraId="5FB0E01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-4.63</w:t>
            </w:r>
          </w:p>
        </w:tc>
        <w:tc>
          <w:tcPr>
            <w:tcW w:w="0" w:type="auto"/>
            <w:noWrap/>
            <w:hideMark/>
          </w:tcPr>
          <w:p w14:paraId="1F92203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-0.45</w:t>
            </w:r>
          </w:p>
        </w:tc>
        <w:tc>
          <w:tcPr>
            <w:tcW w:w="0" w:type="auto"/>
            <w:noWrap/>
            <w:hideMark/>
          </w:tcPr>
          <w:p w14:paraId="43E983A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3.17</w:t>
            </w:r>
          </w:p>
        </w:tc>
        <w:tc>
          <w:tcPr>
            <w:tcW w:w="0" w:type="auto"/>
            <w:noWrap/>
            <w:hideMark/>
          </w:tcPr>
          <w:p w14:paraId="706BF8E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-5.75</w:t>
            </w:r>
          </w:p>
        </w:tc>
      </w:tr>
      <w:tr w:rsidR="00ED2DE4" w:rsidRPr="00D01AE7" w14:paraId="421D3797" w14:textId="77777777" w:rsidTr="001F4D09">
        <w:trPr>
          <w:trHeight w:val="300"/>
        </w:trPr>
        <w:tc>
          <w:tcPr>
            <w:tcW w:w="0" w:type="auto"/>
            <w:noWrap/>
            <w:hideMark/>
          </w:tcPr>
          <w:p w14:paraId="666050B9"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GAG7</w:t>
            </w:r>
          </w:p>
        </w:tc>
        <w:tc>
          <w:tcPr>
            <w:tcW w:w="0" w:type="auto"/>
            <w:noWrap/>
            <w:hideMark/>
          </w:tcPr>
          <w:p w14:paraId="1805AA8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0.32</w:t>
            </w:r>
          </w:p>
        </w:tc>
        <w:tc>
          <w:tcPr>
            <w:tcW w:w="0" w:type="auto"/>
            <w:noWrap/>
            <w:hideMark/>
          </w:tcPr>
          <w:p w14:paraId="2C6C481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1.10</w:t>
            </w:r>
          </w:p>
        </w:tc>
        <w:tc>
          <w:tcPr>
            <w:tcW w:w="0" w:type="auto"/>
            <w:noWrap/>
            <w:hideMark/>
          </w:tcPr>
          <w:p w14:paraId="5116CA5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1.01</w:t>
            </w:r>
          </w:p>
        </w:tc>
        <w:tc>
          <w:tcPr>
            <w:tcW w:w="0" w:type="auto"/>
            <w:noWrap/>
            <w:hideMark/>
          </w:tcPr>
          <w:p w14:paraId="725E1F1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-0.04</w:t>
            </w:r>
          </w:p>
        </w:tc>
        <w:tc>
          <w:tcPr>
            <w:tcW w:w="0" w:type="auto"/>
            <w:noWrap/>
            <w:hideMark/>
          </w:tcPr>
          <w:p w14:paraId="1FDC606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-0.02</w:t>
            </w:r>
          </w:p>
        </w:tc>
        <w:tc>
          <w:tcPr>
            <w:tcW w:w="0" w:type="auto"/>
            <w:noWrap/>
            <w:hideMark/>
          </w:tcPr>
          <w:p w14:paraId="646AD9D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7233A3B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0.30</w:t>
            </w:r>
          </w:p>
        </w:tc>
      </w:tr>
      <w:tr w:rsidR="00ED2DE4" w:rsidRPr="00D01AE7" w14:paraId="63D4C052" w14:textId="77777777" w:rsidTr="001F4D09">
        <w:trPr>
          <w:trHeight w:val="300"/>
        </w:trPr>
        <w:tc>
          <w:tcPr>
            <w:tcW w:w="0" w:type="auto"/>
            <w:noWrap/>
            <w:hideMark/>
          </w:tcPr>
          <w:p w14:paraId="75EA8307"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TUT9</w:t>
            </w:r>
          </w:p>
        </w:tc>
        <w:tc>
          <w:tcPr>
            <w:tcW w:w="0" w:type="auto"/>
            <w:noWrap/>
            <w:hideMark/>
          </w:tcPr>
          <w:p w14:paraId="40B1A85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0.95</w:t>
            </w:r>
          </w:p>
        </w:tc>
        <w:tc>
          <w:tcPr>
            <w:tcW w:w="0" w:type="auto"/>
            <w:noWrap/>
            <w:hideMark/>
          </w:tcPr>
          <w:p w14:paraId="7A93002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0.05</w:t>
            </w:r>
          </w:p>
        </w:tc>
        <w:tc>
          <w:tcPr>
            <w:tcW w:w="0" w:type="auto"/>
            <w:noWrap/>
            <w:hideMark/>
          </w:tcPr>
          <w:p w14:paraId="747A5C2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11.57</w:t>
            </w:r>
          </w:p>
        </w:tc>
        <w:tc>
          <w:tcPr>
            <w:tcW w:w="0" w:type="auto"/>
            <w:noWrap/>
            <w:hideMark/>
          </w:tcPr>
          <w:p w14:paraId="152EC2D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-10.66</w:t>
            </w:r>
          </w:p>
        </w:tc>
        <w:tc>
          <w:tcPr>
            <w:tcW w:w="0" w:type="auto"/>
            <w:noWrap/>
            <w:hideMark/>
          </w:tcPr>
          <w:p w14:paraId="3DF5E7F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1DD075C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5.91</w:t>
            </w:r>
          </w:p>
        </w:tc>
        <w:tc>
          <w:tcPr>
            <w:tcW w:w="0" w:type="auto"/>
            <w:noWrap/>
            <w:hideMark/>
          </w:tcPr>
          <w:p w14:paraId="6143099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-5.66</w:t>
            </w:r>
          </w:p>
        </w:tc>
      </w:tr>
      <w:tr w:rsidR="00ED2DE4" w:rsidRPr="00D01AE7" w14:paraId="039B1763" w14:textId="77777777" w:rsidTr="001F4D09">
        <w:trPr>
          <w:trHeight w:val="300"/>
        </w:trPr>
        <w:tc>
          <w:tcPr>
            <w:tcW w:w="0" w:type="auto"/>
            <w:noWrap/>
            <w:hideMark/>
          </w:tcPr>
          <w:p w14:paraId="73E30664"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NYG8</w:t>
            </w:r>
          </w:p>
        </w:tc>
        <w:tc>
          <w:tcPr>
            <w:tcW w:w="0" w:type="auto"/>
            <w:noWrap/>
            <w:hideMark/>
          </w:tcPr>
          <w:p w14:paraId="67792D2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0.99</w:t>
            </w:r>
          </w:p>
        </w:tc>
        <w:tc>
          <w:tcPr>
            <w:tcW w:w="0" w:type="auto"/>
            <w:noWrap/>
            <w:hideMark/>
          </w:tcPr>
          <w:p w14:paraId="2EC610B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0.01</w:t>
            </w:r>
          </w:p>
        </w:tc>
        <w:tc>
          <w:tcPr>
            <w:tcW w:w="0" w:type="auto"/>
            <w:noWrap/>
            <w:hideMark/>
          </w:tcPr>
          <w:p w14:paraId="7F7B939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14.13</w:t>
            </w:r>
          </w:p>
        </w:tc>
        <w:tc>
          <w:tcPr>
            <w:tcW w:w="0" w:type="auto"/>
            <w:noWrap/>
            <w:hideMark/>
          </w:tcPr>
          <w:p w14:paraId="42D91B2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-13.23</w:t>
            </w:r>
          </w:p>
        </w:tc>
        <w:tc>
          <w:tcPr>
            <w:tcW w:w="0" w:type="auto"/>
            <w:noWrap/>
            <w:hideMark/>
          </w:tcPr>
          <w:p w14:paraId="1DF2D22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0773E94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5.93</w:t>
            </w:r>
          </w:p>
        </w:tc>
        <w:tc>
          <w:tcPr>
            <w:tcW w:w="0" w:type="auto"/>
            <w:noWrap/>
            <w:hideMark/>
          </w:tcPr>
          <w:p w14:paraId="04C7E4A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-6.05</w:t>
            </w:r>
          </w:p>
        </w:tc>
      </w:tr>
      <w:tr w:rsidR="00ED2DE4" w:rsidRPr="00D01AE7" w14:paraId="413F076B" w14:textId="77777777" w:rsidTr="001F4D09">
        <w:trPr>
          <w:trHeight w:val="300"/>
        </w:trPr>
        <w:tc>
          <w:tcPr>
            <w:tcW w:w="0" w:type="auto"/>
            <w:noWrap/>
            <w:hideMark/>
          </w:tcPr>
          <w:p w14:paraId="6FDCE018"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NYG9</w:t>
            </w:r>
          </w:p>
        </w:tc>
        <w:tc>
          <w:tcPr>
            <w:tcW w:w="0" w:type="auto"/>
            <w:noWrap/>
            <w:hideMark/>
          </w:tcPr>
          <w:p w14:paraId="078DDC3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0.16</w:t>
            </w:r>
          </w:p>
        </w:tc>
        <w:tc>
          <w:tcPr>
            <w:tcW w:w="0" w:type="auto"/>
            <w:noWrap/>
            <w:hideMark/>
          </w:tcPr>
          <w:p w14:paraId="684658F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0.90</w:t>
            </w:r>
          </w:p>
        </w:tc>
        <w:tc>
          <w:tcPr>
            <w:tcW w:w="0" w:type="auto"/>
            <w:noWrap/>
            <w:hideMark/>
          </w:tcPr>
          <w:p w14:paraId="6DCECE0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1.33</w:t>
            </w:r>
          </w:p>
        </w:tc>
        <w:tc>
          <w:tcPr>
            <w:tcW w:w="0" w:type="auto"/>
            <w:noWrap/>
            <w:hideMark/>
          </w:tcPr>
          <w:p w14:paraId="31C37A8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-2.80</w:t>
            </w:r>
          </w:p>
        </w:tc>
        <w:tc>
          <w:tcPr>
            <w:tcW w:w="0" w:type="auto"/>
            <w:noWrap/>
            <w:hideMark/>
          </w:tcPr>
          <w:p w14:paraId="3341451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-0.12</w:t>
            </w:r>
          </w:p>
        </w:tc>
        <w:tc>
          <w:tcPr>
            <w:tcW w:w="0" w:type="auto"/>
            <w:noWrap/>
            <w:hideMark/>
          </w:tcPr>
          <w:p w14:paraId="6A057E3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0.05</w:t>
            </w:r>
          </w:p>
        </w:tc>
        <w:tc>
          <w:tcPr>
            <w:tcW w:w="0" w:type="auto"/>
            <w:noWrap/>
            <w:hideMark/>
          </w:tcPr>
          <w:p w14:paraId="6FC7060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-0.36</w:t>
            </w:r>
          </w:p>
        </w:tc>
      </w:tr>
      <w:tr w:rsidR="00ED2DE4" w:rsidRPr="00D01AE7" w14:paraId="4B78E9A8" w14:textId="77777777" w:rsidTr="001F4D09">
        <w:trPr>
          <w:trHeight w:val="300"/>
        </w:trPr>
        <w:tc>
          <w:tcPr>
            <w:tcW w:w="0" w:type="auto"/>
            <w:noWrap/>
            <w:hideMark/>
          </w:tcPr>
          <w:p w14:paraId="2A0C7BCC"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ZOZ1</w:t>
            </w:r>
          </w:p>
        </w:tc>
        <w:tc>
          <w:tcPr>
            <w:tcW w:w="0" w:type="auto"/>
            <w:noWrap/>
            <w:hideMark/>
          </w:tcPr>
          <w:p w14:paraId="3BF6187A"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0.88</w:t>
            </w:r>
          </w:p>
        </w:tc>
        <w:tc>
          <w:tcPr>
            <w:tcW w:w="0" w:type="auto"/>
            <w:noWrap/>
            <w:hideMark/>
          </w:tcPr>
          <w:p w14:paraId="6B15D23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0.13</w:t>
            </w:r>
          </w:p>
        </w:tc>
        <w:tc>
          <w:tcPr>
            <w:tcW w:w="0" w:type="auto"/>
            <w:noWrap/>
            <w:hideMark/>
          </w:tcPr>
          <w:p w14:paraId="3F2E764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20.70</w:t>
            </w:r>
          </w:p>
        </w:tc>
        <w:tc>
          <w:tcPr>
            <w:tcW w:w="0" w:type="auto"/>
            <w:noWrap/>
            <w:hideMark/>
          </w:tcPr>
          <w:p w14:paraId="747C43A7"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-19.82</w:t>
            </w:r>
          </w:p>
        </w:tc>
        <w:tc>
          <w:tcPr>
            <w:tcW w:w="0" w:type="auto"/>
            <w:noWrap/>
            <w:hideMark/>
          </w:tcPr>
          <w:p w14:paraId="5E3C50E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-0.86</w:t>
            </w:r>
          </w:p>
        </w:tc>
        <w:tc>
          <w:tcPr>
            <w:tcW w:w="0" w:type="auto"/>
            <w:noWrap/>
            <w:hideMark/>
          </w:tcPr>
          <w:p w14:paraId="4AF8BC3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4.72</w:t>
            </w:r>
          </w:p>
        </w:tc>
        <w:tc>
          <w:tcPr>
            <w:tcW w:w="0" w:type="auto"/>
            <w:noWrap/>
            <w:hideMark/>
          </w:tcPr>
          <w:p w14:paraId="4359149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-4.68</w:t>
            </w:r>
          </w:p>
        </w:tc>
      </w:tr>
      <w:tr w:rsidR="00ED2DE4" w:rsidRPr="00D01AE7" w14:paraId="2136158A" w14:textId="77777777" w:rsidTr="001F4D09">
        <w:trPr>
          <w:trHeight w:val="300"/>
        </w:trPr>
        <w:tc>
          <w:tcPr>
            <w:tcW w:w="0" w:type="auto"/>
            <w:noWrap/>
            <w:hideMark/>
          </w:tcPr>
          <w:p w14:paraId="78A8C053"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NYY1</w:t>
            </w:r>
          </w:p>
        </w:tc>
        <w:tc>
          <w:tcPr>
            <w:tcW w:w="0" w:type="auto"/>
            <w:noWrap/>
            <w:hideMark/>
          </w:tcPr>
          <w:p w14:paraId="7CE7186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0.96</w:t>
            </w:r>
          </w:p>
        </w:tc>
        <w:tc>
          <w:tcPr>
            <w:tcW w:w="0" w:type="auto"/>
            <w:noWrap/>
            <w:hideMark/>
          </w:tcPr>
          <w:p w14:paraId="489F0E3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0.27</w:t>
            </w:r>
          </w:p>
        </w:tc>
        <w:tc>
          <w:tcPr>
            <w:tcW w:w="0" w:type="auto"/>
            <w:noWrap/>
            <w:hideMark/>
          </w:tcPr>
          <w:p w14:paraId="18F0364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1.07</w:t>
            </w:r>
          </w:p>
        </w:tc>
        <w:tc>
          <w:tcPr>
            <w:tcW w:w="0" w:type="auto"/>
            <w:noWrap/>
            <w:hideMark/>
          </w:tcPr>
          <w:p w14:paraId="525E4E4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-0.07</w:t>
            </w:r>
          </w:p>
        </w:tc>
        <w:tc>
          <w:tcPr>
            <w:tcW w:w="0" w:type="auto"/>
            <w:noWrap/>
            <w:hideMark/>
          </w:tcPr>
          <w:p w14:paraId="06ECEA0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-0.38</w:t>
            </w:r>
          </w:p>
        </w:tc>
        <w:tc>
          <w:tcPr>
            <w:tcW w:w="0" w:type="auto"/>
            <w:noWrap/>
            <w:hideMark/>
          </w:tcPr>
          <w:p w14:paraId="49DA12C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1.72</w:t>
            </w:r>
          </w:p>
        </w:tc>
        <w:tc>
          <w:tcPr>
            <w:tcW w:w="0" w:type="auto"/>
            <w:noWrap/>
            <w:hideMark/>
          </w:tcPr>
          <w:p w14:paraId="4E0E99F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-2.88</w:t>
            </w:r>
          </w:p>
        </w:tc>
      </w:tr>
      <w:tr w:rsidR="00ED2DE4" w:rsidRPr="00D01AE7" w14:paraId="25723422" w14:textId="77777777" w:rsidTr="001F4D09">
        <w:trPr>
          <w:trHeight w:val="300"/>
        </w:trPr>
        <w:tc>
          <w:tcPr>
            <w:tcW w:w="0" w:type="auto"/>
            <w:noWrap/>
            <w:hideMark/>
          </w:tcPr>
          <w:p w14:paraId="32E5236E"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KUK9</w:t>
            </w:r>
          </w:p>
        </w:tc>
        <w:tc>
          <w:tcPr>
            <w:tcW w:w="0" w:type="auto"/>
            <w:noWrap/>
            <w:hideMark/>
          </w:tcPr>
          <w:p w14:paraId="1B8CF3B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0.88</w:t>
            </w:r>
          </w:p>
        </w:tc>
        <w:tc>
          <w:tcPr>
            <w:tcW w:w="0" w:type="auto"/>
            <w:noWrap/>
            <w:hideMark/>
          </w:tcPr>
          <w:p w14:paraId="096DF17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0.13</w:t>
            </w:r>
          </w:p>
        </w:tc>
        <w:tc>
          <w:tcPr>
            <w:tcW w:w="0" w:type="auto"/>
            <w:noWrap/>
            <w:hideMark/>
          </w:tcPr>
          <w:p w14:paraId="59D5617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7.28</w:t>
            </w:r>
          </w:p>
        </w:tc>
        <w:tc>
          <w:tcPr>
            <w:tcW w:w="0" w:type="auto"/>
            <w:noWrap/>
            <w:hideMark/>
          </w:tcPr>
          <w:p w14:paraId="6A08AFA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-6.45</w:t>
            </w:r>
          </w:p>
        </w:tc>
        <w:tc>
          <w:tcPr>
            <w:tcW w:w="0" w:type="auto"/>
            <w:noWrap/>
            <w:hideMark/>
          </w:tcPr>
          <w:p w14:paraId="6A48687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-0.77</w:t>
            </w:r>
          </w:p>
        </w:tc>
        <w:tc>
          <w:tcPr>
            <w:tcW w:w="0" w:type="auto"/>
            <w:noWrap/>
            <w:hideMark/>
          </w:tcPr>
          <w:p w14:paraId="76DBCD21"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3.68</w:t>
            </w:r>
          </w:p>
        </w:tc>
        <w:tc>
          <w:tcPr>
            <w:tcW w:w="0" w:type="auto"/>
            <w:noWrap/>
            <w:hideMark/>
          </w:tcPr>
          <w:p w14:paraId="69596485"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-4.11</w:t>
            </w:r>
          </w:p>
        </w:tc>
      </w:tr>
      <w:tr w:rsidR="00ED2DE4" w:rsidRPr="00D01AE7" w14:paraId="4CA643B5" w14:textId="77777777" w:rsidTr="001F4D09">
        <w:trPr>
          <w:trHeight w:val="300"/>
        </w:trPr>
        <w:tc>
          <w:tcPr>
            <w:tcW w:w="0" w:type="auto"/>
            <w:noWrap/>
            <w:hideMark/>
          </w:tcPr>
          <w:p w14:paraId="2946D2D2"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NYN97</w:t>
            </w:r>
          </w:p>
        </w:tc>
        <w:tc>
          <w:tcPr>
            <w:tcW w:w="0" w:type="auto"/>
            <w:noWrap/>
            <w:hideMark/>
          </w:tcPr>
          <w:p w14:paraId="1D128D4B"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0.97</w:t>
            </w:r>
          </w:p>
        </w:tc>
        <w:tc>
          <w:tcPr>
            <w:tcW w:w="0" w:type="auto"/>
            <w:noWrap/>
            <w:hideMark/>
          </w:tcPr>
          <w:p w14:paraId="6BC3494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0.03</w:t>
            </w:r>
          </w:p>
        </w:tc>
        <w:tc>
          <w:tcPr>
            <w:tcW w:w="0" w:type="auto"/>
            <w:noWrap/>
            <w:hideMark/>
          </w:tcPr>
          <w:p w14:paraId="3DDE996F"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4.97</w:t>
            </w:r>
          </w:p>
        </w:tc>
        <w:tc>
          <w:tcPr>
            <w:tcW w:w="0" w:type="auto"/>
            <w:noWrap/>
            <w:hideMark/>
          </w:tcPr>
          <w:p w14:paraId="1FB1082D"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-3.99</w:t>
            </w:r>
          </w:p>
        </w:tc>
        <w:tc>
          <w:tcPr>
            <w:tcW w:w="0" w:type="auto"/>
            <w:noWrap/>
            <w:hideMark/>
          </w:tcPr>
          <w:p w14:paraId="6593597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-0.91</w:t>
            </w:r>
          </w:p>
        </w:tc>
        <w:tc>
          <w:tcPr>
            <w:tcW w:w="0" w:type="auto"/>
            <w:noWrap/>
            <w:hideMark/>
          </w:tcPr>
          <w:p w14:paraId="60DB65F8"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4.70</w:t>
            </w:r>
          </w:p>
        </w:tc>
        <w:tc>
          <w:tcPr>
            <w:tcW w:w="0" w:type="auto"/>
            <w:noWrap/>
            <w:hideMark/>
          </w:tcPr>
          <w:p w14:paraId="5BE3C916"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-5.03</w:t>
            </w:r>
          </w:p>
        </w:tc>
      </w:tr>
      <w:tr w:rsidR="00ED2DE4" w:rsidRPr="00D01AE7" w14:paraId="17EA4E69" w14:textId="77777777" w:rsidTr="001F4D09">
        <w:trPr>
          <w:trHeight w:val="300"/>
        </w:trPr>
        <w:tc>
          <w:tcPr>
            <w:tcW w:w="0" w:type="auto"/>
            <w:noWrap/>
            <w:hideMark/>
          </w:tcPr>
          <w:p w14:paraId="2180541E" w14:textId="77777777" w:rsidR="00ED2DE4" w:rsidRPr="00AB4968" w:rsidRDefault="00ED2DE4" w:rsidP="001F4D09">
            <w:pPr>
              <w:jc w:val="left"/>
              <w:rPr>
                <w:rFonts w:eastAsia="Times New Roman" w:cs="Times New Roman"/>
                <w:i/>
                <w:iCs/>
                <w:color w:val="000000"/>
                <w:lang w:eastAsia="en-GB"/>
              </w:rPr>
            </w:pPr>
            <w:r w:rsidRPr="00AB4968">
              <w:rPr>
                <w:rFonts w:eastAsia="Times New Roman" w:cs="Times New Roman"/>
                <w:iCs/>
                <w:color w:val="000000"/>
                <w:lang w:eastAsia="en-GB"/>
              </w:rPr>
              <w:t>SUG03</w:t>
            </w:r>
          </w:p>
        </w:tc>
        <w:tc>
          <w:tcPr>
            <w:tcW w:w="0" w:type="auto"/>
            <w:noWrap/>
            <w:hideMark/>
          </w:tcPr>
          <w:p w14:paraId="5327C2D0"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1.00</w:t>
            </w:r>
          </w:p>
        </w:tc>
        <w:tc>
          <w:tcPr>
            <w:tcW w:w="0" w:type="auto"/>
            <w:noWrap/>
            <w:hideMark/>
          </w:tcPr>
          <w:p w14:paraId="37697D14"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0.00</w:t>
            </w:r>
          </w:p>
        </w:tc>
        <w:tc>
          <w:tcPr>
            <w:tcW w:w="0" w:type="auto"/>
            <w:noWrap/>
            <w:hideMark/>
          </w:tcPr>
          <w:p w14:paraId="64F04819"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2.14</w:t>
            </w:r>
          </w:p>
        </w:tc>
        <w:tc>
          <w:tcPr>
            <w:tcW w:w="0" w:type="auto"/>
            <w:noWrap/>
            <w:hideMark/>
          </w:tcPr>
          <w:p w14:paraId="710ACD2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-1.15</w:t>
            </w:r>
          </w:p>
        </w:tc>
        <w:tc>
          <w:tcPr>
            <w:tcW w:w="0" w:type="auto"/>
            <w:noWrap/>
            <w:hideMark/>
          </w:tcPr>
          <w:p w14:paraId="466C7A53"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-1.09</w:t>
            </w:r>
          </w:p>
        </w:tc>
        <w:tc>
          <w:tcPr>
            <w:tcW w:w="0" w:type="auto"/>
            <w:noWrap/>
            <w:hideMark/>
          </w:tcPr>
          <w:p w14:paraId="4A9DAE6C"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3.80</w:t>
            </w:r>
          </w:p>
        </w:tc>
        <w:tc>
          <w:tcPr>
            <w:tcW w:w="0" w:type="auto"/>
            <w:noWrap/>
            <w:hideMark/>
          </w:tcPr>
          <w:p w14:paraId="1E395122" w14:textId="77777777" w:rsidR="00ED2DE4" w:rsidRPr="00AB4968" w:rsidRDefault="00ED2DE4" w:rsidP="001F4D09">
            <w:pPr>
              <w:jc w:val="right"/>
              <w:rPr>
                <w:rFonts w:eastAsia="Times New Roman" w:cs="Times New Roman"/>
                <w:i/>
                <w:iCs/>
                <w:color w:val="000000"/>
                <w:lang w:eastAsia="en-GB"/>
              </w:rPr>
            </w:pPr>
            <w:r w:rsidRPr="00AB4968">
              <w:rPr>
                <w:rFonts w:eastAsia="Times New Roman" w:cs="Times New Roman"/>
                <w:iCs/>
                <w:color w:val="000000"/>
                <w:lang w:eastAsia="en-GB"/>
              </w:rPr>
              <w:t>-3.40</w:t>
            </w:r>
          </w:p>
        </w:tc>
      </w:tr>
    </w:tbl>
    <w:p w14:paraId="12CEC972" w14:textId="77777777" w:rsidR="00ED2DE4" w:rsidRPr="00E45C91" w:rsidRDefault="00ED2DE4" w:rsidP="00ED2DE4"/>
    <w:p w14:paraId="2212CFD7" w14:textId="77777777" w:rsidR="00ED2DE4" w:rsidRDefault="00ED2DE4" w:rsidP="00ED2DE4">
      <w:pPr>
        <w:spacing w:after="0"/>
        <w:jc w:val="left"/>
      </w:pPr>
      <w:r>
        <w:br w:type="page"/>
      </w:r>
    </w:p>
    <w:p w14:paraId="46BC3223" w14:textId="77777777" w:rsidR="00ED2DE4" w:rsidRPr="00E45C91" w:rsidRDefault="00ED2DE4" w:rsidP="00ED2DE4">
      <w:pPr>
        <w:spacing w:after="0"/>
      </w:pPr>
      <w:r>
        <w:lastRenderedPageBreak/>
        <w:t xml:space="preserve">Table </w:t>
      </w:r>
      <w:r w:rsidRPr="00E45C91">
        <w:t>8</w:t>
      </w:r>
      <w:r>
        <w:t>a.</w:t>
      </w:r>
      <w:r w:rsidRPr="00E45C91">
        <w:t xml:space="preserve"> Bayesian driver summaries for NPLS-GWQI, reporting posterior direction, directional certainty, and normalised contribution share. </w:t>
      </w:r>
    </w:p>
    <w:tbl>
      <w:tblPr>
        <w:tblStyle w:val="Manu"/>
        <w:tblW w:w="0" w:type="auto"/>
        <w:tblLook w:val="04A0" w:firstRow="1" w:lastRow="0" w:firstColumn="1" w:lastColumn="0" w:noHBand="0" w:noVBand="1"/>
      </w:tblPr>
      <w:tblGrid>
        <w:gridCol w:w="1701"/>
        <w:gridCol w:w="1347"/>
        <w:gridCol w:w="1518"/>
        <w:gridCol w:w="1176"/>
        <w:gridCol w:w="1066"/>
        <w:gridCol w:w="1066"/>
        <w:gridCol w:w="791"/>
      </w:tblGrid>
      <w:tr w:rsidR="00ED2DE4" w:rsidRPr="00705231" w14:paraId="72986B19"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noWrap/>
            <w:hideMark/>
          </w:tcPr>
          <w:p w14:paraId="3CDC4A0C" w14:textId="77777777" w:rsidR="00ED2DE4" w:rsidRPr="004C0F6A" w:rsidRDefault="00ED2DE4" w:rsidP="001F4D09">
            <w:pPr>
              <w:jc w:val="left"/>
              <w:rPr>
                <w:rFonts w:eastAsia="Times New Roman" w:cs="Times New Roman"/>
                <w:i/>
                <w:iCs/>
                <w:color w:val="000000"/>
                <w:lang w:eastAsia="en-GB"/>
              </w:rPr>
            </w:pPr>
            <w:bookmarkStart w:id="49" w:name="table-9.-model-diagnostics"/>
            <w:bookmarkEnd w:id="48"/>
            <w:r w:rsidRPr="004C0F6A">
              <w:rPr>
                <w:rFonts w:eastAsia="Times New Roman" w:cs="Times New Roman"/>
                <w:iCs/>
                <w:color w:val="000000"/>
                <w:lang w:eastAsia="en-GB"/>
              </w:rPr>
              <w:t>Predictor</w:t>
            </w:r>
          </w:p>
        </w:tc>
        <w:tc>
          <w:tcPr>
            <w:tcW w:w="0" w:type="auto"/>
            <w:noWrap/>
            <w:hideMark/>
          </w:tcPr>
          <w:p w14:paraId="6A118653"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Driver</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Score</w:t>
            </w:r>
          </w:p>
          <w:p w14:paraId="3D5B016F" w14:textId="77777777" w:rsidR="00ED2DE4" w:rsidRPr="004C0F6A" w:rsidRDefault="00ED2DE4" w:rsidP="001F4D09">
            <w:pPr>
              <w:jc w:val="left"/>
              <w:rPr>
                <w:rFonts w:eastAsia="Times New Roman" w:cs="Times New Roman"/>
                <w:i/>
                <w:iCs/>
                <w:color w:val="000000"/>
                <w:lang w:eastAsia="en-GB"/>
              </w:rPr>
            </w:pP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Percent</w:t>
            </w:r>
          </w:p>
        </w:tc>
        <w:tc>
          <w:tcPr>
            <w:tcW w:w="0" w:type="auto"/>
            <w:noWrap/>
            <w:hideMark/>
          </w:tcPr>
          <w:p w14:paraId="6752CCA6"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Prob</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Direction</w:t>
            </w:r>
            <w:r w:rsidRPr="00705231">
              <w:rPr>
                <w:rFonts w:eastAsia="Times New Roman" w:cs="Times New Roman"/>
                <w:iCs/>
                <w:color w:val="000000"/>
                <w:lang w:eastAsia="en-GB"/>
              </w:rPr>
              <w:t xml:space="preserve"> </w:t>
            </w:r>
          </w:p>
          <w:p w14:paraId="6E81E786"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Percent</w:t>
            </w:r>
          </w:p>
        </w:tc>
        <w:tc>
          <w:tcPr>
            <w:tcW w:w="0" w:type="auto"/>
            <w:noWrap/>
            <w:hideMark/>
          </w:tcPr>
          <w:p w14:paraId="089BFD1D"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Beta</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Mean</w:t>
            </w:r>
          </w:p>
        </w:tc>
        <w:tc>
          <w:tcPr>
            <w:tcW w:w="0" w:type="auto"/>
            <w:noWrap/>
            <w:hideMark/>
          </w:tcPr>
          <w:p w14:paraId="6349F7B5"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Beta</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HDI</w:t>
            </w:r>
            <w:r w:rsidRPr="00705231">
              <w:rPr>
                <w:rFonts w:eastAsia="Times New Roman" w:cs="Times New Roman"/>
                <w:iCs/>
                <w:color w:val="000000"/>
                <w:lang w:eastAsia="en-GB"/>
              </w:rPr>
              <w:t xml:space="preserve"> </w:t>
            </w:r>
          </w:p>
          <w:p w14:paraId="27B0C11C"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Lower</w:t>
            </w:r>
          </w:p>
        </w:tc>
        <w:tc>
          <w:tcPr>
            <w:tcW w:w="0" w:type="auto"/>
            <w:noWrap/>
            <w:hideMark/>
          </w:tcPr>
          <w:p w14:paraId="42ED074B"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Beta</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HDI</w:t>
            </w:r>
            <w:r w:rsidRPr="00705231">
              <w:rPr>
                <w:rFonts w:eastAsia="Times New Roman" w:cs="Times New Roman"/>
                <w:iCs/>
                <w:color w:val="000000"/>
                <w:lang w:eastAsia="en-GB"/>
              </w:rPr>
              <w:t xml:space="preserve"> </w:t>
            </w:r>
          </w:p>
          <w:p w14:paraId="1A3DA3F6"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Upper</w:t>
            </w:r>
          </w:p>
        </w:tc>
        <w:tc>
          <w:tcPr>
            <w:tcW w:w="0" w:type="auto"/>
            <w:noWrap/>
            <w:hideMark/>
          </w:tcPr>
          <w:p w14:paraId="49C7D46E"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Model</w:t>
            </w:r>
            <w:r w:rsidRPr="00705231">
              <w:rPr>
                <w:rFonts w:eastAsia="Times New Roman" w:cs="Times New Roman"/>
                <w:iCs/>
                <w:color w:val="000000"/>
                <w:lang w:eastAsia="en-GB"/>
              </w:rPr>
              <w:t xml:space="preserve"> </w:t>
            </w:r>
          </w:p>
          <w:p w14:paraId="122D656B"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R</w:t>
            </w:r>
            <w:r w:rsidRPr="004C0F6A">
              <w:rPr>
                <w:rFonts w:eastAsia="Times New Roman" w:cs="Times New Roman"/>
                <w:iCs/>
                <w:color w:val="000000"/>
                <w:vertAlign w:val="superscript"/>
                <w:lang w:eastAsia="en-GB"/>
              </w:rPr>
              <w:t>2</w:t>
            </w:r>
          </w:p>
        </w:tc>
      </w:tr>
      <w:tr w:rsidR="00ED2DE4" w:rsidRPr="00705231" w14:paraId="0C38B377" w14:textId="77777777" w:rsidTr="001F4D09">
        <w:trPr>
          <w:trHeight w:val="300"/>
        </w:trPr>
        <w:tc>
          <w:tcPr>
            <w:tcW w:w="0" w:type="auto"/>
            <w:noWrap/>
            <w:hideMark/>
          </w:tcPr>
          <w:p w14:paraId="5C5184E2"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EC</w:t>
            </w:r>
          </w:p>
        </w:tc>
        <w:tc>
          <w:tcPr>
            <w:tcW w:w="0" w:type="auto"/>
            <w:noWrap/>
            <w:hideMark/>
          </w:tcPr>
          <w:p w14:paraId="3E63B40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43.18</w:t>
            </w:r>
          </w:p>
        </w:tc>
        <w:tc>
          <w:tcPr>
            <w:tcW w:w="0" w:type="auto"/>
            <w:noWrap/>
            <w:hideMark/>
          </w:tcPr>
          <w:p w14:paraId="11FE8042"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98.00</w:t>
            </w:r>
          </w:p>
        </w:tc>
        <w:tc>
          <w:tcPr>
            <w:tcW w:w="0" w:type="auto"/>
            <w:noWrap/>
            <w:hideMark/>
          </w:tcPr>
          <w:p w14:paraId="6B8B264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0.88</w:t>
            </w:r>
          </w:p>
        </w:tc>
        <w:tc>
          <w:tcPr>
            <w:tcW w:w="0" w:type="auto"/>
            <w:noWrap/>
            <w:hideMark/>
          </w:tcPr>
          <w:p w14:paraId="5448B53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0.01</w:t>
            </w:r>
          </w:p>
        </w:tc>
        <w:tc>
          <w:tcPr>
            <w:tcW w:w="0" w:type="auto"/>
            <w:noWrap/>
            <w:hideMark/>
          </w:tcPr>
          <w:p w14:paraId="045C814F"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1.61</w:t>
            </w:r>
          </w:p>
        </w:tc>
        <w:tc>
          <w:tcPr>
            <w:tcW w:w="0" w:type="auto"/>
            <w:noWrap/>
            <w:hideMark/>
          </w:tcPr>
          <w:p w14:paraId="6BD9590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692CC778" w14:textId="77777777" w:rsidTr="001F4D09">
        <w:trPr>
          <w:trHeight w:val="300"/>
        </w:trPr>
        <w:tc>
          <w:tcPr>
            <w:tcW w:w="0" w:type="auto"/>
            <w:noWrap/>
            <w:hideMark/>
          </w:tcPr>
          <w:p w14:paraId="76499AF1"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Na</w:t>
            </w:r>
          </w:p>
        </w:tc>
        <w:tc>
          <w:tcPr>
            <w:tcW w:w="0" w:type="auto"/>
            <w:noWrap/>
            <w:hideMark/>
          </w:tcPr>
          <w:p w14:paraId="00CA110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14.86</w:t>
            </w:r>
          </w:p>
        </w:tc>
        <w:tc>
          <w:tcPr>
            <w:tcW w:w="0" w:type="auto"/>
            <w:noWrap/>
            <w:hideMark/>
          </w:tcPr>
          <w:p w14:paraId="62FC0E9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90.25</w:t>
            </w:r>
          </w:p>
        </w:tc>
        <w:tc>
          <w:tcPr>
            <w:tcW w:w="0" w:type="auto"/>
            <w:noWrap/>
            <w:hideMark/>
          </w:tcPr>
          <w:p w14:paraId="7AC8708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-0.30</w:t>
            </w:r>
          </w:p>
        </w:tc>
        <w:tc>
          <w:tcPr>
            <w:tcW w:w="0" w:type="auto"/>
            <w:noWrap/>
            <w:hideMark/>
          </w:tcPr>
          <w:p w14:paraId="7692B14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-0.70</w:t>
            </w:r>
          </w:p>
        </w:tc>
        <w:tc>
          <w:tcPr>
            <w:tcW w:w="0" w:type="auto"/>
            <w:noWrap/>
            <w:hideMark/>
          </w:tcPr>
          <w:p w14:paraId="74A7EBE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0.04</w:t>
            </w:r>
          </w:p>
        </w:tc>
        <w:tc>
          <w:tcPr>
            <w:tcW w:w="0" w:type="auto"/>
            <w:noWrap/>
            <w:hideMark/>
          </w:tcPr>
          <w:p w14:paraId="6911C12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1AAA8144" w14:textId="77777777" w:rsidTr="001F4D09">
        <w:trPr>
          <w:trHeight w:val="300"/>
        </w:trPr>
        <w:tc>
          <w:tcPr>
            <w:tcW w:w="0" w:type="auto"/>
            <w:noWrap/>
            <w:hideMark/>
          </w:tcPr>
          <w:p w14:paraId="75ED248D"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K</w:t>
            </w:r>
          </w:p>
        </w:tc>
        <w:tc>
          <w:tcPr>
            <w:tcW w:w="0" w:type="auto"/>
            <w:noWrap/>
            <w:hideMark/>
          </w:tcPr>
          <w:p w14:paraId="25A02CE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7.77</w:t>
            </w:r>
          </w:p>
        </w:tc>
        <w:tc>
          <w:tcPr>
            <w:tcW w:w="0" w:type="auto"/>
            <w:noWrap/>
            <w:hideMark/>
          </w:tcPr>
          <w:p w14:paraId="0CE6B71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86.60</w:t>
            </w:r>
          </w:p>
        </w:tc>
        <w:tc>
          <w:tcPr>
            <w:tcW w:w="0" w:type="auto"/>
            <w:noWrap/>
            <w:hideMark/>
          </w:tcPr>
          <w:p w14:paraId="0A0AB0C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0.16</w:t>
            </w:r>
          </w:p>
        </w:tc>
        <w:tc>
          <w:tcPr>
            <w:tcW w:w="0" w:type="auto"/>
            <w:noWrap/>
            <w:hideMark/>
          </w:tcPr>
          <w:p w14:paraId="572D2181"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-0.05</w:t>
            </w:r>
          </w:p>
        </w:tc>
        <w:tc>
          <w:tcPr>
            <w:tcW w:w="0" w:type="auto"/>
            <w:noWrap/>
            <w:hideMark/>
          </w:tcPr>
          <w:p w14:paraId="796B2FD2"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0.49</w:t>
            </w:r>
          </w:p>
        </w:tc>
        <w:tc>
          <w:tcPr>
            <w:tcW w:w="0" w:type="auto"/>
            <w:noWrap/>
            <w:hideMark/>
          </w:tcPr>
          <w:p w14:paraId="201682F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0AA56915" w14:textId="77777777" w:rsidTr="001F4D09">
        <w:trPr>
          <w:trHeight w:val="300"/>
        </w:trPr>
        <w:tc>
          <w:tcPr>
            <w:tcW w:w="0" w:type="auto"/>
            <w:noWrap/>
            <w:hideMark/>
          </w:tcPr>
          <w:p w14:paraId="1A2DD124"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Silicate</w:t>
            </w:r>
            <w:r>
              <w:rPr>
                <w:rFonts w:eastAsia="Times New Roman" w:cs="Times New Roman"/>
                <w:iCs/>
                <w:color w:val="000000"/>
                <w:lang w:eastAsia="en-GB"/>
              </w:rPr>
              <w:t xml:space="preserve"> </w:t>
            </w:r>
            <w:r w:rsidRPr="004C0F6A">
              <w:rPr>
                <w:rFonts w:eastAsia="Times New Roman" w:cs="Times New Roman"/>
                <w:iCs/>
                <w:color w:val="000000"/>
                <w:lang w:eastAsia="en-GB"/>
              </w:rPr>
              <w:t>Proxy</w:t>
            </w:r>
          </w:p>
        </w:tc>
        <w:tc>
          <w:tcPr>
            <w:tcW w:w="0" w:type="auto"/>
            <w:noWrap/>
            <w:hideMark/>
          </w:tcPr>
          <w:p w14:paraId="6ABD17D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5.27</w:t>
            </w:r>
          </w:p>
        </w:tc>
        <w:tc>
          <w:tcPr>
            <w:tcW w:w="0" w:type="auto"/>
            <w:noWrap/>
            <w:hideMark/>
          </w:tcPr>
          <w:p w14:paraId="73484AB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91.80</w:t>
            </w:r>
          </w:p>
        </w:tc>
        <w:tc>
          <w:tcPr>
            <w:tcW w:w="0" w:type="auto"/>
            <w:noWrap/>
            <w:hideMark/>
          </w:tcPr>
          <w:p w14:paraId="3766ACB0"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0.11</w:t>
            </w:r>
          </w:p>
        </w:tc>
        <w:tc>
          <w:tcPr>
            <w:tcW w:w="0" w:type="auto"/>
            <w:noWrap/>
            <w:hideMark/>
          </w:tcPr>
          <w:p w14:paraId="78FBB8E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-0.02</w:t>
            </w:r>
          </w:p>
        </w:tc>
        <w:tc>
          <w:tcPr>
            <w:tcW w:w="0" w:type="auto"/>
            <w:noWrap/>
            <w:hideMark/>
          </w:tcPr>
          <w:p w14:paraId="6BF21F8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0.27</w:t>
            </w:r>
          </w:p>
        </w:tc>
        <w:tc>
          <w:tcPr>
            <w:tcW w:w="0" w:type="auto"/>
            <w:noWrap/>
            <w:hideMark/>
          </w:tcPr>
          <w:p w14:paraId="42B0908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72150B1A" w14:textId="77777777" w:rsidTr="001F4D09">
        <w:trPr>
          <w:trHeight w:val="300"/>
        </w:trPr>
        <w:tc>
          <w:tcPr>
            <w:tcW w:w="0" w:type="auto"/>
            <w:noWrap/>
            <w:hideMark/>
          </w:tcPr>
          <w:p w14:paraId="06BCFC89"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TDS</w:t>
            </w:r>
          </w:p>
        </w:tc>
        <w:tc>
          <w:tcPr>
            <w:tcW w:w="0" w:type="auto"/>
            <w:noWrap/>
            <w:hideMark/>
          </w:tcPr>
          <w:p w14:paraId="1B30C63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5.06</w:t>
            </w:r>
          </w:p>
        </w:tc>
        <w:tc>
          <w:tcPr>
            <w:tcW w:w="0" w:type="auto"/>
            <w:noWrap/>
            <w:hideMark/>
          </w:tcPr>
          <w:p w14:paraId="39304F5F"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63.80</w:t>
            </w:r>
          </w:p>
        </w:tc>
        <w:tc>
          <w:tcPr>
            <w:tcW w:w="0" w:type="auto"/>
            <w:noWrap/>
            <w:hideMark/>
          </w:tcPr>
          <w:p w14:paraId="0D61B5DF"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0.10</w:t>
            </w:r>
          </w:p>
        </w:tc>
        <w:tc>
          <w:tcPr>
            <w:tcW w:w="0" w:type="auto"/>
            <w:noWrap/>
            <w:hideMark/>
          </w:tcPr>
          <w:p w14:paraId="788AF4F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-0.21</w:t>
            </w:r>
          </w:p>
        </w:tc>
        <w:tc>
          <w:tcPr>
            <w:tcW w:w="0" w:type="auto"/>
            <w:noWrap/>
            <w:hideMark/>
          </w:tcPr>
          <w:p w14:paraId="05E58AF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0.82</w:t>
            </w:r>
          </w:p>
        </w:tc>
        <w:tc>
          <w:tcPr>
            <w:tcW w:w="0" w:type="auto"/>
            <w:noWrap/>
            <w:hideMark/>
          </w:tcPr>
          <w:p w14:paraId="521105B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38DD0A8A" w14:textId="77777777" w:rsidTr="001F4D09">
        <w:trPr>
          <w:trHeight w:val="300"/>
        </w:trPr>
        <w:tc>
          <w:tcPr>
            <w:tcW w:w="0" w:type="auto"/>
            <w:noWrap/>
            <w:hideMark/>
          </w:tcPr>
          <w:p w14:paraId="2C57EB8B" w14:textId="77777777" w:rsidR="00ED2DE4" w:rsidRPr="004C0F6A" w:rsidRDefault="00ED2DE4" w:rsidP="001F4D09">
            <w:pPr>
              <w:jc w:val="left"/>
              <w:rPr>
                <w:rFonts w:eastAsia="Times New Roman" w:cs="Times New Roman"/>
                <w:i/>
                <w:iCs/>
                <w:color w:val="000000"/>
                <w:lang w:eastAsia="en-GB"/>
              </w:rPr>
            </w:pPr>
            <m:oMath>
              <m:r>
                <w:rPr>
                  <w:rFonts w:ascii="Cambria Math" w:eastAsia="Times New Roman" w:hAnsi="Cambria Math" w:cs="Times New Roman"/>
                  <w:color w:val="000000"/>
                  <w:lang w:eastAsia="en-GB"/>
                </w:rPr>
                <m:t>CA</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I</m:t>
                  </m:r>
                </m:e>
                <m:sub>
                  <m:r>
                    <w:rPr>
                      <w:rFonts w:ascii="Cambria Math" w:eastAsia="Times New Roman" w:hAnsi="Cambria Math" w:cs="Times New Roman"/>
                      <w:color w:val="000000"/>
                      <w:lang w:eastAsia="en-GB"/>
                    </w:rPr>
                    <m:t>1</m:t>
                  </m:r>
                </m:sub>
              </m:sSub>
            </m:oMath>
            <w:r>
              <w:rPr>
                <w:rFonts w:eastAsia="Times New Roman" w:cs="Times New Roman"/>
                <w:iCs/>
                <w:color w:val="000000"/>
                <w:lang w:eastAsia="en-GB"/>
              </w:rPr>
              <w:t xml:space="preserve"> </w:t>
            </w:r>
          </w:p>
        </w:tc>
        <w:tc>
          <w:tcPr>
            <w:tcW w:w="0" w:type="auto"/>
            <w:noWrap/>
            <w:hideMark/>
          </w:tcPr>
          <w:p w14:paraId="43F3FA2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4.52</w:t>
            </w:r>
          </w:p>
        </w:tc>
        <w:tc>
          <w:tcPr>
            <w:tcW w:w="0" w:type="auto"/>
            <w:noWrap/>
            <w:hideMark/>
          </w:tcPr>
          <w:p w14:paraId="01D08F0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91.95</w:t>
            </w:r>
          </w:p>
        </w:tc>
        <w:tc>
          <w:tcPr>
            <w:tcW w:w="0" w:type="auto"/>
            <w:noWrap/>
            <w:hideMark/>
          </w:tcPr>
          <w:p w14:paraId="390B9F6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-0.09</w:t>
            </w:r>
          </w:p>
        </w:tc>
        <w:tc>
          <w:tcPr>
            <w:tcW w:w="0" w:type="auto"/>
            <w:noWrap/>
            <w:hideMark/>
          </w:tcPr>
          <w:p w14:paraId="0DEE7A61"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-0.23</w:t>
            </w:r>
          </w:p>
        </w:tc>
        <w:tc>
          <w:tcPr>
            <w:tcW w:w="0" w:type="auto"/>
            <w:noWrap/>
            <w:hideMark/>
          </w:tcPr>
          <w:p w14:paraId="10D9847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0.02</w:t>
            </w:r>
          </w:p>
        </w:tc>
        <w:tc>
          <w:tcPr>
            <w:tcW w:w="0" w:type="auto"/>
            <w:noWrap/>
            <w:hideMark/>
          </w:tcPr>
          <w:p w14:paraId="03BB05E0"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5B83E70D" w14:textId="77777777" w:rsidTr="001F4D09">
        <w:trPr>
          <w:trHeight w:val="300"/>
        </w:trPr>
        <w:tc>
          <w:tcPr>
            <w:tcW w:w="0" w:type="auto"/>
            <w:noWrap/>
            <w:hideMark/>
          </w:tcPr>
          <w:p w14:paraId="12EA1166"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F</w:t>
            </w:r>
          </w:p>
        </w:tc>
        <w:tc>
          <w:tcPr>
            <w:tcW w:w="0" w:type="auto"/>
            <w:noWrap/>
            <w:hideMark/>
          </w:tcPr>
          <w:p w14:paraId="38AA318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4.33</w:t>
            </w:r>
          </w:p>
        </w:tc>
        <w:tc>
          <w:tcPr>
            <w:tcW w:w="0" w:type="auto"/>
            <w:noWrap/>
            <w:hideMark/>
          </w:tcPr>
          <w:p w14:paraId="743BAA3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93.40</w:t>
            </w:r>
          </w:p>
        </w:tc>
        <w:tc>
          <w:tcPr>
            <w:tcW w:w="0" w:type="auto"/>
            <w:noWrap/>
            <w:hideMark/>
          </w:tcPr>
          <w:p w14:paraId="2FFED2F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0.09</w:t>
            </w:r>
          </w:p>
        </w:tc>
        <w:tc>
          <w:tcPr>
            <w:tcW w:w="0" w:type="auto"/>
            <w:noWrap/>
            <w:hideMark/>
          </w:tcPr>
          <w:p w14:paraId="5DEFD0F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-0.01</w:t>
            </w:r>
          </w:p>
        </w:tc>
        <w:tc>
          <w:tcPr>
            <w:tcW w:w="0" w:type="auto"/>
            <w:noWrap/>
            <w:hideMark/>
          </w:tcPr>
          <w:p w14:paraId="542FF33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0.21</w:t>
            </w:r>
          </w:p>
        </w:tc>
        <w:tc>
          <w:tcPr>
            <w:tcW w:w="0" w:type="auto"/>
            <w:noWrap/>
            <w:hideMark/>
          </w:tcPr>
          <w:p w14:paraId="4E923EE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4B739481" w14:textId="77777777" w:rsidTr="001F4D09">
        <w:trPr>
          <w:trHeight w:val="300"/>
        </w:trPr>
        <w:tc>
          <w:tcPr>
            <w:tcW w:w="0" w:type="auto"/>
            <w:noWrap/>
            <w:hideMark/>
          </w:tcPr>
          <w:p w14:paraId="6E43D455"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Na</w:t>
            </w:r>
            <w:r>
              <w:rPr>
                <w:rFonts w:eastAsia="Times New Roman" w:cs="Times New Roman"/>
                <w:iCs/>
                <w:color w:val="000000"/>
                <w:lang w:eastAsia="en-GB"/>
              </w:rPr>
              <w:t>/</w:t>
            </w:r>
            <w:r w:rsidRPr="004C0F6A">
              <w:rPr>
                <w:rFonts w:eastAsia="Times New Roman" w:cs="Times New Roman"/>
                <w:iCs/>
                <w:color w:val="000000"/>
                <w:lang w:eastAsia="en-GB"/>
              </w:rPr>
              <w:t>Cl</w:t>
            </w:r>
          </w:p>
        </w:tc>
        <w:tc>
          <w:tcPr>
            <w:tcW w:w="0" w:type="auto"/>
            <w:noWrap/>
            <w:hideMark/>
          </w:tcPr>
          <w:p w14:paraId="3B35AF5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4.29</w:t>
            </w:r>
          </w:p>
        </w:tc>
        <w:tc>
          <w:tcPr>
            <w:tcW w:w="0" w:type="auto"/>
            <w:noWrap/>
            <w:hideMark/>
          </w:tcPr>
          <w:p w14:paraId="1593D31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86.00</w:t>
            </w:r>
          </w:p>
        </w:tc>
        <w:tc>
          <w:tcPr>
            <w:tcW w:w="0" w:type="auto"/>
            <w:noWrap/>
            <w:hideMark/>
          </w:tcPr>
          <w:p w14:paraId="63165F0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-0.09</w:t>
            </w:r>
          </w:p>
        </w:tc>
        <w:tc>
          <w:tcPr>
            <w:tcW w:w="0" w:type="auto"/>
            <w:noWrap/>
            <w:hideMark/>
          </w:tcPr>
          <w:p w14:paraId="6C47FCB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-0.32</w:t>
            </w:r>
          </w:p>
        </w:tc>
        <w:tc>
          <w:tcPr>
            <w:tcW w:w="0" w:type="auto"/>
            <w:noWrap/>
            <w:hideMark/>
          </w:tcPr>
          <w:p w14:paraId="20B7A1C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0.04</w:t>
            </w:r>
          </w:p>
        </w:tc>
        <w:tc>
          <w:tcPr>
            <w:tcW w:w="0" w:type="auto"/>
            <w:noWrap/>
            <w:hideMark/>
          </w:tcPr>
          <w:p w14:paraId="3FC6DF5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52591E7A" w14:textId="77777777" w:rsidTr="001F4D09">
        <w:trPr>
          <w:trHeight w:val="300"/>
        </w:trPr>
        <w:tc>
          <w:tcPr>
            <w:tcW w:w="0" w:type="auto"/>
            <w:noWrap/>
            <w:hideMark/>
          </w:tcPr>
          <w:p w14:paraId="2C14E8AA"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Carbonate</w:t>
            </w:r>
            <w:r>
              <w:rPr>
                <w:rFonts w:eastAsia="Times New Roman" w:cs="Times New Roman"/>
                <w:iCs/>
                <w:color w:val="000000"/>
                <w:lang w:eastAsia="en-GB"/>
              </w:rPr>
              <w:t xml:space="preserve"> </w:t>
            </w:r>
            <w:r w:rsidRPr="004C0F6A">
              <w:rPr>
                <w:rFonts w:eastAsia="Times New Roman" w:cs="Times New Roman"/>
                <w:iCs/>
                <w:color w:val="000000"/>
                <w:lang w:eastAsia="en-GB"/>
              </w:rPr>
              <w:t>Proxy</w:t>
            </w:r>
          </w:p>
        </w:tc>
        <w:tc>
          <w:tcPr>
            <w:tcW w:w="0" w:type="auto"/>
            <w:noWrap/>
            <w:hideMark/>
          </w:tcPr>
          <w:p w14:paraId="392E866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3.46</w:t>
            </w:r>
          </w:p>
        </w:tc>
        <w:tc>
          <w:tcPr>
            <w:tcW w:w="0" w:type="auto"/>
            <w:noWrap/>
            <w:hideMark/>
          </w:tcPr>
          <w:p w14:paraId="48E692DA"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63.80</w:t>
            </w:r>
          </w:p>
        </w:tc>
        <w:tc>
          <w:tcPr>
            <w:tcW w:w="0" w:type="auto"/>
            <w:noWrap/>
            <w:hideMark/>
          </w:tcPr>
          <w:p w14:paraId="509C9DF2"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-0.07</w:t>
            </w:r>
          </w:p>
        </w:tc>
        <w:tc>
          <w:tcPr>
            <w:tcW w:w="0" w:type="auto"/>
            <w:noWrap/>
            <w:hideMark/>
          </w:tcPr>
          <w:p w14:paraId="2364243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-0.52</w:t>
            </w:r>
          </w:p>
        </w:tc>
        <w:tc>
          <w:tcPr>
            <w:tcW w:w="0" w:type="auto"/>
            <w:noWrap/>
            <w:hideMark/>
          </w:tcPr>
          <w:p w14:paraId="53CDD02E"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0.19</w:t>
            </w:r>
          </w:p>
        </w:tc>
        <w:tc>
          <w:tcPr>
            <w:tcW w:w="0" w:type="auto"/>
            <w:noWrap/>
            <w:hideMark/>
          </w:tcPr>
          <w:p w14:paraId="19B86721"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3A73CD59" w14:textId="77777777" w:rsidTr="001F4D09">
        <w:trPr>
          <w:trHeight w:val="300"/>
        </w:trPr>
        <w:tc>
          <w:tcPr>
            <w:tcW w:w="0" w:type="auto"/>
            <w:noWrap/>
            <w:hideMark/>
          </w:tcPr>
          <w:p w14:paraId="3FF2FEB8" w14:textId="77777777" w:rsidR="00ED2DE4" w:rsidRPr="004C0F6A" w:rsidRDefault="00ED2DE4" w:rsidP="001F4D09">
            <w:pPr>
              <w:jc w:val="left"/>
              <w:rPr>
                <w:rFonts w:eastAsia="Times New Roman" w:cs="Times New Roman"/>
                <w:i/>
                <w:iCs/>
                <w:color w:val="000000"/>
                <w:lang w:eastAsia="en-GB"/>
              </w:rPr>
            </w:pPr>
            <m:oMath>
              <m:r>
                <w:rPr>
                  <w:rFonts w:ascii="Cambria Math" w:eastAsia="Times New Roman" w:hAnsi="Cambria Math" w:cs="Times New Roman"/>
                  <w:color w:val="000000"/>
                  <w:lang w:eastAsia="en-GB"/>
                </w:rPr>
                <m:t>CA</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I</m:t>
                  </m:r>
                </m:e>
                <m:sub>
                  <m:r>
                    <w:rPr>
                      <w:rFonts w:ascii="Cambria Math" w:eastAsia="Times New Roman" w:hAnsi="Cambria Math" w:cs="Times New Roman"/>
                      <w:color w:val="000000"/>
                      <w:lang w:eastAsia="en-GB"/>
                    </w:rPr>
                    <m:t>2</m:t>
                  </m:r>
                </m:sub>
              </m:sSub>
            </m:oMath>
            <w:r>
              <w:rPr>
                <w:rFonts w:eastAsia="Times New Roman" w:cs="Times New Roman"/>
                <w:iCs/>
                <w:color w:val="000000"/>
                <w:lang w:eastAsia="en-GB"/>
              </w:rPr>
              <w:t xml:space="preserve"> </w:t>
            </w:r>
          </w:p>
        </w:tc>
        <w:tc>
          <w:tcPr>
            <w:tcW w:w="0" w:type="auto"/>
            <w:noWrap/>
            <w:hideMark/>
          </w:tcPr>
          <w:p w14:paraId="6822AED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1.87</w:t>
            </w:r>
          </w:p>
        </w:tc>
        <w:tc>
          <w:tcPr>
            <w:tcW w:w="0" w:type="auto"/>
            <w:noWrap/>
            <w:hideMark/>
          </w:tcPr>
          <w:p w14:paraId="159B1BD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60.45</w:t>
            </w:r>
          </w:p>
        </w:tc>
        <w:tc>
          <w:tcPr>
            <w:tcW w:w="0" w:type="auto"/>
            <w:noWrap/>
            <w:hideMark/>
          </w:tcPr>
          <w:p w14:paraId="7A87F2D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-0.04</w:t>
            </w:r>
          </w:p>
        </w:tc>
        <w:tc>
          <w:tcPr>
            <w:tcW w:w="0" w:type="auto"/>
            <w:noWrap/>
            <w:hideMark/>
          </w:tcPr>
          <w:p w14:paraId="4C7C76A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-0.42</w:t>
            </w:r>
          </w:p>
        </w:tc>
        <w:tc>
          <w:tcPr>
            <w:tcW w:w="0" w:type="auto"/>
            <w:noWrap/>
            <w:hideMark/>
          </w:tcPr>
          <w:p w14:paraId="5DE1B0D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0.23</w:t>
            </w:r>
          </w:p>
        </w:tc>
        <w:tc>
          <w:tcPr>
            <w:tcW w:w="0" w:type="auto"/>
            <w:noWrap/>
            <w:hideMark/>
          </w:tcPr>
          <w:p w14:paraId="364970A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77CD8A38" w14:textId="77777777" w:rsidTr="001F4D09">
        <w:trPr>
          <w:trHeight w:val="300"/>
        </w:trPr>
        <w:tc>
          <w:tcPr>
            <w:tcW w:w="0" w:type="auto"/>
            <w:noWrap/>
            <w:hideMark/>
          </w:tcPr>
          <w:p w14:paraId="0799B3E4"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Cl</w:t>
            </w:r>
          </w:p>
        </w:tc>
        <w:tc>
          <w:tcPr>
            <w:tcW w:w="0" w:type="auto"/>
            <w:noWrap/>
            <w:hideMark/>
          </w:tcPr>
          <w:p w14:paraId="2E96DC2A"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1.29</w:t>
            </w:r>
          </w:p>
        </w:tc>
        <w:tc>
          <w:tcPr>
            <w:tcW w:w="0" w:type="auto"/>
            <w:noWrap/>
            <w:hideMark/>
          </w:tcPr>
          <w:p w14:paraId="6C8902C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51.95</w:t>
            </w:r>
          </w:p>
        </w:tc>
        <w:tc>
          <w:tcPr>
            <w:tcW w:w="0" w:type="auto"/>
            <w:noWrap/>
            <w:hideMark/>
          </w:tcPr>
          <w:p w14:paraId="5F3CB67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-0.03</w:t>
            </w:r>
          </w:p>
        </w:tc>
        <w:tc>
          <w:tcPr>
            <w:tcW w:w="0" w:type="auto"/>
            <w:noWrap/>
            <w:hideMark/>
          </w:tcPr>
          <w:p w14:paraId="37306D7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-0.45</w:t>
            </w:r>
          </w:p>
        </w:tc>
        <w:tc>
          <w:tcPr>
            <w:tcW w:w="0" w:type="auto"/>
            <w:noWrap/>
            <w:hideMark/>
          </w:tcPr>
          <w:p w14:paraId="57E4223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0.22</w:t>
            </w:r>
          </w:p>
        </w:tc>
        <w:tc>
          <w:tcPr>
            <w:tcW w:w="0" w:type="auto"/>
            <w:noWrap/>
            <w:hideMark/>
          </w:tcPr>
          <w:p w14:paraId="66020D8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69281C45" w14:textId="77777777" w:rsidTr="001F4D09">
        <w:trPr>
          <w:trHeight w:val="300"/>
        </w:trPr>
        <w:tc>
          <w:tcPr>
            <w:tcW w:w="0" w:type="auto"/>
            <w:noWrap/>
            <w:hideMark/>
          </w:tcPr>
          <w:p w14:paraId="233C7D8F"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pH</w:t>
            </w:r>
          </w:p>
        </w:tc>
        <w:tc>
          <w:tcPr>
            <w:tcW w:w="0" w:type="auto"/>
            <w:noWrap/>
            <w:hideMark/>
          </w:tcPr>
          <w:p w14:paraId="62A98A20"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1.21</w:t>
            </w:r>
          </w:p>
        </w:tc>
        <w:tc>
          <w:tcPr>
            <w:tcW w:w="0" w:type="auto"/>
            <w:noWrap/>
            <w:hideMark/>
          </w:tcPr>
          <w:p w14:paraId="1D24C9CA"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72.30</w:t>
            </w:r>
          </w:p>
        </w:tc>
        <w:tc>
          <w:tcPr>
            <w:tcW w:w="0" w:type="auto"/>
            <w:noWrap/>
            <w:hideMark/>
          </w:tcPr>
          <w:p w14:paraId="275E0DE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0.02</w:t>
            </w:r>
          </w:p>
        </w:tc>
        <w:tc>
          <w:tcPr>
            <w:tcW w:w="0" w:type="auto"/>
            <w:noWrap/>
            <w:hideMark/>
          </w:tcPr>
          <w:p w14:paraId="5E47D6E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-0.05</w:t>
            </w:r>
          </w:p>
        </w:tc>
        <w:tc>
          <w:tcPr>
            <w:tcW w:w="0" w:type="auto"/>
            <w:noWrap/>
            <w:hideMark/>
          </w:tcPr>
          <w:p w14:paraId="050CCF3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0.12</w:t>
            </w:r>
          </w:p>
        </w:tc>
        <w:tc>
          <w:tcPr>
            <w:tcW w:w="0" w:type="auto"/>
            <w:noWrap/>
            <w:hideMark/>
          </w:tcPr>
          <w:p w14:paraId="57761C4A"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4A3848AB" w14:textId="77777777" w:rsidTr="001F4D09">
        <w:trPr>
          <w:trHeight w:val="300"/>
        </w:trPr>
        <w:tc>
          <w:tcPr>
            <w:tcW w:w="0" w:type="auto"/>
            <w:noWrap/>
            <w:hideMark/>
          </w:tcPr>
          <w:p w14:paraId="42D177A8"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Mg</w:t>
            </w:r>
          </w:p>
        </w:tc>
        <w:tc>
          <w:tcPr>
            <w:tcW w:w="0" w:type="auto"/>
            <w:noWrap/>
            <w:hideMark/>
          </w:tcPr>
          <w:p w14:paraId="78E833C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0.86</w:t>
            </w:r>
          </w:p>
        </w:tc>
        <w:tc>
          <w:tcPr>
            <w:tcW w:w="0" w:type="auto"/>
            <w:noWrap/>
            <w:hideMark/>
          </w:tcPr>
          <w:p w14:paraId="7F1771FE"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62.00</w:t>
            </w:r>
          </w:p>
        </w:tc>
        <w:tc>
          <w:tcPr>
            <w:tcW w:w="0" w:type="auto"/>
            <w:noWrap/>
            <w:hideMark/>
          </w:tcPr>
          <w:p w14:paraId="417D24A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-0.02</w:t>
            </w:r>
          </w:p>
        </w:tc>
        <w:tc>
          <w:tcPr>
            <w:tcW w:w="0" w:type="auto"/>
            <w:noWrap/>
            <w:hideMark/>
          </w:tcPr>
          <w:p w14:paraId="78F496A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-0.15</w:t>
            </w:r>
          </w:p>
        </w:tc>
        <w:tc>
          <w:tcPr>
            <w:tcW w:w="0" w:type="auto"/>
            <w:noWrap/>
            <w:hideMark/>
          </w:tcPr>
          <w:p w14:paraId="5A44590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0.08</w:t>
            </w:r>
          </w:p>
        </w:tc>
        <w:tc>
          <w:tcPr>
            <w:tcW w:w="0" w:type="auto"/>
            <w:noWrap/>
            <w:hideMark/>
          </w:tcPr>
          <w:p w14:paraId="0B189C7E"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6DA6ABA8" w14:textId="77777777" w:rsidTr="001F4D09">
        <w:trPr>
          <w:trHeight w:val="300"/>
        </w:trPr>
        <w:tc>
          <w:tcPr>
            <w:tcW w:w="0" w:type="auto"/>
            <w:noWrap/>
            <w:hideMark/>
          </w:tcPr>
          <w:p w14:paraId="6C48991E"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Mg</w:t>
            </w:r>
            <w:r>
              <w:rPr>
                <w:rFonts w:eastAsia="Times New Roman" w:cs="Times New Roman"/>
                <w:iCs/>
                <w:color w:val="000000"/>
                <w:lang w:eastAsia="en-GB"/>
              </w:rPr>
              <w:t>/</w:t>
            </w:r>
            <w:r w:rsidRPr="004C0F6A">
              <w:rPr>
                <w:rFonts w:eastAsia="Times New Roman" w:cs="Times New Roman"/>
                <w:iCs/>
                <w:color w:val="000000"/>
                <w:lang w:eastAsia="en-GB"/>
              </w:rPr>
              <w:t>Ca</w:t>
            </w:r>
          </w:p>
        </w:tc>
        <w:tc>
          <w:tcPr>
            <w:tcW w:w="0" w:type="auto"/>
            <w:noWrap/>
            <w:hideMark/>
          </w:tcPr>
          <w:p w14:paraId="3826FB4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0.79</w:t>
            </w:r>
          </w:p>
        </w:tc>
        <w:tc>
          <w:tcPr>
            <w:tcW w:w="0" w:type="auto"/>
            <w:noWrap/>
            <w:hideMark/>
          </w:tcPr>
          <w:p w14:paraId="4A8385E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61.90</w:t>
            </w:r>
          </w:p>
        </w:tc>
        <w:tc>
          <w:tcPr>
            <w:tcW w:w="0" w:type="auto"/>
            <w:noWrap/>
            <w:hideMark/>
          </w:tcPr>
          <w:p w14:paraId="32B59D7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-0.02</w:t>
            </w:r>
          </w:p>
        </w:tc>
        <w:tc>
          <w:tcPr>
            <w:tcW w:w="0" w:type="auto"/>
            <w:noWrap/>
            <w:hideMark/>
          </w:tcPr>
          <w:p w14:paraId="7C673CF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-0.14</w:t>
            </w:r>
          </w:p>
        </w:tc>
        <w:tc>
          <w:tcPr>
            <w:tcW w:w="0" w:type="auto"/>
            <w:noWrap/>
            <w:hideMark/>
          </w:tcPr>
          <w:p w14:paraId="1F9BB6CA"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0.09</w:t>
            </w:r>
          </w:p>
        </w:tc>
        <w:tc>
          <w:tcPr>
            <w:tcW w:w="0" w:type="auto"/>
            <w:noWrap/>
            <w:hideMark/>
          </w:tcPr>
          <w:p w14:paraId="33C0270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597964F1" w14:textId="77777777" w:rsidTr="001F4D09">
        <w:trPr>
          <w:trHeight w:val="300"/>
        </w:trPr>
        <w:tc>
          <w:tcPr>
            <w:tcW w:w="0" w:type="auto"/>
            <w:noWrap/>
            <w:hideMark/>
          </w:tcPr>
          <w:p w14:paraId="2E1443FE"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NO</w:t>
            </w:r>
            <w:r w:rsidRPr="002545D1">
              <w:rPr>
                <w:rFonts w:eastAsia="Times New Roman" w:cs="Times New Roman"/>
                <w:iCs/>
                <w:color w:val="000000"/>
                <w:vertAlign w:val="subscript"/>
                <w:lang w:eastAsia="en-GB"/>
              </w:rPr>
              <w:t>3</w:t>
            </w:r>
          </w:p>
        </w:tc>
        <w:tc>
          <w:tcPr>
            <w:tcW w:w="0" w:type="auto"/>
            <w:noWrap/>
            <w:hideMark/>
          </w:tcPr>
          <w:p w14:paraId="5A8139C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0.59</w:t>
            </w:r>
          </w:p>
        </w:tc>
        <w:tc>
          <w:tcPr>
            <w:tcW w:w="0" w:type="auto"/>
            <w:noWrap/>
            <w:hideMark/>
          </w:tcPr>
          <w:p w14:paraId="2A9213E2"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63.85</w:t>
            </w:r>
          </w:p>
        </w:tc>
        <w:tc>
          <w:tcPr>
            <w:tcW w:w="0" w:type="auto"/>
            <w:noWrap/>
            <w:hideMark/>
          </w:tcPr>
          <w:p w14:paraId="41118C5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0.01</w:t>
            </w:r>
          </w:p>
        </w:tc>
        <w:tc>
          <w:tcPr>
            <w:tcW w:w="0" w:type="auto"/>
            <w:noWrap/>
            <w:hideMark/>
          </w:tcPr>
          <w:p w14:paraId="5942754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-0.05</w:t>
            </w:r>
          </w:p>
        </w:tc>
        <w:tc>
          <w:tcPr>
            <w:tcW w:w="0" w:type="auto"/>
            <w:noWrap/>
            <w:hideMark/>
          </w:tcPr>
          <w:p w14:paraId="659AB03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0.09</w:t>
            </w:r>
          </w:p>
        </w:tc>
        <w:tc>
          <w:tcPr>
            <w:tcW w:w="0" w:type="auto"/>
            <w:noWrap/>
            <w:hideMark/>
          </w:tcPr>
          <w:p w14:paraId="7A66EC0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681E2EC2" w14:textId="77777777" w:rsidTr="001F4D09">
        <w:trPr>
          <w:trHeight w:val="300"/>
        </w:trPr>
        <w:tc>
          <w:tcPr>
            <w:tcW w:w="0" w:type="auto"/>
            <w:noWrap/>
            <w:hideMark/>
          </w:tcPr>
          <w:p w14:paraId="21224566"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SO</w:t>
            </w:r>
            <w:r w:rsidRPr="00C844D8">
              <w:rPr>
                <w:rFonts w:eastAsia="Times New Roman" w:cs="Times New Roman"/>
                <w:iCs/>
                <w:color w:val="000000"/>
                <w:vertAlign w:val="subscript"/>
                <w:lang w:eastAsia="en-GB"/>
              </w:rPr>
              <w:t>4</w:t>
            </w:r>
          </w:p>
        </w:tc>
        <w:tc>
          <w:tcPr>
            <w:tcW w:w="0" w:type="auto"/>
            <w:noWrap/>
            <w:hideMark/>
          </w:tcPr>
          <w:p w14:paraId="3ACD175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0.23</w:t>
            </w:r>
          </w:p>
        </w:tc>
        <w:tc>
          <w:tcPr>
            <w:tcW w:w="0" w:type="auto"/>
            <w:noWrap/>
            <w:hideMark/>
          </w:tcPr>
          <w:p w14:paraId="69057B22"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56.00</w:t>
            </w:r>
          </w:p>
        </w:tc>
        <w:tc>
          <w:tcPr>
            <w:tcW w:w="0" w:type="auto"/>
            <w:noWrap/>
            <w:hideMark/>
          </w:tcPr>
          <w:p w14:paraId="1251C456"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0.00</w:t>
            </w:r>
          </w:p>
        </w:tc>
        <w:tc>
          <w:tcPr>
            <w:tcW w:w="0" w:type="auto"/>
            <w:noWrap/>
            <w:hideMark/>
          </w:tcPr>
          <w:p w14:paraId="65E5C9D1"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-0.05</w:t>
            </w:r>
          </w:p>
        </w:tc>
        <w:tc>
          <w:tcPr>
            <w:tcW w:w="0" w:type="auto"/>
            <w:noWrap/>
            <w:hideMark/>
          </w:tcPr>
          <w:p w14:paraId="3B7C4811"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0.07</w:t>
            </w:r>
          </w:p>
        </w:tc>
        <w:tc>
          <w:tcPr>
            <w:tcW w:w="0" w:type="auto"/>
            <w:noWrap/>
            <w:hideMark/>
          </w:tcPr>
          <w:p w14:paraId="29E598A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19409531" w14:textId="77777777" w:rsidTr="001F4D09">
        <w:trPr>
          <w:trHeight w:val="300"/>
        </w:trPr>
        <w:tc>
          <w:tcPr>
            <w:tcW w:w="0" w:type="auto"/>
            <w:noWrap/>
            <w:hideMark/>
          </w:tcPr>
          <w:p w14:paraId="68F4BE7D"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Ca</w:t>
            </w:r>
          </w:p>
        </w:tc>
        <w:tc>
          <w:tcPr>
            <w:tcW w:w="0" w:type="auto"/>
            <w:noWrap/>
            <w:hideMark/>
          </w:tcPr>
          <w:p w14:paraId="103C9E79"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0.20</w:t>
            </w:r>
          </w:p>
        </w:tc>
        <w:tc>
          <w:tcPr>
            <w:tcW w:w="0" w:type="auto"/>
            <w:noWrap/>
            <w:hideMark/>
          </w:tcPr>
          <w:p w14:paraId="0098525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50.45</w:t>
            </w:r>
          </w:p>
        </w:tc>
        <w:tc>
          <w:tcPr>
            <w:tcW w:w="0" w:type="auto"/>
            <w:noWrap/>
            <w:hideMark/>
          </w:tcPr>
          <w:p w14:paraId="6E9C7B6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0.00</w:t>
            </w:r>
          </w:p>
        </w:tc>
        <w:tc>
          <w:tcPr>
            <w:tcW w:w="0" w:type="auto"/>
            <w:noWrap/>
            <w:hideMark/>
          </w:tcPr>
          <w:p w14:paraId="0437BC93"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-0.15</w:t>
            </w:r>
          </w:p>
        </w:tc>
        <w:tc>
          <w:tcPr>
            <w:tcW w:w="0" w:type="auto"/>
            <w:noWrap/>
            <w:hideMark/>
          </w:tcPr>
          <w:p w14:paraId="694A066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0.19</w:t>
            </w:r>
          </w:p>
        </w:tc>
        <w:tc>
          <w:tcPr>
            <w:tcW w:w="0" w:type="auto"/>
            <w:noWrap/>
            <w:hideMark/>
          </w:tcPr>
          <w:p w14:paraId="57E5782F"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51EB9A16" w14:textId="77777777" w:rsidTr="001F4D09">
        <w:trPr>
          <w:trHeight w:val="300"/>
        </w:trPr>
        <w:tc>
          <w:tcPr>
            <w:tcW w:w="0" w:type="auto"/>
            <w:noWrap/>
            <w:hideMark/>
          </w:tcPr>
          <w:p w14:paraId="5DA844C7"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HCO</w:t>
            </w:r>
            <w:r w:rsidRPr="002545D1">
              <w:rPr>
                <w:rFonts w:eastAsia="Times New Roman" w:cs="Times New Roman"/>
                <w:iCs/>
                <w:color w:val="000000"/>
                <w:vertAlign w:val="subscript"/>
                <w:lang w:eastAsia="en-GB"/>
              </w:rPr>
              <w:t>3</w:t>
            </w:r>
          </w:p>
        </w:tc>
        <w:tc>
          <w:tcPr>
            <w:tcW w:w="0" w:type="auto"/>
            <w:noWrap/>
            <w:hideMark/>
          </w:tcPr>
          <w:p w14:paraId="1B63672E"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0.19</w:t>
            </w:r>
          </w:p>
        </w:tc>
        <w:tc>
          <w:tcPr>
            <w:tcW w:w="0" w:type="auto"/>
            <w:noWrap/>
            <w:hideMark/>
          </w:tcPr>
          <w:p w14:paraId="4F79FDDE"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52.10</w:t>
            </w:r>
          </w:p>
        </w:tc>
        <w:tc>
          <w:tcPr>
            <w:tcW w:w="0" w:type="auto"/>
            <w:noWrap/>
            <w:hideMark/>
          </w:tcPr>
          <w:p w14:paraId="160D034B"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0.00</w:t>
            </w:r>
          </w:p>
        </w:tc>
        <w:tc>
          <w:tcPr>
            <w:tcW w:w="0" w:type="auto"/>
            <w:noWrap/>
            <w:hideMark/>
          </w:tcPr>
          <w:p w14:paraId="0C441F5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-0.11</w:t>
            </w:r>
          </w:p>
        </w:tc>
        <w:tc>
          <w:tcPr>
            <w:tcW w:w="0" w:type="auto"/>
            <w:noWrap/>
            <w:hideMark/>
          </w:tcPr>
          <w:p w14:paraId="2C728D25"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0.09</w:t>
            </w:r>
          </w:p>
        </w:tc>
        <w:tc>
          <w:tcPr>
            <w:tcW w:w="0" w:type="auto"/>
            <w:noWrap/>
            <w:hideMark/>
          </w:tcPr>
          <w:p w14:paraId="419D7DB0"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r w:rsidR="00ED2DE4" w:rsidRPr="00705231" w14:paraId="6AAAEB07" w14:textId="77777777" w:rsidTr="001F4D09">
        <w:trPr>
          <w:trHeight w:val="300"/>
        </w:trPr>
        <w:tc>
          <w:tcPr>
            <w:tcW w:w="0" w:type="auto"/>
            <w:noWrap/>
            <w:hideMark/>
          </w:tcPr>
          <w:p w14:paraId="56830CF7" w14:textId="77777777" w:rsidR="00ED2DE4" w:rsidRPr="004C0F6A"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Ca</w:t>
            </w:r>
            <w:r>
              <w:rPr>
                <w:rFonts w:eastAsia="Times New Roman" w:cs="Times New Roman"/>
                <w:iCs/>
                <w:color w:val="000000"/>
                <w:lang w:eastAsia="en-GB"/>
              </w:rPr>
              <w:t>/</w:t>
            </w:r>
            <w:r w:rsidRPr="004C0F6A">
              <w:rPr>
                <w:rFonts w:eastAsia="Times New Roman" w:cs="Times New Roman"/>
                <w:iCs/>
                <w:color w:val="000000"/>
                <w:lang w:eastAsia="en-GB"/>
              </w:rPr>
              <w:t>HCO</w:t>
            </w:r>
            <w:r w:rsidRPr="00C844D8">
              <w:rPr>
                <w:rFonts w:eastAsia="Times New Roman" w:cs="Times New Roman"/>
                <w:iCs/>
                <w:color w:val="000000"/>
                <w:vertAlign w:val="subscript"/>
                <w:lang w:eastAsia="en-GB"/>
              </w:rPr>
              <w:t>3</w:t>
            </w:r>
          </w:p>
        </w:tc>
        <w:tc>
          <w:tcPr>
            <w:tcW w:w="0" w:type="auto"/>
            <w:noWrap/>
            <w:hideMark/>
          </w:tcPr>
          <w:p w14:paraId="7C954ACD"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0.00</w:t>
            </w:r>
          </w:p>
        </w:tc>
        <w:tc>
          <w:tcPr>
            <w:tcW w:w="0" w:type="auto"/>
            <w:noWrap/>
            <w:hideMark/>
          </w:tcPr>
          <w:p w14:paraId="066389F8"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51.35</w:t>
            </w:r>
          </w:p>
        </w:tc>
        <w:tc>
          <w:tcPr>
            <w:tcW w:w="0" w:type="auto"/>
            <w:noWrap/>
            <w:hideMark/>
          </w:tcPr>
          <w:p w14:paraId="33B0AD5C"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0.00</w:t>
            </w:r>
          </w:p>
        </w:tc>
        <w:tc>
          <w:tcPr>
            <w:tcW w:w="0" w:type="auto"/>
            <w:noWrap/>
            <w:hideMark/>
          </w:tcPr>
          <w:p w14:paraId="1BF77A1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-0.17</w:t>
            </w:r>
          </w:p>
        </w:tc>
        <w:tc>
          <w:tcPr>
            <w:tcW w:w="0" w:type="auto"/>
            <w:noWrap/>
            <w:hideMark/>
          </w:tcPr>
          <w:p w14:paraId="00138BC4"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0.17</w:t>
            </w:r>
          </w:p>
        </w:tc>
        <w:tc>
          <w:tcPr>
            <w:tcW w:w="0" w:type="auto"/>
            <w:noWrap/>
            <w:hideMark/>
          </w:tcPr>
          <w:p w14:paraId="08E595A7" w14:textId="77777777" w:rsidR="00ED2DE4" w:rsidRPr="004C0F6A" w:rsidRDefault="00ED2DE4" w:rsidP="001F4D09">
            <w:pPr>
              <w:jc w:val="right"/>
              <w:rPr>
                <w:rFonts w:eastAsia="Times New Roman" w:cs="Times New Roman"/>
                <w:i/>
                <w:iCs/>
                <w:color w:val="000000"/>
                <w:lang w:eastAsia="en-GB"/>
              </w:rPr>
            </w:pPr>
            <w:r w:rsidRPr="004C0F6A">
              <w:rPr>
                <w:rFonts w:eastAsia="Times New Roman" w:cs="Times New Roman"/>
                <w:iCs/>
                <w:color w:val="000000"/>
                <w:lang w:eastAsia="en-GB"/>
              </w:rPr>
              <w:t>0.98</w:t>
            </w:r>
          </w:p>
        </w:tc>
      </w:tr>
    </w:tbl>
    <w:p w14:paraId="3A075E5A" w14:textId="77777777" w:rsidR="00ED2DE4" w:rsidRDefault="00ED2DE4" w:rsidP="00ED2DE4"/>
    <w:p w14:paraId="47BB7F28" w14:textId="77777777" w:rsidR="00ED2DE4" w:rsidRDefault="00ED2DE4" w:rsidP="00ED2DE4">
      <w:pPr>
        <w:spacing w:after="0"/>
      </w:pPr>
      <w:r>
        <w:t xml:space="preserve">Table </w:t>
      </w:r>
      <w:r w:rsidRPr="005D1BB9">
        <w:t>8</w:t>
      </w:r>
      <w:r>
        <w:t>b</w:t>
      </w:r>
      <w:r w:rsidRPr="005D1BB9">
        <w:t xml:space="preserve">. Bayesian driver summaries for fluoride, reporting posterior direction, directional certainty, and normalised contribution share. </w:t>
      </w:r>
    </w:p>
    <w:tbl>
      <w:tblPr>
        <w:tblStyle w:val="Manu"/>
        <w:tblW w:w="0" w:type="auto"/>
        <w:tblLook w:val="04A0" w:firstRow="1" w:lastRow="0" w:firstColumn="1" w:lastColumn="0" w:noHBand="0" w:noVBand="1"/>
      </w:tblPr>
      <w:tblGrid>
        <w:gridCol w:w="1701"/>
        <w:gridCol w:w="1347"/>
        <w:gridCol w:w="1518"/>
        <w:gridCol w:w="1176"/>
        <w:gridCol w:w="1066"/>
        <w:gridCol w:w="1066"/>
        <w:gridCol w:w="791"/>
      </w:tblGrid>
      <w:tr w:rsidR="00ED2DE4" w:rsidRPr="00184EDB" w14:paraId="1A040A1D" w14:textId="77777777" w:rsidTr="001F4D09">
        <w:trPr>
          <w:cnfStyle w:val="100000000000" w:firstRow="1" w:lastRow="0" w:firstColumn="0" w:lastColumn="0" w:oddVBand="0" w:evenVBand="0" w:oddHBand="0" w:evenHBand="0" w:firstRowFirstColumn="0" w:firstRowLastColumn="0" w:lastRowFirstColumn="0" w:lastRowLastColumn="0"/>
          <w:trHeight w:val="20"/>
        </w:trPr>
        <w:tc>
          <w:tcPr>
            <w:tcW w:w="0" w:type="auto"/>
            <w:noWrap/>
          </w:tcPr>
          <w:p w14:paraId="7F0A00E9" w14:textId="77777777" w:rsidR="00ED2DE4" w:rsidRPr="00184EDB" w:rsidRDefault="00ED2DE4" w:rsidP="001F4D09">
            <w:pPr>
              <w:rPr>
                <w:i/>
                <w:iCs/>
              </w:rPr>
            </w:pPr>
            <w:r w:rsidRPr="004C0F6A">
              <w:rPr>
                <w:rFonts w:eastAsia="Times New Roman" w:cs="Times New Roman"/>
                <w:iCs/>
                <w:color w:val="000000"/>
                <w:lang w:eastAsia="en-GB"/>
              </w:rPr>
              <w:t>Predictor</w:t>
            </w:r>
          </w:p>
        </w:tc>
        <w:tc>
          <w:tcPr>
            <w:tcW w:w="0" w:type="auto"/>
            <w:noWrap/>
          </w:tcPr>
          <w:p w14:paraId="3DD1F39D"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Driver</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Score</w:t>
            </w:r>
          </w:p>
          <w:p w14:paraId="3A7BA960" w14:textId="77777777" w:rsidR="00ED2DE4" w:rsidRPr="00184EDB" w:rsidRDefault="00ED2DE4" w:rsidP="001F4D09">
            <w:pPr>
              <w:rPr>
                <w:i/>
                <w:iCs/>
              </w:rPr>
            </w:pP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Percent</w:t>
            </w:r>
          </w:p>
        </w:tc>
        <w:tc>
          <w:tcPr>
            <w:tcW w:w="0" w:type="auto"/>
            <w:noWrap/>
          </w:tcPr>
          <w:p w14:paraId="351D8B76"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Prob</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Direction</w:t>
            </w:r>
            <w:r w:rsidRPr="00705231">
              <w:rPr>
                <w:rFonts w:eastAsia="Times New Roman" w:cs="Times New Roman"/>
                <w:iCs/>
                <w:color w:val="000000"/>
                <w:lang w:eastAsia="en-GB"/>
              </w:rPr>
              <w:t xml:space="preserve"> </w:t>
            </w:r>
          </w:p>
          <w:p w14:paraId="497C0190" w14:textId="77777777" w:rsidR="00ED2DE4" w:rsidRPr="00184EDB" w:rsidRDefault="00ED2DE4" w:rsidP="001F4D09">
            <w:pPr>
              <w:rPr>
                <w:i/>
                <w:iCs/>
              </w:rPr>
            </w:pPr>
            <w:r w:rsidRPr="004C0F6A">
              <w:rPr>
                <w:rFonts w:eastAsia="Times New Roman" w:cs="Times New Roman"/>
                <w:iCs/>
                <w:color w:val="000000"/>
                <w:lang w:eastAsia="en-GB"/>
              </w:rPr>
              <w:t>Percent</w:t>
            </w:r>
          </w:p>
        </w:tc>
        <w:tc>
          <w:tcPr>
            <w:tcW w:w="0" w:type="auto"/>
            <w:noWrap/>
          </w:tcPr>
          <w:p w14:paraId="3554C708" w14:textId="77777777" w:rsidR="00ED2DE4" w:rsidRPr="00184EDB" w:rsidRDefault="00ED2DE4" w:rsidP="001F4D09">
            <w:pPr>
              <w:rPr>
                <w:i/>
                <w:iCs/>
              </w:rPr>
            </w:pPr>
            <w:r w:rsidRPr="004C0F6A">
              <w:rPr>
                <w:rFonts w:eastAsia="Times New Roman" w:cs="Times New Roman"/>
                <w:iCs/>
                <w:color w:val="000000"/>
                <w:lang w:eastAsia="en-GB"/>
              </w:rPr>
              <w:t>Beta</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Mean</w:t>
            </w:r>
          </w:p>
        </w:tc>
        <w:tc>
          <w:tcPr>
            <w:tcW w:w="0" w:type="auto"/>
            <w:noWrap/>
          </w:tcPr>
          <w:p w14:paraId="10644FF5"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Beta</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HDI</w:t>
            </w:r>
            <w:r w:rsidRPr="00705231">
              <w:rPr>
                <w:rFonts w:eastAsia="Times New Roman" w:cs="Times New Roman"/>
                <w:iCs/>
                <w:color w:val="000000"/>
                <w:lang w:eastAsia="en-GB"/>
              </w:rPr>
              <w:t xml:space="preserve"> </w:t>
            </w:r>
          </w:p>
          <w:p w14:paraId="735C1981" w14:textId="77777777" w:rsidR="00ED2DE4" w:rsidRPr="00184EDB" w:rsidRDefault="00ED2DE4" w:rsidP="001F4D09">
            <w:pPr>
              <w:rPr>
                <w:i/>
                <w:iCs/>
              </w:rPr>
            </w:pPr>
            <w:r w:rsidRPr="004C0F6A">
              <w:rPr>
                <w:rFonts w:eastAsia="Times New Roman" w:cs="Times New Roman"/>
                <w:iCs/>
                <w:color w:val="000000"/>
                <w:lang w:eastAsia="en-GB"/>
              </w:rPr>
              <w:t>Lower</w:t>
            </w:r>
          </w:p>
        </w:tc>
        <w:tc>
          <w:tcPr>
            <w:tcW w:w="0" w:type="auto"/>
            <w:noWrap/>
          </w:tcPr>
          <w:p w14:paraId="2F4B7036"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Beta</w:t>
            </w:r>
            <w:r w:rsidRPr="00705231">
              <w:rPr>
                <w:rFonts w:eastAsia="Times New Roman" w:cs="Times New Roman"/>
                <w:iCs/>
                <w:color w:val="000000"/>
                <w:lang w:eastAsia="en-GB"/>
              </w:rPr>
              <w:t xml:space="preserve"> </w:t>
            </w:r>
            <w:r w:rsidRPr="004C0F6A">
              <w:rPr>
                <w:rFonts w:eastAsia="Times New Roman" w:cs="Times New Roman"/>
                <w:iCs/>
                <w:color w:val="000000"/>
                <w:lang w:eastAsia="en-GB"/>
              </w:rPr>
              <w:t>HDI</w:t>
            </w:r>
            <w:r w:rsidRPr="00705231">
              <w:rPr>
                <w:rFonts w:eastAsia="Times New Roman" w:cs="Times New Roman"/>
                <w:iCs/>
                <w:color w:val="000000"/>
                <w:lang w:eastAsia="en-GB"/>
              </w:rPr>
              <w:t xml:space="preserve"> </w:t>
            </w:r>
          </w:p>
          <w:p w14:paraId="7C1C9551" w14:textId="77777777" w:rsidR="00ED2DE4" w:rsidRPr="00184EDB" w:rsidRDefault="00ED2DE4" w:rsidP="001F4D09">
            <w:pPr>
              <w:rPr>
                <w:i/>
                <w:iCs/>
              </w:rPr>
            </w:pPr>
            <w:r w:rsidRPr="004C0F6A">
              <w:rPr>
                <w:rFonts w:eastAsia="Times New Roman" w:cs="Times New Roman"/>
                <w:iCs/>
                <w:color w:val="000000"/>
                <w:lang w:eastAsia="en-GB"/>
              </w:rPr>
              <w:t>Upper</w:t>
            </w:r>
          </w:p>
        </w:tc>
        <w:tc>
          <w:tcPr>
            <w:tcW w:w="0" w:type="auto"/>
            <w:noWrap/>
          </w:tcPr>
          <w:p w14:paraId="6F992C20" w14:textId="77777777" w:rsidR="00ED2DE4" w:rsidRPr="00705231" w:rsidRDefault="00ED2DE4" w:rsidP="001F4D09">
            <w:pPr>
              <w:jc w:val="left"/>
              <w:rPr>
                <w:rFonts w:eastAsia="Times New Roman" w:cs="Times New Roman"/>
                <w:i/>
                <w:iCs/>
                <w:color w:val="000000"/>
                <w:lang w:eastAsia="en-GB"/>
              </w:rPr>
            </w:pPr>
            <w:r w:rsidRPr="004C0F6A">
              <w:rPr>
                <w:rFonts w:eastAsia="Times New Roman" w:cs="Times New Roman"/>
                <w:iCs/>
                <w:color w:val="000000"/>
                <w:lang w:eastAsia="en-GB"/>
              </w:rPr>
              <w:t>Model</w:t>
            </w:r>
            <w:r w:rsidRPr="00705231">
              <w:rPr>
                <w:rFonts w:eastAsia="Times New Roman" w:cs="Times New Roman"/>
                <w:iCs/>
                <w:color w:val="000000"/>
                <w:lang w:eastAsia="en-GB"/>
              </w:rPr>
              <w:t xml:space="preserve"> </w:t>
            </w:r>
          </w:p>
          <w:p w14:paraId="623EB073" w14:textId="77777777" w:rsidR="00ED2DE4" w:rsidRPr="00184EDB" w:rsidRDefault="00ED2DE4" w:rsidP="001F4D09">
            <w:pPr>
              <w:rPr>
                <w:i/>
                <w:iCs/>
              </w:rPr>
            </w:pPr>
            <w:r w:rsidRPr="004C0F6A">
              <w:rPr>
                <w:rFonts w:eastAsia="Times New Roman" w:cs="Times New Roman"/>
                <w:iCs/>
                <w:color w:val="000000"/>
                <w:lang w:eastAsia="en-GB"/>
              </w:rPr>
              <w:t>R</w:t>
            </w:r>
            <w:r w:rsidRPr="004C0F6A">
              <w:rPr>
                <w:rFonts w:eastAsia="Times New Roman" w:cs="Times New Roman"/>
                <w:iCs/>
                <w:color w:val="000000"/>
                <w:vertAlign w:val="superscript"/>
                <w:lang w:eastAsia="en-GB"/>
              </w:rPr>
              <w:t>2</w:t>
            </w:r>
          </w:p>
        </w:tc>
      </w:tr>
      <w:tr w:rsidR="00ED2DE4" w:rsidRPr="00184EDB" w14:paraId="7B0378A8" w14:textId="77777777" w:rsidTr="001F4D09">
        <w:trPr>
          <w:trHeight w:val="20"/>
        </w:trPr>
        <w:tc>
          <w:tcPr>
            <w:tcW w:w="0" w:type="auto"/>
            <w:noWrap/>
            <w:hideMark/>
          </w:tcPr>
          <w:p w14:paraId="2804C850" w14:textId="77777777" w:rsidR="00ED2DE4" w:rsidRPr="00184EDB" w:rsidRDefault="00ED2DE4" w:rsidP="001F4D09">
            <w:pPr>
              <w:rPr>
                <w:i/>
                <w:iCs/>
              </w:rPr>
            </w:pPr>
            <w:r w:rsidRPr="00184EDB">
              <w:rPr>
                <w:iCs/>
              </w:rPr>
              <w:t>CAI_2</w:t>
            </w:r>
          </w:p>
        </w:tc>
        <w:tc>
          <w:tcPr>
            <w:tcW w:w="0" w:type="auto"/>
            <w:noWrap/>
            <w:hideMark/>
          </w:tcPr>
          <w:p w14:paraId="5A856D5E" w14:textId="77777777" w:rsidR="00ED2DE4" w:rsidRPr="00184EDB" w:rsidRDefault="00ED2DE4" w:rsidP="001F4D09">
            <w:pPr>
              <w:rPr>
                <w:i/>
                <w:iCs/>
              </w:rPr>
            </w:pPr>
            <w:r w:rsidRPr="00184EDB">
              <w:rPr>
                <w:iCs/>
              </w:rPr>
              <w:t>23.16</w:t>
            </w:r>
          </w:p>
        </w:tc>
        <w:tc>
          <w:tcPr>
            <w:tcW w:w="0" w:type="auto"/>
            <w:noWrap/>
            <w:hideMark/>
          </w:tcPr>
          <w:p w14:paraId="4BC193DA" w14:textId="77777777" w:rsidR="00ED2DE4" w:rsidRPr="00184EDB" w:rsidRDefault="00ED2DE4" w:rsidP="001F4D09">
            <w:pPr>
              <w:rPr>
                <w:i/>
                <w:iCs/>
              </w:rPr>
            </w:pPr>
            <w:r w:rsidRPr="00184EDB">
              <w:rPr>
                <w:iCs/>
              </w:rPr>
              <w:t>83.85</w:t>
            </w:r>
          </w:p>
        </w:tc>
        <w:tc>
          <w:tcPr>
            <w:tcW w:w="0" w:type="auto"/>
            <w:noWrap/>
            <w:hideMark/>
          </w:tcPr>
          <w:p w14:paraId="5C51F0D4" w14:textId="77777777" w:rsidR="00ED2DE4" w:rsidRPr="00184EDB" w:rsidRDefault="00ED2DE4" w:rsidP="001F4D09">
            <w:pPr>
              <w:rPr>
                <w:i/>
                <w:iCs/>
              </w:rPr>
            </w:pPr>
            <w:r w:rsidRPr="00184EDB">
              <w:rPr>
                <w:iCs/>
              </w:rPr>
              <w:t>-0.88</w:t>
            </w:r>
          </w:p>
        </w:tc>
        <w:tc>
          <w:tcPr>
            <w:tcW w:w="0" w:type="auto"/>
            <w:noWrap/>
            <w:hideMark/>
          </w:tcPr>
          <w:p w14:paraId="4E90DEAA" w14:textId="77777777" w:rsidR="00ED2DE4" w:rsidRPr="00184EDB" w:rsidRDefault="00ED2DE4" w:rsidP="001F4D09">
            <w:pPr>
              <w:rPr>
                <w:i/>
                <w:iCs/>
              </w:rPr>
            </w:pPr>
            <w:r w:rsidRPr="00184EDB">
              <w:rPr>
                <w:iCs/>
              </w:rPr>
              <w:t>-2.80</w:t>
            </w:r>
          </w:p>
        </w:tc>
        <w:tc>
          <w:tcPr>
            <w:tcW w:w="0" w:type="auto"/>
            <w:noWrap/>
            <w:hideMark/>
          </w:tcPr>
          <w:p w14:paraId="26BAFDF2" w14:textId="77777777" w:rsidR="00ED2DE4" w:rsidRPr="00184EDB" w:rsidRDefault="00ED2DE4" w:rsidP="001F4D09">
            <w:pPr>
              <w:rPr>
                <w:i/>
                <w:iCs/>
              </w:rPr>
            </w:pPr>
            <w:r w:rsidRPr="00184EDB">
              <w:rPr>
                <w:iCs/>
              </w:rPr>
              <w:t>0.18</w:t>
            </w:r>
          </w:p>
        </w:tc>
        <w:tc>
          <w:tcPr>
            <w:tcW w:w="0" w:type="auto"/>
            <w:noWrap/>
            <w:hideMark/>
          </w:tcPr>
          <w:p w14:paraId="6EACECC0" w14:textId="77777777" w:rsidR="00ED2DE4" w:rsidRPr="00184EDB" w:rsidRDefault="00ED2DE4" w:rsidP="001F4D09">
            <w:pPr>
              <w:rPr>
                <w:i/>
                <w:iCs/>
              </w:rPr>
            </w:pPr>
            <w:r w:rsidRPr="00184EDB">
              <w:rPr>
                <w:iCs/>
              </w:rPr>
              <w:t>0.69</w:t>
            </w:r>
          </w:p>
        </w:tc>
      </w:tr>
      <w:tr w:rsidR="00ED2DE4" w:rsidRPr="00184EDB" w14:paraId="73DE7D05" w14:textId="77777777" w:rsidTr="001F4D09">
        <w:trPr>
          <w:trHeight w:val="20"/>
        </w:trPr>
        <w:tc>
          <w:tcPr>
            <w:tcW w:w="0" w:type="auto"/>
            <w:noWrap/>
            <w:hideMark/>
          </w:tcPr>
          <w:p w14:paraId="4F38CF6C" w14:textId="77777777" w:rsidR="00ED2DE4" w:rsidRPr="00184EDB" w:rsidRDefault="00ED2DE4" w:rsidP="001F4D09">
            <w:pPr>
              <w:rPr>
                <w:i/>
                <w:iCs/>
              </w:rPr>
            </w:pPr>
            <w:r w:rsidRPr="00184EDB">
              <w:rPr>
                <w:iCs/>
              </w:rPr>
              <w:t>EC</w:t>
            </w:r>
          </w:p>
        </w:tc>
        <w:tc>
          <w:tcPr>
            <w:tcW w:w="0" w:type="auto"/>
            <w:noWrap/>
            <w:hideMark/>
          </w:tcPr>
          <w:p w14:paraId="517A4EF4" w14:textId="77777777" w:rsidR="00ED2DE4" w:rsidRPr="00184EDB" w:rsidRDefault="00ED2DE4" w:rsidP="001F4D09">
            <w:pPr>
              <w:rPr>
                <w:i/>
                <w:iCs/>
              </w:rPr>
            </w:pPr>
            <w:r w:rsidRPr="00184EDB">
              <w:rPr>
                <w:iCs/>
              </w:rPr>
              <w:t>22.96</w:t>
            </w:r>
          </w:p>
        </w:tc>
        <w:tc>
          <w:tcPr>
            <w:tcW w:w="0" w:type="auto"/>
            <w:noWrap/>
            <w:hideMark/>
          </w:tcPr>
          <w:p w14:paraId="5C33D5FC" w14:textId="77777777" w:rsidR="00ED2DE4" w:rsidRPr="00184EDB" w:rsidRDefault="00ED2DE4" w:rsidP="001F4D09">
            <w:pPr>
              <w:rPr>
                <w:i/>
                <w:iCs/>
              </w:rPr>
            </w:pPr>
            <w:r w:rsidRPr="00184EDB">
              <w:rPr>
                <w:iCs/>
              </w:rPr>
              <w:t>81.60</w:t>
            </w:r>
          </w:p>
        </w:tc>
        <w:tc>
          <w:tcPr>
            <w:tcW w:w="0" w:type="auto"/>
            <w:noWrap/>
            <w:hideMark/>
          </w:tcPr>
          <w:p w14:paraId="4BA4FB3D" w14:textId="77777777" w:rsidR="00ED2DE4" w:rsidRPr="00184EDB" w:rsidRDefault="00ED2DE4" w:rsidP="001F4D09">
            <w:pPr>
              <w:rPr>
                <w:i/>
                <w:iCs/>
              </w:rPr>
            </w:pPr>
            <w:r w:rsidRPr="00184EDB">
              <w:rPr>
                <w:iCs/>
              </w:rPr>
              <w:t>0.87</w:t>
            </w:r>
          </w:p>
        </w:tc>
        <w:tc>
          <w:tcPr>
            <w:tcW w:w="0" w:type="auto"/>
            <w:noWrap/>
            <w:hideMark/>
          </w:tcPr>
          <w:p w14:paraId="13473312" w14:textId="77777777" w:rsidR="00ED2DE4" w:rsidRPr="00184EDB" w:rsidRDefault="00ED2DE4" w:rsidP="001F4D09">
            <w:pPr>
              <w:rPr>
                <w:i/>
                <w:iCs/>
              </w:rPr>
            </w:pPr>
            <w:r w:rsidRPr="00184EDB">
              <w:rPr>
                <w:iCs/>
              </w:rPr>
              <w:t>-0.24</w:t>
            </w:r>
          </w:p>
        </w:tc>
        <w:tc>
          <w:tcPr>
            <w:tcW w:w="0" w:type="auto"/>
            <w:noWrap/>
            <w:hideMark/>
          </w:tcPr>
          <w:p w14:paraId="2D7F0033" w14:textId="77777777" w:rsidR="00ED2DE4" w:rsidRPr="00184EDB" w:rsidRDefault="00ED2DE4" w:rsidP="001F4D09">
            <w:pPr>
              <w:rPr>
                <w:i/>
                <w:iCs/>
              </w:rPr>
            </w:pPr>
            <w:r w:rsidRPr="00184EDB">
              <w:rPr>
                <w:iCs/>
              </w:rPr>
              <w:t>2.92</w:t>
            </w:r>
          </w:p>
        </w:tc>
        <w:tc>
          <w:tcPr>
            <w:tcW w:w="0" w:type="auto"/>
            <w:noWrap/>
            <w:hideMark/>
          </w:tcPr>
          <w:p w14:paraId="7C376304" w14:textId="77777777" w:rsidR="00ED2DE4" w:rsidRPr="00184EDB" w:rsidRDefault="00ED2DE4" w:rsidP="001F4D09">
            <w:pPr>
              <w:rPr>
                <w:i/>
                <w:iCs/>
              </w:rPr>
            </w:pPr>
            <w:r w:rsidRPr="00184EDB">
              <w:rPr>
                <w:iCs/>
              </w:rPr>
              <w:t>0.69</w:t>
            </w:r>
          </w:p>
        </w:tc>
      </w:tr>
      <w:tr w:rsidR="00ED2DE4" w:rsidRPr="00184EDB" w14:paraId="108AC9C4" w14:textId="77777777" w:rsidTr="001F4D09">
        <w:trPr>
          <w:trHeight w:val="20"/>
        </w:trPr>
        <w:tc>
          <w:tcPr>
            <w:tcW w:w="0" w:type="auto"/>
            <w:noWrap/>
            <w:hideMark/>
          </w:tcPr>
          <w:p w14:paraId="396F30AA" w14:textId="77777777" w:rsidR="00ED2DE4" w:rsidRPr="00184EDB" w:rsidRDefault="00ED2DE4" w:rsidP="001F4D09">
            <w:pPr>
              <w:rPr>
                <w:i/>
                <w:iCs/>
              </w:rPr>
            </w:pPr>
            <w:r w:rsidRPr="00184EDB">
              <w:rPr>
                <w:iCs/>
              </w:rPr>
              <w:t>Carbonate Proxy</w:t>
            </w:r>
          </w:p>
        </w:tc>
        <w:tc>
          <w:tcPr>
            <w:tcW w:w="0" w:type="auto"/>
            <w:noWrap/>
            <w:hideMark/>
          </w:tcPr>
          <w:p w14:paraId="79AAA95E" w14:textId="77777777" w:rsidR="00ED2DE4" w:rsidRPr="00184EDB" w:rsidRDefault="00ED2DE4" w:rsidP="001F4D09">
            <w:pPr>
              <w:rPr>
                <w:i/>
                <w:iCs/>
              </w:rPr>
            </w:pPr>
            <w:r w:rsidRPr="00184EDB">
              <w:rPr>
                <w:iCs/>
              </w:rPr>
              <w:t>9.22</w:t>
            </w:r>
          </w:p>
        </w:tc>
        <w:tc>
          <w:tcPr>
            <w:tcW w:w="0" w:type="auto"/>
            <w:noWrap/>
            <w:hideMark/>
          </w:tcPr>
          <w:p w14:paraId="23308385" w14:textId="77777777" w:rsidR="00ED2DE4" w:rsidRPr="00184EDB" w:rsidRDefault="00ED2DE4" w:rsidP="001F4D09">
            <w:pPr>
              <w:rPr>
                <w:i/>
                <w:iCs/>
              </w:rPr>
            </w:pPr>
            <w:r w:rsidRPr="00184EDB">
              <w:rPr>
                <w:iCs/>
              </w:rPr>
              <w:t>70.70</w:t>
            </w:r>
          </w:p>
        </w:tc>
        <w:tc>
          <w:tcPr>
            <w:tcW w:w="0" w:type="auto"/>
            <w:noWrap/>
            <w:hideMark/>
          </w:tcPr>
          <w:p w14:paraId="17324F46" w14:textId="77777777" w:rsidR="00ED2DE4" w:rsidRPr="00184EDB" w:rsidRDefault="00ED2DE4" w:rsidP="001F4D09">
            <w:pPr>
              <w:rPr>
                <w:i/>
                <w:iCs/>
              </w:rPr>
            </w:pPr>
            <w:r w:rsidRPr="00184EDB">
              <w:rPr>
                <w:iCs/>
              </w:rPr>
              <w:t>-0.35</w:t>
            </w:r>
          </w:p>
        </w:tc>
        <w:tc>
          <w:tcPr>
            <w:tcW w:w="0" w:type="auto"/>
            <w:noWrap/>
            <w:hideMark/>
          </w:tcPr>
          <w:p w14:paraId="0017EEA0" w14:textId="77777777" w:rsidR="00ED2DE4" w:rsidRPr="00184EDB" w:rsidRDefault="00ED2DE4" w:rsidP="001F4D09">
            <w:pPr>
              <w:rPr>
                <w:i/>
                <w:iCs/>
              </w:rPr>
            </w:pPr>
            <w:r w:rsidRPr="00184EDB">
              <w:rPr>
                <w:iCs/>
              </w:rPr>
              <w:t>-1.95</w:t>
            </w:r>
          </w:p>
        </w:tc>
        <w:tc>
          <w:tcPr>
            <w:tcW w:w="0" w:type="auto"/>
            <w:noWrap/>
            <w:hideMark/>
          </w:tcPr>
          <w:p w14:paraId="312A1A76" w14:textId="77777777" w:rsidR="00ED2DE4" w:rsidRPr="00184EDB" w:rsidRDefault="00ED2DE4" w:rsidP="001F4D09">
            <w:pPr>
              <w:rPr>
                <w:i/>
                <w:iCs/>
              </w:rPr>
            </w:pPr>
            <w:r w:rsidRPr="00184EDB">
              <w:rPr>
                <w:iCs/>
              </w:rPr>
              <w:t>0.51</w:t>
            </w:r>
          </w:p>
        </w:tc>
        <w:tc>
          <w:tcPr>
            <w:tcW w:w="0" w:type="auto"/>
            <w:noWrap/>
            <w:hideMark/>
          </w:tcPr>
          <w:p w14:paraId="3745EC66" w14:textId="77777777" w:rsidR="00ED2DE4" w:rsidRPr="00184EDB" w:rsidRDefault="00ED2DE4" w:rsidP="001F4D09">
            <w:pPr>
              <w:rPr>
                <w:i/>
                <w:iCs/>
              </w:rPr>
            </w:pPr>
            <w:r w:rsidRPr="00184EDB">
              <w:rPr>
                <w:iCs/>
              </w:rPr>
              <w:t>0.69</w:t>
            </w:r>
          </w:p>
        </w:tc>
      </w:tr>
      <w:tr w:rsidR="00ED2DE4" w:rsidRPr="00184EDB" w14:paraId="554CC18C" w14:textId="77777777" w:rsidTr="001F4D09">
        <w:trPr>
          <w:trHeight w:val="20"/>
        </w:trPr>
        <w:tc>
          <w:tcPr>
            <w:tcW w:w="0" w:type="auto"/>
            <w:noWrap/>
            <w:hideMark/>
          </w:tcPr>
          <w:p w14:paraId="376B2D56" w14:textId="77777777" w:rsidR="00ED2DE4" w:rsidRPr="00184EDB" w:rsidRDefault="00ED2DE4" w:rsidP="001F4D09">
            <w:pPr>
              <w:rPr>
                <w:i/>
                <w:iCs/>
              </w:rPr>
            </w:pPr>
            <w:r w:rsidRPr="00184EDB">
              <w:rPr>
                <w:iCs/>
              </w:rPr>
              <w:t>K</w:t>
            </w:r>
          </w:p>
        </w:tc>
        <w:tc>
          <w:tcPr>
            <w:tcW w:w="0" w:type="auto"/>
            <w:noWrap/>
            <w:hideMark/>
          </w:tcPr>
          <w:p w14:paraId="25B6FA82" w14:textId="77777777" w:rsidR="00ED2DE4" w:rsidRPr="00184EDB" w:rsidRDefault="00ED2DE4" w:rsidP="001F4D09">
            <w:pPr>
              <w:rPr>
                <w:i/>
                <w:iCs/>
              </w:rPr>
            </w:pPr>
            <w:r w:rsidRPr="00184EDB">
              <w:rPr>
                <w:iCs/>
              </w:rPr>
              <w:t>6.40</w:t>
            </w:r>
          </w:p>
        </w:tc>
        <w:tc>
          <w:tcPr>
            <w:tcW w:w="0" w:type="auto"/>
            <w:noWrap/>
            <w:hideMark/>
          </w:tcPr>
          <w:p w14:paraId="77B524E4" w14:textId="77777777" w:rsidR="00ED2DE4" w:rsidRPr="00184EDB" w:rsidRDefault="00ED2DE4" w:rsidP="001F4D09">
            <w:pPr>
              <w:rPr>
                <w:i/>
                <w:iCs/>
              </w:rPr>
            </w:pPr>
            <w:r w:rsidRPr="00184EDB">
              <w:rPr>
                <w:iCs/>
              </w:rPr>
              <w:t>79.75</w:t>
            </w:r>
          </w:p>
        </w:tc>
        <w:tc>
          <w:tcPr>
            <w:tcW w:w="0" w:type="auto"/>
            <w:noWrap/>
            <w:hideMark/>
          </w:tcPr>
          <w:p w14:paraId="7B552C98" w14:textId="77777777" w:rsidR="00ED2DE4" w:rsidRPr="00184EDB" w:rsidRDefault="00ED2DE4" w:rsidP="001F4D09">
            <w:pPr>
              <w:rPr>
                <w:i/>
                <w:iCs/>
              </w:rPr>
            </w:pPr>
            <w:r w:rsidRPr="00184EDB">
              <w:rPr>
                <w:iCs/>
              </w:rPr>
              <w:t>0.24</w:t>
            </w:r>
          </w:p>
        </w:tc>
        <w:tc>
          <w:tcPr>
            <w:tcW w:w="0" w:type="auto"/>
            <w:noWrap/>
            <w:hideMark/>
          </w:tcPr>
          <w:p w14:paraId="0D9CC778" w14:textId="77777777" w:rsidR="00ED2DE4" w:rsidRPr="00184EDB" w:rsidRDefault="00ED2DE4" w:rsidP="001F4D09">
            <w:pPr>
              <w:rPr>
                <w:i/>
                <w:iCs/>
              </w:rPr>
            </w:pPr>
            <w:r w:rsidRPr="00184EDB">
              <w:rPr>
                <w:iCs/>
              </w:rPr>
              <w:t>-0.13</w:t>
            </w:r>
          </w:p>
        </w:tc>
        <w:tc>
          <w:tcPr>
            <w:tcW w:w="0" w:type="auto"/>
            <w:noWrap/>
            <w:hideMark/>
          </w:tcPr>
          <w:p w14:paraId="529D10FF" w14:textId="77777777" w:rsidR="00ED2DE4" w:rsidRPr="00184EDB" w:rsidRDefault="00ED2DE4" w:rsidP="001F4D09">
            <w:pPr>
              <w:rPr>
                <w:i/>
                <w:iCs/>
              </w:rPr>
            </w:pPr>
            <w:r w:rsidRPr="00184EDB">
              <w:rPr>
                <w:iCs/>
              </w:rPr>
              <w:t>1.00</w:t>
            </w:r>
          </w:p>
        </w:tc>
        <w:tc>
          <w:tcPr>
            <w:tcW w:w="0" w:type="auto"/>
            <w:noWrap/>
            <w:hideMark/>
          </w:tcPr>
          <w:p w14:paraId="6EA1EEA2" w14:textId="77777777" w:rsidR="00ED2DE4" w:rsidRPr="00184EDB" w:rsidRDefault="00ED2DE4" w:rsidP="001F4D09">
            <w:pPr>
              <w:rPr>
                <w:i/>
                <w:iCs/>
              </w:rPr>
            </w:pPr>
            <w:r w:rsidRPr="00184EDB">
              <w:rPr>
                <w:iCs/>
              </w:rPr>
              <w:t>0.69</w:t>
            </w:r>
          </w:p>
        </w:tc>
      </w:tr>
      <w:tr w:rsidR="00ED2DE4" w:rsidRPr="00184EDB" w14:paraId="505188D6" w14:textId="77777777" w:rsidTr="001F4D09">
        <w:trPr>
          <w:trHeight w:val="20"/>
        </w:trPr>
        <w:tc>
          <w:tcPr>
            <w:tcW w:w="0" w:type="auto"/>
            <w:noWrap/>
            <w:hideMark/>
          </w:tcPr>
          <w:p w14:paraId="7CAA0C12" w14:textId="77777777" w:rsidR="00ED2DE4" w:rsidRPr="00184EDB" w:rsidRDefault="00ED2DE4" w:rsidP="001F4D09">
            <w:pPr>
              <w:rPr>
                <w:i/>
                <w:iCs/>
              </w:rPr>
            </w:pPr>
            <w:r w:rsidRPr="00184EDB">
              <w:rPr>
                <w:iCs/>
              </w:rPr>
              <w:t>HCO3</w:t>
            </w:r>
          </w:p>
        </w:tc>
        <w:tc>
          <w:tcPr>
            <w:tcW w:w="0" w:type="auto"/>
            <w:noWrap/>
            <w:hideMark/>
          </w:tcPr>
          <w:p w14:paraId="229E042E" w14:textId="77777777" w:rsidR="00ED2DE4" w:rsidRPr="00184EDB" w:rsidRDefault="00ED2DE4" w:rsidP="001F4D09">
            <w:pPr>
              <w:rPr>
                <w:i/>
                <w:iCs/>
              </w:rPr>
            </w:pPr>
            <w:r w:rsidRPr="00184EDB">
              <w:rPr>
                <w:iCs/>
              </w:rPr>
              <w:t>5.99</w:t>
            </w:r>
          </w:p>
        </w:tc>
        <w:tc>
          <w:tcPr>
            <w:tcW w:w="0" w:type="auto"/>
            <w:noWrap/>
            <w:hideMark/>
          </w:tcPr>
          <w:p w14:paraId="23131315" w14:textId="77777777" w:rsidR="00ED2DE4" w:rsidRPr="00184EDB" w:rsidRDefault="00ED2DE4" w:rsidP="001F4D09">
            <w:pPr>
              <w:rPr>
                <w:i/>
                <w:iCs/>
              </w:rPr>
            </w:pPr>
            <w:r w:rsidRPr="00184EDB">
              <w:rPr>
                <w:iCs/>
              </w:rPr>
              <w:t>85.40</w:t>
            </w:r>
          </w:p>
        </w:tc>
        <w:tc>
          <w:tcPr>
            <w:tcW w:w="0" w:type="auto"/>
            <w:noWrap/>
            <w:hideMark/>
          </w:tcPr>
          <w:p w14:paraId="2DCFD336" w14:textId="77777777" w:rsidR="00ED2DE4" w:rsidRPr="00184EDB" w:rsidRDefault="00ED2DE4" w:rsidP="001F4D09">
            <w:pPr>
              <w:rPr>
                <w:i/>
                <w:iCs/>
              </w:rPr>
            </w:pPr>
            <w:r w:rsidRPr="00184EDB">
              <w:rPr>
                <w:iCs/>
              </w:rPr>
              <w:t>-0.23</w:t>
            </w:r>
          </w:p>
        </w:tc>
        <w:tc>
          <w:tcPr>
            <w:tcW w:w="0" w:type="auto"/>
            <w:noWrap/>
            <w:hideMark/>
          </w:tcPr>
          <w:p w14:paraId="18E69C81" w14:textId="77777777" w:rsidR="00ED2DE4" w:rsidRPr="00184EDB" w:rsidRDefault="00ED2DE4" w:rsidP="001F4D09">
            <w:pPr>
              <w:rPr>
                <w:i/>
                <w:iCs/>
              </w:rPr>
            </w:pPr>
            <w:r w:rsidRPr="00184EDB">
              <w:rPr>
                <w:iCs/>
              </w:rPr>
              <w:t>-0.73</w:t>
            </w:r>
          </w:p>
        </w:tc>
        <w:tc>
          <w:tcPr>
            <w:tcW w:w="0" w:type="auto"/>
            <w:noWrap/>
            <w:hideMark/>
          </w:tcPr>
          <w:p w14:paraId="620ECB31" w14:textId="77777777" w:rsidR="00ED2DE4" w:rsidRPr="00184EDB" w:rsidRDefault="00ED2DE4" w:rsidP="001F4D09">
            <w:pPr>
              <w:rPr>
                <w:i/>
                <w:iCs/>
              </w:rPr>
            </w:pPr>
            <w:r w:rsidRPr="00184EDB">
              <w:rPr>
                <w:iCs/>
              </w:rPr>
              <w:t>0.08</w:t>
            </w:r>
          </w:p>
        </w:tc>
        <w:tc>
          <w:tcPr>
            <w:tcW w:w="0" w:type="auto"/>
            <w:noWrap/>
            <w:hideMark/>
          </w:tcPr>
          <w:p w14:paraId="6C95F7D5" w14:textId="77777777" w:rsidR="00ED2DE4" w:rsidRPr="00184EDB" w:rsidRDefault="00ED2DE4" w:rsidP="001F4D09">
            <w:pPr>
              <w:rPr>
                <w:i/>
                <w:iCs/>
              </w:rPr>
            </w:pPr>
            <w:r w:rsidRPr="00184EDB">
              <w:rPr>
                <w:iCs/>
              </w:rPr>
              <w:t>0.69</w:t>
            </w:r>
          </w:p>
        </w:tc>
      </w:tr>
      <w:tr w:rsidR="00ED2DE4" w:rsidRPr="00184EDB" w14:paraId="18CE3C3E" w14:textId="77777777" w:rsidTr="001F4D09">
        <w:trPr>
          <w:trHeight w:val="20"/>
        </w:trPr>
        <w:tc>
          <w:tcPr>
            <w:tcW w:w="0" w:type="auto"/>
            <w:noWrap/>
            <w:hideMark/>
          </w:tcPr>
          <w:p w14:paraId="62FB474B" w14:textId="77777777" w:rsidR="00ED2DE4" w:rsidRPr="00184EDB" w:rsidRDefault="00ED2DE4" w:rsidP="001F4D09">
            <w:pPr>
              <w:rPr>
                <w:i/>
                <w:iCs/>
              </w:rPr>
            </w:pPr>
            <w:r w:rsidRPr="00184EDB">
              <w:rPr>
                <w:iCs/>
              </w:rPr>
              <w:t>TDS</w:t>
            </w:r>
          </w:p>
        </w:tc>
        <w:tc>
          <w:tcPr>
            <w:tcW w:w="0" w:type="auto"/>
            <w:noWrap/>
            <w:hideMark/>
          </w:tcPr>
          <w:p w14:paraId="5CEAE202" w14:textId="77777777" w:rsidR="00ED2DE4" w:rsidRPr="00184EDB" w:rsidRDefault="00ED2DE4" w:rsidP="001F4D09">
            <w:pPr>
              <w:rPr>
                <w:i/>
                <w:iCs/>
              </w:rPr>
            </w:pPr>
            <w:r w:rsidRPr="00184EDB">
              <w:rPr>
                <w:iCs/>
              </w:rPr>
              <w:t>5.91</w:t>
            </w:r>
          </w:p>
        </w:tc>
        <w:tc>
          <w:tcPr>
            <w:tcW w:w="0" w:type="auto"/>
            <w:noWrap/>
            <w:hideMark/>
          </w:tcPr>
          <w:p w14:paraId="39ED57CB" w14:textId="77777777" w:rsidR="00ED2DE4" w:rsidRPr="00184EDB" w:rsidRDefault="00ED2DE4" w:rsidP="001F4D09">
            <w:pPr>
              <w:rPr>
                <w:i/>
                <w:iCs/>
              </w:rPr>
            </w:pPr>
            <w:r w:rsidRPr="00184EDB">
              <w:rPr>
                <w:iCs/>
              </w:rPr>
              <w:t>65.85</w:t>
            </w:r>
          </w:p>
        </w:tc>
        <w:tc>
          <w:tcPr>
            <w:tcW w:w="0" w:type="auto"/>
            <w:noWrap/>
            <w:hideMark/>
          </w:tcPr>
          <w:p w14:paraId="614DE441" w14:textId="77777777" w:rsidR="00ED2DE4" w:rsidRPr="00184EDB" w:rsidRDefault="00ED2DE4" w:rsidP="001F4D09">
            <w:pPr>
              <w:rPr>
                <w:i/>
                <w:iCs/>
              </w:rPr>
            </w:pPr>
            <w:r w:rsidRPr="00184EDB">
              <w:rPr>
                <w:iCs/>
              </w:rPr>
              <w:t>0.22</w:t>
            </w:r>
          </w:p>
        </w:tc>
        <w:tc>
          <w:tcPr>
            <w:tcW w:w="0" w:type="auto"/>
            <w:noWrap/>
            <w:hideMark/>
          </w:tcPr>
          <w:p w14:paraId="043A85D5" w14:textId="77777777" w:rsidR="00ED2DE4" w:rsidRPr="00184EDB" w:rsidRDefault="00ED2DE4" w:rsidP="001F4D09">
            <w:pPr>
              <w:rPr>
                <w:i/>
                <w:iCs/>
              </w:rPr>
            </w:pPr>
            <w:r w:rsidRPr="00184EDB">
              <w:rPr>
                <w:iCs/>
              </w:rPr>
              <w:t>-0.47</w:t>
            </w:r>
          </w:p>
        </w:tc>
        <w:tc>
          <w:tcPr>
            <w:tcW w:w="0" w:type="auto"/>
            <w:noWrap/>
            <w:hideMark/>
          </w:tcPr>
          <w:p w14:paraId="542CE54A" w14:textId="77777777" w:rsidR="00ED2DE4" w:rsidRPr="00184EDB" w:rsidRDefault="00ED2DE4" w:rsidP="001F4D09">
            <w:pPr>
              <w:rPr>
                <w:i/>
                <w:iCs/>
              </w:rPr>
            </w:pPr>
            <w:r w:rsidRPr="00184EDB">
              <w:rPr>
                <w:iCs/>
              </w:rPr>
              <w:t>1.51</w:t>
            </w:r>
          </w:p>
        </w:tc>
        <w:tc>
          <w:tcPr>
            <w:tcW w:w="0" w:type="auto"/>
            <w:noWrap/>
            <w:hideMark/>
          </w:tcPr>
          <w:p w14:paraId="59652877" w14:textId="77777777" w:rsidR="00ED2DE4" w:rsidRPr="00184EDB" w:rsidRDefault="00ED2DE4" w:rsidP="001F4D09">
            <w:pPr>
              <w:rPr>
                <w:i/>
                <w:iCs/>
              </w:rPr>
            </w:pPr>
            <w:r w:rsidRPr="00184EDB">
              <w:rPr>
                <w:iCs/>
              </w:rPr>
              <w:t>0.69</w:t>
            </w:r>
          </w:p>
        </w:tc>
      </w:tr>
      <w:tr w:rsidR="00ED2DE4" w:rsidRPr="00184EDB" w14:paraId="6A7E86CB" w14:textId="77777777" w:rsidTr="001F4D09">
        <w:trPr>
          <w:trHeight w:val="20"/>
        </w:trPr>
        <w:tc>
          <w:tcPr>
            <w:tcW w:w="0" w:type="auto"/>
            <w:noWrap/>
            <w:hideMark/>
          </w:tcPr>
          <w:p w14:paraId="3AE9D64A" w14:textId="77777777" w:rsidR="00ED2DE4" w:rsidRPr="00184EDB" w:rsidRDefault="00ED2DE4" w:rsidP="001F4D09">
            <w:pPr>
              <w:rPr>
                <w:i/>
                <w:iCs/>
              </w:rPr>
            </w:pPr>
            <w:proofErr w:type="spellStart"/>
            <w:r w:rsidRPr="00184EDB">
              <w:rPr>
                <w:iCs/>
              </w:rPr>
              <w:t>Na_Cl</w:t>
            </w:r>
            <w:proofErr w:type="spellEnd"/>
          </w:p>
        </w:tc>
        <w:tc>
          <w:tcPr>
            <w:tcW w:w="0" w:type="auto"/>
            <w:noWrap/>
            <w:hideMark/>
          </w:tcPr>
          <w:p w14:paraId="37CE9E77" w14:textId="77777777" w:rsidR="00ED2DE4" w:rsidRPr="00184EDB" w:rsidRDefault="00ED2DE4" w:rsidP="001F4D09">
            <w:pPr>
              <w:rPr>
                <w:i/>
                <w:iCs/>
              </w:rPr>
            </w:pPr>
            <w:r w:rsidRPr="00184EDB">
              <w:rPr>
                <w:iCs/>
              </w:rPr>
              <w:t>5.76</w:t>
            </w:r>
          </w:p>
        </w:tc>
        <w:tc>
          <w:tcPr>
            <w:tcW w:w="0" w:type="auto"/>
            <w:noWrap/>
            <w:hideMark/>
          </w:tcPr>
          <w:p w14:paraId="0CA1FCF2" w14:textId="77777777" w:rsidR="00ED2DE4" w:rsidRPr="00184EDB" w:rsidRDefault="00ED2DE4" w:rsidP="001F4D09">
            <w:pPr>
              <w:rPr>
                <w:i/>
                <w:iCs/>
              </w:rPr>
            </w:pPr>
            <w:r w:rsidRPr="00184EDB">
              <w:rPr>
                <w:iCs/>
              </w:rPr>
              <w:t>84.80</w:t>
            </w:r>
          </w:p>
        </w:tc>
        <w:tc>
          <w:tcPr>
            <w:tcW w:w="0" w:type="auto"/>
            <w:noWrap/>
            <w:hideMark/>
          </w:tcPr>
          <w:p w14:paraId="3D718EDB" w14:textId="77777777" w:rsidR="00ED2DE4" w:rsidRPr="00184EDB" w:rsidRDefault="00ED2DE4" w:rsidP="001F4D09">
            <w:pPr>
              <w:rPr>
                <w:i/>
                <w:iCs/>
              </w:rPr>
            </w:pPr>
            <w:r w:rsidRPr="00184EDB">
              <w:rPr>
                <w:iCs/>
              </w:rPr>
              <w:t>-0.22</w:t>
            </w:r>
          </w:p>
        </w:tc>
        <w:tc>
          <w:tcPr>
            <w:tcW w:w="0" w:type="auto"/>
            <w:noWrap/>
            <w:hideMark/>
          </w:tcPr>
          <w:p w14:paraId="48823137" w14:textId="77777777" w:rsidR="00ED2DE4" w:rsidRPr="00184EDB" w:rsidRDefault="00ED2DE4" w:rsidP="001F4D09">
            <w:pPr>
              <w:rPr>
                <w:i/>
                <w:iCs/>
              </w:rPr>
            </w:pPr>
            <w:r w:rsidRPr="00184EDB">
              <w:rPr>
                <w:iCs/>
              </w:rPr>
              <w:t>-0.68</w:t>
            </w:r>
          </w:p>
        </w:tc>
        <w:tc>
          <w:tcPr>
            <w:tcW w:w="0" w:type="auto"/>
            <w:noWrap/>
            <w:hideMark/>
          </w:tcPr>
          <w:p w14:paraId="45A6D3A9" w14:textId="77777777" w:rsidR="00ED2DE4" w:rsidRPr="00184EDB" w:rsidRDefault="00ED2DE4" w:rsidP="001F4D09">
            <w:pPr>
              <w:rPr>
                <w:i/>
                <w:iCs/>
              </w:rPr>
            </w:pPr>
            <w:r w:rsidRPr="00184EDB">
              <w:rPr>
                <w:iCs/>
              </w:rPr>
              <w:t>0.10</w:t>
            </w:r>
          </w:p>
        </w:tc>
        <w:tc>
          <w:tcPr>
            <w:tcW w:w="0" w:type="auto"/>
            <w:noWrap/>
            <w:hideMark/>
          </w:tcPr>
          <w:p w14:paraId="2C12DB94" w14:textId="77777777" w:rsidR="00ED2DE4" w:rsidRPr="00184EDB" w:rsidRDefault="00ED2DE4" w:rsidP="001F4D09">
            <w:pPr>
              <w:rPr>
                <w:i/>
                <w:iCs/>
              </w:rPr>
            </w:pPr>
            <w:r w:rsidRPr="00184EDB">
              <w:rPr>
                <w:iCs/>
              </w:rPr>
              <w:t>0.69</w:t>
            </w:r>
          </w:p>
        </w:tc>
      </w:tr>
      <w:tr w:rsidR="00ED2DE4" w:rsidRPr="00184EDB" w14:paraId="43119C4E" w14:textId="77777777" w:rsidTr="001F4D09">
        <w:trPr>
          <w:trHeight w:val="20"/>
        </w:trPr>
        <w:tc>
          <w:tcPr>
            <w:tcW w:w="0" w:type="auto"/>
            <w:noWrap/>
            <w:hideMark/>
          </w:tcPr>
          <w:p w14:paraId="13060545" w14:textId="77777777" w:rsidR="00ED2DE4" w:rsidRPr="00184EDB" w:rsidRDefault="00ED2DE4" w:rsidP="001F4D09">
            <w:pPr>
              <w:rPr>
                <w:i/>
                <w:iCs/>
              </w:rPr>
            </w:pPr>
            <w:r w:rsidRPr="00184EDB">
              <w:rPr>
                <w:iCs/>
              </w:rPr>
              <w:t>Ca_HCO3</w:t>
            </w:r>
          </w:p>
        </w:tc>
        <w:tc>
          <w:tcPr>
            <w:tcW w:w="0" w:type="auto"/>
            <w:noWrap/>
            <w:hideMark/>
          </w:tcPr>
          <w:p w14:paraId="6904F4A4" w14:textId="77777777" w:rsidR="00ED2DE4" w:rsidRPr="00184EDB" w:rsidRDefault="00ED2DE4" w:rsidP="001F4D09">
            <w:pPr>
              <w:rPr>
                <w:i/>
                <w:iCs/>
              </w:rPr>
            </w:pPr>
            <w:r w:rsidRPr="00184EDB">
              <w:rPr>
                <w:iCs/>
              </w:rPr>
              <w:t>4.37</w:t>
            </w:r>
          </w:p>
        </w:tc>
        <w:tc>
          <w:tcPr>
            <w:tcW w:w="0" w:type="auto"/>
            <w:noWrap/>
            <w:hideMark/>
          </w:tcPr>
          <w:p w14:paraId="7E2A29D7" w14:textId="77777777" w:rsidR="00ED2DE4" w:rsidRPr="00184EDB" w:rsidRDefault="00ED2DE4" w:rsidP="001F4D09">
            <w:pPr>
              <w:rPr>
                <w:i/>
                <w:iCs/>
              </w:rPr>
            </w:pPr>
            <w:r w:rsidRPr="00184EDB">
              <w:rPr>
                <w:iCs/>
              </w:rPr>
              <w:t>72.00</w:t>
            </w:r>
          </w:p>
        </w:tc>
        <w:tc>
          <w:tcPr>
            <w:tcW w:w="0" w:type="auto"/>
            <w:noWrap/>
            <w:hideMark/>
          </w:tcPr>
          <w:p w14:paraId="32941D62" w14:textId="77777777" w:rsidR="00ED2DE4" w:rsidRPr="00184EDB" w:rsidRDefault="00ED2DE4" w:rsidP="001F4D09">
            <w:pPr>
              <w:rPr>
                <w:i/>
                <w:iCs/>
              </w:rPr>
            </w:pPr>
            <w:r w:rsidRPr="00184EDB">
              <w:rPr>
                <w:iCs/>
              </w:rPr>
              <w:t>0.17</w:t>
            </w:r>
          </w:p>
        </w:tc>
        <w:tc>
          <w:tcPr>
            <w:tcW w:w="0" w:type="auto"/>
            <w:noWrap/>
            <w:hideMark/>
          </w:tcPr>
          <w:p w14:paraId="7738113D" w14:textId="77777777" w:rsidR="00ED2DE4" w:rsidRPr="00184EDB" w:rsidRDefault="00ED2DE4" w:rsidP="001F4D09">
            <w:pPr>
              <w:rPr>
                <w:i/>
                <w:iCs/>
              </w:rPr>
            </w:pPr>
            <w:r w:rsidRPr="00184EDB">
              <w:rPr>
                <w:iCs/>
              </w:rPr>
              <w:t>-0.26</w:t>
            </w:r>
          </w:p>
        </w:tc>
        <w:tc>
          <w:tcPr>
            <w:tcW w:w="0" w:type="auto"/>
            <w:noWrap/>
            <w:hideMark/>
          </w:tcPr>
          <w:p w14:paraId="3CFA4CCB" w14:textId="77777777" w:rsidR="00ED2DE4" w:rsidRPr="00184EDB" w:rsidRDefault="00ED2DE4" w:rsidP="001F4D09">
            <w:pPr>
              <w:rPr>
                <w:i/>
                <w:iCs/>
              </w:rPr>
            </w:pPr>
            <w:r w:rsidRPr="00184EDB">
              <w:rPr>
                <w:iCs/>
              </w:rPr>
              <w:t>1.01</w:t>
            </w:r>
          </w:p>
        </w:tc>
        <w:tc>
          <w:tcPr>
            <w:tcW w:w="0" w:type="auto"/>
            <w:noWrap/>
            <w:hideMark/>
          </w:tcPr>
          <w:p w14:paraId="6960D67E" w14:textId="77777777" w:rsidR="00ED2DE4" w:rsidRPr="00184EDB" w:rsidRDefault="00ED2DE4" w:rsidP="001F4D09">
            <w:pPr>
              <w:rPr>
                <w:i/>
                <w:iCs/>
              </w:rPr>
            </w:pPr>
            <w:r w:rsidRPr="00184EDB">
              <w:rPr>
                <w:iCs/>
              </w:rPr>
              <w:t>0.69</w:t>
            </w:r>
          </w:p>
        </w:tc>
      </w:tr>
      <w:tr w:rsidR="00ED2DE4" w:rsidRPr="00184EDB" w14:paraId="353D548F" w14:textId="77777777" w:rsidTr="001F4D09">
        <w:trPr>
          <w:trHeight w:val="20"/>
        </w:trPr>
        <w:tc>
          <w:tcPr>
            <w:tcW w:w="0" w:type="auto"/>
            <w:noWrap/>
            <w:hideMark/>
          </w:tcPr>
          <w:p w14:paraId="15A631D5" w14:textId="77777777" w:rsidR="00ED2DE4" w:rsidRPr="00184EDB" w:rsidRDefault="00ED2DE4" w:rsidP="001F4D09">
            <w:pPr>
              <w:rPr>
                <w:i/>
                <w:iCs/>
              </w:rPr>
            </w:pPr>
            <w:r w:rsidRPr="00184EDB">
              <w:rPr>
                <w:iCs/>
              </w:rPr>
              <w:t>CAI_1</w:t>
            </w:r>
          </w:p>
        </w:tc>
        <w:tc>
          <w:tcPr>
            <w:tcW w:w="0" w:type="auto"/>
            <w:noWrap/>
            <w:hideMark/>
          </w:tcPr>
          <w:p w14:paraId="23D27586" w14:textId="77777777" w:rsidR="00ED2DE4" w:rsidRPr="00184EDB" w:rsidRDefault="00ED2DE4" w:rsidP="001F4D09">
            <w:pPr>
              <w:rPr>
                <w:i/>
                <w:iCs/>
              </w:rPr>
            </w:pPr>
            <w:r w:rsidRPr="00184EDB">
              <w:rPr>
                <w:iCs/>
              </w:rPr>
              <w:t>4.15</w:t>
            </w:r>
          </w:p>
        </w:tc>
        <w:tc>
          <w:tcPr>
            <w:tcW w:w="0" w:type="auto"/>
            <w:noWrap/>
            <w:hideMark/>
          </w:tcPr>
          <w:p w14:paraId="5BF3518C" w14:textId="77777777" w:rsidR="00ED2DE4" w:rsidRPr="00184EDB" w:rsidRDefault="00ED2DE4" w:rsidP="001F4D09">
            <w:pPr>
              <w:rPr>
                <w:i/>
                <w:iCs/>
              </w:rPr>
            </w:pPr>
            <w:r w:rsidRPr="00184EDB">
              <w:rPr>
                <w:iCs/>
              </w:rPr>
              <w:t>82.75</w:t>
            </w:r>
          </w:p>
        </w:tc>
        <w:tc>
          <w:tcPr>
            <w:tcW w:w="0" w:type="auto"/>
            <w:noWrap/>
            <w:hideMark/>
          </w:tcPr>
          <w:p w14:paraId="208C46B9" w14:textId="77777777" w:rsidR="00ED2DE4" w:rsidRPr="00184EDB" w:rsidRDefault="00ED2DE4" w:rsidP="001F4D09">
            <w:pPr>
              <w:rPr>
                <w:i/>
                <w:iCs/>
              </w:rPr>
            </w:pPr>
            <w:r w:rsidRPr="00184EDB">
              <w:rPr>
                <w:iCs/>
              </w:rPr>
              <w:t>-0.16</w:t>
            </w:r>
          </w:p>
        </w:tc>
        <w:tc>
          <w:tcPr>
            <w:tcW w:w="0" w:type="auto"/>
            <w:noWrap/>
            <w:hideMark/>
          </w:tcPr>
          <w:p w14:paraId="4081D909" w14:textId="77777777" w:rsidR="00ED2DE4" w:rsidRPr="00184EDB" w:rsidRDefault="00ED2DE4" w:rsidP="001F4D09">
            <w:pPr>
              <w:rPr>
                <w:i/>
                <w:iCs/>
              </w:rPr>
            </w:pPr>
            <w:r w:rsidRPr="00184EDB">
              <w:rPr>
                <w:iCs/>
              </w:rPr>
              <w:t>-0.57</w:t>
            </w:r>
          </w:p>
        </w:tc>
        <w:tc>
          <w:tcPr>
            <w:tcW w:w="0" w:type="auto"/>
            <w:noWrap/>
            <w:hideMark/>
          </w:tcPr>
          <w:p w14:paraId="50700017" w14:textId="77777777" w:rsidR="00ED2DE4" w:rsidRPr="00184EDB" w:rsidRDefault="00ED2DE4" w:rsidP="001F4D09">
            <w:pPr>
              <w:rPr>
                <w:i/>
                <w:iCs/>
              </w:rPr>
            </w:pPr>
            <w:r w:rsidRPr="00184EDB">
              <w:rPr>
                <w:iCs/>
              </w:rPr>
              <w:t>0.12</w:t>
            </w:r>
          </w:p>
        </w:tc>
        <w:tc>
          <w:tcPr>
            <w:tcW w:w="0" w:type="auto"/>
            <w:noWrap/>
            <w:hideMark/>
          </w:tcPr>
          <w:p w14:paraId="73C059AE" w14:textId="77777777" w:rsidR="00ED2DE4" w:rsidRPr="00184EDB" w:rsidRDefault="00ED2DE4" w:rsidP="001F4D09">
            <w:pPr>
              <w:rPr>
                <w:i/>
                <w:iCs/>
              </w:rPr>
            </w:pPr>
            <w:r w:rsidRPr="00184EDB">
              <w:rPr>
                <w:iCs/>
              </w:rPr>
              <w:t>0.69</w:t>
            </w:r>
          </w:p>
        </w:tc>
      </w:tr>
      <w:tr w:rsidR="00ED2DE4" w:rsidRPr="00184EDB" w14:paraId="3A925883" w14:textId="77777777" w:rsidTr="001F4D09">
        <w:trPr>
          <w:trHeight w:val="20"/>
        </w:trPr>
        <w:tc>
          <w:tcPr>
            <w:tcW w:w="0" w:type="auto"/>
            <w:noWrap/>
            <w:hideMark/>
          </w:tcPr>
          <w:p w14:paraId="0CE1BE9B" w14:textId="77777777" w:rsidR="00ED2DE4" w:rsidRPr="00184EDB" w:rsidRDefault="00ED2DE4" w:rsidP="001F4D09">
            <w:pPr>
              <w:rPr>
                <w:i/>
                <w:iCs/>
              </w:rPr>
            </w:pPr>
            <w:r w:rsidRPr="00184EDB">
              <w:rPr>
                <w:iCs/>
              </w:rPr>
              <w:t>Na</w:t>
            </w:r>
          </w:p>
        </w:tc>
        <w:tc>
          <w:tcPr>
            <w:tcW w:w="0" w:type="auto"/>
            <w:noWrap/>
            <w:hideMark/>
          </w:tcPr>
          <w:p w14:paraId="4B59ECD1" w14:textId="77777777" w:rsidR="00ED2DE4" w:rsidRPr="00184EDB" w:rsidRDefault="00ED2DE4" w:rsidP="001F4D09">
            <w:pPr>
              <w:rPr>
                <w:i/>
                <w:iCs/>
              </w:rPr>
            </w:pPr>
            <w:r w:rsidRPr="00184EDB">
              <w:rPr>
                <w:iCs/>
              </w:rPr>
              <w:t>2.80</w:t>
            </w:r>
          </w:p>
        </w:tc>
        <w:tc>
          <w:tcPr>
            <w:tcW w:w="0" w:type="auto"/>
            <w:noWrap/>
            <w:hideMark/>
          </w:tcPr>
          <w:p w14:paraId="53DEE3B8" w14:textId="77777777" w:rsidR="00ED2DE4" w:rsidRPr="00184EDB" w:rsidRDefault="00ED2DE4" w:rsidP="001F4D09">
            <w:pPr>
              <w:rPr>
                <w:i/>
                <w:iCs/>
              </w:rPr>
            </w:pPr>
            <w:r w:rsidRPr="00184EDB">
              <w:rPr>
                <w:iCs/>
              </w:rPr>
              <w:t>61.75</w:t>
            </w:r>
          </w:p>
        </w:tc>
        <w:tc>
          <w:tcPr>
            <w:tcW w:w="0" w:type="auto"/>
            <w:noWrap/>
            <w:hideMark/>
          </w:tcPr>
          <w:p w14:paraId="28D2E2DC" w14:textId="77777777" w:rsidR="00ED2DE4" w:rsidRPr="00184EDB" w:rsidRDefault="00ED2DE4" w:rsidP="001F4D09">
            <w:pPr>
              <w:rPr>
                <w:i/>
                <w:iCs/>
              </w:rPr>
            </w:pPr>
            <w:r w:rsidRPr="00184EDB">
              <w:rPr>
                <w:iCs/>
              </w:rPr>
              <w:t>-0.11</w:t>
            </w:r>
          </w:p>
        </w:tc>
        <w:tc>
          <w:tcPr>
            <w:tcW w:w="0" w:type="auto"/>
            <w:noWrap/>
            <w:hideMark/>
          </w:tcPr>
          <w:p w14:paraId="3D55E3AB" w14:textId="77777777" w:rsidR="00ED2DE4" w:rsidRPr="00184EDB" w:rsidRDefault="00ED2DE4" w:rsidP="001F4D09">
            <w:pPr>
              <w:rPr>
                <w:i/>
                <w:iCs/>
              </w:rPr>
            </w:pPr>
            <w:r w:rsidRPr="00184EDB">
              <w:rPr>
                <w:iCs/>
              </w:rPr>
              <w:t>-0.95</w:t>
            </w:r>
          </w:p>
        </w:tc>
        <w:tc>
          <w:tcPr>
            <w:tcW w:w="0" w:type="auto"/>
            <w:noWrap/>
            <w:hideMark/>
          </w:tcPr>
          <w:p w14:paraId="230BF77B" w14:textId="77777777" w:rsidR="00ED2DE4" w:rsidRPr="00184EDB" w:rsidRDefault="00ED2DE4" w:rsidP="001F4D09">
            <w:pPr>
              <w:rPr>
                <w:i/>
                <w:iCs/>
              </w:rPr>
            </w:pPr>
            <w:r w:rsidRPr="00184EDB">
              <w:rPr>
                <w:iCs/>
              </w:rPr>
              <w:t>0.59</w:t>
            </w:r>
          </w:p>
        </w:tc>
        <w:tc>
          <w:tcPr>
            <w:tcW w:w="0" w:type="auto"/>
            <w:noWrap/>
            <w:hideMark/>
          </w:tcPr>
          <w:p w14:paraId="1D21F3CA" w14:textId="77777777" w:rsidR="00ED2DE4" w:rsidRPr="00184EDB" w:rsidRDefault="00ED2DE4" w:rsidP="001F4D09">
            <w:pPr>
              <w:rPr>
                <w:i/>
                <w:iCs/>
              </w:rPr>
            </w:pPr>
            <w:r w:rsidRPr="00184EDB">
              <w:rPr>
                <w:iCs/>
              </w:rPr>
              <w:t>0.69</w:t>
            </w:r>
          </w:p>
        </w:tc>
      </w:tr>
      <w:tr w:rsidR="00ED2DE4" w:rsidRPr="00184EDB" w14:paraId="5AB308D7" w14:textId="77777777" w:rsidTr="001F4D09">
        <w:trPr>
          <w:trHeight w:val="20"/>
        </w:trPr>
        <w:tc>
          <w:tcPr>
            <w:tcW w:w="0" w:type="auto"/>
            <w:noWrap/>
            <w:hideMark/>
          </w:tcPr>
          <w:p w14:paraId="1B5A620C" w14:textId="77777777" w:rsidR="00ED2DE4" w:rsidRPr="00184EDB" w:rsidRDefault="00ED2DE4" w:rsidP="001F4D09">
            <w:pPr>
              <w:rPr>
                <w:i/>
                <w:iCs/>
              </w:rPr>
            </w:pPr>
            <w:r w:rsidRPr="00184EDB">
              <w:rPr>
                <w:iCs/>
              </w:rPr>
              <w:t>pH</w:t>
            </w:r>
          </w:p>
        </w:tc>
        <w:tc>
          <w:tcPr>
            <w:tcW w:w="0" w:type="auto"/>
            <w:noWrap/>
            <w:hideMark/>
          </w:tcPr>
          <w:p w14:paraId="757032A2" w14:textId="77777777" w:rsidR="00ED2DE4" w:rsidRPr="00184EDB" w:rsidRDefault="00ED2DE4" w:rsidP="001F4D09">
            <w:pPr>
              <w:rPr>
                <w:i/>
                <w:iCs/>
              </w:rPr>
            </w:pPr>
            <w:r w:rsidRPr="00184EDB">
              <w:rPr>
                <w:iCs/>
              </w:rPr>
              <w:t>2.39</w:t>
            </w:r>
          </w:p>
        </w:tc>
        <w:tc>
          <w:tcPr>
            <w:tcW w:w="0" w:type="auto"/>
            <w:noWrap/>
            <w:hideMark/>
          </w:tcPr>
          <w:p w14:paraId="6C536D9B" w14:textId="77777777" w:rsidR="00ED2DE4" w:rsidRPr="00184EDB" w:rsidRDefault="00ED2DE4" w:rsidP="001F4D09">
            <w:pPr>
              <w:rPr>
                <w:i/>
                <w:iCs/>
              </w:rPr>
            </w:pPr>
            <w:r w:rsidRPr="00184EDB">
              <w:rPr>
                <w:iCs/>
              </w:rPr>
              <w:t>74.30</w:t>
            </w:r>
          </w:p>
        </w:tc>
        <w:tc>
          <w:tcPr>
            <w:tcW w:w="0" w:type="auto"/>
            <w:noWrap/>
            <w:hideMark/>
          </w:tcPr>
          <w:p w14:paraId="57A0BDC8" w14:textId="77777777" w:rsidR="00ED2DE4" w:rsidRPr="00184EDB" w:rsidRDefault="00ED2DE4" w:rsidP="001F4D09">
            <w:pPr>
              <w:rPr>
                <w:i/>
                <w:iCs/>
              </w:rPr>
            </w:pPr>
            <w:r w:rsidRPr="00184EDB">
              <w:rPr>
                <w:iCs/>
              </w:rPr>
              <w:t>0.09</w:t>
            </w:r>
          </w:p>
        </w:tc>
        <w:tc>
          <w:tcPr>
            <w:tcW w:w="0" w:type="auto"/>
            <w:noWrap/>
            <w:hideMark/>
          </w:tcPr>
          <w:p w14:paraId="4C9D7FD7" w14:textId="77777777" w:rsidR="00ED2DE4" w:rsidRPr="00184EDB" w:rsidRDefault="00ED2DE4" w:rsidP="001F4D09">
            <w:pPr>
              <w:rPr>
                <w:i/>
                <w:iCs/>
              </w:rPr>
            </w:pPr>
            <w:r w:rsidRPr="00184EDB">
              <w:rPr>
                <w:iCs/>
              </w:rPr>
              <w:t>-0.12</w:t>
            </w:r>
          </w:p>
        </w:tc>
        <w:tc>
          <w:tcPr>
            <w:tcW w:w="0" w:type="auto"/>
            <w:noWrap/>
            <w:hideMark/>
          </w:tcPr>
          <w:p w14:paraId="513E414F" w14:textId="77777777" w:rsidR="00ED2DE4" w:rsidRPr="00184EDB" w:rsidRDefault="00ED2DE4" w:rsidP="001F4D09">
            <w:pPr>
              <w:rPr>
                <w:i/>
                <w:iCs/>
              </w:rPr>
            </w:pPr>
            <w:r w:rsidRPr="00184EDB">
              <w:rPr>
                <w:iCs/>
              </w:rPr>
              <w:t>0.41</w:t>
            </w:r>
          </w:p>
        </w:tc>
        <w:tc>
          <w:tcPr>
            <w:tcW w:w="0" w:type="auto"/>
            <w:noWrap/>
            <w:hideMark/>
          </w:tcPr>
          <w:p w14:paraId="5C5C443F" w14:textId="77777777" w:rsidR="00ED2DE4" w:rsidRPr="00184EDB" w:rsidRDefault="00ED2DE4" w:rsidP="001F4D09">
            <w:pPr>
              <w:rPr>
                <w:i/>
                <w:iCs/>
              </w:rPr>
            </w:pPr>
            <w:r w:rsidRPr="00184EDB">
              <w:rPr>
                <w:iCs/>
              </w:rPr>
              <w:t>0.69</w:t>
            </w:r>
          </w:p>
        </w:tc>
      </w:tr>
      <w:tr w:rsidR="00ED2DE4" w:rsidRPr="00184EDB" w14:paraId="6D31162E" w14:textId="77777777" w:rsidTr="001F4D09">
        <w:trPr>
          <w:trHeight w:val="20"/>
        </w:trPr>
        <w:tc>
          <w:tcPr>
            <w:tcW w:w="0" w:type="auto"/>
            <w:noWrap/>
            <w:hideMark/>
          </w:tcPr>
          <w:p w14:paraId="216705C9" w14:textId="77777777" w:rsidR="00ED2DE4" w:rsidRPr="00184EDB" w:rsidRDefault="00ED2DE4" w:rsidP="001F4D09">
            <w:pPr>
              <w:rPr>
                <w:i/>
                <w:iCs/>
              </w:rPr>
            </w:pPr>
            <w:r w:rsidRPr="00184EDB">
              <w:rPr>
                <w:iCs/>
              </w:rPr>
              <w:t>Cl</w:t>
            </w:r>
          </w:p>
        </w:tc>
        <w:tc>
          <w:tcPr>
            <w:tcW w:w="0" w:type="auto"/>
            <w:noWrap/>
            <w:hideMark/>
          </w:tcPr>
          <w:p w14:paraId="0855B628" w14:textId="77777777" w:rsidR="00ED2DE4" w:rsidRPr="00184EDB" w:rsidRDefault="00ED2DE4" w:rsidP="001F4D09">
            <w:pPr>
              <w:rPr>
                <w:i/>
                <w:iCs/>
              </w:rPr>
            </w:pPr>
            <w:r w:rsidRPr="00184EDB">
              <w:rPr>
                <w:iCs/>
              </w:rPr>
              <w:t>2.31</w:t>
            </w:r>
          </w:p>
        </w:tc>
        <w:tc>
          <w:tcPr>
            <w:tcW w:w="0" w:type="auto"/>
            <w:noWrap/>
            <w:hideMark/>
          </w:tcPr>
          <w:p w14:paraId="5B39D09B" w14:textId="77777777" w:rsidR="00ED2DE4" w:rsidRPr="00184EDB" w:rsidRDefault="00ED2DE4" w:rsidP="001F4D09">
            <w:pPr>
              <w:rPr>
                <w:i/>
                <w:iCs/>
              </w:rPr>
            </w:pPr>
            <w:r w:rsidRPr="00184EDB">
              <w:rPr>
                <w:iCs/>
              </w:rPr>
              <w:t>62.00</w:t>
            </w:r>
          </w:p>
        </w:tc>
        <w:tc>
          <w:tcPr>
            <w:tcW w:w="0" w:type="auto"/>
            <w:noWrap/>
            <w:hideMark/>
          </w:tcPr>
          <w:p w14:paraId="5404AD5D" w14:textId="77777777" w:rsidR="00ED2DE4" w:rsidRPr="00184EDB" w:rsidRDefault="00ED2DE4" w:rsidP="001F4D09">
            <w:pPr>
              <w:rPr>
                <w:i/>
                <w:iCs/>
              </w:rPr>
            </w:pPr>
            <w:r w:rsidRPr="00184EDB">
              <w:rPr>
                <w:iCs/>
              </w:rPr>
              <w:t>0.09</w:t>
            </w:r>
          </w:p>
        </w:tc>
        <w:tc>
          <w:tcPr>
            <w:tcW w:w="0" w:type="auto"/>
            <w:noWrap/>
            <w:hideMark/>
          </w:tcPr>
          <w:p w14:paraId="527BA792" w14:textId="77777777" w:rsidR="00ED2DE4" w:rsidRPr="00184EDB" w:rsidRDefault="00ED2DE4" w:rsidP="001F4D09">
            <w:pPr>
              <w:rPr>
                <w:i/>
                <w:iCs/>
              </w:rPr>
            </w:pPr>
            <w:r w:rsidRPr="00184EDB">
              <w:rPr>
                <w:iCs/>
              </w:rPr>
              <w:t>-0.44</w:t>
            </w:r>
          </w:p>
        </w:tc>
        <w:tc>
          <w:tcPr>
            <w:tcW w:w="0" w:type="auto"/>
            <w:noWrap/>
            <w:hideMark/>
          </w:tcPr>
          <w:p w14:paraId="6CD85D42" w14:textId="77777777" w:rsidR="00ED2DE4" w:rsidRPr="00184EDB" w:rsidRDefault="00ED2DE4" w:rsidP="001F4D09">
            <w:pPr>
              <w:rPr>
                <w:i/>
                <w:iCs/>
              </w:rPr>
            </w:pPr>
            <w:r w:rsidRPr="00184EDB">
              <w:rPr>
                <w:iCs/>
              </w:rPr>
              <w:t>0.88</w:t>
            </w:r>
          </w:p>
        </w:tc>
        <w:tc>
          <w:tcPr>
            <w:tcW w:w="0" w:type="auto"/>
            <w:noWrap/>
            <w:hideMark/>
          </w:tcPr>
          <w:p w14:paraId="437EA948" w14:textId="77777777" w:rsidR="00ED2DE4" w:rsidRPr="00184EDB" w:rsidRDefault="00ED2DE4" w:rsidP="001F4D09">
            <w:pPr>
              <w:rPr>
                <w:i/>
                <w:iCs/>
              </w:rPr>
            </w:pPr>
            <w:r w:rsidRPr="00184EDB">
              <w:rPr>
                <w:iCs/>
              </w:rPr>
              <w:t>0.69</w:t>
            </w:r>
          </w:p>
        </w:tc>
      </w:tr>
      <w:tr w:rsidR="00ED2DE4" w:rsidRPr="00184EDB" w14:paraId="31271186" w14:textId="77777777" w:rsidTr="001F4D09">
        <w:trPr>
          <w:trHeight w:val="20"/>
        </w:trPr>
        <w:tc>
          <w:tcPr>
            <w:tcW w:w="0" w:type="auto"/>
            <w:noWrap/>
            <w:hideMark/>
          </w:tcPr>
          <w:p w14:paraId="0F2CD98D" w14:textId="77777777" w:rsidR="00ED2DE4" w:rsidRPr="00184EDB" w:rsidRDefault="00ED2DE4" w:rsidP="001F4D09">
            <w:pPr>
              <w:rPr>
                <w:i/>
                <w:iCs/>
              </w:rPr>
            </w:pPr>
            <w:r w:rsidRPr="00184EDB">
              <w:rPr>
                <w:iCs/>
              </w:rPr>
              <w:t>Silicate Proxy</w:t>
            </w:r>
          </w:p>
        </w:tc>
        <w:tc>
          <w:tcPr>
            <w:tcW w:w="0" w:type="auto"/>
            <w:noWrap/>
            <w:hideMark/>
          </w:tcPr>
          <w:p w14:paraId="46A2ACFF" w14:textId="77777777" w:rsidR="00ED2DE4" w:rsidRPr="00184EDB" w:rsidRDefault="00ED2DE4" w:rsidP="001F4D09">
            <w:pPr>
              <w:rPr>
                <w:i/>
                <w:iCs/>
              </w:rPr>
            </w:pPr>
            <w:r w:rsidRPr="00184EDB">
              <w:rPr>
                <w:iCs/>
              </w:rPr>
              <w:t>2.17</w:t>
            </w:r>
          </w:p>
        </w:tc>
        <w:tc>
          <w:tcPr>
            <w:tcW w:w="0" w:type="auto"/>
            <w:noWrap/>
            <w:hideMark/>
          </w:tcPr>
          <w:p w14:paraId="69D38402" w14:textId="77777777" w:rsidR="00ED2DE4" w:rsidRPr="00184EDB" w:rsidRDefault="00ED2DE4" w:rsidP="001F4D09">
            <w:pPr>
              <w:rPr>
                <w:i/>
                <w:iCs/>
              </w:rPr>
            </w:pPr>
            <w:r w:rsidRPr="00184EDB">
              <w:rPr>
                <w:iCs/>
              </w:rPr>
              <w:t>66.80</w:t>
            </w:r>
          </w:p>
        </w:tc>
        <w:tc>
          <w:tcPr>
            <w:tcW w:w="0" w:type="auto"/>
            <w:noWrap/>
            <w:hideMark/>
          </w:tcPr>
          <w:p w14:paraId="727C249A" w14:textId="77777777" w:rsidR="00ED2DE4" w:rsidRPr="00184EDB" w:rsidRDefault="00ED2DE4" w:rsidP="001F4D09">
            <w:pPr>
              <w:rPr>
                <w:i/>
                <w:iCs/>
              </w:rPr>
            </w:pPr>
            <w:r w:rsidRPr="00184EDB">
              <w:rPr>
                <w:iCs/>
              </w:rPr>
              <w:t>0.08</w:t>
            </w:r>
          </w:p>
        </w:tc>
        <w:tc>
          <w:tcPr>
            <w:tcW w:w="0" w:type="auto"/>
            <w:noWrap/>
            <w:hideMark/>
          </w:tcPr>
          <w:p w14:paraId="1F952D05" w14:textId="77777777" w:rsidR="00ED2DE4" w:rsidRPr="00184EDB" w:rsidRDefault="00ED2DE4" w:rsidP="001F4D09">
            <w:pPr>
              <w:rPr>
                <w:i/>
                <w:iCs/>
              </w:rPr>
            </w:pPr>
            <w:r w:rsidRPr="00184EDB">
              <w:rPr>
                <w:iCs/>
              </w:rPr>
              <w:t>-0.24</w:t>
            </w:r>
          </w:p>
        </w:tc>
        <w:tc>
          <w:tcPr>
            <w:tcW w:w="0" w:type="auto"/>
            <w:noWrap/>
            <w:hideMark/>
          </w:tcPr>
          <w:p w14:paraId="38ECE312" w14:textId="77777777" w:rsidR="00ED2DE4" w:rsidRPr="00184EDB" w:rsidRDefault="00ED2DE4" w:rsidP="001F4D09">
            <w:pPr>
              <w:rPr>
                <w:i/>
                <w:iCs/>
              </w:rPr>
            </w:pPr>
            <w:r w:rsidRPr="00184EDB">
              <w:rPr>
                <w:iCs/>
              </w:rPr>
              <w:t>0.54</w:t>
            </w:r>
          </w:p>
        </w:tc>
        <w:tc>
          <w:tcPr>
            <w:tcW w:w="0" w:type="auto"/>
            <w:noWrap/>
            <w:hideMark/>
          </w:tcPr>
          <w:p w14:paraId="72D0039A" w14:textId="77777777" w:rsidR="00ED2DE4" w:rsidRPr="00184EDB" w:rsidRDefault="00ED2DE4" w:rsidP="001F4D09">
            <w:pPr>
              <w:rPr>
                <w:i/>
                <w:iCs/>
              </w:rPr>
            </w:pPr>
            <w:r w:rsidRPr="00184EDB">
              <w:rPr>
                <w:iCs/>
              </w:rPr>
              <w:t>0.69</w:t>
            </w:r>
          </w:p>
        </w:tc>
      </w:tr>
      <w:tr w:rsidR="00ED2DE4" w:rsidRPr="00184EDB" w14:paraId="43E07CC2" w14:textId="77777777" w:rsidTr="001F4D09">
        <w:trPr>
          <w:trHeight w:val="20"/>
        </w:trPr>
        <w:tc>
          <w:tcPr>
            <w:tcW w:w="0" w:type="auto"/>
            <w:noWrap/>
            <w:hideMark/>
          </w:tcPr>
          <w:p w14:paraId="42D80EC8" w14:textId="77777777" w:rsidR="00ED2DE4" w:rsidRPr="00184EDB" w:rsidRDefault="00ED2DE4" w:rsidP="001F4D09">
            <w:pPr>
              <w:rPr>
                <w:i/>
                <w:iCs/>
              </w:rPr>
            </w:pPr>
            <w:r w:rsidRPr="00184EDB">
              <w:rPr>
                <w:iCs/>
              </w:rPr>
              <w:t>Mg</w:t>
            </w:r>
          </w:p>
        </w:tc>
        <w:tc>
          <w:tcPr>
            <w:tcW w:w="0" w:type="auto"/>
            <w:noWrap/>
            <w:hideMark/>
          </w:tcPr>
          <w:p w14:paraId="75BBE4F8" w14:textId="77777777" w:rsidR="00ED2DE4" w:rsidRPr="00184EDB" w:rsidRDefault="00ED2DE4" w:rsidP="001F4D09">
            <w:pPr>
              <w:rPr>
                <w:i/>
                <w:iCs/>
              </w:rPr>
            </w:pPr>
            <w:r w:rsidRPr="00184EDB">
              <w:rPr>
                <w:iCs/>
              </w:rPr>
              <w:t>1.11</w:t>
            </w:r>
          </w:p>
        </w:tc>
        <w:tc>
          <w:tcPr>
            <w:tcW w:w="0" w:type="auto"/>
            <w:noWrap/>
            <w:hideMark/>
          </w:tcPr>
          <w:p w14:paraId="444C07E3" w14:textId="77777777" w:rsidR="00ED2DE4" w:rsidRPr="00184EDB" w:rsidRDefault="00ED2DE4" w:rsidP="001F4D09">
            <w:pPr>
              <w:rPr>
                <w:i/>
                <w:iCs/>
              </w:rPr>
            </w:pPr>
            <w:r w:rsidRPr="00184EDB">
              <w:rPr>
                <w:iCs/>
              </w:rPr>
              <w:t>59.15</w:t>
            </w:r>
          </w:p>
        </w:tc>
        <w:tc>
          <w:tcPr>
            <w:tcW w:w="0" w:type="auto"/>
            <w:noWrap/>
            <w:hideMark/>
          </w:tcPr>
          <w:p w14:paraId="33D76ACE" w14:textId="77777777" w:rsidR="00ED2DE4" w:rsidRPr="00184EDB" w:rsidRDefault="00ED2DE4" w:rsidP="001F4D09">
            <w:pPr>
              <w:rPr>
                <w:i/>
                <w:iCs/>
              </w:rPr>
            </w:pPr>
            <w:r w:rsidRPr="00184EDB">
              <w:rPr>
                <w:iCs/>
              </w:rPr>
              <w:t>0.04</w:t>
            </w:r>
          </w:p>
        </w:tc>
        <w:tc>
          <w:tcPr>
            <w:tcW w:w="0" w:type="auto"/>
            <w:noWrap/>
            <w:hideMark/>
          </w:tcPr>
          <w:p w14:paraId="6A29246B" w14:textId="77777777" w:rsidR="00ED2DE4" w:rsidRPr="00184EDB" w:rsidRDefault="00ED2DE4" w:rsidP="001F4D09">
            <w:pPr>
              <w:rPr>
                <w:i/>
                <w:iCs/>
              </w:rPr>
            </w:pPr>
            <w:r w:rsidRPr="00184EDB">
              <w:rPr>
                <w:iCs/>
              </w:rPr>
              <w:t>-0.27</w:t>
            </w:r>
          </w:p>
        </w:tc>
        <w:tc>
          <w:tcPr>
            <w:tcW w:w="0" w:type="auto"/>
            <w:noWrap/>
            <w:hideMark/>
          </w:tcPr>
          <w:p w14:paraId="476716EE" w14:textId="77777777" w:rsidR="00ED2DE4" w:rsidRPr="00184EDB" w:rsidRDefault="00ED2DE4" w:rsidP="001F4D09">
            <w:pPr>
              <w:rPr>
                <w:i/>
                <w:iCs/>
              </w:rPr>
            </w:pPr>
            <w:r w:rsidRPr="00184EDB">
              <w:rPr>
                <w:iCs/>
              </w:rPr>
              <w:t>0.46</w:t>
            </w:r>
          </w:p>
        </w:tc>
        <w:tc>
          <w:tcPr>
            <w:tcW w:w="0" w:type="auto"/>
            <w:noWrap/>
            <w:hideMark/>
          </w:tcPr>
          <w:p w14:paraId="58E77E2D" w14:textId="77777777" w:rsidR="00ED2DE4" w:rsidRPr="00184EDB" w:rsidRDefault="00ED2DE4" w:rsidP="001F4D09">
            <w:pPr>
              <w:rPr>
                <w:i/>
                <w:iCs/>
              </w:rPr>
            </w:pPr>
            <w:r w:rsidRPr="00184EDB">
              <w:rPr>
                <w:iCs/>
              </w:rPr>
              <w:t>0.69</w:t>
            </w:r>
          </w:p>
        </w:tc>
      </w:tr>
      <w:tr w:rsidR="00ED2DE4" w:rsidRPr="00184EDB" w14:paraId="505CBE20" w14:textId="77777777" w:rsidTr="001F4D09">
        <w:trPr>
          <w:trHeight w:val="20"/>
        </w:trPr>
        <w:tc>
          <w:tcPr>
            <w:tcW w:w="0" w:type="auto"/>
            <w:noWrap/>
            <w:hideMark/>
          </w:tcPr>
          <w:p w14:paraId="161EF459" w14:textId="77777777" w:rsidR="00ED2DE4" w:rsidRPr="00184EDB" w:rsidRDefault="00ED2DE4" w:rsidP="001F4D09">
            <w:pPr>
              <w:rPr>
                <w:i/>
                <w:iCs/>
              </w:rPr>
            </w:pPr>
            <w:proofErr w:type="spellStart"/>
            <w:r w:rsidRPr="00184EDB">
              <w:rPr>
                <w:iCs/>
              </w:rPr>
              <w:t>Mg_Ca</w:t>
            </w:r>
            <w:proofErr w:type="spellEnd"/>
          </w:p>
        </w:tc>
        <w:tc>
          <w:tcPr>
            <w:tcW w:w="0" w:type="auto"/>
            <w:noWrap/>
            <w:hideMark/>
          </w:tcPr>
          <w:p w14:paraId="3C90B3F4" w14:textId="77777777" w:rsidR="00ED2DE4" w:rsidRPr="00184EDB" w:rsidRDefault="00ED2DE4" w:rsidP="001F4D09">
            <w:pPr>
              <w:rPr>
                <w:i/>
                <w:iCs/>
              </w:rPr>
            </w:pPr>
            <w:r w:rsidRPr="00184EDB">
              <w:rPr>
                <w:iCs/>
              </w:rPr>
              <w:t>0.79</w:t>
            </w:r>
          </w:p>
        </w:tc>
        <w:tc>
          <w:tcPr>
            <w:tcW w:w="0" w:type="auto"/>
            <w:noWrap/>
            <w:hideMark/>
          </w:tcPr>
          <w:p w14:paraId="16546545" w14:textId="77777777" w:rsidR="00ED2DE4" w:rsidRPr="00184EDB" w:rsidRDefault="00ED2DE4" w:rsidP="001F4D09">
            <w:pPr>
              <w:rPr>
                <w:i/>
                <w:iCs/>
              </w:rPr>
            </w:pPr>
            <w:r w:rsidRPr="00184EDB">
              <w:rPr>
                <w:iCs/>
              </w:rPr>
              <w:t>57.30</w:t>
            </w:r>
          </w:p>
        </w:tc>
        <w:tc>
          <w:tcPr>
            <w:tcW w:w="0" w:type="auto"/>
            <w:noWrap/>
            <w:hideMark/>
          </w:tcPr>
          <w:p w14:paraId="3EBDC270" w14:textId="77777777" w:rsidR="00ED2DE4" w:rsidRPr="00184EDB" w:rsidRDefault="00ED2DE4" w:rsidP="001F4D09">
            <w:pPr>
              <w:rPr>
                <w:i/>
                <w:iCs/>
              </w:rPr>
            </w:pPr>
            <w:r w:rsidRPr="00184EDB">
              <w:rPr>
                <w:iCs/>
              </w:rPr>
              <w:t>0.03</w:t>
            </w:r>
          </w:p>
        </w:tc>
        <w:tc>
          <w:tcPr>
            <w:tcW w:w="0" w:type="auto"/>
            <w:noWrap/>
            <w:hideMark/>
          </w:tcPr>
          <w:p w14:paraId="10D90946" w14:textId="77777777" w:rsidR="00ED2DE4" w:rsidRPr="00184EDB" w:rsidRDefault="00ED2DE4" w:rsidP="001F4D09">
            <w:pPr>
              <w:rPr>
                <w:i/>
                <w:iCs/>
              </w:rPr>
            </w:pPr>
            <w:r w:rsidRPr="00184EDB">
              <w:rPr>
                <w:iCs/>
              </w:rPr>
              <w:t>-0.31</w:t>
            </w:r>
          </w:p>
        </w:tc>
        <w:tc>
          <w:tcPr>
            <w:tcW w:w="0" w:type="auto"/>
            <w:noWrap/>
            <w:hideMark/>
          </w:tcPr>
          <w:p w14:paraId="714579F3" w14:textId="77777777" w:rsidR="00ED2DE4" w:rsidRPr="00184EDB" w:rsidRDefault="00ED2DE4" w:rsidP="001F4D09">
            <w:pPr>
              <w:rPr>
                <w:i/>
                <w:iCs/>
              </w:rPr>
            </w:pPr>
            <w:r w:rsidRPr="00184EDB">
              <w:rPr>
                <w:iCs/>
              </w:rPr>
              <w:t>0.43</w:t>
            </w:r>
          </w:p>
        </w:tc>
        <w:tc>
          <w:tcPr>
            <w:tcW w:w="0" w:type="auto"/>
            <w:noWrap/>
            <w:hideMark/>
          </w:tcPr>
          <w:p w14:paraId="11644FF9" w14:textId="77777777" w:rsidR="00ED2DE4" w:rsidRPr="00184EDB" w:rsidRDefault="00ED2DE4" w:rsidP="001F4D09">
            <w:pPr>
              <w:rPr>
                <w:i/>
                <w:iCs/>
              </w:rPr>
            </w:pPr>
            <w:r w:rsidRPr="00184EDB">
              <w:rPr>
                <w:iCs/>
              </w:rPr>
              <w:t>0.69</w:t>
            </w:r>
          </w:p>
        </w:tc>
      </w:tr>
      <w:tr w:rsidR="00ED2DE4" w:rsidRPr="00184EDB" w14:paraId="5FA0A553" w14:textId="77777777" w:rsidTr="001F4D09">
        <w:trPr>
          <w:trHeight w:val="20"/>
        </w:trPr>
        <w:tc>
          <w:tcPr>
            <w:tcW w:w="0" w:type="auto"/>
            <w:noWrap/>
            <w:hideMark/>
          </w:tcPr>
          <w:p w14:paraId="10F6B415" w14:textId="77777777" w:rsidR="00ED2DE4" w:rsidRPr="00184EDB" w:rsidRDefault="00ED2DE4" w:rsidP="001F4D09">
            <w:pPr>
              <w:rPr>
                <w:i/>
                <w:iCs/>
              </w:rPr>
            </w:pPr>
            <w:r w:rsidRPr="00184EDB">
              <w:rPr>
                <w:iCs/>
              </w:rPr>
              <w:t>SO4</w:t>
            </w:r>
          </w:p>
        </w:tc>
        <w:tc>
          <w:tcPr>
            <w:tcW w:w="0" w:type="auto"/>
            <w:noWrap/>
            <w:hideMark/>
          </w:tcPr>
          <w:p w14:paraId="63675707" w14:textId="77777777" w:rsidR="00ED2DE4" w:rsidRPr="00184EDB" w:rsidRDefault="00ED2DE4" w:rsidP="001F4D09">
            <w:pPr>
              <w:rPr>
                <w:i/>
                <w:iCs/>
              </w:rPr>
            </w:pPr>
            <w:r w:rsidRPr="00184EDB">
              <w:rPr>
                <w:iCs/>
              </w:rPr>
              <w:t>0.33</w:t>
            </w:r>
          </w:p>
        </w:tc>
        <w:tc>
          <w:tcPr>
            <w:tcW w:w="0" w:type="auto"/>
            <w:noWrap/>
            <w:hideMark/>
          </w:tcPr>
          <w:p w14:paraId="0E8299BD" w14:textId="77777777" w:rsidR="00ED2DE4" w:rsidRPr="00184EDB" w:rsidRDefault="00ED2DE4" w:rsidP="001F4D09">
            <w:pPr>
              <w:rPr>
                <w:i/>
                <w:iCs/>
              </w:rPr>
            </w:pPr>
            <w:r w:rsidRPr="00184EDB">
              <w:rPr>
                <w:iCs/>
              </w:rPr>
              <w:t>54.60</w:t>
            </w:r>
          </w:p>
        </w:tc>
        <w:tc>
          <w:tcPr>
            <w:tcW w:w="0" w:type="auto"/>
            <w:noWrap/>
            <w:hideMark/>
          </w:tcPr>
          <w:p w14:paraId="4350943E" w14:textId="77777777" w:rsidR="00ED2DE4" w:rsidRPr="00184EDB" w:rsidRDefault="00ED2DE4" w:rsidP="001F4D09">
            <w:pPr>
              <w:rPr>
                <w:i/>
                <w:iCs/>
              </w:rPr>
            </w:pPr>
            <w:r w:rsidRPr="00184EDB">
              <w:rPr>
                <w:iCs/>
              </w:rPr>
              <w:t>-0.01</w:t>
            </w:r>
          </w:p>
        </w:tc>
        <w:tc>
          <w:tcPr>
            <w:tcW w:w="0" w:type="auto"/>
            <w:noWrap/>
            <w:hideMark/>
          </w:tcPr>
          <w:p w14:paraId="0553EB4A" w14:textId="77777777" w:rsidR="00ED2DE4" w:rsidRPr="00184EDB" w:rsidRDefault="00ED2DE4" w:rsidP="001F4D09">
            <w:pPr>
              <w:rPr>
                <w:i/>
                <w:iCs/>
              </w:rPr>
            </w:pPr>
            <w:r w:rsidRPr="00184EDB">
              <w:rPr>
                <w:iCs/>
              </w:rPr>
              <w:t>-0.20</w:t>
            </w:r>
          </w:p>
        </w:tc>
        <w:tc>
          <w:tcPr>
            <w:tcW w:w="0" w:type="auto"/>
            <w:noWrap/>
            <w:hideMark/>
          </w:tcPr>
          <w:p w14:paraId="7F762469" w14:textId="77777777" w:rsidR="00ED2DE4" w:rsidRPr="00184EDB" w:rsidRDefault="00ED2DE4" w:rsidP="001F4D09">
            <w:pPr>
              <w:rPr>
                <w:i/>
                <w:iCs/>
              </w:rPr>
            </w:pPr>
            <w:r w:rsidRPr="00184EDB">
              <w:rPr>
                <w:iCs/>
              </w:rPr>
              <w:t>0.14</w:t>
            </w:r>
          </w:p>
        </w:tc>
        <w:tc>
          <w:tcPr>
            <w:tcW w:w="0" w:type="auto"/>
            <w:noWrap/>
            <w:hideMark/>
          </w:tcPr>
          <w:p w14:paraId="725FC8A0" w14:textId="77777777" w:rsidR="00ED2DE4" w:rsidRPr="00184EDB" w:rsidRDefault="00ED2DE4" w:rsidP="001F4D09">
            <w:pPr>
              <w:rPr>
                <w:i/>
                <w:iCs/>
              </w:rPr>
            </w:pPr>
            <w:r w:rsidRPr="00184EDB">
              <w:rPr>
                <w:iCs/>
              </w:rPr>
              <w:t>0.69</w:t>
            </w:r>
          </w:p>
        </w:tc>
      </w:tr>
      <w:tr w:rsidR="00ED2DE4" w:rsidRPr="00184EDB" w14:paraId="56702775" w14:textId="77777777" w:rsidTr="001F4D09">
        <w:trPr>
          <w:trHeight w:val="20"/>
        </w:trPr>
        <w:tc>
          <w:tcPr>
            <w:tcW w:w="0" w:type="auto"/>
            <w:noWrap/>
            <w:hideMark/>
          </w:tcPr>
          <w:p w14:paraId="30F33D17" w14:textId="77777777" w:rsidR="00ED2DE4" w:rsidRPr="00184EDB" w:rsidRDefault="00ED2DE4" w:rsidP="001F4D09">
            <w:pPr>
              <w:rPr>
                <w:i/>
                <w:iCs/>
              </w:rPr>
            </w:pPr>
            <w:r w:rsidRPr="00184EDB">
              <w:rPr>
                <w:iCs/>
              </w:rPr>
              <w:t>Ca</w:t>
            </w:r>
          </w:p>
        </w:tc>
        <w:tc>
          <w:tcPr>
            <w:tcW w:w="0" w:type="auto"/>
            <w:noWrap/>
            <w:hideMark/>
          </w:tcPr>
          <w:p w14:paraId="7E7B7052" w14:textId="77777777" w:rsidR="00ED2DE4" w:rsidRPr="00184EDB" w:rsidRDefault="00ED2DE4" w:rsidP="001F4D09">
            <w:pPr>
              <w:rPr>
                <w:i/>
                <w:iCs/>
              </w:rPr>
            </w:pPr>
            <w:r w:rsidRPr="00184EDB">
              <w:rPr>
                <w:iCs/>
              </w:rPr>
              <w:t>0.18</w:t>
            </w:r>
          </w:p>
        </w:tc>
        <w:tc>
          <w:tcPr>
            <w:tcW w:w="0" w:type="auto"/>
            <w:noWrap/>
            <w:hideMark/>
          </w:tcPr>
          <w:p w14:paraId="6090F93E" w14:textId="77777777" w:rsidR="00ED2DE4" w:rsidRPr="00184EDB" w:rsidRDefault="00ED2DE4" w:rsidP="001F4D09">
            <w:pPr>
              <w:rPr>
                <w:i/>
                <w:iCs/>
              </w:rPr>
            </w:pPr>
            <w:r w:rsidRPr="00184EDB">
              <w:rPr>
                <w:iCs/>
              </w:rPr>
              <w:t>52.00</w:t>
            </w:r>
          </w:p>
        </w:tc>
        <w:tc>
          <w:tcPr>
            <w:tcW w:w="0" w:type="auto"/>
            <w:noWrap/>
            <w:hideMark/>
          </w:tcPr>
          <w:p w14:paraId="34B69851" w14:textId="77777777" w:rsidR="00ED2DE4" w:rsidRPr="00184EDB" w:rsidRDefault="00ED2DE4" w:rsidP="001F4D09">
            <w:pPr>
              <w:rPr>
                <w:i/>
                <w:iCs/>
              </w:rPr>
            </w:pPr>
            <w:r w:rsidRPr="00184EDB">
              <w:rPr>
                <w:iCs/>
              </w:rPr>
              <w:t>-0.01</w:t>
            </w:r>
          </w:p>
        </w:tc>
        <w:tc>
          <w:tcPr>
            <w:tcW w:w="0" w:type="auto"/>
            <w:noWrap/>
            <w:hideMark/>
          </w:tcPr>
          <w:p w14:paraId="5BFE1844" w14:textId="77777777" w:rsidR="00ED2DE4" w:rsidRPr="00184EDB" w:rsidRDefault="00ED2DE4" w:rsidP="001F4D09">
            <w:pPr>
              <w:rPr>
                <w:i/>
                <w:iCs/>
              </w:rPr>
            </w:pPr>
            <w:r w:rsidRPr="00184EDB">
              <w:rPr>
                <w:iCs/>
              </w:rPr>
              <w:t>-0.65</w:t>
            </w:r>
          </w:p>
        </w:tc>
        <w:tc>
          <w:tcPr>
            <w:tcW w:w="0" w:type="auto"/>
            <w:noWrap/>
            <w:hideMark/>
          </w:tcPr>
          <w:p w14:paraId="3DF5D56D" w14:textId="77777777" w:rsidR="00ED2DE4" w:rsidRPr="00184EDB" w:rsidRDefault="00ED2DE4" w:rsidP="001F4D09">
            <w:pPr>
              <w:rPr>
                <w:i/>
                <w:iCs/>
              </w:rPr>
            </w:pPr>
            <w:r w:rsidRPr="00184EDB">
              <w:rPr>
                <w:iCs/>
              </w:rPr>
              <w:t>0.58</w:t>
            </w:r>
          </w:p>
        </w:tc>
        <w:tc>
          <w:tcPr>
            <w:tcW w:w="0" w:type="auto"/>
            <w:noWrap/>
            <w:hideMark/>
          </w:tcPr>
          <w:p w14:paraId="1B097F95" w14:textId="77777777" w:rsidR="00ED2DE4" w:rsidRPr="00184EDB" w:rsidRDefault="00ED2DE4" w:rsidP="001F4D09">
            <w:pPr>
              <w:rPr>
                <w:i/>
                <w:iCs/>
              </w:rPr>
            </w:pPr>
            <w:r w:rsidRPr="00184EDB">
              <w:rPr>
                <w:iCs/>
              </w:rPr>
              <w:t>0.69</w:t>
            </w:r>
          </w:p>
        </w:tc>
      </w:tr>
    </w:tbl>
    <w:p w14:paraId="27A6936A" w14:textId="77777777" w:rsidR="00ED2DE4" w:rsidRPr="00E45C91" w:rsidRDefault="00ED2DE4" w:rsidP="00ED2DE4"/>
    <w:p w14:paraId="196E527B" w14:textId="77777777" w:rsidR="00B26AF4" w:rsidRDefault="00B26AF4" w:rsidP="00ED2DE4">
      <w:pPr>
        <w:spacing w:after="0"/>
      </w:pPr>
    </w:p>
    <w:p w14:paraId="5773D6F5" w14:textId="77777777" w:rsidR="00B26AF4" w:rsidRDefault="00B26AF4" w:rsidP="00ED2DE4">
      <w:pPr>
        <w:spacing w:after="0"/>
      </w:pPr>
    </w:p>
    <w:p w14:paraId="7EE3001C" w14:textId="1DAED6D1" w:rsidR="00ED2DE4" w:rsidRPr="00E45C91" w:rsidRDefault="00ED2DE4" w:rsidP="00ED2DE4">
      <w:pPr>
        <w:spacing w:after="0"/>
      </w:pPr>
      <w:r>
        <w:lastRenderedPageBreak/>
        <w:t xml:space="preserve">Table </w:t>
      </w:r>
      <w:r w:rsidRPr="00E45C91">
        <w:t>9</w:t>
      </w:r>
      <w:r>
        <w:t>.</w:t>
      </w:r>
      <w:r w:rsidRPr="00E45C91">
        <w:t xml:space="preserve"> Comparative diagnostics for the endpoint models, including feature sparsity and in-sample or cross-validated fit summaries. </w:t>
      </w:r>
    </w:p>
    <w:tbl>
      <w:tblPr>
        <w:tblStyle w:val="Manu"/>
        <w:tblW w:w="0" w:type="auto"/>
        <w:tblLook w:val="04A0" w:firstRow="1" w:lastRow="0" w:firstColumn="1" w:lastColumn="0" w:noHBand="0" w:noVBand="1"/>
      </w:tblPr>
      <w:tblGrid>
        <w:gridCol w:w="1008"/>
        <w:gridCol w:w="1218"/>
        <w:gridCol w:w="1488"/>
        <w:gridCol w:w="948"/>
        <w:gridCol w:w="1985"/>
        <w:gridCol w:w="1098"/>
        <w:gridCol w:w="783"/>
        <w:gridCol w:w="1434"/>
      </w:tblGrid>
      <w:tr w:rsidR="00ED2DE4" w:rsidRPr="0044741C" w14:paraId="531C022F"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noWrap/>
            <w:hideMark/>
          </w:tcPr>
          <w:p w14:paraId="65881EBE" w14:textId="77777777" w:rsidR="00ED2DE4" w:rsidRPr="0044741C" w:rsidRDefault="00ED2DE4" w:rsidP="001F4D09">
            <w:pPr>
              <w:jc w:val="left"/>
              <w:rPr>
                <w:rFonts w:eastAsia="Times New Roman" w:cs="Times New Roman"/>
                <w:i/>
                <w:iCs/>
                <w:color w:val="000000"/>
                <w:lang w:eastAsia="en-GB"/>
              </w:rPr>
            </w:pPr>
            <w:bookmarkStart w:id="50" w:name="table-10.-deterministic-risk"/>
            <w:bookmarkEnd w:id="49"/>
            <w:r w:rsidRPr="0044741C">
              <w:rPr>
                <w:rFonts w:eastAsia="Times New Roman" w:cs="Times New Roman"/>
                <w:iCs/>
                <w:color w:val="000000"/>
                <w:lang w:eastAsia="en-GB"/>
              </w:rPr>
              <w:t>Endpoint</w:t>
            </w:r>
          </w:p>
        </w:tc>
        <w:tc>
          <w:tcPr>
            <w:tcW w:w="0" w:type="auto"/>
            <w:noWrap/>
            <w:hideMark/>
          </w:tcPr>
          <w:p w14:paraId="32104082"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 xml:space="preserve">Model </w:t>
            </w:r>
          </w:p>
          <w:p w14:paraId="34877AC4"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Type</w:t>
            </w:r>
          </w:p>
        </w:tc>
        <w:tc>
          <w:tcPr>
            <w:tcW w:w="0" w:type="auto"/>
            <w:noWrap/>
            <w:hideMark/>
          </w:tcPr>
          <w:p w14:paraId="4C7D8C3E"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Predictor</w:t>
            </w:r>
            <w:r>
              <w:rPr>
                <w:rFonts w:eastAsia="Times New Roman" w:cs="Times New Roman"/>
                <w:iCs/>
                <w:color w:val="000000"/>
                <w:lang w:eastAsia="en-GB"/>
              </w:rPr>
              <w:t xml:space="preserve"> </w:t>
            </w:r>
          </w:p>
          <w:p w14:paraId="0779F49A"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Block</w:t>
            </w:r>
          </w:p>
        </w:tc>
        <w:tc>
          <w:tcPr>
            <w:tcW w:w="0" w:type="auto"/>
            <w:noWrap/>
            <w:hideMark/>
          </w:tcPr>
          <w:p w14:paraId="6CA975C2"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Features</w:t>
            </w:r>
            <w:r>
              <w:rPr>
                <w:rFonts w:eastAsia="Times New Roman" w:cs="Times New Roman"/>
                <w:iCs/>
                <w:color w:val="000000"/>
                <w:lang w:eastAsia="en-GB"/>
              </w:rPr>
              <w:t xml:space="preserve"> </w:t>
            </w:r>
          </w:p>
          <w:p w14:paraId="3C178E0F"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Count</w:t>
            </w:r>
          </w:p>
        </w:tc>
        <w:tc>
          <w:tcPr>
            <w:tcW w:w="0" w:type="auto"/>
            <w:noWrap/>
            <w:hideMark/>
          </w:tcPr>
          <w:p w14:paraId="6EB1B594"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Features</w:t>
            </w:r>
          </w:p>
        </w:tc>
        <w:tc>
          <w:tcPr>
            <w:tcW w:w="0" w:type="auto"/>
            <w:noWrap/>
            <w:hideMark/>
          </w:tcPr>
          <w:p w14:paraId="328FF0B1"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In</w:t>
            </w:r>
            <w:r>
              <w:rPr>
                <w:rFonts w:eastAsia="Times New Roman" w:cs="Times New Roman"/>
                <w:iCs/>
                <w:color w:val="000000"/>
                <w:lang w:eastAsia="en-GB"/>
              </w:rPr>
              <w:t xml:space="preserve"> </w:t>
            </w:r>
            <w:r w:rsidRPr="0044741C">
              <w:rPr>
                <w:rFonts w:eastAsia="Times New Roman" w:cs="Times New Roman"/>
                <w:iCs/>
                <w:color w:val="000000"/>
                <w:lang w:eastAsia="en-GB"/>
              </w:rPr>
              <w:t>Sample</w:t>
            </w:r>
          </w:p>
          <w:p w14:paraId="57118EF1"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_R</w:t>
            </w:r>
            <w:r w:rsidRPr="0044741C">
              <w:rPr>
                <w:rFonts w:eastAsia="Times New Roman" w:cs="Times New Roman"/>
                <w:iCs/>
                <w:color w:val="000000"/>
                <w:vertAlign w:val="superscript"/>
                <w:lang w:eastAsia="en-GB"/>
              </w:rPr>
              <w:t>2</w:t>
            </w:r>
          </w:p>
        </w:tc>
        <w:tc>
          <w:tcPr>
            <w:tcW w:w="0" w:type="auto"/>
            <w:noWrap/>
            <w:hideMark/>
          </w:tcPr>
          <w:p w14:paraId="57A588D1"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CV</w:t>
            </w:r>
            <w:r>
              <w:rPr>
                <w:rFonts w:eastAsia="Times New Roman" w:cs="Times New Roman"/>
                <w:iCs/>
                <w:color w:val="000000"/>
                <w:lang w:eastAsia="en-GB"/>
              </w:rPr>
              <w:t xml:space="preserve"> </w:t>
            </w:r>
            <w:r w:rsidRPr="0044741C">
              <w:rPr>
                <w:rFonts w:eastAsia="Times New Roman" w:cs="Times New Roman"/>
                <w:iCs/>
                <w:color w:val="000000"/>
                <w:lang w:eastAsia="en-GB"/>
              </w:rPr>
              <w:t>R</w:t>
            </w:r>
            <w:r w:rsidRPr="0044741C">
              <w:rPr>
                <w:rFonts w:eastAsia="Times New Roman" w:cs="Times New Roman"/>
                <w:iCs/>
                <w:color w:val="000000"/>
                <w:vertAlign w:val="superscript"/>
                <w:lang w:eastAsia="en-GB"/>
              </w:rPr>
              <w:t>2</w:t>
            </w:r>
          </w:p>
          <w:p w14:paraId="047EAEE5"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Mean</w:t>
            </w:r>
          </w:p>
        </w:tc>
        <w:tc>
          <w:tcPr>
            <w:tcW w:w="0" w:type="auto"/>
            <w:noWrap/>
            <w:hideMark/>
          </w:tcPr>
          <w:p w14:paraId="0B082910"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Permutation</w:t>
            </w:r>
            <w:r>
              <w:rPr>
                <w:rFonts w:eastAsia="Times New Roman" w:cs="Times New Roman"/>
                <w:iCs/>
                <w:color w:val="000000"/>
                <w:lang w:eastAsia="en-GB"/>
              </w:rPr>
              <w:t xml:space="preserve"> </w:t>
            </w:r>
            <w:r w:rsidRPr="0044741C">
              <w:rPr>
                <w:rFonts w:eastAsia="Times New Roman" w:cs="Times New Roman"/>
                <w:color w:val="000000"/>
                <w:lang w:eastAsia="en-GB"/>
              </w:rPr>
              <w:t>p</w:t>
            </w:r>
          </w:p>
        </w:tc>
      </w:tr>
      <w:tr w:rsidR="00ED2DE4" w:rsidRPr="0044741C" w14:paraId="024DA28F" w14:textId="77777777" w:rsidTr="001F4D09">
        <w:trPr>
          <w:trHeight w:val="300"/>
        </w:trPr>
        <w:tc>
          <w:tcPr>
            <w:tcW w:w="0" w:type="auto"/>
            <w:noWrap/>
            <w:hideMark/>
          </w:tcPr>
          <w:p w14:paraId="748CA7D4"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NPLS</w:t>
            </w:r>
          </w:p>
          <w:p w14:paraId="530F594A"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GWQI</w:t>
            </w:r>
          </w:p>
        </w:tc>
        <w:tc>
          <w:tcPr>
            <w:tcW w:w="0" w:type="auto"/>
            <w:noWrap/>
            <w:hideMark/>
          </w:tcPr>
          <w:p w14:paraId="0EE14DAB"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Bayesian</w:t>
            </w:r>
            <w:r>
              <w:rPr>
                <w:rFonts w:eastAsia="Times New Roman" w:cs="Times New Roman"/>
                <w:iCs/>
                <w:color w:val="000000"/>
                <w:lang w:eastAsia="en-GB"/>
              </w:rPr>
              <w:t xml:space="preserve"> </w:t>
            </w:r>
          </w:p>
          <w:p w14:paraId="746D4E2B"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Horseshoe</w:t>
            </w:r>
          </w:p>
        </w:tc>
        <w:tc>
          <w:tcPr>
            <w:tcW w:w="0" w:type="auto"/>
            <w:noWrap/>
            <w:hideMark/>
          </w:tcPr>
          <w:p w14:paraId="205CB88A"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Field</w:t>
            </w:r>
            <w:r>
              <w:rPr>
                <w:rFonts w:eastAsia="Times New Roman" w:cs="Times New Roman"/>
                <w:iCs/>
                <w:color w:val="000000"/>
                <w:lang w:eastAsia="en-GB"/>
              </w:rPr>
              <w:t xml:space="preserve"> </w:t>
            </w:r>
            <w:r w:rsidRPr="0044741C">
              <w:rPr>
                <w:rFonts w:eastAsia="Times New Roman" w:cs="Times New Roman"/>
                <w:iCs/>
                <w:color w:val="000000"/>
                <w:lang w:eastAsia="en-GB"/>
              </w:rPr>
              <w:t>+</w:t>
            </w:r>
            <w:r>
              <w:rPr>
                <w:rFonts w:eastAsia="Times New Roman" w:cs="Times New Roman"/>
                <w:iCs/>
                <w:color w:val="000000"/>
                <w:lang w:eastAsia="en-GB"/>
              </w:rPr>
              <w:t xml:space="preserve"> </w:t>
            </w:r>
          </w:p>
          <w:p w14:paraId="202055C9"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Compositional</w:t>
            </w:r>
          </w:p>
        </w:tc>
        <w:tc>
          <w:tcPr>
            <w:tcW w:w="0" w:type="auto"/>
            <w:noWrap/>
            <w:hideMark/>
          </w:tcPr>
          <w:p w14:paraId="1387B6B8"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1</w:t>
            </w:r>
          </w:p>
        </w:tc>
        <w:tc>
          <w:tcPr>
            <w:tcW w:w="0" w:type="auto"/>
            <w:noWrap/>
            <w:hideMark/>
          </w:tcPr>
          <w:p w14:paraId="58797B3F"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EC</w:t>
            </w:r>
          </w:p>
        </w:tc>
        <w:tc>
          <w:tcPr>
            <w:tcW w:w="0" w:type="auto"/>
            <w:noWrap/>
            <w:hideMark/>
          </w:tcPr>
          <w:p w14:paraId="477A07E3"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0.978</w:t>
            </w:r>
          </w:p>
        </w:tc>
        <w:tc>
          <w:tcPr>
            <w:tcW w:w="0" w:type="auto"/>
            <w:noWrap/>
            <w:hideMark/>
          </w:tcPr>
          <w:p w14:paraId="2F8D6DCD" w14:textId="77777777" w:rsidR="00ED2DE4" w:rsidRPr="0044741C" w:rsidRDefault="00ED2DE4" w:rsidP="001F4D09">
            <w:pPr>
              <w:jc w:val="right"/>
              <w:rPr>
                <w:rFonts w:eastAsia="Times New Roman" w:cs="Times New Roman"/>
                <w:i/>
                <w:iCs/>
                <w:color w:val="000000"/>
                <w:lang w:eastAsia="en-GB"/>
              </w:rPr>
            </w:pPr>
          </w:p>
        </w:tc>
        <w:tc>
          <w:tcPr>
            <w:tcW w:w="0" w:type="auto"/>
            <w:noWrap/>
            <w:hideMark/>
          </w:tcPr>
          <w:p w14:paraId="5FBA1F3F" w14:textId="77777777" w:rsidR="00ED2DE4" w:rsidRPr="0044741C" w:rsidRDefault="00ED2DE4" w:rsidP="001F4D09">
            <w:pPr>
              <w:jc w:val="left"/>
              <w:rPr>
                <w:rFonts w:eastAsia="Times New Roman" w:cs="Times New Roman"/>
                <w:i/>
                <w:iCs/>
                <w:sz w:val="20"/>
                <w:szCs w:val="20"/>
                <w:lang w:eastAsia="en-GB"/>
              </w:rPr>
            </w:pPr>
          </w:p>
        </w:tc>
      </w:tr>
      <w:tr w:rsidR="00ED2DE4" w:rsidRPr="0044741C" w14:paraId="3D172246" w14:textId="77777777" w:rsidTr="001F4D09">
        <w:trPr>
          <w:trHeight w:val="300"/>
        </w:trPr>
        <w:tc>
          <w:tcPr>
            <w:tcW w:w="0" w:type="auto"/>
            <w:noWrap/>
            <w:hideMark/>
          </w:tcPr>
          <w:p w14:paraId="77620649"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w:t>
            </w:r>
          </w:p>
        </w:tc>
        <w:tc>
          <w:tcPr>
            <w:tcW w:w="0" w:type="auto"/>
            <w:noWrap/>
            <w:hideMark/>
          </w:tcPr>
          <w:p w14:paraId="06982386"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Bayesian</w:t>
            </w:r>
            <w:r>
              <w:rPr>
                <w:rFonts w:eastAsia="Times New Roman" w:cs="Times New Roman"/>
                <w:iCs/>
                <w:color w:val="000000"/>
                <w:lang w:eastAsia="en-GB"/>
              </w:rPr>
              <w:t xml:space="preserve"> </w:t>
            </w:r>
          </w:p>
          <w:p w14:paraId="15977F9C"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Horseshoe</w:t>
            </w:r>
          </w:p>
        </w:tc>
        <w:tc>
          <w:tcPr>
            <w:tcW w:w="0" w:type="auto"/>
            <w:noWrap/>
            <w:hideMark/>
          </w:tcPr>
          <w:p w14:paraId="7007326D"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Field</w:t>
            </w:r>
            <w:r>
              <w:rPr>
                <w:rFonts w:eastAsia="Times New Roman" w:cs="Times New Roman"/>
                <w:iCs/>
                <w:color w:val="000000"/>
                <w:lang w:eastAsia="en-GB"/>
              </w:rPr>
              <w:t xml:space="preserve"> </w:t>
            </w:r>
            <w:r w:rsidRPr="0044741C">
              <w:rPr>
                <w:rFonts w:eastAsia="Times New Roman" w:cs="Times New Roman"/>
                <w:iCs/>
                <w:color w:val="000000"/>
                <w:lang w:eastAsia="en-GB"/>
              </w:rPr>
              <w:t>+</w:t>
            </w:r>
            <w:r>
              <w:rPr>
                <w:rFonts w:eastAsia="Times New Roman" w:cs="Times New Roman"/>
                <w:iCs/>
                <w:color w:val="000000"/>
                <w:lang w:eastAsia="en-GB"/>
              </w:rPr>
              <w:t xml:space="preserve"> </w:t>
            </w:r>
          </w:p>
          <w:p w14:paraId="5F26669F"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Compositional</w:t>
            </w:r>
          </w:p>
        </w:tc>
        <w:tc>
          <w:tcPr>
            <w:tcW w:w="0" w:type="auto"/>
            <w:noWrap/>
            <w:hideMark/>
          </w:tcPr>
          <w:p w14:paraId="5F3BD8AC"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0</w:t>
            </w:r>
          </w:p>
        </w:tc>
        <w:tc>
          <w:tcPr>
            <w:tcW w:w="0" w:type="auto"/>
            <w:noWrap/>
            <w:hideMark/>
          </w:tcPr>
          <w:p w14:paraId="15F42271" w14:textId="77777777" w:rsidR="00ED2DE4" w:rsidRPr="0044741C" w:rsidRDefault="00ED2DE4" w:rsidP="001F4D09">
            <w:pPr>
              <w:jc w:val="right"/>
              <w:rPr>
                <w:rFonts w:eastAsia="Times New Roman" w:cs="Times New Roman"/>
                <w:i/>
                <w:iCs/>
                <w:color w:val="000000"/>
                <w:lang w:eastAsia="en-GB"/>
              </w:rPr>
            </w:pPr>
          </w:p>
        </w:tc>
        <w:tc>
          <w:tcPr>
            <w:tcW w:w="0" w:type="auto"/>
            <w:noWrap/>
            <w:hideMark/>
          </w:tcPr>
          <w:p w14:paraId="51DA085D"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0.693</w:t>
            </w:r>
          </w:p>
        </w:tc>
        <w:tc>
          <w:tcPr>
            <w:tcW w:w="0" w:type="auto"/>
            <w:noWrap/>
            <w:hideMark/>
          </w:tcPr>
          <w:p w14:paraId="347FC448" w14:textId="77777777" w:rsidR="00ED2DE4" w:rsidRPr="0044741C" w:rsidRDefault="00ED2DE4" w:rsidP="001F4D09">
            <w:pPr>
              <w:jc w:val="right"/>
              <w:rPr>
                <w:rFonts w:eastAsia="Times New Roman" w:cs="Times New Roman"/>
                <w:i/>
                <w:iCs/>
                <w:color w:val="000000"/>
                <w:lang w:eastAsia="en-GB"/>
              </w:rPr>
            </w:pPr>
          </w:p>
        </w:tc>
        <w:tc>
          <w:tcPr>
            <w:tcW w:w="0" w:type="auto"/>
            <w:noWrap/>
            <w:hideMark/>
          </w:tcPr>
          <w:p w14:paraId="2499D899" w14:textId="77777777" w:rsidR="00ED2DE4" w:rsidRPr="0044741C" w:rsidRDefault="00ED2DE4" w:rsidP="001F4D09">
            <w:pPr>
              <w:jc w:val="left"/>
              <w:rPr>
                <w:rFonts w:eastAsia="Times New Roman" w:cs="Times New Roman"/>
                <w:i/>
                <w:iCs/>
                <w:sz w:val="20"/>
                <w:szCs w:val="20"/>
                <w:lang w:eastAsia="en-GB"/>
              </w:rPr>
            </w:pPr>
          </w:p>
        </w:tc>
      </w:tr>
      <w:tr w:rsidR="00ED2DE4" w:rsidRPr="0044741C" w14:paraId="78D9F252" w14:textId="77777777" w:rsidTr="001F4D09">
        <w:trPr>
          <w:trHeight w:val="300"/>
        </w:trPr>
        <w:tc>
          <w:tcPr>
            <w:tcW w:w="0" w:type="auto"/>
            <w:noWrap/>
            <w:hideMark/>
          </w:tcPr>
          <w:p w14:paraId="3B8AB637"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w:t>
            </w:r>
            <w:r>
              <w:rPr>
                <w:rFonts w:eastAsia="Times New Roman" w:cs="Times New Roman"/>
                <w:iCs/>
                <w:color w:val="000000"/>
                <w:lang w:eastAsia="en-GB"/>
              </w:rPr>
              <w:t xml:space="preserve"> </w:t>
            </w:r>
            <w:r w:rsidRPr="0044741C">
              <w:rPr>
                <w:rFonts w:eastAsia="Times New Roman" w:cs="Times New Roman"/>
                <w:iCs/>
                <w:color w:val="000000"/>
                <w:lang w:eastAsia="en-GB"/>
              </w:rPr>
              <w:t>SPLS</w:t>
            </w:r>
          </w:p>
        </w:tc>
        <w:tc>
          <w:tcPr>
            <w:tcW w:w="0" w:type="auto"/>
            <w:noWrap/>
            <w:hideMark/>
          </w:tcPr>
          <w:p w14:paraId="537D2D34"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Sparse</w:t>
            </w:r>
            <w:r>
              <w:rPr>
                <w:rFonts w:eastAsia="Times New Roman" w:cs="Times New Roman"/>
                <w:iCs/>
                <w:color w:val="000000"/>
                <w:lang w:eastAsia="en-GB"/>
              </w:rPr>
              <w:t xml:space="preserve"> </w:t>
            </w:r>
            <w:r w:rsidRPr="0044741C">
              <w:rPr>
                <w:rFonts w:eastAsia="Times New Roman" w:cs="Times New Roman"/>
                <w:iCs/>
                <w:color w:val="000000"/>
                <w:lang w:eastAsia="en-GB"/>
              </w:rPr>
              <w:t>PLS</w:t>
            </w:r>
          </w:p>
        </w:tc>
        <w:tc>
          <w:tcPr>
            <w:tcW w:w="0" w:type="auto"/>
            <w:noWrap/>
            <w:hideMark/>
          </w:tcPr>
          <w:p w14:paraId="043BF9D6" w14:textId="77777777" w:rsidR="00ED2DE4"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Field</w:t>
            </w:r>
            <w:r>
              <w:rPr>
                <w:rFonts w:eastAsia="Times New Roman" w:cs="Times New Roman"/>
                <w:iCs/>
                <w:color w:val="000000"/>
                <w:lang w:eastAsia="en-GB"/>
              </w:rPr>
              <w:t xml:space="preserve"> </w:t>
            </w:r>
            <w:r w:rsidRPr="0044741C">
              <w:rPr>
                <w:rFonts w:eastAsia="Times New Roman" w:cs="Times New Roman"/>
                <w:iCs/>
                <w:color w:val="000000"/>
                <w:lang w:eastAsia="en-GB"/>
              </w:rPr>
              <w:t>+</w:t>
            </w:r>
            <w:r>
              <w:rPr>
                <w:rFonts w:eastAsia="Times New Roman" w:cs="Times New Roman"/>
                <w:iCs/>
                <w:color w:val="000000"/>
                <w:lang w:eastAsia="en-GB"/>
              </w:rPr>
              <w:t xml:space="preserve"> </w:t>
            </w:r>
          </w:p>
          <w:p w14:paraId="0BEC4755"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Compositional</w:t>
            </w:r>
          </w:p>
        </w:tc>
        <w:tc>
          <w:tcPr>
            <w:tcW w:w="0" w:type="auto"/>
            <w:noWrap/>
            <w:hideMark/>
          </w:tcPr>
          <w:p w14:paraId="02795163"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8</w:t>
            </w:r>
          </w:p>
        </w:tc>
        <w:tc>
          <w:tcPr>
            <w:tcW w:w="0" w:type="auto"/>
            <w:noWrap/>
            <w:hideMark/>
          </w:tcPr>
          <w:p w14:paraId="0333FDB6" w14:textId="01A62CAB" w:rsidR="00ED2DE4" w:rsidRPr="00544F50" w:rsidRDefault="00ED2DE4" w:rsidP="001F4D09">
            <w:pPr>
              <w:jc w:val="left"/>
              <w:rPr>
                <w:rFonts w:eastAsia="Times New Roman" w:cs="Times New Roman"/>
                <w:i/>
                <w:iCs/>
                <w:color w:val="000000"/>
                <w:lang w:val="pl-PL" w:eastAsia="en-GB"/>
              </w:rPr>
            </w:pPr>
            <w:r w:rsidRPr="00544F50">
              <w:rPr>
                <w:rFonts w:eastAsia="Times New Roman" w:cs="Times New Roman"/>
                <w:iCs/>
                <w:color w:val="000000"/>
                <w:lang w:val="pl-PL" w:eastAsia="en-GB"/>
              </w:rPr>
              <w:t>Na</w:t>
            </w:r>
            <w:r w:rsidR="00B26AF4">
              <w:rPr>
                <w:rFonts w:eastAsia="Times New Roman" w:cs="Times New Roman"/>
                <w:iCs/>
                <w:color w:val="000000"/>
                <w:lang w:val="pl-PL" w:eastAsia="en-GB"/>
              </w:rPr>
              <w:t>:</w:t>
            </w:r>
            <w:r w:rsidRPr="00544F50">
              <w:rPr>
                <w:rFonts w:eastAsia="Times New Roman" w:cs="Times New Roman"/>
                <w:iCs/>
                <w:color w:val="000000"/>
                <w:lang w:val="pl-PL" w:eastAsia="en-GB"/>
              </w:rPr>
              <w:t xml:space="preserve">Cl; K; </w:t>
            </w:r>
            <m:oMath>
              <m:r>
                <w:rPr>
                  <w:rFonts w:ascii="Cambria Math" w:eastAsia="Times New Roman" w:hAnsi="Cambria Math" w:cs="Times New Roman"/>
                  <w:color w:val="000000"/>
                  <w:lang w:val="pl-PL" w:eastAsia="en-GB"/>
                </w:rPr>
                <m:t>CA</m:t>
              </m:r>
              <m:sSub>
                <m:sSubPr>
                  <m:ctrlPr>
                    <w:rPr>
                      <w:rFonts w:ascii="Cambria Math" w:eastAsia="Times New Roman" w:hAnsi="Cambria Math" w:cs="Times New Roman"/>
                      <w:i/>
                      <w:iCs/>
                      <w:color w:val="000000"/>
                      <w:lang w:val="pl-PL" w:eastAsia="en-GB"/>
                    </w:rPr>
                  </m:ctrlPr>
                </m:sSubPr>
                <m:e>
                  <m:r>
                    <w:rPr>
                      <w:rFonts w:ascii="Cambria Math" w:eastAsia="Times New Roman" w:hAnsi="Cambria Math" w:cs="Times New Roman"/>
                      <w:color w:val="000000"/>
                      <w:lang w:val="pl-PL" w:eastAsia="en-GB"/>
                    </w:rPr>
                    <m:t>I</m:t>
                  </m:r>
                </m:e>
                <m:sub>
                  <m:r>
                    <w:rPr>
                      <w:rFonts w:ascii="Cambria Math" w:eastAsia="Times New Roman" w:hAnsi="Cambria Math" w:cs="Times New Roman"/>
                      <w:color w:val="000000"/>
                      <w:lang w:val="pl-PL" w:eastAsia="en-GB"/>
                    </w:rPr>
                    <m:t>1</m:t>
                  </m:r>
                </m:sub>
              </m:sSub>
            </m:oMath>
            <w:r w:rsidRPr="00544F50">
              <w:rPr>
                <w:rFonts w:eastAsia="Times New Roman" w:cs="Times New Roman"/>
                <w:iCs/>
                <w:color w:val="000000"/>
                <w:lang w:val="pl-PL" w:eastAsia="en-GB"/>
              </w:rPr>
              <w:t xml:space="preserve">; pH; </w:t>
            </w:r>
          </w:p>
          <w:p w14:paraId="7C98F22D" w14:textId="3585B3F4" w:rsidR="00ED2DE4" w:rsidRDefault="00ED2DE4" w:rsidP="001F4D09">
            <w:pPr>
              <w:jc w:val="left"/>
              <w:rPr>
                <w:rFonts w:eastAsia="Times New Roman" w:cs="Times New Roman"/>
                <w:i/>
                <w:iCs/>
                <w:color w:val="000000"/>
                <w:lang w:eastAsia="en-GB"/>
              </w:rPr>
            </w:pPr>
            <w:proofErr w:type="spellStart"/>
            <w:r w:rsidRPr="0044741C">
              <w:rPr>
                <w:rFonts w:eastAsia="Times New Roman" w:cs="Times New Roman"/>
                <w:iCs/>
                <w:color w:val="000000"/>
                <w:lang w:eastAsia="en-GB"/>
              </w:rPr>
              <w:t>Mg</w:t>
            </w:r>
            <w:r w:rsidR="00B26AF4">
              <w:rPr>
                <w:rFonts w:eastAsia="Times New Roman" w:cs="Times New Roman"/>
                <w:iCs/>
                <w:color w:val="000000"/>
                <w:lang w:eastAsia="en-GB"/>
              </w:rPr>
              <w:t>:</w:t>
            </w:r>
            <w:r w:rsidRPr="0044741C">
              <w:rPr>
                <w:rFonts w:eastAsia="Times New Roman" w:cs="Times New Roman"/>
                <w:iCs/>
                <w:color w:val="000000"/>
                <w:lang w:eastAsia="en-GB"/>
              </w:rPr>
              <w:t>Ca</w:t>
            </w:r>
            <w:proofErr w:type="spellEnd"/>
            <w:r w:rsidRPr="0044741C">
              <w:rPr>
                <w:rFonts w:eastAsia="Times New Roman" w:cs="Times New Roman"/>
                <w:iCs/>
                <w:color w:val="000000"/>
                <w:lang w:eastAsia="en-GB"/>
              </w:rPr>
              <w:t>; Ca</w:t>
            </w:r>
            <w:r w:rsidR="00B26AF4">
              <w:rPr>
                <w:rFonts w:eastAsia="Times New Roman" w:cs="Times New Roman"/>
                <w:iCs/>
                <w:color w:val="000000"/>
                <w:lang w:eastAsia="en-GB"/>
              </w:rPr>
              <w:t>:</w:t>
            </w:r>
            <w:r w:rsidRPr="0044741C">
              <w:rPr>
                <w:rFonts w:eastAsia="Times New Roman" w:cs="Times New Roman"/>
                <w:iCs/>
                <w:color w:val="000000"/>
                <w:lang w:eastAsia="en-GB"/>
              </w:rPr>
              <w:t>HCO3;</w:t>
            </w:r>
          </w:p>
          <w:p w14:paraId="128FAEFE" w14:textId="77777777" w:rsidR="00ED2DE4" w:rsidRPr="0044741C" w:rsidRDefault="00ED2DE4" w:rsidP="001F4D09">
            <w:pPr>
              <w:jc w:val="left"/>
              <w:rPr>
                <w:rFonts w:eastAsia="Times New Roman" w:cs="Times New Roman"/>
                <w:i/>
                <w:iCs/>
                <w:color w:val="000000"/>
                <w:lang w:eastAsia="en-GB"/>
              </w:rPr>
            </w:pPr>
            <w:r w:rsidRPr="0044741C">
              <w:rPr>
                <w:rFonts w:eastAsia="Times New Roman" w:cs="Times New Roman"/>
                <w:iCs/>
                <w:color w:val="000000"/>
                <w:lang w:eastAsia="en-GB"/>
              </w:rPr>
              <w:t xml:space="preserve"> TDS; EC</w:t>
            </w:r>
          </w:p>
        </w:tc>
        <w:tc>
          <w:tcPr>
            <w:tcW w:w="0" w:type="auto"/>
            <w:noWrap/>
            <w:hideMark/>
          </w:tcPr>
          <w:p w14:paraId="2D3901D8"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0.288</w:t>
            </w:r>
          </w:p>
        </w:tc>
        <w:tc>
          <w:tcPr>
            <w:tcW w:w="0" w:type="auto"/>
            <w:noWrap/>
            <w:hideMark/>
          </w:tcPr>
          <w:p w14:paraId="7F087E73"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-3.023</w:t>
            </w:r>
          </w:p>
        </w:tc>
        <w:tc>
          <w:tcPr>
            <w:tcW w:w="0" w:type="auto"/>
            <w:noWrap/>
            <w:hideMark/>
          </w:tcPr>
          <w:p w14:paraId="03E810D2" w14:textId="77777777" w:rsidR="00ED2DE4" w:rsidRPr="0044741C" w:rsidRDefault="00ED2DE4" w:rsidP="001F4D09">
            <w:pPr>
              <w:jc w:val="right"/>
              <w:rPr>
                <w:rFonts w:eastAsia="Times New Roman" w:cs="Times New Roman"/>
                <w:i/>
                <w:iCs/>
                <w:color w:val="000000"/>
                <w:lang w:eastAsia="en-GB"/>
              </w:rPr>
            </w:pPr>
            <w:r w:rsidRPr="0044741C">
              <w:rPr>
                <w:rFonts w:eastAsia="Times New Roman" w:cs="Times New Roman"/>
                <w:iCs/>
                <w:color w:val="000000"/>
                <w:lang w:eastAsia="en-GB"/>
              </w:rPr>
              <w:t>0.619</w:t>
            </w:r>
          </w:p>
        </w:tc>
      </w:tr>
    </w:tbl>
    <w:p w14:paraId="5C32302B" w14:textId="77777777" w:rsidR="00ED2DE4" w:rsidRPr="00E45C91" w:rsidRDefault="00ED2DE4" w:rsidP="00ED2DE4"/>
    <w:p w14:paraId="0C6ECF8B" w14:textId="77777777" w:rsidR="00ED2DE4" w:rsidRPr="00E45C91" w:rsidRDefault="00ED2DE4" w:rsidP="00ED2DE4">
      <w:pPr>
        <w:spacing w:after="0"/>
      </w:pPr>
      <w:r>
        <w:t xml:space="preserve">Table </w:t>
      </w:r>
      <w:r w:rsidRPr="00E45C91">
        <w:t>10</w:t>
      </w:r>
      <w:r>
        <w:t>.</w:t>
      </w:r>
      <w:r w:rsidRPr="00E45C91">
        <w:t xml:space="preserve"> Deterministic hazard quotients and health-index summaries for adults, children, and teens exposed to groundwater fluoride and nitrate. </w:t>
      </w:r>
    </w:p>
    <w:tbl>
      <w:tblPr>
        <w:tblStyle w:val="Manu"/>
        <w:tblW w:w="5000" w:type="pct"/>
        <w:tblLook w:val="04A0" w:firstRow="1" w:lastRow="0" w:firstColumn="1" w:lastColumn="0" w:noHBand="0" w:noVBand="1"/>
      </w:tblPr>
      <w:tblGrid>
        <w:gridCol w:w="4894"/>
        <w:gridCol w:w="1608"/>
        <w:gridCol w:w="1980"/>
        <w:gridCol w:w="1480"/>
      </w:tblGrid>
      <w:tr w:rsidR="00ED2DE4" w:rsidRPr="00810EDD" w14:paraId="5CCC342C"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2456" w:type="pct"/>
            <w:noWrap/>
            <w:hideMark/>
          </w:tcPr>
          <w:p w14:paraId="121CCCE2" w14:textId="77777777" w:rsidR="00ED2DE4" w:rsidRPr="00810EDD" w:rsidRDefault="00ED2DE4" w:rsidP="001F4D09">
            <w:pPr>
              <w:jc w:val="left"/>
              <w:rPr>
                <w:rFonts w:eastAsia="Times New Roman" w:cs="Times New Roman"/>
                <w:i/>
                <w:iCs/>
                <w:color w:val="000000"/>
                <w:lang w:eastAsia="en-GB"/>
              </w:rPr>
            </w:pPr>
            <w:bookmarkStart w:id="51" w:name="table-11.-bayesian-risk"/>
            <w:bookmarkEnd w:id="50"/>
            <w:r w:rsidRPr="00CA1228">
              <w:rPr>
                <w:rFonts w:eastAsia="Times New Roman" w:cs="Times New Roman"/>
                <w:iCs/>
                <w:color w:val="000000"/>
                <w:lang w:eastAsia="en-GB"/>
              </w:rPr>
              <w:t>Demographic Group</w:t>
            </w:r>
          </w:p>
        </w:tc>
        <w:tc>
          <w:tcPr>
            <w:tcW w:w="807" w:type="pct"/>
            <w:noWrap/>
            <w:hideMark/>
          </w:tcPr>
          <w:p w14:paraId="75ECB538"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Adults</w:t>
            </w:r>
          </w:p>
        </w:tc>
        <w:tc>
          <w:tcPr>
            <w:tcW w:w="994" w:type="pct"/>
            <w:noWrap/>
            <w:hideMark/>
          </w:tcPr>
          <w:p w14:paraId="14F10B40"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Children</w:t>
            </w:r>
          </w:p>
        </w:tc>
        <w:tc>
          <w:tcPr>
            <w:tcW w:w="744" w:type="pct"/>
            <w:noWrap/>
            <w:hideMark/>
          </w:tcPr>
          <w:p w14:paraId="7E494AEC"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Teens</w:t>
            </w:r>
          </w:p>
        </w:tc>
      </w:tr>
      <w:tr w:rsidR="00ED2DE4" w:rsidRPr="00810EDD" w14:paraId="51120C9F" w14:textId="77777777" w:rsidTr="001F4D09">
        <w:trPr>
          <w:trHeight w:val="300"/>
        </w:trPr>
        <w:tc>
          <w:tcPr>
            <w:tcW w:w="2456" w:type="pct"/>
            <w:noWrap/>
            <w:hideMark/>
          </w:tcPr>
          <w:p w14:paraId="20FA6051" w14:textId="77777777" w:rsidR="00ED2DE4" w:rsidRPr="00810EDD" w:rsidRDefault="00ED2DE4" w:rsidP="001F4D09">
            <w:pPr>
              <w:jc w:val="left"/>
              <w:rPr>
                <w:rFonts w:eastAsia="Times New Roman" w:cs="Times New Roman"/>
                <w:i/>
                <w:iCs/>
                <w:color w:val="000000"/>
                <w:lang w:eastAsia="en-GB"/>
              </w:rPr>
            </w:pPr>
            <m:oMath>
              <m:r>
                <w:rPr>
                  <w:rFonts w:ascii="Cambria Math" w:eastAsia="Times New Roman" w:hAnsi="Cambria Math" w:cs="Times New Roman"/>
                  <w:color w:val="000000"/>
                  <w:lang w:eastAsia="en-GB"/>
                </w:rPr>
                <m:t>H</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Q</m:t>
                  </m:r>
                </m:e>
                <m:sub>
                  <m:r>
                    <w:rPr>
                      <w:rFonts w:ascii="Cambria Math" w:eastAsia="Times New Roman" w:hAnsi="Cambria Math" w:cs="Times New Roman"/>
                      <w:color w:val="000000"/>
                      <w:lang w:eastAsia="en-GB"/>
                    </w:rPr>
                    <m:t>F</m:t>
                  </m:r>
                </m:sub>
              </m:sSub>
            </m:oMath>
            <w:r w:rsidRPr="00CA1228">
              <w:rPr>
                <w:rFonts w:eastAsia="Times New Roman" w:cs="Times New Roman"/>
                <w:iCs/>
                <w:color w:val="000000"/>
                <w:lang w:eastAsia="en-GB"/>
              </w:rPr>
              <w:t xml:space="preserve"> </w:t>
            </w:r>
            <w:r w:rsidRPr="00810EDD">
              <w:rPr>
                <w:rFonts w:eastAsia="Times New Roman" w:cs="Times New Roman"/>
                <w:iCs/>
                <w:color w:val="000000"/>
                <w:lang w:eastAsia="en-GB"/>
              </w:rPr>
              <w:t>Mean</w:t>
            </w:r>
          </w:p>
        </w:tc>
        <w:tc>
          <w:tcPr>
            <w:tcW w:w="807" w:type="pct"/>
            <w:noWrap/>
            <w:hideMark/>
          </w:tcPr>
          <w:p w14:paraId="404DBF38"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0.933</w:t>
            </w:r>
          </w:p>
        </w:tc>
        <w:tc>
          <w:tcPr>
            <w:tcW w:w="994" w:type="pct"/>
            <w:noWrap/>
            <w:hideMark/>
          </w:tcPr>
          <w:p w14:paraId="01AD9F3D"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1.493</w:t>
            </w:r>
          </w:p>
        </w:tc>
        <w:tc>
          <w:tcPr>
            <w:tcW w:w="744" w:type="pct"/>
            <w:noWrap/>
            <w:hideMark/>
          </w:tcPr>
          <w:p w14:paraId="7CC29D1B"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0.746</w:t>
            </w:r>
          </w:p>
        </w:tc>
      </w:tr>
      <w:tr w:rsidR="00ED2DE4" w:rsidRPr="00810EDD" w14:paraId="03B69D8C" w14:textId="77777777" w:rsidTr="001F4D09">
        <w:trPr>
          <w:trHeight w:val="300"/>
        </w:trPr>
        <w:tc>
          <w:tcPr>
            <w:tcW w:w="2456" w:type="pct"/>
            <w:noWrap/>
            <w:hideMark/>
          </w:tcPr>
          <w:p w14:paraId="3C7B0B40" w14:textId="77777777" w:rsidR="00ED2DE4" w:rsidRPr="00810EDD" w:rsidRDefault="00ED2DE4" w:rsidP="001F4D09">
            <w:pPr>
              <w:jc w:val="left"/>
              <w:rPr>
                <w:rFonts w:eastAsia="Times New Roman" w:cs="Times New Roman"/>
                <w:i/>
                <w:iCs/>
                <w:color w:val="000000"/>
                <w:lang w:eastAsia="en-GB"/>
              </w:rPr>
            </w:pPr>
            <m:oMath>
              <m:r>
                <w:rPr>
                  <w:rFonts w:ascii="Cambria Math" w:eastAsia="Times New Roman" w:hAnsi="Cambria Math" w:cs="Times New Roman"/>
                  <w:color w:val="000000"/>
                  <w:lang w:eastAsia="en-GB"/>
                </w:rPr>
                <m:t>H</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Q</m:t>
                  </m:r>
                </m:e>
                <m:sub>
                  <m:r>
                    <w:rPr>
                      <w:rFonts w:ascii="Cambria Math" w:eastAsia="Times New Roman" w:hAnsi="Cambria Math" w:cs="Times New Roman"/>
                      <w:color w:val="000000"/>
                      <w:lang w:eastAsia="en-GB"/>
                    </w:rPr>
                    <m:t>F</m:t>
                  </m:r>
                </m:sub>
              </m:sSub>
            </m:oMath>
            <w:r w:rsidRPr="00CA1228">
              <w:rPr>
                <w:rFonts w:eastAsia="Times New Roman" w:cs="Times New Roman"/>
                <w:iCs/>
                <w:color w:val="000000"/>
                <w:lang w:eastAsia="en-GB"/>
              </w:rPr>
              <w:t xml:space="preserve"> </w:t>
            </w:r>
            <w:r w:rsidRPr="00810EDD">
              <w:rPr>
                <w:rFonts w:eastAsia="Times New Roman" w:cs="Times New Roman"/>
                <w:iCs/>
                <w:color w:val="000000"/>
                <w:lang w:eastAsia="en-GB"/>
              </w:rPr>
              <w:t>P95</w:t>
            </w:r>
          </w:p>
        </w:tc>
        <w:tc>
          <w:tcPr>
            <w:tcW w:w="807" w:type="pct"/>
            <w:noWrap/>
            <w:hideMark/>
          </w:tcPr>
          <w:p w14:paraId="576B67C5"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2.862</w:t>
            </w:r>
          </w:p>
        </w:tc>
        <w:tc>
          <w:tcPr>
            <w:tcW w:w="994" w:type="pct"/>
            <w:noWrap/>
            <w:hideMark/>
          </w:tcPr>
          <w:p w14:paraId="4E78E262"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4.579</w:t>
            </w:r>
          </w:p>
        </w:tc>
        <w:tc>
          <w:tcPr>
            <w:tcW w:w="744" w:type="pct"/>
            <w:noWrap/>
            <w:hideMark/>
          </w:tcPr>
          <w:p w14:paraId="0E91A012"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2.290</w:t>
            </w:r>
          </w:p>
        </w:tc>
      </w:tr>
      <w:tr w:rsidR="00ED2DE4" w:rsidRPr="00810EDD" w14:paraId="3FE70755" w14:textId="77777777" w:rsidTr="001F4D09">
        <w:trPr>
          <w:trHeight w:val="300"/>
        </w:trPr>
        <w:tc>
          <w:tcPr>
            <w:tcW w:w="2456" w:type="pct"/>
            <w:noWrap/>
            <w:hideMark/>
          </w:tcPr>
          <w:p w14:paraId="0FC6B085" w14:textId="77777777" w:rsidR="00ED2DE4" w:rsidRPr="00810EDD" w:rsidRDefault="00ED2DE4" w:rsidP="001F4D09">
            <w:pPr>
              <w:jc w:val="left"/>
              <w:rPr>
                <w:rFonts w:eastAsia="Times New Roman" w:cs="Times New Roman"/>
                <w:i/>
                <w:iCs/>
                <w:color w:val="000000"/>
                <w:lang w:eastAsia="en-GB"/>
              </w:rPr>
            </w:pPr>
            <m:oMath>
              <m:r>
                <w:rPr>
                  <w:rFonts w:ascii="Cambria Math" w:eastAsia="Times New Roman" w:hAnsi="Cambria Math" w:cs="Times New Roman"/>
                  <w:color w:val="000000"/>
                  <w:lang w:eastAsia="en-GB"/>
                </w:rPr>
                <m:t>H</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Q</m:t>
                  </m:r>
                </m:e>
                <m:sub>
                  <m:r>
                    <w:rPr>
                      <w:rFonts w:ascii="Cambria Math" w:eastAsia="Times New Roman" w:hAnsi="Cambria Math" w:cs="Times New Roman"/>
                      <w:color w:val="000000"/>
                      <w:lang w:eastAsia="en-GB"/>
                    </w:rPr>
                    <m:t>N</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O</m:t>
                      </m:r>
                    </m:e>
                    <m:sub>
                      <m:r>
                        <w:rPr>
                          <w:rFonts w:ascii="Cambria Math" w:eastAsia="Times New Roman" w:hAnsi="Cambria Math" w:cs="Times New Roman"/>
                          <w:color w:val="000000"/>
                          <w:lang w:eastAsia="en-GB"/>
                        </w:rPr>
                        <m:t>3</m:t>
                      </m:r>
                    </m:sub>
                  </m:sSub>
                </m:sub>
              </m:sSub>
            </m:oMath>
            <w:r w:rsidRPr="00CA1228">
              <w:rPr>
                <w:rFonts w:eastAsia="Times New Roman" w:cs="Times New Roman"/>
                <w:iCs/>
                <w:color w:val="000000"/>
                <w:lang w:eastAsia="en-GB"/>
              </w:rPr>
              <w:t xml:space="preserve"> </w:t>
            </w:r>
            <w:r w:rsidRPr="00810EDD">
              <w:rPr>
                <w:rFonts w:eastAsia="Times New Roman" w:cs="Times New Roman"/>
                <w:iCs/>
                <w:color w:val="000000"/>
                <w:lang w:eastAsia="en-GB"/>
              </w:rPr>
              <w:t>Mean</w:t>
            </w:r>
          </w:p>
        </w:tc>
        <w:tc>
          <w:tcPr>
            <w:tcW w:w="807" w:type="pct"/>
            <w:noWrap/>
            <w:hideMark/>
          </w:tcPr>
          <w:p w14:paraId="546E9BAF"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0.204</w:t>
            </w:r>
          </w:p>
        </w:tc>
        <w:tc>
          <w:tcPr>
            <w:tcW w:w="994" w:type="pct"/>
            <w:noWrap/>
            <w:hideMark/>
          </w:tcPr>
          <w:p w14:paraId="32575959"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0.327</w:t>
            </w:r>
          </w:p>
        </w:tc>
        <w:tc>
          <w:tcPr>
            <w:tcW w:w="744" w:type="pct"/>
            <w:noWrap/>
            <w:hideMark/>
          </w:tcPr>
          <w:p w14:paraId="5C0B7DD4"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0.163</w:t>
            </w:r>
          </w:p>
        </w:tc>
      </w:tr>
      <w:tr w:rsidR="00ED2DE4" w:rsidRPr="00810EDD" w14:paraId="27113A68" w14:textId="77777777" w:rsidTr="001F4D09">
        <w:trPr>
          <w:trHeight w:val="300"/>
        </w:trPr>
        <w:tc>
          <w:tcPr>
            <w:tcW w:w="2456" w:type="pct"/>
            <w:noWrap/>
            <w:hideMark/>
          </w:tcPr>
          <w:p w14:paraId="1D110F23" w14:textId="77777777" w:rsidR="00ED2DE4" w:rsidRPr="00810EDD" w:rsidRDefault="00ED2DE4" w:rsidP="001F4D09">
            <w:pPr>
              <w:jc w:val="left"/>
              <w:rPr>
                <w:rFonts w:eastAsia="Times New Roman" w:cs="Times New Roman"/>
                <w:i/>
                <w:iCs/>
                <w:color w:val="000000"/>
                <w:lang w:eastAsia="en-GB"/>
              </w:rPr>
            </w:pPr>
            <m:oMath>
              <m:r>
                <w:rPr>
                  <w:rFonts w:ascii="Cambria Math" w:eastAsia="Times New Roman" w:hAnsi="Cambria Math" w:cs="Times New Roman"/>
                  <w:color w:val="000000"/>
                  <w:lang w:eastAsia="en-GB"/>
                </w:rPr>
                <m:t>H</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Q</m:t>
                  </m:r>
                </m:e>
                <m:sub>
                  <m:r>
                    <w:rPr>
                      <w:rFonts w:ascii="Cambria Math" w:eastAsia="Times New Roman" w:hAnsi="Cambria Math" w:cs="Times New Roman"/>
                      <w:color w:val="000000"/>
                      <w:lang w:eastAsia="en-GB"/>
                    </w:rPr>
                    <m:t>N</m:t>
                  </m:r>
                  <m:sSub>
                    <m:sSubPr>
                      <m:ctrlPr>
                        <w:rPr>
                          <w:rFonts w:ascii="Cambria Math" w:eastAsia="Times New Roman" w:hAnsi="Cambria Math" w:cs="Times New Roman"/>
                          <w:iCs/>
                          <w:color w:val="000000"/>
                          <w:lang w:eastAsia="en-GB"/>
                        </w:rPr>
                      </m:ctrlPr>
                    </m:sSubPr>
                    <m:e>
                      <m:r>
                        <w:rPr>
                          <w:rFonts w:ascii="Cambria Math" w:eastAsia="Times New Roman" w:hAnsi="Cambria Math" w:cs="Times New Roman"/>
                          <w:color w:val="000000"/>
                          <w:lang w:eastAsia="en-GB"/>
                        </w:rPr>
                        <m:t>O</m:t>
                      </m:r>
                    </m:e>
                    <m:sub>
                      <m:r>
                        <w:rPr>
                          <w:rFonts w:ascii="Cambria Math" w:eastAsia="Times New Roman" w:hAnsi="Cambria Math" w:cs="Times New Roman"/>
                          <w:color w:val="000000"/>
                          <w:lang w:eastAsia="en-GB"/>
                        </w:rPr>
                        <m:t>3</m:t>
                      </m:r>
                    </m:sub>
                  </m:sSub>
                </m:sub>
              </m:sSub>
            </m:oMath>
            <w:r w:rsidRPr="00CA1228">
              <w:rPr>
                <w:rFonts w:eastAsia="Times New Roman" w:cs="Times New Roman"/>
                <w:iCs/>
                <w:color w:val="000000"/>
                <w:lang w:eastAsia="en-GB"/>
              </w:rPr>
              <w:t xml:space="preserve"> </w:t>
            </w:r>
            <w:r w:rsidRPr="00810EDD">
              <w:rPr>
                <w:rFonts w:eastAsia="Times New Roman" w:cs="Times New Roman"/>
                <w:iCs/>
                <w:color w:val="000000"/>
                <w:lang w:eastAsia="en-GB"/>
              </w:rPr>
              <w:t>P95</w:t>
            </w:r>
          </w:p>
        </w:tc>
        <w:tc>
          <w:tcPr>
            <w:tcW w:w="807" w:type="pct"/>
            <w:noWrap/>
            <w:hideMark/>
          </w:tcPr>
          <w:p w14:paraId="327E8197"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0.831</w:t>
            </w:r>
          </w:p>
        </w:tc>
        <w:tc>
          <w:tcPr>
            <w:tcW w:w="994" w:type="pct"/>
            <w:noWrap/>
            <w:hideMark/>
          </w:tcPr>
          <w:p w14:paraId="3A3E4975"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1.330</w:t>
            </w:r>
          </w:p>
        </w:tc>
        <w:tc>
          <w:tcPr>
            <w:tcW w:w="744" w:type="pct"/>
            <w:noWrap/>
            <w:hideMark/>
          </w:tcPr>
          <w:p w14:paraId="0294F1E9"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0.665</w:t>
            </w:r>
          </w:p>
        </w:tc>
      </w:tr>
      <w:tr w:rsidR="00ED2DE4" w:rsidRPr="00810EDD" w14:paraId="77FF23DD" w14:textId="77777777" w:rsidTr="001F4D09">
        <w:trPr>
          <w:trHeight w:val="300"/>
        </w:trPr>
        <w:tc>
          <w:tcPr>
            <w:tcW w:w="2456" w:type="pct"/>
            <w:noWrap/>
            <w:hideMark/>
          </w:tcPr>
          <w:p w14:paraId="5AFA7B8D"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HI</w:t>
            </w:r>
            <w:r w:rsidRPr="00CA1228">
              <w:rPr>
                <w:rFonts w:eastAsia="Times New Roman" w:cs="Times New Roman"/>
                <w:iCs/>
                <w:color w:val="000000"/>
                <w:lang w:eastAsia="en-GB"/>
              </w:rPr>
              <w:t xml:space="preserve"> </w:t>
            </w:r>
            <w:r w:rsidRPr="00810EDD">
              <w:rPr>
                <w:rFonts w:eastAsia="Times New Roman" w:cs="Times New Roman"/>
                <w:iCs/>
                <w:color w:val="000000"/>
                <w:lang w:eastAsia="en-GB"/>
              </w:rPr>
              <w:t>Skeletal</w:t>
            </w:r>
            <w:r w:rsidRPr="00CA1228">
              <w:rPr>
                <w:rFonts w:eastAsia="Times New Roman" w:cs="Times New Roman"/>
                <w:iCs/>
                <w:color w:val="000000"/>
                <w:lang w:eastAsia="en-GB"/>
              </w:rPr>
              <w:t xml:space="preserve"> </w:t>
            </w:r>
            <w:r w:rsidRPr="00810EDD">
              <w:rPr>
                <w:rFonts w:eastAsia="Times New Roman" w:cs="Times New Roman"/>
                <w:iCs/>
                <w:color w:val="000000"/>
                <w:lang w:eastAsia="en-GB"/>
              </w:rPr>
              <w:t>Dental</w:t>
            </w:r>
            <w:r w:rsidRPr="00CA1228">
              <w:rPr>
                <w:rFonts w:eastAsia="Times New Roman" w:cs="Times New Roman"/>
                <w:iCs/>
                <w:color w:val="000000"/>
                <w:lang w:eastAsia="en-GB"/>
              </w:rPr>
              <w:t xml:space="preserve"> </w:t>
            </w:r>
            <w:r w:rsidRPr="00810EDD">
              <w:rPr>
                <w:rFonts w:eastAsia="Times New Roman" w:cs="Times New Roman"/>
                <w:iCs/>
                <w:color w:val="000000"/>
                <w:lang w:eastAsia="en-GB"/>
              </w:rPr>
              <w:t>Mean</w:t>
            </w:r>
          </w:p>
        </w:tc>
        <w:tc>
          <w:tcPr>
            <w:tcW w:w="807" w:type="pct"/>
            <w:noWrap/>
            <w:hideMark/>
          </w:tcPr>
          <w:p w14:paraId="5662C3E9"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0.933</w:t>
            </w:r>
          </w:p>
        </w:tc>
        <w:tc>
          <w:tcPr>
            <w:tcW w:w="994" w:type="pct"/>
            <w:noWrap/>
            <w:hideMark/>
          </w:tcPr>
          <w:p w14:paraId="2602ACDE"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1.493</w:t>
            </w:r>
          </w:p>
        </w:tc>
        <w:tc>
          <w:tcPr>
            <w:tcW w:w="744" w:type="pct"/>
            <w:noWrap/>
            <w:hideMark/>
          </w:tcPr>
          <w:p w14:paraId="4FAE97B7"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0.746</w:t>
            </w:r>
          </w:p>
        </w:tc>
      </w:tr>
      <w:tr w:rsidR="00ED2DE4" w:rsidRPr="00810EDD" w14:paraId="6656E8BC" w14:textId="77777777" w:rsidTr="001F4D09">
        <w:trPr>
          <w:trHeight w:val="300"/>
        </w:trPr>
        <w:tc>
          <w:tcPr>
            <w:tcW w:w="2456" w:type="pct"/>
            <w:noWrap/>
            <w:hideMark/>
          </w:tcPr>
          <w:p w14:paraId="120FD411"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HI</w:t>
            </w:r>
            <w:r w:rsidRPr="00CA1228">
              <w:rPr>
                <w:rFonts w:eastAsia="Times New Roman" w:cs="Times New Roman"/>
                <w:iCs/>
                <w:color w:val="000000"/>
                <w:lang w:eastAsia="en-GB"/>
              </w:rPr>
              <w:t xml:space="preserve"> </w:t>
            </w:r>
            <w:proofErr w:type="spellStart"/>
            <w:r w:rsidRPr="00810EDD">
              <w:rPr>
                <w:rFonts w:eastAsia="Times New Roman" w:cs="Times New Roman"/>
                <w:iCs/>
                <w:color w:val="000000"/>
                <w:lang w:eastAsia="en-GB"/>
              </w:rPr>
              <w:t>Hemato</w:t>
            </w:r>
            <w:proofErr w:type="spellEnd"/>
            <w:r w:rsidRPr="00CA1228">
              <w:rPr>
                <w:rFonts w:eastAsia="Times New Roman" w:cs="Times New Roman"/>
                <w:iCs/>
                <w:color w:val="000000"/>
                <w:lang w:eastAsia="en-GB"/>
              </w:rPr>
              <w:t xml:space="preserve"> </w:t>
            </w:r>
            <w:r w:rsidRPr="00810EDD">
              <w:rPr>
                <w:rFonts w:eastAsia="Times New Roman" w:cs="Times New Roman"/>
                <w:iCs/>
                <w:color w:val="000000"/>
                <w:lang w:eastAsia="en-GB"/>
              </w:rPr>
              <w:t>Mean</w:t>
            </w:r>
          </w:p>
        </w:tc>
        <w:tc>
          <w:tcPr>
            <w:tcW w:w="807" w:type="pct"/>
            <w:noWrap/>
            <w:hideMark/>
          </w:tcPr>
          <w:p w14:paraId="0447508B"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0.204</w:t>
            </w:r>
          </w:p>
        </w:tc>
        <w:tc>
          <w:tcPr>
            <w:tcW w:w="994" w:type="pct"/>
            <w:noWrap/>
            <w:hideMark/>
          </w:tcPr>
          <w:p w14:paraId="3EE99919"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0.327</w:t>
            </w:r>
          </w:p>
        </w:tc>
        <w:tc>
          <w:tcPr>
            <w:tcW w:w="744" w:type="pct"/>
            <w:noWrap/>
            <w:hideMark/>
          </w:tcPr>
          <w:p w14:paraId="22A31B31" w14:textId="77777777" w:rsidR="00ED2DE4" w:rsidRPr="00810EDD" w:rsidRDefault="00ED2DE4" w:rsidP="001F4D09">
            <w:pPr>
              <w:jc w:val="left"/>
              <w:rPr>
                <w:rFonts w:eastAsia="Times New Roman" w:cs="Times New Roman"/>
                <w:i/>
                <w:iCs/>
                <w:color w:val="000000"/>
                <w:lang w:eastAsia="en-GB"/>
              </w:rPr>
            </w:pPr>
            <w:r w:rsidRPr="00810EDD">
              <w:rPr>
                <w:rFonts w:eastAsia="Times New Roman" w:cs="Times New Roman"/>
                <w:iCs/>
                <w:color w:val="000000"/>
                <w:lang w:eastAsia="en-GB"/>
              </w:rPr>
              <w:t>0.163</w:t>
            </w:r>
          </w:p>
        </w:tc>
      </w:tr>
    </w:tbl>
    <w:p w14:paraId="2F2B6E82" w14:textId="77777777" w:rsidR="00ED2DE4" w:rsidRPr="00E45C91" w:rsidRDefault="00ED2DE4" w:rsidP="00ED2DE4"/>
    <w:p w14:paraId="303B2E85" w14:textId="77777777" w:rsidR="00ED2DE4" w:rsidRPr="00E45C91" w:rsidRDefault="00ED2DE4" w:rsidP="00ED2DE4">
      <w:pPr>
        <w:spacing w:after="0"/>
      </w:pPr>
      <w:r>
        <w:t xml:space="preserve">Table </w:t>
      </w:r>
      <w:r w:rsidRPr="00E45C91">
        <w:t>11</w:t>
      </w:r>
      <w:r>
        <w:t>.</w:t>
      </w:r>
      <w:r w:rsidRPr="00E45C91">
        <w:t xml:space="preserve"> Bayesian posterior summaries of non-carcinogenic health indices for adults, children, and teens. </w:t>
      </w:r>
    </w:p>
    <w:tbl>
      <w:tblPr>
        <w:tblStyle w:val="Manu"/>
        <w:tblW w:w="5000" w:type="pct"/>
        <w:tblLook w:val="04A0" w:firstRow="1" w:lastRow="0" w:firstColumn="1" w:lastColumn="0" w:noHBand="0" w:noVBand="1"/>
      </w:tblPr>
      <w:tblGrid>
        <w:gridCol w:w="2865"/>
        <w:gridCol w:w="2082"/>
        <w:gridCol w:w="1403"/>
        <w:gridCol w:w="1064"/>
        <w:gridCol w:w="1221"/>
        <w:gridCol w:w="1327"/>
      </w:tblGrid>
      <w:tr w:rsidR="00ED2DE4" w:rsidRPr="006D2A4B" w14:paraId="2623449A"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1438" w:type="pct"/>
            <w:noWrap/>
            <w:hideMark/>
          </w:tcPr>
          <w:p w14:paraId="69746E1E" w14:textId="77777777" w:rsidR="00ED2DE4" w:rsidRPr="00D1516B" w:rsidRDefault="00ED2DE4" w:rsidP="001F4D09">
            <w:pPr>
              <w:jc w:val="left"/>
              <w:rPr>
                <w:rFonts w:eastAsia="Times New Roman" w:cs="Times New Roman"/>
                <w:i/>
                <w:iCs/>
                <w:color w:val="000000"/>
                <w:lang w:eastAsia="en-GB"/>
              </w:rPr>
            </w:pPr>
            <w:bookmarkStart w:id="52" w:name="table-12.-irrigation-indices"/>
            <w:bookmarkEnd w:id="51"/>
            <w:r w:rsidRPr="006D2A4B">
              <w:rPr>
                <w:rFonts w:eastAsia="Times New Roman" w:cs="Times New Roman"/>
                <w:iCs/>
                <w:color w:val="000000"/>
                <w:lang w:eastAsia="en-GB"/>
              </w:rPr>
              <w:t>Demographic Group</w:t>
            </w:r>
          </w:p>
        </w:tc>
        <w:tc>
          <w:tcPr>
            <w:tcW w:w="1045" w:type="pct"/>
            <w:noWrap/>
            <w:vAlign w:val="center"/>
            <w:hideMark/>
          </w:tcPr>
          <w:p w14:paraId="32B171E1" w14:textId="77777777" w:rsidR="00ED2DE4" w:rsidRPr="00D1516B" w:rsidRDefault="00ED2DE4" w:rsidP="001F4D09">
            <w:pPr>
              <w:jc w:val="left"/>
              <w:rPr>
                <w:rFonts w:eastAsia="Times New Roman" w:cs="Times New Roman"/>
                <w:i/>
                <w:iCs/>
                <w:color w:val="000000"/>
                <w:lang w:eastAsia="en-GB"/>
              </w:rPr>
            </w:pPr>
            <w:r w:rsidRPr="006D2A4B">
              <w:rPr>
                <w:rFonts w:eastAsia="Times New Roman" w:cs="Times New Roman"/>
                <w:iCs/>
                <w:color w:val="000000"/>
                <w:lang w:eastAsia="en-GB"/>
              </w:rPr>
              <w:t>Organ System</w:t>
            </w:r>
          </w:p>
        </w:tc>
        <w:tc>
          <w:tcPr>
            <w:tcW w:w="704" w:type="pct"/>
            <w:noWrap/>
            <w:vAlign w:val="center"/>
            <w:hideMark/>
          </w:tcPr>
          <w:p w14:paraId="5C6A9DAD"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Mean</w:t>
            </w:r>
            <w:r w:rsidRPr="006D2A4B">
              <w:rPr>
                <w:rFonts w:eastAsia="Times New Roman" w:cs="Times New Roman"/>
                <w:iCs/>
                <w:color w:val="000000"/>
                <w:lang w:eastAsia="en-GB"/>
              </w:rPr>
              <w:t xml:space="preserve"> </w:t>
            </w:r>
            <w:r w:rsidRPr="00D1516B">
              <w:rPr>
                <w:rFonts w:eastAsia="Times New Roman" w:cs="Times New Roman"/>
                <w:iCs/>
                <w:color w:val="000000"/>
                <w:lang w:eastAsia="en-GB"/>
              </w:rPr>
              <w:t>HI</w:t>
            </w:r>
          </w:p>
        </w:tc>
        <w:tc>
          <w:tcPr>
            <w:tcW w:w="534" w:type="pct"/>
            <w:noWrap/>
            <w:vAlign w:val="center"/>
            <w:hideMark/>
          </w:tcPr>
          <w:p w14:paraId="012FE6FE"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CI</w:t>
            </w:r>
            <w:r w:rsidRPr="006D2A4B">
              <w:rPr>
                <w:rFonts w:eastAsia="Times New Roman" w:cs="Times New Roman"/>
                <w:iCs/>
                <w:color w:val="000000"/>
                <w:lang w:eastAsia="en-GB"/>
              </w:rPr>
              <w:t xml:space="preserve"> </w:t>
            </w:r>
            <w:r w:rsidRPr="00D1516B">
              <w:rPr>
                <w:rFonts w:eastAsia="Times New Roman" w:cs="Times New Roman"/>
                <w:iCs/>
                <w:color w:val="000000"/>
                <w:lang w:eastAsia="en-GB"/>
              </w:rPr>
              <w:t>2</w:t>
            </w:r>
            <w:r w:rsidRPr="006D2A4B">
              <w:rPr>
                <w:rFonts w:eastAsia="Times New Roman" w:cs="Times New Roman"/>
                <w:iCs/>
                <w:color w:val="000000"/>
                <w:lang w:eastAsia="en-GB"/>
              </w:rPr>
              <w:t>.</w:t>
            </w:r>
            <w:r w:rsidRPr="00D1516B">
              <w:rPr>
                <w:rFonts w:eastAsia="Times New Roman" w:cs="Times New Roman"/>
                <w:iCs/>
                <w:color w:val="000000"/>
                <w:lang w:eastAsia="en-GB"/>
              </w:rPr>
              <w:t>5</w:t>
            </w:r>
          </w:p>
        </w:tc>
        <w:tc>
          <w:tcPr>
            <w:tcW w:w="613" w:type="pct"/>
            <w:noWrap/>
            <w:vAlign w:val="center"/>
            <w:hideMark/>
          </w:tcPr>
          <w:p w14:paraId="25BD5C64"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CI</w:t>
            </w:r>
            <w:r w:rsidRPr="006D2A4B">
              <w:rPr>
                <w:rFonts w:eastAsia="Times New Roman" w:cs="Times New Roman"/>
                <w:iCs/>
                <w:color w:val="000000"/>
                <w:lang w:eastAsia="en-GB"/>
              </w:rPr>
              <w:t xml:space="preserve"> </w:t>
            </w:r>
            <w:r w:rsidRPr="00D1516B">
              <w:rPr>
                <w:rFonts w:eastAsia="Times New Roman" w:cs="Times New Roman"/>
                <w:iCs/>
                <w:color w:val="000000"/>
                <w:lang w:eastAsia="en-GB"/>
              </w:rPr>
              <w:t>97</w:t>
            </w:r>
            <w:r w:rsidRPr="006D2A4B">
              <w:rPr>
                <w:rFonts w:eastAsia="Times New Roman" w:cs="Times New Roman"/>
                <w:iCs/>
                <w:color w:val="000000"/>
                <w:lang w:eastAsia="en-GB"/>
              </w:rPr>
              <w:t>.</w:t>
            </w:r>
            <w:r w:rsidRPr="00D1516B">
              <w:rPr>
                <w:rFonts w:eastAsia="Times New Roman" w:cs="Times New Roman"/>
                <w:iCs/>
                <w:color w:val="000000"/>
                <w:lang w:eastAsia="en-GB"/>
              </w:rPr>
              <w:t>5</w:t>
            </w:r>
          </w:p>
        </w:tc>
        <w:tc>
          <w:tcPr>
            <w:tcW w:w="666" w:type="pct"/>
            <w:noWrap/>
            <w:vAlign w:val="center"/>
            <w:hideMark/>
          </w:tcPr>
          <w:p w14:paraId="6C8E320E"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P</w:t>
            </w:r>
            <w:r w:rsidRPr="006D2A4B">
              <w:rPr>
                <w:rFonts w:eastAsia="Times New Roman" w:cs="Times New Roman"/>
                <w:iCs/>
                <w:color w:val="000000"/>
                <w:lang w:eastAsia="en-GB"/>
              </w:rPr>
              <w:t>(</w:t>
            </w:r>
            <w:r w:rsidRPr="00D1516B">
              <w:rPr>
                <w:rFonts w:eastAsia="Times New Roman" w:cs="Times New Roman"/>
                <w:iCs/>
                <w:color w:val="000000"/>
                <w:lang w:eastAsia="en-GB"/>
              </w:rPr>
              <w:t>HI</w:t>
            </w:r>
            <w:r w:rsidRPr="006D2A4B">
              <w:rPr>
                <w:rFonts w:eastAsia="Times New Roman" w:cs="Times New Roman"/>
                <w:iCs/>
                <w:color w:val="000000"/>
                <w:lang w:eastAsia="en-GB"/>
              </w:rPr>
              <w:t>&gt;</w:t>
            </w:r>
            <w:r w:rsidRPr="00D1516B">
              <w:rPr>
                <w:rFonts w:eastAsia="Times New Roman" w:cs="Times New Roman"/>
                <w:iCs/>
                <w:color w:val="000000"/>
                <w:lang w:eastAsia="en-GB"/>
              </w:rPr>
              <w:t>1</w:t>
            </w:r>
            <w:r w:rsidRPr="006D2A4B">
              <w:rPr>
                <w:rFonts w:eastAsia="Times New Roman" w:cs="Times New Roman"/>
                <w:iCs/>
                <w:color w:val="000000"/>
                <w:lang w:eastAsia="en-GB"/>
              </w:rPr>
              <w:t>)</w:t>
            </w:r>
          </w:p>
        </w:tc>
      </w:tr>
      <w:tr w:rsidR="00ED2DE4" w:rsidRPr="006D2A4B" w14:paraId="2A9965DF" w14:textId="77777777" w:rsidTr="001F4D09">
        <w:trPr>
          <w:trHeight w:val="300"/>
        </w:trPr>
        <w:tc>
          <w:tcPr>
            <w:tcW w:w="1438" w:type="pct"/>
            <w:noWrap/>
            <w:hideMark/>
          </w:tcPr>
          <w:p w14:paraId="320B8D68" w14:textId="77777777" w:rsidR="00ED2DE4" w:rsidRPr="00D1516B" w:rsidRDefault="00ED2DE4" w:rsidP="001F4D09">
            <w:pPr>
              <w:jc w:val="left"/>
              <w:rPr>
                <w:rFonts w:eastAsia="Times New Roman" w:cs="Times New Roman"/>
                <w:i/>
                <w:iCs/>
                <w:color w:val="000000"/>
                <w:lang w:eastAsia="en-GB"/>
              </w:rPr>
            </w:pPr>
            <w:r w:rsidRPr="00D1516B">
              <w:rPr>
                <w:rFonts w:eastAsia="Times New Roman" w:cs="Times New Roman"/>
                <w:iCs/>
                <w:color w:val="000000"/>
                <w:lang w:eastAsia="en-GB"/>
              </w:rPr>
              <w:t>Adults</w:t>
            </w:r>
          </w:p>
        </w:tc>
        <w:tc>
          <w:tcPr>
            <w:tcW w:w="1045" w:type="pct"/>
            <w:noWrap/>
            <w:vAlign w:val="center"/>
            <w:hideMark/>
          </w:tcPr>
          <w:p w14:paraId="003C90DF" w14:textId="77777777" w:rsidR="00ED2DE4" w:rsidRPr="00D1516B" w:rsidRDefault="00ED2DE4" w:rsidP="001F4D09">
            <w:pPr>
              <w:jc w:val="left"/>
              <w:rPr>
                <w:rFonts w:eastAsia="Times New Roman" w:cs="Times New Roman"/>
                <w:i/>
                <w:iCs/>
                <w:color w:val="000000"/>
                <w:lang w:eastAsia="en-GB"/>
              </w:rPr>
            </w:pPr>
            <w:r w:rsidRPr="006D2A4B">
              <w:rPr>
                <w:rFonts w:eastAsia="Times New Roman" w:cs="Times New Roman"/>
                <w:iCs/>
                <w:color w:val="000000"/>
                <w:lang w:eastAsia="en-GB"/>
              </w:rPr>
              <w:t>skeletal dental</w:t>
            </w:r>
          </w:p>
        </w:tc>
        <w:tc>
          <w:tcPr>
            <w:tcW w:w="704" w:type="pct"/>
            <w:noWrap/>
            <w:vAlign w:val="center"/>
            <w:hideMark/>
          </w:tcPr>
          <w:p w14:paraId="2E8E766E"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1.32</w:t>
            </w:r>
          </w:p>
        </w:tc>
        <w:tc>
          <w:tcPr>
            <w:tcW w:w="534" w:type="pct"/>
            <w:noWrap/>
            <w:vAlign w:val="center"/>
            <w:hideMark/>
          </w:tcPr>
          <w:p w14:paraId="2A623560"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0.10</w:t>
            </w:r>
          </w:p>
        </w:tc>
        <w:tc>
          <w:tcPr>
            <w:tcW w:w="613" w:type="pct"/>
            <w:noWrap/>
            <w:vAlign w:val="center"/>
            <w:hideMark/>
          </w:tcPr>
          <w:p w14:paraId="14A67CD1"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4.48</w:t>
            </w:r>
          </w:p>
        </w:tc>
        <w:tc>
          <w:tcPr>
            <w:tcW w:w="666" w:type="pct"/>
            <w:noWrap/>
            <w:vAlign w:val="center"/>
            <w:hideMark/>
          </w:tcPr>
          <w:p w14:paraId="520F28B4"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0.46</w:t>
            </w:r>
          </w:p>
        </w:tc>
      </w:tr>
      <w:tr w:rsidR="00ED2DE4" w:rsidRPr="006D2A4B" w14:paraId="5EDDC953" w14:textId="77777777" w:rsidTr="001F4D09">
        <w:trPr>
          <w:trHeight w:val="300"/>
        </w:trPr>
        <w:tc>
          <w:tcPr>
            <w:tcW w:w="1438" w:type="pct"/>
            <w:noWrap/>
            <w:hideMark/>
          </w:tcPr>
          <w:p w14:paraId="59E5E5BD" w14:textId="77777777" w:rsidR="00ED2DE4" w:rsidRPr="00D1516B" w:rsidRDefault="00ED2DE4" w:rsidP="001F4D09">
            <w:pPr>
              <w:jc w:val="left"/>
              <w:rPr>
                <w:rFonts w:eastAsia="Times New Roman" w:cs="Times New Roman"/>
                <w:i/>
                <w:iCs/>
                <w:color w:val="000000"/>
                <w:lang w:eastAsia="en-GB"/>
              </w:rPr>
            </w:pPr>
            <w:r w:rsidRPr="00D1516B">
              <w:rPr>
                <w:rFonts w:eastAsia="Times New Roman" w:cs="Times New Roman"/>
                <w:iCs/>
                <w:color w:val="000000"/>
                <w:lang w:eastAsia="en-GB"/>
              </w:rPr>
              <w:t>Adults</w:t>
            </w:r>
          </w:p>
        </w:tc>
        <w:tc>
          <w:tcPr>
            <w:tcW w:w="1045" w:type="pct"/>
            <w:noWrap/>
            <w:vAlign w:val="center"/>
            <w:hideMark/>
          </w:tcPr>
          <w:p w14:paraId="63AB79AC" w14:textId="77777777" w:rsidR="00ED2DE4" w:rsidRPr="00D1516B" w:rsidRDefault="00ED2DE4" w:rsidP="001F4D09">
            <w:pPr>
              <w:jc w:val="left"/>
              <w:rPr>
                <w:rFonts w:eastAsia="Times New Roman" w:cs="Times New Roman"/>
                <w:i/>
                <w:iCs/>
                <w:color w:val="000000"/>
                <w:lang w:eastAsia="en-GB"/>
              </w:rPr>
            </w:pPr>
            <w:proofErr w:type="spellStart"/>
            <w:r w:rsidRPr="00D1516B">
              <w:rPr>
                <w:rFonts w:eastAsia="Times New Roman" w:cs="Times New Roman"/>
                <w:iCs/>
                <w:color w:val="000000"/>
                <w:lang w:eastAsia="en-GB"/>
              </w:rPr>
              <w:t>hemato</w:t>
            </w:r>
            <w:proofErr w:type="spellEnd"/>
          </w:p>
        </w:tc>
        <w:tc>
          <w:tcPr>
            <w:tcW w:w="704" w:type="pct"/>
            <w:noWrap/>
            <w:vAlign w:val="center"/>
            <w:hideMark/>
          </w:tcPr>
          <w:p w14:paraId="4467988C"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0.36</w:t>
            </w:r>
          </w:p>
        </w:tc>
        <w:tc>
          <w:tcPr>
            <w:tcW w:w="534" w:type="pct"/>
            <w:noWrap/>
            <w:vAlign w:val="center"/>
            <w:hideMark/>
          </w:tcPr>
          <w:p w14:paraId="5553FD43"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0.02</w:t>
            </w:r>
          </w:p>
        </w:tc>
        <w:tc>
          <w:tcPr>
            <w:tcW w:w="613" w:type="pct"/>
            <w:noWrap/>
            <w:vAlign w:val="center"/>
            <w:hideMark/>
          </w:tcPr>
          <w:p w14:paraId="1227DB58"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1.06</w:t>
            </w:r>
          </w:p>
        </w:tc>
        <w:tc>
          <w:tcPr>
            <w:tcW w:w="666" w:type="pct"/>
            <w:noWrap/>
            <w:vAlign w:val="center"/>
            <w:hideMark/>
          </w:tcPr>
          <w:p w14:paraId="1E1676F1"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0.05</w:t>
            </w:r>
          </w:p>
        </w:tc>
      </w:tr>
      <w:tr w:rsidR="00ED2DE4" w:rsidRPr="006D2A4B" w14:paraId="74AD9DEB" w14:textId="77777777" w:rsidTr="001F4D09">
        <w:trPr>
          <w:trHeight w:val="300"/>
        </w:trPr>
        <w:tc>
          <w:tcPr>
            <w:tcW w:w="1438" w:type="pct"/>
            <w:noWrap/>
            <w:hideMark/>
          </w:tcPr>
          <w:p w14:paraId="7D8163D1" w14:textId="77777777" w:rsidR="00ED2DE4" w:rsidRPr="00D1516B" w:rsidRDefault="00ED2DE4" w:rsidP="001F4D09">
            <w:pPr>
              <w:jc w:val="left"/>
              <w:rPr>
                <w:rFonts w:eastAsia="Times New Roman" w:cs="Times New Roman"/>
                <w:i/>
                <w:iCs/>
                <w:color w:val="000000"/>
                <w:lang w:eastAsia="en-GB"/>
              </w:rPr>
            </w:pPr>
            <w:r w:rsidRPr="00D1516B">
              <w:rPr>
                <w:rFonts w:eastAsia="Times New Roman" w:cs="Times New Roman"/>
                <w:iCs/>
                <w:color w:val="000000"/>
                <w:lang w:eastAsia="en-GB"/>
              </w:rPr>
              <w:t>Children</w:t>
            </w:r>
          </w:p>
        </w:tc>
        <w:tc>
          <w:tcPr>
            <w:tcW w:w="1045" w:type="pct"/>
            <w:noWrap/>
            <w:vAlign w:val="center"/>
            <w:hideMark/>
          </w:tcPr>
          <w:p w14:paraId="67DF53FE" w14:textId="77777777" w:rsidR="00ED2DE4" w:rsidRPr="00D1516B" w:rsidRDefault="00ED2DE4" w:rsidP="001F4D09">
            <w:pPr>
              <w:jc w:val="left"/>
              <w:rPr>
                <w:rFonts w:eastAsia="Times New Roman" w:cs="Times New Roman"/>
                <w:i/>
                <w:iCs/>
                <w:color w:val="000000"/>
                <w:lang w:eastAsia="en-GB"/>
              </w:rPr>
            </w:pPr>
            <w:r w:rsidRPr="006D2A4B">
              <w:rPr>
                <w:rFonts w:eastAsia="Times New Roman" w:cs="Times New Roman"/>
                <w:iCs/>
                <w:color w:val="000000"/>
                <w:lang w:eastAsia="en-GB"/>
              </w:rPr>
              <w:t>skeletal dental</w:t>
            </w:r>
          </w:p>
        </w:tc>
        <w:tc>
          <w:tcPr>
            <w:tcW w:w="704" w:type="pct"/>
            <w:noWrap/>
            <w:vAlign w:val="center"/>
            <w:hideMark/>
          </w:tcPr>
          <w:p w14:paraId="7DA615E8"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2.16</w:t>
            </w:r>
          </w:p>
        </w:tc>
        <w:tc>
          <w:tcPr>
            <w:tcW w:w="534" w:type="pct"/>
            <w:noWrap/>
            <w:vAlign w:val="center"/>
            <w:hideMark/>
          </w:tcPr>
          <w:p w14:paraId="67A34EEE"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0.23</w:t>
            </w:r>
          </w:p>
        </w:tc>
        <w:tc>
          <w:tcPr>
            <w:tcW w:w="613" w:type="pct"/>
            <w:noWrap/>
            <w:vAlign w:val="center"/>
            <w:hideMark/>
          </w:tcPr>
          <w:p w14:paraId="7F17DECB"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7.15</w:t>
            </w:r>
          </w:p>
        </w:tc>
        <w:tc>
          <w:tcPr>
            <w:tcW w:w="666" w:type="pct"/>
            <w:noWrap/>
            <w:vAlign w:val="center"/>
            <w:hideMark/>
          </w:tcPr>
          <w:p w14:paraId="51CB05E2"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0.69</w:t>
            </w:r>
          </w:p>
        </w:tc>
      </w:tr>
      <w:tr w:rsidR="00ED2DE4" w:rsidRPr="006D2A4B" w14:paraId="2329BA38" w14:textId="77777777" w:rsidTr="001F4D09">
        <w:trPr>
          <w:trHeight w:val="300"/>
        </w:trPr>
        <w:tc>
          <w:tcPr>
            <w:tcW w:w="1438" w:type="pct"/>
            <w:noWrap/>
            <w:hideMark/>
          </w:tcPr>
          <w:p w14:paraId="43903303" w14:textId="77777777" w:rsidR="00ED2DE4" w:rsidRPr="00D1516B" w:rsidRDefault="00ED2DE4" w:rsidP="001F4D09">
            <w:pPr>
              <w:jc w:val="left"/>
              <w:rPr>
                <w:rFonts w:eastAsia="Times New Roman" w:cs="Times New Roman"/>
                <w:i/>
                <w:iCs/>
                <w:color w:val="000000"/>
                <w:lang w:eastAsia="en-GB"/>
              </w:rPr>
            </w:pPr>
            <w:r w:rsidRPr="00D1516B">
              <w:rPr>
                <w:rFonts w:eastAsia="Times New Roman" w:cs="Times New Roman"/>
                <w:iCs/>
                <w:color w:val="000000"/>
                <w:lang w:eastAsia="en-GB"/>
              </w:rPr>
              <w:t>Children</w:t>
            </w:r>
          </w:p>
        </w:tc>
        <w:tc>
          <w:tcPr>
            <w:tcW w:w="1045" w:type="pct"/>
            <w:noWrap/>
            <w:vAlign w:val="center"/>
            <w:hideMark/>
          </w:tcPr>
          <w:p w14:paraId="0E01D0A3" w14:textId="77777777" w:rsidR="00ED2DE4" w:rsidRPr="00D1516B" w:rsidRDefault="00ED2DE4" w:rsidP="001F4D09">
            <w:pPr>
              <w:jc w:val="left"/>
              <w:rPr>
                <w:rFonts w:eastAsia="Times New Roman" w:cs="Times New Roman"/>
                <w:i/>
                <w:iCs/>
                <w:color w:val="000000"/>
                <w:lang w:eastAsia="en-GB"/>
              </w:rPr>
            </w:pPr>
            <w:proofErr w:type="spellStart"/>
            <w:r w:rsidRPr="00D1516B">
              <w:rPr>
                <w:rFonts w:eastAsia="Times New Roman" w:cs="Times New Roman"/>
                <w:iCs/>
                <w:color w:val="000000"/>
                <w:lang w:eastAsia="en-GB"/>
              </w:rPr>
              <w:t>hemato</w:t>
            </w:r>
            <w:proofErr w:type="spellEnd"/>
          </w:p>
        </w:tc>
        <w:tc>
          <w:tcPr>
            <w:tcW w:w="704" w:type="pct"/>
            <w:noWrap/>
            <w:vAlign w:val="center"/>
            <w:hideMark/>
          </w:tcPr>
          <w:p w14:paraId="76ADA8D2"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0.56</w:t>
            </w:r>
          </w:p>
        </w:tc>
        <w:tc>
          <w:tcPr>
            <w:tcW w:w="534" w:type="pct"/>
            <w:noWrap/>
            <w:vAlign w:val="center"/>
            <w:hideMark/>
          </w:tcPr>
          <w:p w14:paraId="7F32758C"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0.07</w:t>
            </w:r>
          </w:p>
        </w:tc>
        <w:tc>
          <w:tcPr>
            <w:tcW w:w="613" w:type="pct"/>
            <w:noWrap/>
            <w:vAlign w:val="center"/>
            <w:hideMark/>
          </w:tcPr>
          <w:p w14:paraId="4DD48667"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1.75</w:t>
            </w:r>
          </w:p>
        </w:tc>
        <w:tc>
          <w:tcPr>
            <w:tcW w:w="666" w:type="pct"/>
            <w:noWrap/>
            <w:vAlign w:val="center"/>
            <w:hideMark/>
          </w:tcPr>
          <w:p w14:paraId="6D34F1B6"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0.16</w:t>
            </w:r>
          </w:p>
        </w:tc>
      </w:tr>
      <w:tr w:rsidR="00ED2DE4" w:rsidRPr="006D2A4B" w14:paraId="361187E5" w14:textId="77777777" w:rsidTr="001F4D09">
        <w:trPr>
          <w:trHeight w:val="300"/>
        </w:trPr>
        <w:tc>
          <w:tcPr>
            <w:tcW w:w="1438" w:type="pct"/>
            <w:noWrap/>
            <w:hideMark/>
          </w:tcPr>
          <w:p w14:paraId="12D9CDCA" w14:textId="77777777" w:rsidR="00ED2DE4" w:rsidRPr="00D1516B" w:rsidRDefault="00ED2DE4" w:rsidP="001F4D09">
            <w:pPr>
              <w:jc w:val="left"/>
              <w:rPr>
                <w:rFonts w:eastAsia="Times New Roman" w:cs="Times New Roman"/>
                <w:i/>
                <w:iCs/>
                <w:color w:val="000000"/>
                <w:lang w:eastAsia="en-GB"/>
              </w:rPr>
            </w:pPr>
            <w:r w:rsidRPr="00D1516B">
              <w:rPr>
                <w:rFonts w:eastAsia="Times New Roman" w:cs="Times New Roman"/>
                <w:iCs/>
                <w:color w:val="000000"/>
                <w:lang w:eastAsia="en-GB"/>
              </w:rPr>
              <w:t>Teens</w:t>
            </w:r>
          </w:p>
        </w:tc>
        <w:tc>
          <w:tcPr>
            <w:tcW w:w="1045" w:type="pct"/>
            <w:noWrap/>
            <w:vAlign w:val="center"/>
            <w:hideMark/>
          </w:tcPr>
          <w:p w14:paraId="48B870E2" w14:textId="77777777" w:rsidR="00ED2DE4" w:rsidRPr="00D1516B" w:rsidRDefault="00ED2DE4" w:rsidP="001F4D09">
            <w:pPr>
              <w:jc w:val="left"/>
              <w:rPr>
                <w:rFonts w:eastAsia="Times New Roman" w:cs="Times New Roman"/>
                <w:i/>
                <w:iCs/>
                <w:color w:val="000000"/>
                <w:lang w:eastAsia="en-GB"/>
              </w:rPr>
            </w:pPr>
            <w:r w:rsidRPr="006D2A4B">
              <w:rPr>
                <w:rFonts w:eastAsia="Times New Roman" w:cs="Times New Roman"/>
                <w:iCs/>
                <w:color w:val="000000"/>
                <w:lang w:eastAsia="en-GB"/>
              </w:rPr>
              <w:t>skeletal dental</w:t>
            </w:r>
          </w:p>
        </w:tc>
        <w:tc>
          <w:tcPr>
            <w:tcW w:w="704" w:type="pct"/>
            <w:noWrap/>
            <w:vAlign w:val="center"/>
            <w:hideMark/>
          </w:tcPr>
          <w:p w14:paraId="66CF7846"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1.20</w:t>
            </w:r>
          </w:p>
        </w:tc>
        <w:tc>
          <w:tcPr>
            <w:tcW w:w="534" w:type="pct"/>
            <w:noWrap/>
            <w:vAlign w:val="center"/>
            <w:hideMark/>
          </w:tcPr>
          <w:p w14:paraId="4045FE08"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0.07</w:t>
            </w:r>
          </w:p>
        </w:tc>
        <w:tc>
          <w:tcPr>
            <w:tcW w:w="613" w:type="pct"/>
            <w:noWrap/>
            <w:vAlign w:val="center"/>
            <w:hideMark/>
          </w:tcPr>
          <w:p w14:paraId="582F4243"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4.14</w:t>
            </w:r>
          </w:p>
        </w:tc>
        <w:tc>
          <w:tcPr>
            <w:tcW w:w="666" w:type="pct"/>
            <w:noWrap/>
            <w:vAlign w:val="center"/>
            <w:hideMark/>
          </w:tcPr>
          <w:p w14:paraId="280DD783"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0.40</w:t>
            </w:r>
          </w:p>
        </w:tc>
      </w:tr>
      <w:tr w:rsidR="00ED2DE4" w:rsidRPr="006D2A4B" w14:paraId="29EC6B59" w14:textId="77777777" w:rsidTr="001F4D09">
        <w:trPr>
          <w:trHeight w:val="300"/>
        </w:trPr>
        <w:tc>
          <w:tcPr>
            <w:tcW w:w="1438" w:type="pct"/>
            <w:noWrap/>
            <w:hideMark/>
          </w:tcPr>
          <w:p w14:paraId="599724B9" w14:textId="77777777" w:rsidR="00ED2DE4" w:rsidRPr="00D1516B" w:rsidRDefault="00ED2DE4" w:rsidP="001F4D09">
            <w:pPr>
              <w:jc w:val="left"/>
              <w:rPr>
                <w:rFonts w:eastAsia="Times New Roman" w:cs="Times New Roman"/>
                <w:i/>
                <w:iCs/>
                <w:color w:val="000000"/>
                <w:lang w:eastAsia="en-GB"/>
              </w:rPr>
            </w:pPr>
            <w:r w:rsidRPr="00D1516B">
              <w:rPr>
                <w:rFonts w:eastAsia="Times New Roman" w:cs="Times New Roman"/>
                <w:iCs/>
                <w:color w:val="000000"/>
                <w:lang w:eastAsia="en-GB"/>
              </w:rPr>
              <w:t>Teens</w:t>
            </w:r>
          </w:p>
        </w:tc>
        <w:tc>
          <w:tcPr>
            <w:tcW w:w="1045" w:type="pct"/>
            <w:noWrap/>
            <w:vAlign w:val="center"/>
            <w:hideMark/>
          </w:tcPr>
          <w:p w14:paraId="1668A075" w14:textId="77777777" w:rsidR="00ED2DE4" w:rsidRPr="00D1516B" w:rsidRDefault="00ED2DE4" w:rsidP="001F4D09">
            <w:pPr>
              <w:jc w:val="left"/>
              <w:rPr>
                <w:rFonts w:eastAsia="Times New Roman" w:cs="Times New Roman"/>
                <w:i/>
                <w:iCs/>
                <w:color w:val="000000"/>
                <w:lang w:eastAsia="en-GB"/>
              </w:rPr>
            </w:pPr>
            <w:proofErr w:type="spellStart"/>
            <w:r w:rsidRPr="00D1516B">
              <w:rPr>
                <w:rFonts w:eastAsia="Times New Roman" w:cs="Times New Roman"/>
                <w:iCs/>
                <w:color w:val="000000"/>
                <w:lang w:eastAsia="en-GB"/>
              </w:rPr>
              <w:t>hemato</w:t>
            </w:r>
            <w:proofErr w:type="spellEnd"/>
          </w:p>
        </w:tc>
        <w:tc>
          <w:tcPr>
            <w:tcW w:w="704" w:type="pct"/>
            <w:noWrap/>
            <w:vAlign w:val="center"/>
            <w:hideMark/>
          </w:tcPr>
          <w:p w14:paraId="46E05469"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0.32</w:t>
            </w:r>
          </w:p>
        </w:tc>
        <w:tc>
          <w:tcPr>
            <w:tcW w:w="534" w:type="pct"/>
            <w:noWrap/>
            <w:vAlign w:val="center"/>
            <w:hideMark/>
          </w:tcPr>
          <w:p w14:paraId="27132AEB"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0.02</w:t>
            </w:r>
          </w:p>
        </w:tc>
        <w:tc>
          <w:tcPr>
            <w:tcW w:w="613" w:type="pct"/>
            <w:noWrap/>
            <w:vAlign w:val="center"/>
            <w:hideMark/>
          </w:tcPr>
          <w:p w14:paraId="25624CFE"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1.24</w:t>
            </w:r>
          </w:p>
        </w:tc>
        <w:tc>
          <w:tcPr>
            <w:tcW w:w="666" w:type="pct"/>
            <w:noWrap/>
            <w:vAlign w:val="center"/>
            <w:hideMark/>
          </w:tcPr>
          <w:p w14:paraId="47307B06" w14:textId="77777777" w:rsidR="00ED2DE4" w:rsidRPr="00D1516B" w:rsidRDefault="00ED2DE4" w:rsidP="001F4D09">
            <w:pPr>
              <w:jc w:val="center"/>
              <w:rPr>
                <w:rFonts w:eastAsia="Times New Roman" w:cs="Times New Roman"/>
                <w:i/>
                <w:iCs/>
                <w:color w:val="000000"/>
                <w:lang w:eastAsia="en-GB"/>
              </w:rPr>
            </w:pPr>
            <w:r w:rsidRPr="00D1516B">
              <w:rPr>
                <w:rFonts w:eastAsia="Times New Roman" w:cs="Times New Roman"/>
                <w:iCs/>
                <w:color w:val="000000"/>
                <w:lang w:eastAsia="en-GB"/>
              </w:rPr>
              <w:t>0.08</w:t>
            </w:r>
          </w:p>
        </w:tc>
      </w:tr>
    </w:tbl>
    <w:p w14:paraId="6DDF0AD3" w14:textId="77777777" w:rsidR="00ED2DE4" w:rsidRPr="00E45C91" w:rsidRDefault="00ED2DE4" w:rsidP="00ED2DE4"/>
    <w:p w14:paraId="20AF2429" w14:textId="77777777" w:rsidR="00ED2DE4" w:rsidRPr="00E45C91" w:rsidRDefault="00ED2DE4" w:rsidP="00ED2DE4">
      <w:pPr>
        <w:spacing w:after="0"/>
      </w:pPr>
      <w:bookmarkStart w:id="53" w:name="table-13.-nisi-classification"/>
      <w:bookmarkEnd w:id="52"/>
      <w:r>
        <w:t>Table 12.</w:t>
      </w:r>
      <w:r w:rsidRPr="00E45C91">
        <w:t xml:space="preserve"> Entropy weights of irrigation indices and </w:t>
      </w:r>
    </w:p>
    <w:tbl>
      <w:tblPr>
        <w:tblStyle w:val="Manu"/>
        <w:tblW w:w="0" w:type="auto"/>
        <w:tblLook w:val="04A0" w:firstRow="1" w:lastRow="0" w:firstColumn="1" w:lastColumn="0" w:noHBand="0" w:noVBand="1"/>
      </w:tblPr>
      <w:tblGrid>
        <w:gridCol w:w="1713"/>
        <w:gridCol w:w="1665"/>
      </w:tblGrid>
      <w:tr w:rsidR="00ED2DE4" w:rsidRPr="00CF75C4" w14:paraId="2D999A5F"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0" w:type="auto"/>
            <w:noWrap/>
          </w:tcPr>
          <w:p w14:paraId="7A0AF4C2" w14:textId="77777777" w:rsidR="00ED2DE4" w:rsidRPr="00CF75C4" w:rsidRDefault="00ED2DE4" w:rsidP="001F4D09">
            <w:pPr>
              <w:jc w:val="left"/>
              <w:rPr>
                <w:rFonts w:eastAsia="Times New Roman" w:cs="Times New Roman"/>
                <w:i/>
                <w:iCs/>
                <w:color w:val="000000"/>
                <w:lang w:eastAsia="en-GB"/>
              </w:rPr>
            </w:pPr>
            <w:r w:rsidRPr="00E45C91">
              <w:rPr>
                <w:rFonts w:eastAsia="Times New Roman" w:cs="Times New Roman"/>
                <w:iCs/>
                <w:color w:val="000000"/>
                <w:lang w:eastAsia="en-GB"/>
              </w:rPr>
              <w:t>irrigation indices</w:t>
            </w:r>
          </w:p>
        </w:tc>
        <w:tc>
          <w:tcPr>
            <w:tcW w:w="0" w:type="auto"/>
            <w:noWrap/>
          </w:tcPr>
          <w:p w14:paraId="115CBBB4" w14:textId="77777777" w:rsidR="00ED2DE4" w:rsidRPr="00CF75C4" w:rsidRDefault="00ED2DE4" w:rsidP="001F4D09">
            <w:pPr>
              <w:jc w:val="right"/>
              <w:rPr>
                <w:rFonts w:eastAsia="Times New Roman" w:cs="Times New Roman"/>
                <w:i/>
                <w:iCs/>
                <w:color w:val="000000"/>
                <w:lang w:eastAsia="en-GB"/>
              </w:rPr>
            </w:pPr>
            <w:r w:rsidRPr="00E45C91">
              <w:rPr>
                <w:rFonts w:eastAsia="Times New Roman" w:cs="Times New Roman"/>
                <w:iCs/>
                <w:color w:val="000000"/>
                <w:lang w:eastAsia="en-GB"/>
              </w:rPr>
              <w:t>Entropy weights</w:t>
            </w:r>
          </w:p>
        </w:tc>
      </w:tr>
      <w:tr w:rsidR="00ED2DE4" w:rsidRPr="006077EB" w14:paraId="59F672F4" w14:textId="77777777" w:rsidTr="001F4D09">
        <w:trPr>
          <w:trHeight w:val="300"/>
        </w:trPr>
        <w:tc>
          <w:tcPr>
            <w:tcW w:w="0" w:type="auto"/>
            <w:noWrap/>
          </w:tcPr>
          <w:p w14:paraId="78C3E7E7" w14:textId="77777777" w:rsidR="00ED2DE4" w:rsidRPr="006077EB"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SAR</w:t>
            </w:r>
          </w:p>
        </w:tc>
        <w:tc>
          <w:tcPr>
            <w:tcW w:w="0" w:type="auto"/>
            <w:noWrap/>
          </w:tcPr>
          <w:p w14:paraId="0EA48E5E" w14:textId="77777777" w:rsidR="00ED2DE4" w:rsidRPr="006077EB"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0.07</w:t>
            </w:r>
          </w:p>
        </w:tc>
      </w:tr>
      <w:tr w:rsidR="00ED2DE4" w:rsidRPr="00CF75C4" w14:paraId="367AEE0A" w14:textId="77777777" w:rsidTr="001F4D09">
        <w:trPr>
          <w:trHeight w:val="300"/>
        </w:trPr>
        <w:tc>
          <w:tcPr>
            <w:tcW w:w="0" w:type="auto"/>
            <w:noWrap/>
            <w:hideMark/>
          </w:tcPr>
          <w:p w14:paraId="5EA4ED6E"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SSP</w:t>
            </w:r>
          </w:p>
        </w:tc>
        <w:tc>
          <w:tcPr>
            <w:tcW w:w="0" w:type="auto"/>
            <w:noWrap/>
            <w:hideMark/>
          </w:tcPr>
          <w:p w14:paraId="78357949"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0.01</w:t>
            </w:r>
          </w:p>
        </w:tc>
      </w:tr>
      <w:tr w:rsidR="00ED2DE4" w:rsidRPr="00CF75C4" w14:paraId="382ADA81" w14:textId="77777777" w:rsidTr="001F4D09">
        <w:trPr>
          <w:trHeight w:val="300"/>
        </w:trPr>
        <w:tc>
          <w:tcPr>
            <w:tcW w:w="0" w:type="auto"/>
            <w:noWrap/>
            <w:hideMark/>
          </w:tcPr>
          <w:p w14:paraId="250ACDAD"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MH</w:t>
            </w:r>
          </w:p>
        </w:tc>
        <w:tc>
          <w:tcPr>
            <w:tcW w:w="0" w:type="auto"/>
            <w:noWrap/>
            <w:hideMark/>
          </w:tcPr>
          <w:p w14:paraId="2A8129BC"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0.01</w:t>
            </w:r>
          </w:p>
        </w:tc>
      </w:tr>
      <w:tr w:rsidR="00ED2DE4" w:rsidRPr="00CF75C4" w14:paraId="0C629E46" w14:textId="77777777" w:rsidTr="001F4D09">
        <w:trPr>
          <w:trHeight w:val="300"/>
        </w:trPr>
        <w:tc>
          <w:tcPr>
            <w:tcW w:w="0" w:type="auto"/>
            <w:noWrap/>
            <w:hideMark/>
          </w:tcPr>
          <w:p w14:paraId="5F0D4C18"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KR</w:t>
            </w:r>
          </w:p>
        </w:tc>
        <w:tc>
          <w:tcPr>
            <w:tcW w:w="0" w:type="auto"/>
            <w:noWrap/>
            <w:hideMark/>
          </w:tcPr>
          <w:p w14:paraId="1C2D2EA1"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0.26</w:t>
            </w:r>
          </w:p>
        </w:tc>
      </w:tr>
      <w:tr w:rsidR="00ED2DE4" w:rsidRPr="00CF75C4" w14:paraId="5840CC5F" w14:textId="77777777" w:rsidTr="001F4D09">
        <w:trPr>
          <w:trHeight w:val="300"/>
        </w:trPr>
        <w:tc>
          <w:tcPr>
            <w:tcW w:w="0" w:type="auto"/>
            <w:noWrap/>
            <w:hideMark/>
          </w:tcPr>
          <w:p w14:paraId="3E5E975B"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PI</w:t>
            </w:r>
          </w:p>
        </w:tc>
        <w:tc>
          <w:tcPr>
            <w:tcW w:w="0" w:type="auto"/>
            <w:noWrap/>
            <w:hideMark/>
          </w:tcPr>
          <w:p w14:paraId="4DE1532D"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0.35</w:t>
            </w:r>
          </w:p>
        </w:tc>
      </w:tr>
      <w:tr w:rsidR="00ED2DE4" w:rsidRPr="00CF75C4" w14:paraId="3DD59B3A" w14:textId="77777777" w:rsidTr="001F4D09">
        <w:trPr>
          <w:trHeight w:val="300"/>
        </w:trPr>
        <w:tc>
          <w:tcPr>
            <w:tcW w:w="0" w:type="auto"/>
            <w:noWrap/>
            <w:hideMark/>
          </w:tcPr>
          <w:p w14:paraId="48ED4F59"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RSC</w:t>
            </w:r>
          </w:p>
        </w:tc>
        <w:tc>
          <w:tcPr>
            <w:tcW w:w="0" w:type="auto"/>
            <w:noWrap/>
            <w:hideMark/>
          </w:tcPr>
          <w:p w14:paraId="5309E651"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0.03</w:t>
            </w:r>
          </w:p>
        </w:tc>
      </w:tr>
      <w:tr w:rsidR="00ED2DE4" w:rsidRPr="00CF75C4" w14:paraId="17B0CF1F" w14:textId="77777777" w:rsidTr="001F4D09">
        <w:trPr>
          <w:trHeight w:val="300"/>
        </w:trPr>
        <w:tc>
          <w:tcPr>
            <w:tcW w:w="0" w:type="auto"/>
            <w:noWrap/>
            <w:hideMark/>
          </w:tcPr>
          <w:p w14:paraId="46B0C5D4"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PS</w:t>
            </w:r>
          </w:p>
        </w:tc>
        <w:tc>
          <w:tcPr>
            <w:tcW w:w="0" w:type="auto"/>
            <w:noWrap/>
            <w:hideMark/>
          </w:tcPr>
          <w:p w14:paraId="06A233FB"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0.27</w:t>
            </w:r>
          </w:p>
        </w:tc>
      </w:tr>
    </w:tbl>
    <w:p w14:paraId="6280EFEF" w14:textId="77777777" w:rsidR="00B26AF4" w:rsidRDefault="00B26AF4" w:rsidP="00ED2DE4">
      <w:pPr>
        <w:spacing w:after="0"/>
      </w:pPr>
    </w:p>
    <w:p w14:paraId="01A1F77D" w14:textId="77777777" w:rsidR="00B26AF4" w:rsidRDefault="00B26AF4" w:rsidP="00ED2DE4">
      <w:pPr>
        <w:spacing w:after="0"/>
      </w:pPr>
    </w:p>
    <w:p w14:paraId="17A17E08" w14:textId="4609D0F4" w:rsidR="00ED2DE4" w:rsidRDefault="00ED2DE4" w:rsidP="00ED2DE4">
      <w:pPr>
        <w:spacing w:after="0"/>
      </w:pPr>
      <w:r>
        <w:lastRenderedPageBreak/>
        <w:t xml:space="preserve">Table 13. </w:t>
      </w:r>
      <w:r w:rsidRPr="00E45C91">
        <w:t>final class distribution for the neutrosophic irrigation suitability index (N-ISI).</w:t>
      </w:r>
    </w:p>
    <w:tbl>
      <w:tblPr>
        <w:tblStyle w:val="Manu"/>
        <w:tblW w:w="5000" w:type="pct"/>
        <w:tblLook w:val="04A0" w:firstRow="1" w:lastRow="0" w:firstColumn="1" w:lastColumn="0" w:noHBand="0" w:noVBand="1"/>
      </w:tblPr>
      <w:tblGrid>
        <w:gridCol w:w="3590"/>
        <w:gridCol w:w="3628"/>
        <w:gridCol w:w="2744"/>
      </w:tblGrid>
      <w:tr w:rsidR="00ED2DE4" w:rsidRPr="00CF75C4" w14:paraId="162D2659" w14:textId="77777777" w:rsidTr="001F4D09">
        <w:trPr>
          <w:cnfStyle w:val="100000000000" w:firstRow="1" w:lastRow="0" w:firstColumn="0" w:lastColumn="0" w:oddVBand="0" w:evenVBand="0" w:oddHBand="0" w:evenHBand="0" w:firstRowFirstColumn="0" w:firstRowLastColumn="0" w:lastRowFirstColumn="0" w:lastRowLastColumn="0"/>
          <w:trHeight w:val="300"/>
        </w:trPr>
        <w:tc>
          <w:tcPr>
            <w:tcW w:w="1802" w:type="pct"/>
            <w:noWrap/>
          </w:tcPr>
          <w:p w14:paraId="296CC2DD" w14:textId="77777777" w:rsidR="00ED2DE4" w:rsidRPr="00CF75C4" w:rsidRDefault="00ED2DE4" w:rsidP="001F4D09">
            <w:pPr>
              <w:jc w:val="left"/>
              <w:rPr>
                <w:rFonts w:eastAsia="Times New Roman" w:cs="Times New Roman"/>
                <w:i/>
                <w:iCs/>
                <w:color w:val="000000"/>
                <w:lang w:eastAsia="en-GB"/>
              </w:rPr>
            </w:pPr>
            <w:r w:rsidRPr="00E45C91">
              <w:rPr>
                <w:rFonts w:eastAsia="Times New Roman" w:cs="Times New Roman"/>
                <w:iCs/>
                <w:color w:val="000000"/>
                <w:lang w:eastAsia="en-GB"/>
              </w:rPr>
              <w:t>Final class</w:t>
            </w:r>
          </w:p>
        </w:tc>
        <w:tc>
          <w:tcPr>
            <w:tcW w:w="1821" w:type="pct"/>
            <w:noWrap/>
          </w:tcPr>
          <w:p w14:paraId="4C7C567A" w14:textId="77777777" w:rsidR="00ED2DE4" w:rsidRPr="00CF75C4" w:rsidRDefault="00ED2DE4" w:rsidP="001F4D09">
            <w:pPr>
              <w:jc w:val="right"/>
              <w:rPr>
                <w:rFonts w:eastAsia="Times New Roman" w:cs="Times New Roman"/>
                <w:i/>
                <w:iCs/>
                <w:color w:val="000000"/>
                <w:lang w:eastAsia="en-GB"/>
              </w:rPr>
            </w:pPr>
            <w:r w:rsidRPr="006077EB">
              <w:rPr>
                <w:rFonts w:eastAsia="Times New Roman" w:cs="Times New Roman"/>
                <w:iCs/>
                <w:color w:val="000000"/>
                <w:lang w:eastAsia="en-GB"/>
              </w:rPr>
              <w:t>Percentage</w:t>
            </w:r>
          </w:p>
        </w:tc>
        <w:tc>
          <w:tcPr>
            <w:tcW w:w="1377" w:type="pct"/>
            <w:noWrap/>
          </w:tcPr>
          <w:p w14:paraId="590E5704" w14:textId="77777777" w:rsidR="00ED2DE4" w:rsidRPr="00CF75C4" w:rsidRDefault="00ED2DE4" w:rsidP="001F4D09">
            <w:pPr>
              <w:jc w:val="right"/>
              <w:rPr>
                <w:rFonts w:eastAsia="Times New Roman" w:cs="Times New Roman"/>
                <w:i/>
                <w:iCs/>
                <w:color w:val="000000"/>
                <w:lang w:eastAsia="en-GB"/>
              </w:rPr>
            </w:pPr>
            <w:r w:rsidRPr="006077EB">
              <w:rPr>
                <w:rFonts w:eastAsia="Times New Roman" w:cs="Times New Roman"/>
                <w:iCs/>
                <w:color w:val="000000"/>
                <w:lang w:eastAsia="en-GB"/>
              </w:rPr>
              <w:t>Counts</w:t>
            </w:r>
          </w:p>
        </w:tc>
      </w:tr>
      <w:tr w:rsidR="00ED2DE4" w:rsidRPr="006077EB" w14:paraId="226B3461" w14:textId="77777777" w:rsidTr="001F4D09">
        <w:trPr>
          <w:trHeight w:val="300"/>
        </w:trPr>
        <w:tc>
          <w:tcPr>
            <w:tcW w:w="1802" w:type="pct"/>
            <w:noWrap/>
          </w:tcPr>
          <w:p w14:paraId="5D24DB67" w14:textId="77777777" w:rsidR="00ED2DE4" w:rsidRPr="006077EB"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Marginal</w:t>
            </w:r>
          </w:p>
        </w:tc>
        <w:tc>
          <w:tcPr>
            <w:tcW w:w="1821" w:type="pct"/>
            <w:noWrap/>
          </w:tcPr>
          <w:p w14:paraId="6A01EBA9" w14:textId="77777777" w:rsidR="00ED2DE4" w:rsidRPr="006077EB"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67.65</w:t>
            </w:r>
          </w:p>
        </w:tc>
        <w:tc>
          <w:tcPr>
            <w:tcW w:w="1377" w:type="pct"/>
            <w:noWrap/>
          </w:tcPr>
          <w:p w14:paraId="66BAAC27" w14:textId="77777777" w:rsidR="00ED2DE4" w:rsidRPr="006077EB"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23</w:t>
            </w:r>
          </w:p>
        </w:tc>
      </w:tr>
      <w:tr w:rsidR="00ED2DE4" w:rsidRPr="00CF75C4" w14:paraId="7DFF2EC4" w14:textId="77777777" w:rsidTr="001F4D09">
        <w:trPr>
          <w:trHeight w:val="300"/>
        </w:trPr>
        <w:tc>
          <w:tcPr>
            <w:tcW w:w="1802" w:type="pct"/>
            <w:noWrap/>
            <w:hideMark/>
          </w:tcPr>
          <w:p w14:paraId="05C52969"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Excellent</w:t>
            </w:r>
          </w:p>
        </w:tc>
        <w:tc>
          <w:tcPr>
            <w:tcW w:w="1821" w:type="pct"/>
            <w:noWrap/>
            <w:hideMark/>
          </w:tcPr>
          <w:p w14:paraId="77D24F26"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14.71</w:t>
            </w:r>
          </w:p>
        </w:tc>
        <w:tc>
          <w:tcPr>
            <w:tcW w:w="1377" w:type="pct"/>
            <w:noWrap/>
            <w:hideMark/>
          </w:tcPr>
          <w:p w14:paraId="5A3352E0"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5</w:t>
            </w:r>
          </w:p>
        </w:tc>
      </w:tr>
      <w:tr w:rsidR="00ED2DE4" w:rsidRPr="00CF75C4" w14:paraId="5C6F87DD" w14:textId="77777777" w:rsidTr="001F4D09">
        <w:trPr>
          <w:trHeight w:val="300"/>
        </w:trPr>
        <w:tc>
          <w:tcPr>
            <w:tcW w:w="1802" w:type="pct"/>
            <w:noWrap/>
            <w:hideMark/>
          </w:tcPr>
          <w:p w14:paraId="41B21BC6"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Unsuitable</w:t>
            </w:r>
          </w:p>
        </w:tc>
        <w:tc>
          <w:tcPr>
            <w:tcW w:w="1821" w:type="pct"/>
            <w:noWrap/>
            <w:hideMark/>
          </w:tcPr>
          <w:p w14:paraId="68E05D75"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8.82</w:t>
            </w:r>
          </w:p>
        </w:tc>
        <w:tc>
          <w:tcPr>
            <w:tcW w:w="1377" w:type="pct"/>
            <w:noWrap/>
            <w:hideMark/>
          </w:tcPr>
          <w:p w14:paraId="026E4C3E"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3</w:t>
            </w:r>
          </w:p>
        </w:tc>
      </w:tr>
      <w:tr w:rsidR="00ED2DE4" w:rsidRPr="00CF75C4" w14:paraId="38CC6DE9" w14:textId="77777777" w:rsidTr="001F4D09">
        <w:trPr>
          <w:trHeight w:val="300"/>
        </w:trPr>
        <w:tc>
          <w:tcPr>
            <w:tcW w:w="1802" w:type="pct"/>
            <w:noWrap/>
            <w:hideMark/>
          </w:tcPr>
          <w:p w14:paraId="3DBC22F9" w14:textId="77777777" w:rsidR="00ED2DE4" w:rsidRPr="00CF75C4" w:rsidRDefault="00ED2DE4" w:rsidP="001F4D09">
            <w:pPr>
              <w:jc w:val="left"/>
              <w:rPr>
                <w:rFonts w:eastAsia="Times New Roman" w:cs="Times New Roman"/>
                <w:i/>
                <w:iCs/>
                <w:color w:val="000000"/>
                <w:lang w:eastAsia="en-GB"/>
              </w:rPr>
            </w:pPr>
            <w:r w:rsidRPr="00CF75C4">
              <w:rPr>
                <w:rFonts w:eastAsia="Times New Roman" w:cs="Times New Roman"/>
                <w:iCs/>
                <w:color w:val="000000"/>
                <w:lang w:eastAsia="en-GB"/>
              </w:rPr>
              <w:t>Good</w:t>
            </w:r>
          </w:p>
        </w:tc>
        <w:tc>
          <w:tcPr>
            <w:tcW w:w="1821" w:type="pct"/>
            <w:noWrap/>
            <w:hideMark/>
          </w:tcPr>
          <w:p w14:paraId="75967455"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8.82</w:t>
            </w:r>
          </w:p>
        </w:tc>
        <w:tc>
          <w:tcPr>
            <w:tcW w:w="1377" w:type="pct"/>
            <w:noWrap/>
            <w:hideMark/>
          </w:tcPr>
          <w:p w14:paraId="27F9E4D4" w14:textId="77777777" w:rsidR="00ED2DE4" w:rsidRPr="00CF75C4" w:rsidRDefault="00ED2DE4" w:rsidP="001F4D09">
            <w:pPr>
              <w:jc w:val="right"/>
              <w:rPr>
                <w:rFonts w:eastAsia="Times New Roman" w:cs="Times New Roman"/>
                <w:i/>
                <w:iCs/>
                <w:color w:val="000000"/>
                <w:lang w:eastAsia="en-GB"/>
              </w:rPr>
            </w:pPr>
            <w:r w:rsidRPr="00CF75C4">
              <w:rPr>
                <w:rFonts w:eastAsia="Times New Roman" w:cs="Times New Roman"/>
                <w:iCs/>
                <w:color w:val="000000"/>
                <w:lang w:eastAsia="en-GB"/>
              </w:rPr>
              <w:t>3</w:t>
            </w:r>
          </w:p>
        </w:tc>
      </w:tr>
    </w:tbl>
    <w:p w14:paraId="15A155C5" w14:textId="77777777" w:rsidR="00ED2DE4" w:rsidRDefault="00ED2DE4" w:rsidP="00ED2DE4">
      <w:pPr>
        <w:spacing w:after="0"/>
        <w:jc w:val="left"/>
      </w:pPr>
      <w:bookmarkStart w:id="54" w:name="figures"/>
      <w:bookmarkEnd w:id="53"/>
      <w:r>
        <w:br w:type="page"/>
      </w:r>
    </w:p>
    <w:p w14:paraId="40BAE47F" w14:textId="77777777" w:rsidR="00ED2DE4" w:rsidRDefault="00ED2DE4" w:rsidP="00ED2DE4">
      <w:bookmarkStart w:id="55" w:name="figure-1.-study-area-map"/>
      <w:bookmarkStart w:id="56" w:name="main-text-figures"/>
      <w:r w:rsidRPr="00ED2DE4">
        <w:rPr>
          <w:noProof/>
        </w:rPr>
        <w:lastRenderedPageBreak/>
        <w:drawing>
          <wp:inline distT="0" distB="0" distL="0" distR="0" wp14:anchorId="4D42405C" wp14:editId="400D6489">
            <wp:extent cx="5741035" cy="4059207"/>
            <wp:effectExtent l="0" t="0" r="0" b="0"/>
            <wp:docPr id="22584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44554" name="Picture 2258445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5118" cy="4062094"/>
                    </a:xfrm>
                    <a:prstGeom prst="rect">
                      <a:avLst/>
                    </a:prstGeom>
                  </pic:spPr>
                </pic:pic>
              </a:graphicData>
            </a:graphic>
          </wp:inline>
        </w:drawing>
      </w:r>
    </w:p>
    <w:p w14:paraId="5CDCAA23" w14:textId="77777777" w:rsidR="00ED2DE4" w:rsidRPr="00E45C91" w:rsidRDefault="00ED2DE4" w:rsidP="00ED2DE4">
      <w:pPr>
        <w:spacing w:line="360" w:lineRule="auto"/>
      </w:pPr>
      <w:r>
        <w:t xml:space="preserve">Figure </w:t>
      </w:r>
      <w:r w:rsidRPr="00E45C91">
        <w:t>1</w:t>
      </w:r>
      <w:r>
        <w:t>.</w:t>
      </w:r>
      <w:r w:rsidRPr="00E45C91">
        <w:t xml:space="preserve"> Geological and location map of </w:t>
      </w:r>
      <w:proofErr w:type="spellStart"/>
      <w:r w:rsidRPr="00E45C91">
        <w:t>Karaga</w:t>
      </w:r>
      <w:proofErr w:type="spellEnd"/>
      <w:r w:rsidRPr="00E45C91">
        <w:t xml:space="preserve"> District showing the district boundary, settlements, mapped faults, groundwater sampling sites, and the distribution of the principal mapped sedimentary units, with inset location maps of Ghana and West Africa. </w:t>
      </w:r>
    </w:p>
    <w:p w14:paraId="1877DDEE" w14:textId="77777777" w:rsidR="00ED2DE4" w:rsidRDefault="00ED2DE4" w:rsidP="00ED2DE4">
      <w:bookmarkStart w:id="57" w:name="figure-2.-hydrochemical-characterisation"/>
      <w:bookmarkEnd w:id="55"/>
    </w:p>
    <w:p w14:paraId="4989A570" w14:textId="77777777" w:rsidR="00ED2DE4" w:rsidRPr="00E45C91" w:rsidRDefault="00ED2DE4" w:rsidP="00ED2DE4">
      <w:r w:rsidRPr="00ED2DE4">
        <w:rPr>
          <w:noProof/>
        </w:rPr>
        <w:lastRenderedPageBreak/>
        <w:drawing>
          <wp:inline distT="0" distB="0" distL="0" distR="0" wp14:anchorId="3AA1CE5B" wp14:editId="1803F98B">
            <wp:extent cx="6055360" cy="3900749"/>
            <wp:effectExtent l="0" t="0" r="0" b="0"/>
            <wp:docPr id="170597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77542" name="Picture 1705977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9800" cy="3903609"/>
                    </a:xfrm>
                    <a:prstGeom prst="rect">
                      <a:avLst/>
                    </a:prstGeom>
                  </pic:spPr>
                </pic:pic>
              </a:graphicData>
            </a:graphic>
          </wp:inline>
        </w:drawing>
      </w:r>
    </w:p>
    <w:p w14:paraId="409C9972" w14:textId="77777777" w:rsidR="00ED2DE4" w:rsidRPr="00E45C91" w:rsidRDefault="00ED2DE4" w:rsidP="00ED2DE4">
      <w:pPr>
        <w:spacing w:line="360" w:lineRule="auto"/>
      </w:pPr>
      <w:r>
        <w:t xml:space="preserve">Figure </w:t>
      </w:r>
      <w:r w:rsidRPr="00E45C91">
        <w:t>2</w:t>
      </w:r>
      <w:r>
        <w:t>.</w:t>
      </w:r>
      <w:r w:rsidRPr="00E45C91">
        <w:t xml:space="preserve"> Multi-panel compositional hydrochemical characterisation of 34 groundwater samples, showing facies tendencies and sample separation in transformed major-ion space. </w:t>
      </w:r>
    </w:p>
    <w:p w14:paraId="52B7897F" w14:textId="77777777" w:rsidR="00ED2DE4" w:rsidRDefault="00ED2DE4" w:rsidP="00ED2DE4">
      <w:bookmarkStart w:id="58" w:name="figure-4.-npls-gwqi-structure"/>
      <w:bookmarkEnd w:id="57"/>
    </w:p>
    <w:p w14:paraId="6622BA3B" w14:textId="77777777" w:rsidR="00ED2DE4" w:rsidRPr="00E45C91" w:rsidRDefault="00ED2DE4" w:rsidP="00ED2DE4">
      <w:r w:rsidRPr="00ED2DE4">
        <w:rPr>
          <w:noProof/>
        </w:rPr>
        <w:lastRenderedPageBreak/>
        <w:drawing>
          <wp:inline distT="0" distB="0" distL="0" distR="0" wp14:anchorId="13096237" wp14:editId="258C7227">
            <wp:extent cx="6093460" cy="5224213"/>
            <wp:effectExtent l="0" t="0" r="0" b="0"/>
            <wp:docPr id="100201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5990" name="Picture 1002015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8779" cy="5228773"/>
                    </a:xfrm>
                    <a:prstGeom prst="rect">
                      <a:avLst/>
                    </a:prstGeom>
                  </pic:spPr>
                </pic:pic>
              </a:graphicData>
            </a:graphic>
          </wp:inline>
        </w:drawing>
      </w:r>
    </w:p>
    <w:p w14:paraId="5D4F5541" w14:textId="77777777" w:rsidR="00ED2DE4" w:rsidRPr="00E45C91" w:rsidRDefault="00ED2DE4" w:rsidP="00ED2DE4">
      <w:pPr>
        <w:spacing w:line="360" w:lineRule="auto"/>
      </w:pPr>
      <w:r>
        <w:t>Figure 3.</w:t>
      </w:r>
      <w:r w:rsidRPr="00E45C91">
        <w:t xml:space="preserve"> Structural summary of the neutrosophic PLS groundwater quality index (NPLS-GWQI), showing </w:t>
      </w:r>
      <w:r>
        <w:t xml:space="preserve">(a) Neutrosophic vs. </w:t>
      </w:r>
      <w:r w:rsidRPr="00E45C91">
        <w:t xml:space="preserve">score behaviour, </w:t>
      </w:r>
      <w:r>
        <w:t xml:space="preserve">(b) N-VIP weights (c) NPLS-GWQI by class (d) NPLS-GQWI </w:t>
      </w:r>
      <w:r w:rsidRPr="00E45C91">
        <w:t>class</w:t>
      </w:r>
      <w:r>
        <w:t>ification</w:t>
      </w:r>
      <w:r w:rsidRPr="00E45C91">
        <w:t xml:space="preserve"> distribution </w:t>
      </w:r>
    </w:p>
    <w:p w14:paraId="47868710" w14:textId="77777777" w:rsidR="00ED2DE4" w:rsidRPr="00E45C91" w:rsidRDefault="00ED2DE4" w:rsidP="00ED2DE4">
      <w:bookmarkStart w:id="59" w:name="figure-5.-clr-loadings"/>
      <w:bookmarkEnd w:id="58"/>
      <w:r w:rsidRPr="00ED2DE4">
        <w:rPr>
          <w:noProof/>
        </w:rPr>
        <w:lastRenderedPageBreak/>
        <w:drawing>
          <wp:inline distT="0" distB="0" distL="0" distR="0" wp14:anchorId="0BC1D2F9" wp14:editId="4A687CE6">
            <wp:extent cx="6007735" cy="3413721"/>
            <wp:effectExtent l="0" t="0" r="0" b="0"/>
            <wp:docPr id="194052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063" name="Picture 1940520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20289" cy="3420854"/>
                    </a:xfrm>
                    <a:prstGeom prst="rect">
                      <a:avLst/>
                    </a:prstGeom>
                  </pic:spPr>
                </pic:pic>
              </a:graphicData>
            </a:graphic>
          </wp:inline>
        </w:drawing>
      </w:r>
    </w:p>
    <w:p w14:paraId="0EF85299" w14:textId="77777777" w:rsidR="00ED2DE4" w:rsidRPr="00E45C91" w:rsidRDefault="00ED2DE4" w:rsidP="00ED2DE4">
      <w:pPr>
        <w:spacing w:line="360" w:lineRule="auto"/>
      </w:pPr>
      <w:r>
        <w:t>Figure 4.</w:t>
      </w:r>
      <w:r w:rsidRPr="00E45C91">
        <w:t xml:space="preserve"> Absolute centred log-ratio (CLR) loading profiles for the five retained latent hydrochemical processes identified by the compositional dimensionality-reduction workflow. </w:t>
      </w:r>
    </w:p>
    <w:p w14:paraId="67856CA1" w14:textId="77777777" w:rsidR="00ED2DE4" w:rsidRPr="00E45C91" w:rsidRDefault="00ED2DE4" w:rsidP="00ED2DE4">
      <w:pPr>
        <w:jc w:val="center"/>
      </w:pPr>
      <w:bookmarkStart w:id="60" w:name="figure-6.-geochemical-constraints"/>
      <w:bookmarkEnd w:id="59"/>
      <w:r w:rsidRPr="00ED2DE4">
        <w:rPr>
          <w:noProof/>
        </w:rPr>
        <w:drawing>
          <wp:inline distT="0" distB="0" distL="0" distR="0" wp14:anchorId="690E669E" wp14:editId="20E348B1">
            <wp:extent cx="4801870" cy="3468578"/>
            <wp:effectExtent l="0" t="0" r="0" b="0"/>
            <wp:docPr id="1282966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66274" name="Picture 12829662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5010" cy="3492516"/>
                    </a:xfrm>
                    <a:prstGeom prst="rect">
                      <a:avLst/>
                    </a:prstGeom>
                  </pic:spPr>
                </pic:pic>
              </a:graphicData>
            </a:graphic>
          </wp:inline>
        </w:drawing>
      </w:r>
    </w:p>
    <w:p w14:paraId="3ABBC6C8" w14:textId="77777777" w:rsidR="00ED2DE4" w:rsidRDefault="00ED2DE4" w:rsidP="00ED2DE4">
      <w:pPr>
        <w:spacing w:line="360" w:lineRule="auto"/>
      </w:pPr>
      <w:r>
        <w:t>Figure 5.</w:t>
      </w:r>
      <w:r w:rsidRPr="00E45C91">
        <w:t xml:space="preserve"> Deterministic geochemical constraint diagnostics showing </w:t>
      </w:r>
      <w:r>
        <w:t xml:space="preserve">(a) –(b) </w:t>
      </w:r>
      <w:r w:rsidRPr="00E45C91">
        <w:t>Gibbs-</w:t>
      </w:r>
      <w:r>
        <w:t>plot</w:t>
      </w:r>
      <w:r w:rsidRPr="00E45C91">
        <w:t>,</w:t>
      </w:r>
      <w:r>
        <w:t xml:space="preserve"> (c)</w:t>
      </w:r>
      <w:r w:rsidRPr="00E45C91">
        <w:t xml:space="preserve"> chloro-alkaline exchange behaviour, and </w:t>
      </w:r>
      <w:r>
        <w:t xml:space="preserve">(d) </w:t>
      </w:r>
      <w:r w:rsidRPr="00E45C91">
        <w:t>Na versus Cl molar relationships for the sampled groundwater.</w:t>
      </w:r>
    </w:p>
    <w:p w14:paraId="04A54D69" w14:textId="77777777" w:rsidR="00ED2DE4" w:rsidRDefault="00ED2DE4" w:rsidP="00ED2DE4">
      <w:pPr>
        <w:sectPr w:rsidR="00ED2DE4" w:rsidSect="00B7117E">
          <w:pgSz w:w="11906" w:h="16838"/>
          <w:pgMar w:top="1440" w:right="1080" w:bottom="1440" w:left="1080" w:header="708" w:footer="708" w:gutter="0"/>
          <w:lnNumType w:countBy="1" w:restart="continuous"/>
          <w:cols w:space="708"/>
          <w:docGrid w:linePitch="360"/>
        </w:sectPr>
      </w:pPr>
    </w:p>
    <w:p w14:paraId="54975E5B" w14:textId="77777777" w:rsidR="00ED2DE4" w:rsidRPr="00B26D37" w:rsidRDefault="00ED2DE4" w:rsidP="00ED2DE4">
      <w:r w:rsidRPr="00B26D37">
        <w:rPr>
          <w:noProof/>
        </w:rPr>
        <w:lastRenderedPageBreak/>
        <w:drawing>
          <wp:inline distT="0" distB="0" distL="0" distR="0" wp14:anchorId="1C4E87D5" wp14:editId="2DCCB25C">
            <wp:extent cx="9072880" cy="4546457"/>
            <wp:effectExtent l="0" t="0" r="0" b="0"/>
            <wp:docPr id="665837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7504" name="Picture 6658375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79538" cy="4549793"/>
                    </a:xfrm>
                    <a:prstGeom prst="rect">
                      <a:avLst/>
                    </a:prstGeom>
                  </pic:spPr>
                </pic:pic>
              </a:graphicData>
            </a:graphic>
          </wp:inline>
        </w:drawing>
      </w:r>
    </w:p>
    <w:p w14:paraId="4E0B9F27" w14:textId="77777777" w:rsidR="00ED2DE4" w:rsidRPr="00B26D37" w:rsidRDefault="00ED2DE4" w:rsidP="00ED2DE4">
      <w:pPr>
        <w:spacing w:line="360" w:lineRule="auto"/>
      </w:pPr>
      <w:r>
        <w:t>Figure 6</w:t>
      </w:r>
      <w:r w:rsidRPr="00B26D37">
        <w:t>. Sankey-style pathway summary of promoting and suppressing hydrochemical drivers of NPLS-GWQI, showing direction class, driver certainty, and relative contribution strength.</w:t>
      </w:r>
    </w:p>
    <w:p w14:paraId="2EE569B2" w14:textId="77777777" w:rsidR="00ED2DE4" w:rsidRDefault="00ED2DE4" w:rsidP="00ED2DE4"/>
    <w:p w14:paraId="1EC148FC" w14:textId="77777777" w:rsidR="00ED2DE4" w:rsidRPr="00ED2DE4" w:rsidRDefault="00ED2DE4" w:rsidP="00ED2DE4">
      <w:pPr>
        <w:rPr>
          <w:noProof/>
        </w:rPr>
      </w:pPr>
      <w:r w:rsidRPr="00ED2DE4">
        <w:rPr>
          <w:noProof/>
        </w:rPr>
        <w:lastRenderedPageBreak/>
        <w:drawing>
          <wp:inline distT="0" distB="0" distL="0" distR="0" wp14:anchorId="09322551" wp14:editId="13473519">
            <wp:extent cx="9015730" cy="4513135"/>
            <wp:effectExtent l="0" t="0" r="0" b="0"/>
            <wp:docPr id="60923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9000" name="Picture 6092390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22027" cy="4516287"/>
                    </a:xfrm>
                    <a:prstGeom prst="rect">
                      <a:avLst/>
                    </a:prstGeom>
                  </pic:spPr>
                </pic:pic>
              </a:graphicData>
            </a:graphic>
          </wp:inline>
        </w:drawing>
      </w:r>
    </w:p>
    <w:p w14:paraId="7819BE1D" w14:textId="77777777" w:rsidR="00ED2DE4" w:rsidRPr="00ED2DE4" w:rsidRDefault="00ED2DE4" w:rsidP="00ED2DE4">
      <w:pPr>
        <w:spacing w:line="360" w:lineRule="auto"/>
        <w:rPr>
          <w:noProof/>
        </w:rPr>
      </w:pPr>
      <w:r w:rsidRPr="00ED2DE4">
        <w:rPr>
          <w:noProof/>
        </w:rPr>
        <w:t>Figure 7. Sankey-style pathway summary of promoting and suppressing hydrochemical drivers of Fluoride, showing direction class, driver certainty, and relative contribution strength.</w:t>
      </w:r>
    </w:p>
    <w:p w14:paraId="6594EABC" w14:textId="77777777" w:rsidR="00ED2DE4" w:rsidRPr="00AB601E" w:rsidRDefault="00ED2DE4" w:rsidP="00ED2DE4">
      <w:pPr>
        <w:sectPr w:rsidR="00ED2DE4" w:rsidRPr="00AB601E" w:rsidSect="00ED2DE4">
          <w:pgSz w:w="16838" w:h="11906" w:orient="landscape"/>
          <w:pgMar w:top="1440" w:right="1800" w:bottom="1440" w:left="1800" w:header="708" w:footer="708" w:gutter="0"/>
          <w:lnNumType w:countBy="1" w:restart="continuous"/>
          <w:cols w:space="708"/>
          <w:docGrid w:linePitch="360"/>
        </w:sectPr>
      </w:pPr>
    </w:p>
    <w:p w14:paraId="5B035BEF" w14:textId="77777777" w:rsidR="00ED2DE4" w:rsidRPr="00E45C91" w:rsidRDefault="00ED2DE4" w:rsidP="00ED2DE4">
      <w:bookmarkStart w:id="61" w:name="figure-8.-deterministic-risk"/>
      <w:bookmarkEnd w:id="60"/>
      <w:r w:rsidRPr="00ED2DE4">
        <w:rPr>
          <w:noProof/>
        </w:rPr>
        <w:lastRenderedPageBreak/>
        <w:drawing>
          <wp:inline distT="0" distB="0" distL="0" distR="0" wp14:anchorId="7B923B9F" wp14:editId="7DFDF905">
            <wp:extent cx="6045835" cy="5185693"/>
            <wp:effectExtent l="0" t="0" r="0" b="0"/>
            <wp:docPr id="285889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89508" name="Picture 2858895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0713" cy="5189877"/>
                    </a:xfrm>
                    <a:prstGeom prst="rect">
                      <a:avLst/>
                    </a:prstGeom>
                  </pic:spPr>
                </pic:pic>
              </a:graphicData>
            </a:graphic>
          </wp:inline>
        </w:drawing>
      </w:r>
    </w:p>
    <w:p w14:paraId="2AEAC74D" w14:textId="77777777" w:rsidR="00ED2DE4" w:rsidRPr="00E45C91" w:rsidRDefault="00ED2DE4" w:rsidP="00ED2DE4">
      <w:pPr>
        <w:spacing w:line="360" w:lineRule="auto"/>
      </w:pPr>
      <w:r>
        <w:t>Figure 8.</w:t>
      </w:r>
      <w:r w:rsidRPr="00E45C91">
        <w:t xml:space="preserve"> Deterministic non-carcinogenic risk profiles for adults, children, and teens, showing hazard quotients for </w:t>
      </w:r>
      <w:r>
        <w:t xml:space="preserve">(a) </w:t>
      </w:r>
      <w:r w:rsidRPr="00E45C91">
        <w:t xml:space="preserve">fluoride and </w:t>
      </w:r>
      <w:r>
        <w:t xml:space="preserve">(b) </w:t>
      </w:r>
      <w:r w:rsidRPr="00E45C91">
        <w:t xml:space="preserve">nitrate together with </w:t>
      </w:r>
      <w:r>
        <w:t xml:space="preserve">(c) </w:t>
      </w:r>
      <w:r w:rsidRPr="00E45C91">
        <w:t xml:space="preserve">mean health-index burdens by effect group. </w:t>
      </w:r>
    </w:p>
    <w:p w14:paraId="0BECA8E5" w14:textId="77777777" w:rsidR="00ED2DE4" w:rsidRPr="00E45C91" w:rsidRDefault="00ED2DE4" w:rsidP="00ED2DE4">
      <w:bookmarkStart w:id="62" w:name="figure-9.-bayesian-posteriors"/>
      <w:bookmarkEnd w:id="61"/>
      <w:r w:rsidRPr="00ED2DE4">
        <w:rPr>
          <w:noProof/>
        </w:rPr>
        <w:lastRenderedPageBreak/>
        <w:drawing>
          <wp:inline distT="0" distB="0" distL="0" distR="0" wp14:anchorId="6E639990" wp14:editId="1A02F1AB">
            <wp:extent cx="6047964" cy="5186363"/>
            <wp:effectExtent l="0" t="0" r="0" b="0"/>
            <wp:docPr id="243042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42983" name="Picture 2430429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51816" cy="5189666"/>
                    </a:xfrm>
                    <a:prstGeom prst="rect">
                      <a:avLst/>
                    </a:prstGeom>
                  </pic:spPr>
                </pic:pic>
              </a:graphicData>
            </a:graphic>
          </wp:inline>
        </w:drawing>
      </w:r>
    </w:p>
    <w:p w14:paraId="11181D74" w14:textId="77777777" w:rsidR="00ED2DE4" w:rsidRPr="00E45C91" w:rsidRDefault="00ED2DE4" w:rsidP="00ED2DE4">
      <w:pPr>
        <w:spacing w:line="360" w:lineRule="auto"/>
      </w:pPr>
      <w:r>
        <w:t>Figure 9.</w:t>
      </w:r>
      <w:r w:rsidRPr="00E45C91">
        <w:t xml:space="preserve"> Posterior distributions and interval summaries for Bayesian population-level non-carcinogenic health indices across adults, children, and teens</w:t>
      </w:r>
      <w:r>
        <w:t xml:space="preserve">, (a) HI for Skeletal -dental risk (b) </w:t>
      </w:r>
      <w:r w:rsidRPr="00F16254">
        <w:t xml:space="preserve">) HI for </w:t>
      </w:r>
      <w:r>
        <w:t>Haematological</w:t>
      </w:r>
      <w:r w:rsidRPr="00F16254">
        <w:t xml:space="preserve"> risk</w:t>
      </w:r>
      <w:r>
        <w:t>. (c) Forest plot summarising the results of the HBMPRA</w:t>
      </w:r>
    </w:p>
    <w:p w14:paraId="652EB0D2" w14:textId="77777777" w:rsidR="00ED2DE4" w:rsidRPr="00E45C91" w:rsidRDefault="00ED2DE4" w:rsidP="00ED2DE4">
      <w:pPr>
        <w:jc w:val="center"/>
      </w:pPr>
      <w:bookmarkStart w:id="63" w:name="figure-10.-irrigation-suitability"/>
      <w:bookmarkEnd w:id="62"/>
      <w:r w:rsidRPr="00ED2DE4">
        <w:rPr>
          <w:noProof/>
        </w:rPr>
        <w:lastRenderedPageBreak/>
        <w:drawing>
          <wp:inline distT="0" distB="0" distL="0" distR="0" wp14:anchorId="71387C7F" wp14:editId="0DCD5A04">
            <wp:extent cx="6179185" cy="5317783"/>
            <wp:effectExtent l="0" t="0" r="0" b="0"/>
            <wp:docPr id="1287662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62757" name="Picture 12876627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4184" cy="5322085"/>
                    </a:xfrm>
                    <a:prstGeom prst="rect">
                      <a:avLst/>
                    </a:prstGeom>
                  </pic:spPr>
                </pic:pic>
              </a:graphicData>
            </a:graphic>
          </wp:inline>
        </w:drawing>
      </w:r>
    </w:p>
    <w:p w14:paraId="6D6E5C35" w14:textId="6BCE5156" w:rsidR="00ED2DE4" w:rsidRPr="00B2470F" w:rsidRDefault="00ED2DE4" w:rsidP="00ED2DE4">
      <w:pPr>
        <w:spacing w:line="360" w:lineRule="auto"/>
      </w:pPr>
      <w:r>
        <w:t>Figure 10.</w:t>
      </w:r>
      <w:r w:rsidRPr="00E45C91">
        <w:t xml:space="preserve"> Irrigation suitability diagnostics showing </w:t>
      </w:r>
      <w:r>
        <w:t xml:space="preserve">(a) </w:t>
      </w:r>
      <w:r w:rsidRPr="00E45C91">
        <w:t>Wilcox</w:t>
      </w:r>
      <w:r>
        <w:t xml:space="preserve"> </w:t>
      </w:r>
      <w:r w:rsidRPr="00DD743B">
        <w:t>proxy</w:t>
      </w:r>
      <w:r w:rsidRPr="00E45C91">
        <w:t xml:space="preserve"> </w:t>
      </w:r>
      <w:r>
        <w:t>and (b)</w:t>
      </w:r>
      <w:r w:rsidRPr="00E45C91">
        <w:t xml:space="preserve"> USSL proxy relationships, </w:t>
      </w:r>
      <w:r>
        <w:t xml:space="preserve">(c) </w:t>
      </w:r>
      <w:r w:rsidRPr="00E45C91">
        <w:t xml:space="preserve">irrigation-index distributions, and </w:t>
      </w:r>
      <w:r>
        <w:t xml:space="preserve">(d) </w:t>
      </w:r>
      <w:r w:rsidRPr="00E45C91">
        <w:t xml:space="preserve">final N-ISI class composition for the groundwater samples. </w:t>
      </w:r>
      <w:bookmarkStart w:id="64" w:name="figure-11.-sankey-pathway"/>
      <w:bookmarkEnd w:id="54"/>
      <w:bookmarkEnd w:id="56"/>
      <w:bookmarkEnd w:id="63"/>
      <w:bookmarkEnd w:id="64"/>
    </w:p>
    <w:sectPr w:rsidR="00ED2DE4" w:rsidRPr="00B2470F" w:rsidSect="00ED2DE4">
      <w:footnotePr>
        <w:numRestart w:val="eachSect"/>
      </w:footnotePr>
      <w:pgSz w:w="12240" w:h="15840"/>
      <w:pgMar w:top="1440" w:right="1800" w:bottom="1440" w:left="180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C6F1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2242E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DB12548"/>
    <w:multiLevelType w:val="multilevel"/>
    <w:tmpl w:val="286048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C7D1E49"/>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48846308">
    <w:abstractNumId w:val="0"/>
  </w:num>
  <w:num w:numId="2" w16cid:durableId="1210453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5569627">
    <w:abstractNumId w:val="2"/>
  </w:num>
  <w:num w:numId="4" w16cid:durableId="596526067">
    <w:abstractNumId w:val="5"/>
  </w:num>
  <w:num w:numId="5" w16cid:durableId="1865099095">
    <w:abstractNumId w:val="4"/>
  </w:num>
  <w:num w:numId="6" w16cid:durableId="1777604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F607B"/>
    <w:rsid w:val="00001188"/>
    <w:rsid w:val="000025AC"/>
    <w:rsid w:val="0001349A"/>
    <w:rsid w:val="00027151"/>
    <w:rsid w:val="000337A8"/>
    <w:rsid w:val="00034C00"/>
    <w:rsid w:val="00035024"/>
    <w:rsid w:val="00045480"/>
    <w:rsid w:val="000461D5"/>
    <w:rsid w:val="00057888"/>
    <w:rsid w:val="00067984"/>
    <w:rsid w:val="00071E6C"/>
    <w:rsid w:val="00077B6F"/>
    <w:rsid w:val="00080BB3"/>
    <w:rsid w:val="00085A6D"/>
    <w:rsid w:val="00095B9E"/>
    <w:rsid w:val="000A55C9"/>
    <w:rsid w:val="000A60A2"/>
    <w:rsid w:val="000A7D93"/>
    <w:rsid w:val="000B26CF"/>
    <w:rsid w:val="000C2756"/>
    <w:rsid w:val="000F0359"/>
    <w:rsid w:val="000F712A"/>
    <w:rsid w:val="00100373"/>
    <w:rsid w:val="00105076"/>
    <w:rsid w:val="00105860"/>
    <w:rsid w:val="001072FD"/>
    <w:rsid w:val="00145C26"/>
    <w:rsid w:val="001622C7"/>
    <w:rsid w:val="00170613"/>
    <w:rsid w:val="00184F36"/>
    <w:rsid w:val="00186CDE"/>
    <w:rsid w:val="0019245F"/>
    <w:rsid w:val="001B01D4"/>
    <w:rsid w:val="001B5330"/>
    <w:rsid w:val="001C24DD"/>
    <w:rsid w:val="001D0DBD"/>
    <w:rsid w:val="001D1B10"/>
    <w:rsid w:val="001E49A1"/>
    <w:rsid w:val="001F3008"/>
    <w:rsid w:val="001F37DB"/>
    <w:rsid w:val="001F607B"/>
    <w:rsid w:val="002149B8"/>
    <w:rsid w:val="0022629A"/>
    <w:rsid w:val="00232A52"/>
    <w:rsid w:val="002364D1"/>
    <w:rsid w:val="0027180F"/>
    <w:rsid w:val="00272F73"/>
    <w:rsid w:val="00285DC3"/>
    <w:rsid w:val="002939B9"/>
    <w:rsid w:val="00295B56"/>
    <w:rsid w:val="002A08EE"/>
    <w:rsid w:val="002A1053"/>
    <w:rsid w:val="002C2AAA"/>
    <w:rsid w:val="002F006D"/>
    <w:rsid w:val="002F70CA"/>
    <w:rsid w:val="00312D3F"/>
    <w:rsid w:val="0034650D"/>
    <w:rsid w:val="00347799"/>
    <w:rsid w:val="00357306"/>
    <w:rsid w:val="00364228"/>
    <w:rsid w:val="0038053E"/>
    <w:rsid w:val="00381924"/>
    <w:rsid w:val="0038254E"/>
    <w:rsid w:val="00385600"/>
    <w:rsid w:val="00386E24"/>
    <w:rsid w:val="00391247"/>
    <w:rsid w:val="00396398"/>
    <w:rsid w:val="003A346A"/>
    <w:rsid w:val="003B2C5A"/>
    <w:rsid w:val="003B3ADC"/>
    <w:rsid w:val="003B5637"/>
    <w:rsid w:val="003B6AE4"/>
    <w:rsid w:val="003B6B87"/>
    <w:rsid w:val="003C15F3"/>
    <w:rsid w:val="003C6D84"/>
    <w:rsid w:val="003C7510"/>
    <w:rsid w:val="00400871"/>
    <w:rsid w:val="00405899"/>
    <w:rsid w:val="004119EB"/>
    <w:rsid w:val="00452C1F"/>
    <w:rsid w:val="00456039"/>
    <w:rsid w:val="004604BC"/>
    <w:rsid w:val="0047434B"/>
    <w:rsid w:val="004750BD"/>
    <w:rsid w:val="00481A65"/>
    <w:rsid w:val="004860E9"/>
    <w:rsid w:val="00486926"/>
    <w:rsid w:val="00491D00"/>
    <w:rsid w:val="004A6C88"/>
    <w:rsid w:val="004C15CC"/>
    <w:rsid w:val="004E1D40"/>
    <w:rsid w:val="004F73C9"/>
    <w:rsid w:val="004F7C0C"/>
    <w:rsid w:val="005030B6"/>
    <w:rsid w:val="00511112"/>
    <w:rsid w:val="00532B23"/>
    <w:rsid w:val="005363CA"/>
    <w:rsid w:val="00536DD4"/>
    <w:rsid w:val="005462F6"/>
    <w:rsid w:val="00576471"/>
    <w:rsid w:val="00576614"/>
    <w:rsid w:val="00577CC4"/>
    <w:rsid w:val="00577EA1"/>
    <w:rsid w:val="00590391"/>
    <w:rsid w:val="005A1B18"/>
    <w:rsid w:val="005D0842"/>
    <w:rsid w:val="005D67DC"/>
    <w:rsid w:val="005F0555"/>
    <w:rsid w:val="00615C7C"/>
    <w:rsid w:val="00617C42"/>
    <w:rsid w:val="00624C68"/>
    <w:rsid w:val="0062543B"/>
    <w:rsid w:val="006369BB"/>
    <w:rsid w:val="006378DF"/>
    <w:rsid w:val="00643748"/>
    <w:rsid w:val="00652A60"/>
    <w:rsid w:val="0066352F"/>
    <w:rsid w:val="00666402"/>
    <w:rsid w:val="00671CD2"/>
    <w:rsid w:val="00684B20"/>
    <w:rsid w:val="00686910"/>
    <w:rsid w:val="006B2C99"/>
    <w:rsid w:val="006B5F6B"/>
    <w:rsid w:val="006B714D"/>
    <w:rsid w:val="006C3010"/>
    <w:rsid w:val="006D0E82"/>
    <w:rsid w:val="006F2ABB"/>
    <w:rsid w:val="006F361D"/>
    <w:rsid w:val="0071152F"/>
    <w:rsid w:val="00715641"/>
    <w:rsid w:val="007173DD"/>
    <w:rsid w:val="00720440"/>
    <w:rsid w:val="00764C80"/>
    <w:rsid w:val="0077506D"/>
    <w:rsid w:val="007A0B0E"/>
    <w:rsid w:val="007A1801"/>
    <w:rsid w:val="007A7708"/>
    <w:rsid w:val="007A7E94"/>
    <w:rsid w:val="007B5E08"/>
    <w:rsid w:val="007B7568"/>
    <w:rsid w:val="007B7797"/>
    <w:rsid w:val="007C4174"/>
    <w:rsid w:val="007C7A7A"/>
    <w:rsid w:val="007D3EF3"/>
    <w:rsid w:val="007F6451"/>
    <w:rsid w:val="00800B31"/>
    <w:rsid w:val="00803D68"/>
    <w:rsid w:val="0081758D"/>
    <w:rsid w:val="00836C02"/>
    <w:rsid w:val="00840D34"/>
    <w:rsid w:val="008427D2"/>
    <w:rsid w:val="00844783"/>
    <w:rsid w:val="008554F5"/>
    <w:rsid w:val="008874E3"/>
    <w:rsid w:val="0088762C"/>
    <w:rsid w:val="00891D4B"/>
    <w:rsid w:val="00894396"/>
    <w:rsid w:val="008A55A8"/>
    <w:rsid w:val="008F1F27"/>
    <w:rsid w:val="008F739C"/>
    <w:rsid w:val="00904C5D"/>
    <w:rsid w:val="00916158"/>
    <w:rsid w:val="00924540"/>
    <w:rsid w:val="00947A87"/>
    <w:rsid w:val="009552D2"/>
    <w:rsid w:val="00955E06"/>
    <w:rsid w:val="009622BA"/>
    <w:rsid w:val="00962EEC"/>
    <w:rsid w:val="00964104"/>
    <w:rsid w:val="00972BA1"/>
    <w:rsid w:val="009744FA"/>
    <w:rsid w:val="009A29CE"/>
    <w:rsid w:val="009A2A64"/>
    <w:rsid w:val="009A4DC7"/>
    <w:rsid w:val="009A50AD"/>
    <w:rsid w:val="009B1388"/>
    <w:rsid w:val="009B571C"/>
    <w:rsid w:val="009B5E3C"/>
    <w:rsid w:val="009C157F"/>
    <w:rsid w:val="009C5E77"/>
    <w:rsid w:val="009D0C6F"/>
    <w:rsid w:val="009D1FC1"/>
    <w:rsid w:val="009D2F96"/>
    <w:rsid w:val="009E13DC"/>
    <w:rsid w:val="009E567B"/>
    <w:rsid w:val="00A071CE"/>
    <w:rsid w:val="00A43F14"/>
    <w:rsid w:val="00A442D9"/>
    <w:rsid w:val="00A56F6E"/>
    <w:rsid w:val="00A61EEE"/>
    <w:rsid w:val="00A67980"/>
    <w:rsid w:val="00A74D1A"/>
    <w:rsid w:val="00A86C01"/>
    <w:rsid w:val="00AC4BDA"/>
    <w:rsid w:val="00AD1994"/>
    <w:rsid w:val="00AE740B"/>
    <w:rsid w:val="00AF451F"/>
    <w:rsid w:val="00AF4C24"/>
    <w:rsid w:val="00AF5C2F"/>
    <w:rsid w:val="00AF66DC"/>
    <w:rsid w:val="00AF6B85"/>
    <w:rsid w:val="00B10D1C"/>
    <w:rsid w:val="00B13E85"/>
    <w:rsid w:val="00B162A4"/>
    <w:rsid w:val="00B16B3E"/>
    <w:rsid w:val="00B23C49"/>
    <w:rsid w:val="00B2470F"/>
    <w:rsid w:val="00B26AF4"/>
    <w:rsid w:val="00B32A61"/>
    <w:rsid w:val="00B537FE"/>
    <w:rsid w:val="00B53E9E"/>
    <w:rsid w:val="00B7117E"/>
    <w:rsid w:val="00B71A73"/>
    <w:rsid w:val="00B86CA3"/>
    <w:rsid w:val="00B92047"/>
    <w:rsid w:val="00B93491"/>
    <w:rsid w:val="00BB752F"/>
    <w:rsid w:val="00BC485B"/>
    <w:rsid w:val="00BE0124"/>
    <w:rsid w:val="00BE5865"/>
    <w:rsid w:val="00BE7C67"/>
    <w:rsid w:val="00BF573D"/>
    <w:rsid w:val="00C059B3"/>
    <w:rsid w:val="00C0697D"/>
    <w:rsid w:val="00C243D2"/>
    <w:rsid w:val="00C3087D"/>
    <w:rsid w:val="00C436A1"/>
    <w:rsid w:val="00C547BD"/>
    <w:rsid w:val="00C57756"/>
    <w:rsid w:val="00C5785F"/>
    <w:rsid w:val="00C61DE3"/>
    <w:rsid w:val="00C62056"/>
    <w:rsid w:val="00C63B09"/>
    <w:rsid w:val="00C832A3"/>
    <w:rsid w:val="00C83E55"/>
    <w:rsid w:val="00C900EA"/>
    <w:rsid w:val="00C95F58"/>
    <w:rsid w:val="00CA2E14"/>
    <w:rsid w:val="00CB1B2A"/>
    <w:rsid w:val="00CC639B"/>
    <w:rsid w:val="00CC7237"/>
    <w:rsid w:val="00CD64C5"/>
    <w:rsid w:val="00CF3797"/>
    <w:rsid w:val="00D06B62"/>
    <w:rsid w:val="00D22847"/>
    <w:rsid w:val="00D2524D"/>
    <w:rsid w:val="00D32AB5"/>
    <w:rsid w:val="00D333C6"/>
    <w:rsid w:val="00D46825"/>
    <w:rsid w:val="00D5158D"/>
    <w:rsid w:val="00D742A6"/>
    <w:rsid w:val="00D756DE"/>
    <w:rsid w:val="00D84DDA"/>
    <w:rsid w:val="00D93253"/>
    <w:rsid w:val="00DA1BAF"/>
    <w:rsid w:val="00DA2F31"/>
    <w:rsid w:val="00DA6368"/>
    <w:rsid w:val="00DA686D"/>
    <w:rsid w:val="00DA7B92"/>
    <w:rsid w:val="00DB5760"/>
    <w:rsid w:val="00DD0ED4"/>
    <w:rsid w:val="00DD676F"/>
    <w:rsid w:val="00DE69B4"/>
    <w:rsid w:val="00E00594"/>
    <w:rsid w:val="00E121A4"/>
    <w:rsid w:val="00E230AD"/>
    <w:rsid w:val="00E236D7"/>
    <w:rsid w:val="00E239FE"/>
    <w:rsid w:val="00E2776E"/>
    <w:rsid w:val="00E31021"/>
    <w:rsid w:val="00E32E8D"/>
    <w:rsid w:val="00E342A6"/>
    <w:rsid w:val="00E37E5F"/>
    <w:rsid w:val="00E416B7"/>
    <w:rsid w:val="00E425B2"/>
    <w:rsid w:val="00E43764"/>
    <w:rsid w:val="00E5226C"/>
    <w:rsid w:val="00E5504D"/>
    <w:rsid w:val="00E55EA5"/>
    <w:rsid w:val="00E60A97"/>
    <w:rsid w:val="00E60B53"/>
    <w:rsid w:val="00E62D83"/>
    <w:rsid w:val="00E63C94"/>
    <w:rsid w:val="00E648D6"/>
    <w:rsid w:val="00E70B94"/>
    <w:rsid w:val="00E73BFE"/>
    <w:rsid w:val="00E905C5"/>
    <w:rsid w:val="00E928EB"/>
    <w:rsid w:val="00EA5C06"/>
    <w:rsid w:val="00EB2818"/>
    <w:rsid w:val="00EB6FF7"/>
    <w:rsid w:val="00EC0BE2"/>
    <w:rsid w:val="00EC1A9B"/>
    <w:rsid w:val="00ED2DE4"/>
    <w:rsid w:val="00ED736E"/>
    <w:rsid w:val="00ED7870"/>
    <w:rsid w:val="00EE09B1"/>
    <w:rsid w:val="00EF04FC"/>
    <w:rsid w:val="00EF1479"/>
    <w:rsid w:val="00F01607"/>
    <w:rsid w:val="00F03B99"/>
    <w:rsid w:val="00F05710"/>
    <w:rsid w:val="00F05FFB"/>
    <w:rsid w:val="00F07042"/>
    <w:rsid w:val="00F13BF0"/>
    <w:rsid w:val="00F30819"/>
    <w:rsid w:val="00F30E00"/>
    <w:rsid w:val="00F403FC"/>
    <w:rsid w:val="00F43893"/>
    <w:rsid w:val="00F524BE"/>
    <w:rsid w:val="00F569D7"/>
    <w:rsid w:val="00F6105F"/>
    <w:rsid w:val="00F63791"/>
    <w:rsid w:val="00F63A76"/>
    <w:rsid w:val="00F63F55"/>
    <w:rsid w:val="00F704AC"/>
    <w:rsid w:val="00F734BB"/>
    <w:rsid w:val="00F751DB"/>
    <w:rsid w:val="00F77F39"/>
    <w:rsid w:val="00F84A17"/>
    <w:rsid w:val="00F941F0"/>
    <w:rsid w:val="00FB025A"/>
    <w:rsid w:val="00FC1DCE"/>
    <w:rsid w:val="00FC528E"/>
    <w:rsid w:val="00FC558A"/>
    <w:rsid w:val="00FD5931"/>
    <w:rsid w:val="00FD60D3"/>
    <w:rsid w:val="00FE7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D751"/>
  <w15:docId w15:val="{4073DB77-43C0-4C35-B823-BCA0D5C3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758D"/>
    <w:pPr>
      <w:jc w:val="both"/>
    </w:pPr>
    <w:rPr>
      <w:rFonts w:ascii="Times New Roman" w:hAnsi="Times New Roman"/>
      <w:lang w:val="en-GB"/>
    </w:rPr>
  </w:style>
  <w:style w:type="paragraph" w:styleId="Heading1">
    <w:name w:val="heading 1"/>
    <w:basedOn w:val="Normal"/>
    <w:next w:val="BodyText"/>
    <w:link w:val="Heading1Char"/>
    <w:autoRedefine/>
    <w:uiPriority w:val="9"/>
    <w:qFormat/>
    <w:rsid w:val="00C900EA"/>
    <w:pPr>
      <w:keepNext/>
      <w:keepLines/>
      <w:numPr>
        <w:numId w:val="3"/>
      </w:numPr>
      <w:spacing w:before="360" w:after="80"/>
      <w:outlineLvl w:val="0"/>
    </w:pPr>
    <w:rPr>
      <w:rFonts w:eastAsiaTheme="majorEastAsia" w:cstheme="majorBidi"/>
      <w:b/>
      <w:szCs w:val="40"/>
    </w:rPr>
  </w:style>
  <w:style w:type="paragraph" w:styleId="Heading2">
    <w:name w:val="heading 2"/>
    <w:basedOn w:val="Normal"/>
    <w:next w:val="BodyText"/>
    <w:link w:val="Heading2Char"/>
    <w:autoRedefine/>
    <w:uiPriority w:val="9"/>
    <w:unhideWhenUsed/>
    <w:qFormat/>
    <w:rsid w:val="00AF4C24"/>
    <w:pPr>
      <w:keepNext/>
      <w:keepLines/>
      <w:numPr>
        <w:ilvl w:val="1"/>
        <w:numId w:val="3"/>
      </w:numPr>
      <w:spacing w:before="160" w:after="80"/>
      <w:outlineLvl w:val="1"/>
    </w:pPr>
    <w:rPr>
      <w:rFonts w:eastAsiaTheme="majorEastAsia" w:cstheme="majorBidi"/>
      <w:b/>
      <w:szCs w:val="32"/>
    </w:rPr>
  </w:style>
  <w:style w:type="paragraph" w:styleId="Heading3">
    <w:name w:val="heading 3"/>
    <w:basedOn w:val="Normal"/>
    <w:next w:val="BodyText"/>
    <w:link w:val="Heading3Char"/>
    <w:uiPriority w:val="9"/>
    <w:unhideWhenUsed/>
    <w:qFormat/>
    <w:rsid w:val="00A10FD9"/>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D2524D"/>
    <w:pPr>
      <w:spacing w:before="180" w:after="180"/>
    </w:pPr>
    <w:rPr>
      <w:rFonts w:ascii="Cambria Math" w:hAnsi="Cambria Math"/>
      <w: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4860E9"/>
    <w:pPr>
      <w:spacing w:after="80" w:line="360" w:lineRule="auto"/>
      <w:contextualSpacing/>
      <w:jc w:val="center"/>
    </w:pPr>
    <w:rPr>
      <w:rFonts w:eastAsiaTheme="majorEastAsia" w:cstheme="majorBidi"/>
      <w:b/>
      <w:sz w:val="28"/>
      <w:szCs w:val="28"/>
    </w:rPr>
  </w:style>
  <w:style w:type="character" w:customStyle="1" w:styleId="TitleChar">
    <w:name w:val="Title Char"/>
    <w:basedOn w:val="DefaultParagraphFont"/>
    <w:link w:val="Title"/>
    <w:uiPriority w:val="10"/>
    <w:rsid w:val="004860E9"/>
    <w:rPr>
      <w:rFonts w:ascii="Times New Roman" w:eastAsiaTheme="majorEastAsia" w:hAnsi="Times New Roman" w:cstheme="majorBidi"/>
      <w:b/>
      <w:sz w:val="28"/>
      <w:szCs w:val="28"/>
      <w:lang w:val="en-GB"/>
    </w:rPr>
  </w:style>
  <w:style w:type="paragraph" w:styleId="Subtitle">
    <w:name w:val="Subtitle"/>
    <w:basedOn w:val="Title"/>
    <w:next w:val="BodyText"/>
    <w:link w:val="SubtitleChar"/>
    <w:uiPriority w:val="11"/>
    <w:qFormat/>
    <w:rsid w:val="00A10FD9"/>
    <w:pPr>
      <w:numPr>
        <w:ilvl w:val="1"/>
      </w:numPr>
    </w:pPr>
    <w:rPr>
      <w:spacing w:val="15"/>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900EA"/>
    <w:rPr>
      <w:rFonts w:ascii="Times New Roman" w:eastAsiaTheme="majorEastAsia" w:hAnsi="Times New Roman" w:cstheme="majorBidi"/>
      <w:b/>
      <w:szCs w:val="40"/>
      <w:lang w:val="en-GB"/>
    </w:rPr>
  </w:style>
  <w:style w:type="character" w:customStyle="1" w:styleId="Heading2Char">
    <w:name w:val="Heading 2 Char"/>
    <w:basedOn w:val="DefaultParagraphFont"/>
    <w:link w:val="Heading2"/>
    <w:uiPriority w:val="9"/>
    <w:rsid w:val="00AF4C24"/>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C900EA"/>
    <w:pPr>
      <w:ind w:left="720"/>
      <w:contextualSpacing/>
    </w:pPr>
  </w:style>
  <w:style w:type="character" w:styleId="UnresolvedMention">
    <w:name w:val="Unresolved Mention"/>
    <w:basedOn w:val="DefaultParagraphFont"/>
    <w:uiPriority w:val="99"/>
    <w:semiHidden/>
    <w:unhideWhenUsed/>
    <w:rsid w:val="00FC528E"/>
    <w:rPr>
      <w:color w:val="605E5C"/>
      <w:shd w:val="clear" w:color="auto" w:fill="E1DFDD"/>
    </w:rPr>
  </w:style>
  <w:style w:type="table" w:styleId="TableGrid">
    <w:name w:val="Table Grid"/>
    <w:basedOn w:val="TableNormal"/>
    <w:uiPriority w:val="39"/>
    <w:rsid w:val="001003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EF1479"/>
    <w:rPr>
      <w:color w:val="808080"/>
    </w:rPr>
  </w:style>
  <w:style w:type="character" w:styleId="LineNumber">
    <w:name w:val="line number"/>
    <w:basedOn w:val="DefaultParagraphFont"/>
    <w:rsid w:val="004860E9"/>
  </w:style>
  <w:style w:type="table" w:customStyle="1" w:styleId="Style1">
    <w:name w:val="Style1"/>
    <w:basedOn w:val="TableNormal"/>
    <w:uiPriority w:val="99"/>
    <w:rsid w:val="00ED2DE4"/>
    <w:pPr>
      <w:spacing w:after="0"/>
    </w:p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table" w:customStyle="1" w:styleId="Manu">
    <w:name w:val="Manu"/>
    <w:basedOn w:val="TableNormal"/>
    <w:uiPriority w:val="99"/>
    <w:rsid w:val="00ED2DE4"/>
    <w:pPr>
      <w:spacing w:after="0"/>
    </w:pPr>
    <w:rPr>
      <w:rFonts w:ascii="Times New Roman" w:eastAsiaTheme="minorEastAsia" w:hAnsi="Times New Roman"/>
      <w:sz w:val="22"/>
      <w:szCs w:val="22"/>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Quote">
    <w:name w:val="Quote"/>
    <w:basedOn w:val="Normal"/>
    <w:next w:val="Normal"/>
    <w:link w:val="QuoteChar"/>
    <w:uiPriority w:val="29"/>
    <w:qFormat/>
    <w:rsid w:val="00ED2D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2DE4"/>
    <w:rPr>
      <w:rFonts w:ascii="Times New Roman" w:hAnsi="Times New Roman"/>
      <w:i/>
      <w:iCs/>
      <w:color w:val="404040" w:themeColor="text1" w:themeTint="BF"/>
      <w:lang w:val="en-GB"/>
    </w:rPr>
  </w:style>
  <w:style w:type="character" w:styleId="IntenseEmphasis">
    <w:name w:val="Intense Emphasis"/>
    <w:basedOn w:val="DefaultParagraphFont"/>
    <w:uiPriority w:val="21"/>
    <w:qFormat/>
    <w:rsid w:val="00ED2DE4"/>
    <w:rPr>
      <w:i/>
      <w:iCs/>
      <w:color w:val="0F4761" w:themeColor="accent1" w:themeShade="BF"/>
    </w:rPr>
  </w:style>
  <w:style w:type="paragraph" w:styleId="IntenseQuote">
    <w:name w:val="Intense Quote"/>
    <w:basedOn w:val="Normal"/>
    <w:next w:val="Normal"/>
    <w:link w:val="IntenseQuoteChar"/>
    <w:uiPriority w:val="30"/>
    <w:qFormat/>
    <w:rsid w:val="00ED2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DE4"/>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ED2DE4"/>
    <w:rPr>
      <w:b/>
      <w:bCs/>
      <w:smallCaps/>
      <w:color w:val="0F4761" w:themeColor="accent1" w:themeShade="BF"/>
      <w:spacing w:val="5"/>
    </w:rPr>
  </w:style>
  <w:style w:type="paragraph" w:styleId="NormalWeb">
    <w:name w:val="Normal (Web)"/>
    <w:basedOn w:val="Normal"/>
    <w:uiPriority w:val="99"/>
    <w:unhideWhenUsed/>
    <w:rsid w:val="007F6451"/>
    <w:pPr>
      <w:spacing w:before="100" w:beforeAutospacing="1" w:after="100" w:afterAutospacing="1"/>
      <w:jc w:val="left"/>
    </w:pPr>
    <w:rPr>
      <w:rFonts w:eastAsia="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dabdul-wahab1988/neutrosophic_pl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6B405-14CF-4E81-A308-700AB091E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52</Pages>
  <Words>50653</Words>
  <Characters>288728</Characters>
  <Application>Microsoft Office Word</Application>
  <DocSecurity>0</DocSecurity>
  <Lines>2406</Lines>
  <Paragraphs>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Emmanuel Daanoba Sunkari</dc:creator>
  <cp:keywords/>
  <cp:lastModifiedBy>Dickson Abdul-Wahab</cp:lastModifiedBy>
  <cp:revision>22</cp:revision>
  <cp:lastPrinted>2026-04-17T04:09:00Z</cp:lastPrinted>
  <dcterms:created xsi:type="dcterms:W3CDTF">2026-04-12T04:45:00Z</dcterms:created>
  <dcterms:modified xsi:type="dcterms:W3CDTF">2026-04-17T05:55:00Z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MSIP_Label_defa4170-0d19-0005-0004-bc88714345d2_Enabled">
    <vt:lpwstr>true</vt:lpwstr>
  </property>
  <property fmtid="{D5CDD505-2E9C-101B-9397-08002B2CF9AE}" pid="4" name="MSIP_Label_defa4170-0d19-0005-0004-bc88714345d2_SetDate">
    <vt:lpwstr>2026-04-12T05:22:11Z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f5eefcdb-1752-47f9-8fe8-71fa465f7979</vt:lpwstr>
  </property>
  <property fmtid="{D5CDD505-2E9C-101B-9397-08002B2CF9AE}" pid="8" name="MSIP_Label_defa4170-0d19-0005-0004-bc88714345d2_ActionId">
    <vt:lpwstr>3d165e66-4693-4ccc-bf72-a6093a4d4405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Mendeley Recent Style Id 0_1">
    <vt:lpwstr>http://csl.mendeley.com/styles/677334661/apa</vt:lpwstr>
  </property>
  <property fmtid="{D5CDD505-2E9C-101B-9397-08002B2CF9AE}" pid="12" name="Mendeley Recent Style Name 0_1">
    <vt:lpwstr>American Psychological Association 7th edition</vt:lpwstr>
  </property>
  <property fmtid="{D5CDD505-2E9C-101B-9397-08002B2CF9AE}" pid="13" name="Mendeley Recent Style Id 1_1">
    <vt:lpwstr>http://www.zotero.org/styles/apa</vt:lpwstr>
  </property>
  <property fmtid="{D5CDD505-2E9C-101B-9397-08002B2CF9AE}" pid="14" name="Mendeley Recent Style Name 1_1">
    <vt:lpwstr>American Psychological Association Dickson edition</vt:lpwstr>
  </property>
  <property fmtid="{D5CDD505-2E9C-101B-9397-08002B2CF9AE}" pid="15" name="Mendeley Recent Style Id 2_1">
    <vt:lpwstr>http://www.zotero.org/styles/american-sociological-association</vt:lpwstr>
  </property>
  <property fmtid="{D5CDD505-2E9C-101B-9397-08002B2CF9AE}" pid="16" name="Mendeley Recent Style Name 2_1">
    <vt:lpwstr>American Sociological Association 6th edition</vt:lpwstr>
  </property>
  <property fmtid="{D5CDD505-2E9C-101B-9397-08002B2CF9AE}" pid="17" name="Mendeley Recent Style Id 3_1">
    <vt:lpwstr>http://www.zotero.org/styles/ieee</vt:lpwstr>
  </property>
  <property fmtid="{D5CDD505-2E9C-101B-9397-08002B2CF9AE}" pid="18" name="Mendeley Recent Style Name 3_1">
    <vt:lpwstr>IEEE</vt:lpwstr>
  </property>
  <property fmtid="{D5CDD505-2E9C-101B-9397-08002B2CF9AE}" pid="19" name="Mendeley Recent Style Id 4_1">
    <vt:lpwstr>http://www.zotero.org/styles/nature</vt:lpwstr>
  </property>
  <property fmtid="{D5CDD505-2E9C-101B-9397-08002B2CF9AE}" pid="20" name="Mendeley Recent Style Name 4_1">
    <vt:lpwstr>Nature</vt:lpwstr>
  </property>
  <property fmtid="{D5CDD505-2E9C-101B-9397-08002B2CF9AE}" pid="21" name="Mendeley Recent Style Id 5_1">
    <vt:lpwstr>http://www.zotero.org/styles/taylor-and-francis-apa</vt:lpwstr>
  </property>
  <property fmtid="{D5CDD505-2E9C-101B-9397-08002B2CF9AE}" pid="22" name="Mendeley Recent Style Name 5_1">
    <vt:lpwstr>Taylor &amp; Francis - APA</vt:lpwstr>
  </property>
  <property fmtid="{D5CDD505-2E9C-101B-9397-08002B2CF9AE}" pid="23" name="Mendeley Recent Style Id 6_1">
    <vt:lpwstr>http://www.zotero.org/styles/university-of-gothenburg-apa-7th-edition-swedish-legislations</vt:lpwstr>
  </property>
  <property fmtid="{D5CDD505-2E9C-101B-9397-08002B2CF9AE}" pid="24" name="Mendeley Recent Style Name 6_1">
    <vt:lpwstr>University of Gothenburg - APA 7th edition (Swedish legislations)</vt:lpwstr>
  </property>
  <property fmtid="{D5CDD505-2E9C-101B-9397-08002B2CF9AE}" pid="25" name="Mendeley Recent Style Id 7_1">
    <vt:lpwstr>http://www.zotero.org/styles/university-of-york-vancouver</vt:lpwstr>
  </property>
  <property fmtid="{D5CDD505-2E9C-101B-9397-08002B2CF9AE}" pid="26" name="Mendeley Recent Style Name 7_1">
    <vt:lpwstr>University of York - Vancouver</vt:lpwstr>
  </property>
  <property fmtid="{D5CDD505-2E9C-101B-9397-08002B2CF9AE}" pid="27" name="Mendeley Recent Style Id 8_1">
    <vt:lpwstr>http://www.zotero.org/styles/vancouver</vt:lpwstr>
  </property>
  <property fmtid="{D5CDD505-2E9C-101B-9397-08002B2CF9AE}" pid="28" name="Mendeley Recent Style Name 8_1">
    <vt:lpwstr>Vancouver</vt:lpwstr>
  </property>
  <property fmtid="{D5CDD505-2E9C-101B-9397-08002B2CF9AE}" pid="29" name="Mendeley Recent Style Id 9_1">
    <vt:lpwstr>http://www.zotero.org/styles/vancouver-fr-ca</vt:lpwstr>
  </property>
  <property fmtid="{D5CDD505-2E9C-101B-9397-08002B2CF9AE}" pid="30" name="Mendeley Recent Style Name 9_1">
    <vt:lpwstr>Vancouver (Français - Canada)</vt:lpwstr>
  </property>
  <property fmtid="{D5CDD505-2E9C-101B-9397-08002B2CF9AE}" pid="31" name="Mendeley Document_1">
    <vt:lpwstr>True</vt:lpwstr>
  </property>
  <property fmtid="{D5CDD505-2E9C-101B-9397-08002B2CF9AE}" pid="32" name="Mendeley Unique User Id_1">
    <vt:lpwstr>22664ad5-0411-3a00-8749-461174ec09be</vt:lpwstr>
  </property>
  <property fmtid="{D5CDD505-2E9C-101B-9397-08002B2CF9AE}" pid="33" name="Mendeley Citation Style_1">
    <vt:lpwstr>http://www.zotero.org/styles/nature</vt:lpwstr>
  </property>
</Properties>
</file>