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Landing page review</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Renovagent design assessment</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Codex</w:t>
            </w:r>
          </w:p>
          <w:p w14:paraId="00000007">
            <w:pPr>
              <w:spacing w:after="0" w:line="240" w:lineRule="auto"/>
              <w:rPr>
                <w:color w:val="666666"/>
              </w:rPr>
            </w:pPr>
            <w:r>
              <w:rPr>
                <w:color w:val="666666"/>
                <w:rtl w:val="0"/>
              </w:rPr>
              <w:t xml:space="preserve">October 30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Review sources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Executive summary</w:t>
      </w:r>
    </w:p>
    <w:p w14:paraId="00000018">
      <w:pPr>
        <w:rPr/>
      </w:pPr>
      <w:r>
        <w:rPr>
          <w:rtl w:val="0"/>
        </w:rPr>
        <w:t xml:space="preserve">Keep the current visual direction and sharpen the product story. Renovagent has a clear prompt, a restrained blue palette and a useful interactive bathroom example. The next iteration should make the outcome more concrete: a project scope, material requirements and decisions to review.</w:t>
      </w:r>
    </w:p>
    <w:p w14:paraId="00000019">
      <w:pPr>
        <w:rPr/>
      </w:pPr>
      <w:r>
        <w:rPr>
          <w:rtl w:val="0"/>
        </w:rPr>
        <w:t xml:space="preserve">The main weaknesses are hierarchy and expectation setting. A long competitor comparison interrupts the project narrative; the primary action has only a visible arrow; and important demo qualifications use very small type. Address these before adding more decoration or sections.</w:t>
      </w:r>
    </w:p>
    <w:bookmarkStart w:colFirst="0" w:colLast="0" w:name="bookmark=id.1sqjewf8afxt" w:id="2"/>
    <w:bookmarkEnd w:id="2"/>
    <w:p w14:paraId="0000001A">
      <w:pPr>
        <w:pStyle w:val="Heading2"/>
        <w:rPr/>
      </w:pPr>
      <w:r>
        <w:rPr>
          <w:rtl w:val="0"/>
        </w:rPr>
        <w:t xml:space="preserve">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the brand, prompt-first opening, responsive layout and linked material example.</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Prioritize a visible action label, clearer scope-to-materials messaging and readable evidence labels.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Treat conversion gains as hypotheses to test. This review contains no user study or analytics.</w:t>
      </w:r>
    </w:p>
    <w:bookmarkStart w:colFirst="0" w:colLast="0" w:name="bookmark=id.4t4jj91ycfx" w:id="3"/>
    <w:bookmarkEnd w:id="3"/>
    <w:p w14:paraId="0000001E">
      <w:pPr>
        <w:pStyle w:val="Heading2"/>
        <w:rPr/>
      </w:pPr>
      <w:r>
        <w:rPr>
          <w:rtl w:val="0"/>
        </w:rPr>
        <w:t xml:space="preserve">Introduction</w:t>
      </w:r>
    </w:p>
    <w:p w14:paraId="0000001F">
      <w:pPr>
        <w:rPr/>
      </w:pPr>
      <w:r>
        <w:rPr>
          <w:rtl w:val="0"/>
        </w:rPr>
        <w:t xml:space="preserve">The review covers messaging, visual hierarchy, responsive readability and the path from a landing prompt to project setup. Findings combine direct browser observations with the current React source and product direction. Recommendations are design judgments, not measured conversion results.</w:t>
      </w:r>
    </w:p>
    <w:p w14:paraId="00000020">
      <w:pPr>
        <w:rPr/>
      </w:pPr>
      <w:r>
        <w:rPr>
          <w:rtl w:val="0"/>
        </w:rPr>
        <w:t xml:space="preserve">The product direction spans the home improvement lifecycle. The landing page should establish that breadth while making the current prototype boundary clear. A bathroom is a useful reference example; the interface should continue to invite other rooms, repairs and project types.</w:t>
      </w:r>
    </w:p>
    <w:bookmarkStart w:colFirst="0" w:colLast="0" w:name="bookmark=id.xx7bxdemqiq" w:id="4"/>
    <w:bookmarkEnd w:id="4"/>
    <w:p w14:paraId="00000021">
      <w:pPr>
        <w:pStyle w:val="Heading1"/>
        <w:pageBreakBefore w:val="1"/>
        <w:rPr/>
      </w:pPr>
      <w:r>
        <w:rPr>
          <w:rtl w:val="0"/>
        </w:rPr>
        <w:t xml:space="preserve">Key findings</w:t>
      </w:r>
    </w:p>
    <w:p w14:paraId="00000022">
      <w:pPr>
        <w:rPr/>
      </w:pPr>
      <w:r>
        <w:rPr>
          <w:rtl w:val="0"/>
        </w:rPr>
        <w:t xml:space="preserve">The opening is visually coherent, but “Turn your space into a plan” leaves the output abstract. The house illustration establishes the category without showing the working product. Meanwhile, Before / after is the default demo view, so the page initially emphasizes generated imagery over the scope and material workflow.</w:t>
      </w:r>
    </w:p>
    <w:p w14:paraId="00000023">
      <w:pPr>
        <w:pStyle w:val="Heading2"/>
        <w:rPr/>
      </w:pPr>
      <w:r>
        <w:rPr>
          <w:rtl w:val="0"/>
        </w:rPr>
        <w:t xml:space="preserve">Context and conditions</w:t>
      </w:r>
    </w:p>
    <w:p w14:paraId="00000024">
      <w:pPr>
        <w:rPr/>
      </w:pPr>
      <w:r>
        <w:rPr>
          <w:rtl w:val="0"/>
        </w:rPr>
        <w:t xml:space="preserve">At 1280px wide, the default page measured 3522px tall. The competitor section occupied 1310px, about 37% of that height. It compares subscription plans across different audiences while Renovagent has no finalized public price. This deserves less prominence than a concrete project example.</w:t>
      </w:r>
    </w:p>
    <w:p w14:paraId="00000025">
      <w:pPr>
        <w:pStyle w:val="Heading2"/>
        <w:rPr/>
      </w:pPr>
      <w:r>
        <w:rPr>
          <w:rtl w:val="0"/>
        </w:rPr>
        <w:t xml:space="preserve">Patterns in the evidence</w:t>
      </w:r>
    </w:p>
    <w:p w14:paraId="00000026">
      <w:pPr>
        <w:rPr/>
      </w:pPr>
      <w:r>
        <w:rPr>
          <w:rtl w:val="0"/>
        </w:rPr>
        <w:t xml:space="preserve">At 390px wide, material provenance uses 8px type and the subtotal qualification uses 9px. Idea starters are about 29px high. The main submit control is 44px square, but its visible arrow does not explain the next step. Generated “before” imagery is also labeled “Reality,” which can create an avoidable ambiguity.</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Show what the project produces before asking visitors to compare software subscriptions.</w:t>
      </w:r>
      <w:r>
        <w:rPr>
          <w:rtl w:val="0"/>
        </w:rPr>
      </w:r>
    </w:p>
    <w:p w14:paraId="00000029">
      <w:pPr>
        <w:pStyle w:val="Heading2"/>
        <w:rPr/>
      </w:pPr>
      <w:r>
        <w:rPr>
          <w:rtl w:val="0"/>
        </w:rPr>
      </w:r>
    </w:p>
    <w:bookmarkStart w:colFirst="0" w:colLast="0" w:name="bookmark=id.suv0vlq0gz4r" w:id="5"/>
    <w:bookmarkEnd w:id="5"/>
    <w:p w14:paraId="0000002A">
      <w:pPr>
        <w:pStyle w:val="Heading2"/>
        <w:rPr/>
      </w:pPr>
      <w:r>
        <w:rPr>
          <w:rtl w:val="0"/>
        </w:rPr>
        <w:t xml:space="preserve">Implications</w:t>
      </w:r>
    </w:p>
    <w:p w14:paraId="0000002B">
      <w:pPr>
        <w:rPr/>
      </w:pPr>
      <w:r>
        <w:rPr>
          <w:rtl w:val="0"/>
        </w:rPr>
        <w:t xml:space="preserve">Preserve the calm visual system. Spend the next design pass on comprehension, evidence and the handoff into project setup.</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Priority</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Current signal</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Design response</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P1</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General promise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 the concrete output</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P1</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Long comparison</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Lead with project evidence</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P2</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Tiny qualifications</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Make trust labels readable</w:t>
            </w:r>
          </w:p>
        </w:tc>
      </w:tr>
    </w:tbl>
    <w:bookmarkStart w:colFirst="0" w:colLast="0" w:name="bookmark=id.vvr4bduzzdc0" w:id="6"/>
    <w:bookmarkEnd w:id="6"/>
    <w:p w14:paraId="00000038">
      <w:pPr>
        <w:pStyle w:val="Heading1"/>
        <w:pageBreakBefore w:val="1"/>
        <w:rPr/>
      </w:pPr>
      <w:r>
        <w:rPr>
          <w:rtl w:val="0"/>
        </w:rPr>
        <w:t xml:space="preserve">Recommendations</w:t>
      </w:r>
    </w:p>
    <w:p w14:paraId="00000039">
      <w:pPr>
        <w:rPr/>
      </w:pPr>
      <w:r>
        <w:rPr>
          <w:rtl w:val="0"/>
        </w:rPr>
        <w:t xml:space="preserve">Use three focused iterations, with P1 changes first. The suggested copy below is a design proposal and should remain aligned with implemented behavior.</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P1 Clarify the promise and action.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Try “A clearer scope for your next home project” with “Describe what you want to change. Build a scope and material list, with questions to review before work begins.” Replace the arrow-only action with “Start a project.” Add “Next, add your place and project details” to explain the actual dialog handoff.</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P1 Put product evidence first.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one prompt and the example. Preview scope, material requirements and unresolved fit checks beside the concept; make Materials &amp; fit easier to discover. Add a compact view of the actual workspace. Move the full comparison behind an optional link or expander. Keep the main sequence: promise, example, workflow, current availability, start.</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P2 Improve readability and trust.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roughly 13–14px for essential provenance and limitations, and enlarge the small starter targets. Rename “Reality” to “Before concept.” Put prototype and connection availability in visible copy near the relevant action. Retain the dated retail reference, demo allowances and exclusions; do not imply a renovation total or a finalized price advantage.</w:t>
      </w:r>
    </w:p>
    <w:bookmarkStart w:colFirst="0" w:colLast="0" w:name="bookmark=id.rl3o3rp5qmnq" w:id="7"/>
    <w:bookmarkEnd w:id="7"/>
    <w:p w14:paraId="0000003D">
      <w:pPr>
        <w:pStyle w:val="Heading2"/>
        <w:rPr/>
      </w:pPr>
      <w:r>
        <w:rPr>
          <w:rtl w:val="0"/>
        </w:rPr>
        <w:t xml:space="preserve">Conclusion</w:t>
      </w:r>
    </w:p>
    <w:p w14:paraId="0000003E">
      <w:pPr>
        <w:rPr/>
      </w:pPr>
      <w:r>
        <w:rPr>
          <w:rtl w:val="0"/>
        </w:rPr>
        <w:t xml:space="preserve">The current design has a useful foundation. Its best differentiator is the connection between a project decision, the material list and the questions still needing review. Make that relationship visible earlier, and use the visual concept to support it.</w:t>
      </w:r>
    </w:p>
    <w:p w14:paraId="0000003F">
      <w:pPr>
        <w:rPr/>
      </w:pPr>
      <w:r>
        <w:rPr>
          <w:rtl w:val="0"/>
        </w:rPr>
        <w:t xml:space="preserve">A successful revision helps a first-time visitor explain what they will get, recognize the prototype limits and start a project without guessing. Validate those outcomes with observation before attributing an increase in conversion to the redesign.</w:t>
      </w:r>
    </w:p>
    <w:bookmarkStart w:colFirst="0" w:colLast="0" w:name="bookmark=id.cf45595vup8a" w:id="8"/>
    <w:bookmarkEnd w:id="8"/>
    <w:p w14:paraId="00000040">
      <w:pPr>
        <w:pStyle w:val="Heading1"/>
        <w:pageBreakBefore w:val="1"/>
        <w:rPr/>
      </w:pPr>
      <w:r>
        <w:rPr>
          <w:rtl w:val="0"/>
        </w:rPr>
        <w:t xml:space="preserve">Appendix</w:t>
      </w:r>
    </w:p>
    <w:bookmarkStart w:colFirst="0" w:colLast="0" w:name="bookmark=id.ptrg31dozyqs" w:id="9"/>
    <w:bookmarkEnd w:id="9"/>
    <w:p w14:paraId="00000041">
      <w:pPr>
        <w:pStyle w:val="Heading2"/>
        <w:rPr/>
      </w:pPr>
      <w:r>
        <w:rPr>
          <w:rtl w:val="0"/>
        </w:rPr>
        <w:t xml:space="preserve">Notes</w:t>
      </w:r>
    </w:p>
    <w:p w14:paraId="00000042">
      <w:pPr>
        <w:rPr/>
      </w:pPr>
      <w:r>
        <w:rPr>
          <w:rtl w:val="0"/>
        </w:rPr>
        <w:t xml:space="preserve">Live review on October 30, 2026 used localhost:8741 at 1280 × 900 and 390 × 844. Neither width had horizontal overflow. A starter brief carried into setup; the dialog was closed without creating a project. The 127.0.0.1 origin remained on its loading screen; the cause was not diagnosed.</w:t>
      </w:r>
    </w:p>
    <w:p w14:paraId="00000043">
      <w:pPr>
        <w:rPr/>
      </w:pPr>
      <w:r>
        <w:rPr>
          <w:rtl w:val="0"/>
        </w:rPr>
        <w:t xml:space="preserve">The illustrative material subtotal changed from $1,344 to $664 when the $680 wall-tile allowance was removed, then was restored. The footer action focused the prompt. These checks cover interface behavior, not retailer pricing, fit, technical approval or purchasing.</w:t>
      </w:r>
    </w:p>
    <w:bookmarkStart w:colFirst="0" w:colLast="0" w:name="bookmark=id.nnk1eebni0ji" w:id="10"/>
    <w:bookmarkEnd w:id="10"/>
    <w:p w14:paraId="00000044">
      <w:pPr>
        <w:pStyle w:val="Heading2"/>
        <w:rPr/>
      </w:pPr>
      <w:r>
        <w:rPr>
          <w:rtl w:val="0"/>
        </w:rPr>
        <w:t xml:space="preserve">Review sources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Live interface and DOM measurements. Canonical React landing at localhost:8741. Reviewed October 30,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Landing implementation. apps/web/src/features/landing/landing.tsx and landing-v2.css; comparison.tsx and comparison.css.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Product direction. docs/RENOVAGENT_PRODUCT_SCOPE.md and docs/architecture/README.md. Target scope distinguished from implemented behavior.</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Implementation context. docs/landing-v2-evidence.md and current landing source. Earlier evidence is historical where superseded.</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Next validation.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Ask first-time visitors what the product delivers, what is illustrative and what happens after submit. Then observe them starting a project.</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Renovagent landing review</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October 30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