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OCE × OPH × IT³</w:t>
      </w:r>
    </w:p>
    <w:p>
      <w:pPr>
        <w:jc w:val="center"/>
      </w:pPr>
      <w:r>
        <w:rPr>
          <w:i/>
          <w:sz w:val="22"/>
        </w:rPr>
        <w:t>Cross-Realization Ingestion Packet • Research Map • Implementation Plan • Test Program</w:t>
      </w:r>
    </w:p>
    <w:p>
      <w:r>
        <w:t>Prepared for handoff into the OCE institutional engineering thread. Version: 2026-09-23.</w:t>
      </w:r>
    </w:p>
    <w:p>
      <w:r>
        <w:t>Purpose: preserve the source material, separate proved/conditional/speculative claims, identify reusable mechanisms from Observer Patch Holography (OPH) and the IT³ / C-PHAM body of work, and turn those mechanisms into bounded OCE experiments without importing unverified physics claims as doctrine.</w:t>
      </w:r>
    </w:p>
    <w:p/>
    <w:p>
      <w:pPr>
        <w:pStyle w:val="Heading1"/>
      </w:pPr>
      <w:r>
        <w:t>EXECUTIVE DIRECTIVE</w:t>
      </w:r>
    </w:p>
    <w:p>
      <w:r>
        <w:t>Do not merge the theories at the level of ontology. Merge them at the level of engineering patterns, formal contracts, state reduction, invariant preservation, provenance, falsification, and reconstruction. OPH is the stronger template for epistemic bookkeeping and proof-status separation; IT³ is useful as a contrasting template for discrete state reduction, geometry-first classification, multiscale invariants, and aggressive hypothesis generation. OCE should treat both as external research inputs, not authorities.</w:t>
      </w:r>
    </w:p>
    <w:p>
      <w:pPr>
        <w:jc w:val="center"/>
      </w:pPr>
      <w:r>
        <w:rPr>
          <w:rFonts w:ascii="Cambria Math" w:hAnsi="Cambria Math"/>
          <w:i/>
          <w:sz w:val="21"/>
        </w:rPr>
        <w:t>OCE target: Evidence → Typed State → Invariants → Transition/Repair → Normal Form → Receipt → Promotion</w:t>
      </w:r>
    </w:p>
    <w:p>
      <w:r>
        <w:t>The practical goal is an OCE research harness that can ingest a proposed architecture, derive a typed dependency graph, run competing normalizers/classifiers, attack invariants with perturbations, and promote only results that survive frozen tests.</w:t>
      </w:r>
    </w:p>
    <w:p>
      <w:pPr>
        <w:pStyle w:val="Heading2"/>
      </w:pPr>
      <w:r>
        <w:t>KEY CONCLUSION</w:t>
      </w:r>
    </w:p>
    <w:p>
      <w:r>
        <w:t>OPH already contains much of the mathematical/operator layer we initially thought might need to be invented: typed observer objects, overlap agreement, repair relations, normal forms, quotient-visible invariants, exact finite theorems, Lean verification, reproducible computations, explicit realization obligations, and frozen prediction machinery. Its flagship paper explicitly separates finite theorem, certified computation, reconstruction implication, unsupplied realization map, diagnostic, prospective conditional test, and frozen prospective branch prediction. [OPH Flagship, pp. 2–4]</w:t>
      </w:r>
    </w:p>
    <w:p>
      <w:r>
        <w:t>The OCE opportunity is therefore not 'add math to OPH.' It is to extract the architecture of trustworthy reconstruction and combine it with OCE's existing model-sparse institutional doctrine, while using IT³ as an adversarial geometry/state-classification corpus.</w:t>
      </w:r>
    </w:p>
    <w:p>
      <w:pPr>
        <w:pStyle w:val="Heading1"/>
      </w:pPr>
      <w:r>
        <w:t>1. SOURCE PACKET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2937"/>
          </w:tcPr>
          <w:p>
            <w:r>
              <w:rPr>
                <w:b/>
                <w:color w:val="FFFFFF"/>
                <w:sz w:val="16"/>
              </w:rPr>
              <w:t>Source</w:t>
            </w:r>
          </w:p>
        </w:tc>
        <w:tc>
          <w:tcPr>
            <w:tcW w:type="dxa" w:w="3389"/>
            <w:shd w:fill="1F2937"/>
          </w:tcPr>
          <w:p>
            <w:r>
              <w:rPr>
                <w:b/>
                <w:color w:val="FFFFFF"/>
                <w:sz w:val="16"/>
              </w:rPr>
              <w:t>What it contributes</w:t>
            </w:r>
          </w:p>
        </w:tc>
        <w:tc>
          <w:tcPr>
            <w:tcW w:type="dxa" w:w="3389"/>
            <w:shd w:fill="1F2937"/>
          </w:tcPr>
          <w:p>
            <w:r>
              <w:rPr>
                <w:b/>
                <w:color w:val="FFFFFF"/>
                <w:sz w:val="16"/>
              </w:rPr>
              <w:t>Use in OCE</w:t>
            </w:r>
          </w:p>
        </w:tc>
      </w:tr>
      <w:tr>
        <w:tc>
          <w:tcPr>
            <w:tcW w:type="dxa" w:w="3389"/>
            <w:vAlign w:val="center"/>
          </w:tcPr>
          <w:p>
            <w:r>
              <w:rPr>
                <w:sz w:val="15"/>
              </w:rPr>
              <w:t>OPH GitHub repository</w:t>
            </w:r>
          </w:p>
        </w:tc>
        <w:tc>
          <w:tcPr>
            <w:tcW w:type="dxa" w:w="3389"/>
            <w:vAlign w:val="center"/>
          </w:tcPr>
          <w:p>
            <w:r>
              <w:rPr>
                <w:sz w:val="15"/>
              </w:rPr>
              <w:t>Canonical code, Lean proofs, claims/evidence registries, simulations, premise register, postdiction and frozen-prediction ledgers.</w:t>
            </w:r>
          </w:p>
        </w:tc>
        <w:tc>
          <w:tcPr>
            <w:tcW w:type="dxa" w:w="3389"/>
            <w:vAlign w:val="center"/>
          </w:tcPr>
          <w:p>
            <w:r>
              <w:rPr>
                <w:sz w:val="15"/>
              </w:rPr>
              <w:t>Primary architecture/provenance reference.</w:t>
            </w:r>
          </w:p>
        </w:tc>
      </w:tr>
      <w:tr>
        <w:tc>
          <w:tcPr>
            <w:tcW w:type="dxa" w:w="3389"/>
            <w:vAlign w:val="center"/>
          </w:tcPr>
          <w:p>
            <w:r>
              <w:rPr>
                <w:sz w:val="15"/>
              </w:rPr>
              <w:t>Finite Observer Consensus as a Reconstruction Principle (Sep 22 2026)</w:t>
            </w:r>
          </w:p>
        </w:tc>
        <w:tc>
          <w:tcPr>
            <w:tcW w:type="dxa" w:w="3389"/>
            <w:vAlign w:val="center"/>
          </w:tcPr>
          <w:p>
            <w:r>
              <w:rPr>
                <w:sz w:val="15"/>
              </w:rPr>
              <w:t>Flagship formal account; A1/A2/A3; normal forms; rank-3 quotient; quantum/gauge/geometry/matter/Einstein claim boundaries.</w:t>
            </w:r>
          </w:p>
        </w:tc>
        <w:tc>
          <w:tcPr>
            <w:tcW w:type="dxa" w:w="3389"/>
            <w:vAlign w:val="center"/>
          </w:tcPr>
          <w:p>
            <w:r>
              <w:rPr>
                <w:sz w:val="15"/>
              </w:rPr>
              <w:t>Primary technical ingestion.</w:t>
            </w:r>
          </w:p>
        </w:tc>
      </w:tr>
      <w:tr>
        <w:tc>
          <w:tcPr>
            <w:tcW w:type="dxa" w:w="3389"/>
            <w:vAlign w:val="center"/>
          </w:tcPr>
          <w:p>
            <w:r>
              <w:rPr>
                <w:sz w:val="15"/>
              </w:rPr>
              <w:t>Reverse Engineering Reality</w:t>
            </w:r>
          </w:p>
        </w:tc>
        <w:tc>
          <w:tcPr>
            <w:tcW w:type="dxa" w:w="3389"/>
            <w:vAlign w:val="center"/>
          </w:tcPr>
          <w:p>
            <w:r>
              <w:rPr>
                <w:sz w:val="15"/>
              </w:rPr>
              <w:t>405-page conceptual book; observer-first motivation, reverse-engineering discipline, parameter counting, explanations of the physical program.</w:t>
            </w:r>
          </w:p>
        </w:tc>
        <w:tc>
          <w:tcPr>
            <w:tcW w:type="dxa" w:w="3389"/>
            <w:vAlign w:val="center"/>
          </w:tcPr>
          <w:p>
            <w:r>
              <w:rPr>
                <w:sz w:val="15"/>
              </w:rPr>
              <w:t>Semantic/context layer.</w:t>
            </w:r>
          </w:p>
        </w:tc>
      </w:tr>
      <w:tr>
        <w:tc>
          <w:tcPr>
            <w:tcW w:type="dxa" w:w="3389"/>
            <w:vAlign w:val="center"/>
          </w:tcPr>
          <w:p>
            <w:r>
              <w:rPr>
                <w:sz w:val="15"/>
              </w:rPr>
              <w:t>OPH Unification textbook page</w:t>
            </w:r>
          </w:p>
        </w:tc>
        <w:tc>
          <w:tcPr>
            <w:tcW w:type="dxa" w:w="3389"/>
            <w:vAlign w:val="center"/>
          </w:tcPr>
          <w:p>
            <w:r>
              <w:rPr>
                <w:sz w:val="15"/>
              </w:rPr>
              <w:t>Closure equation / fixed-point program and long-form derivational teaching material.</w:t>
            </w:r>
          </w:p>
        </w:tc>
        <w:tc>
          <w:tcPr>
            <w:tcW w:type="dxa" w:w="3389"/>
            <w:vAlign w:val="center"/>
          </w:tcPr>
          <w:p>
            <w:r>
              <w:rPr>
                <w:sz w:val="15"/>
              </w:rPr>
              <w:t>Secondary derivation reference.</w:t>
            </w:r>
          </w:p>
        </w:tc>
      </w:tr>
      <w:tr>
        <w:tc>
          <w:tcPr>
            <w:tcW w:type="dxa" w:w="3389"/>
            <w:vAlign w:val="center"/>
          </w:tcPr>
          <w:p>
            <w:r>
              <w:rPr>
                <w:sz w:val="15"/>
              </w:rPr>
              <w:t>IT³ / Invariant Topological Torus Zenodo records</w:t>
            </w:r>
          </w:p>
        </w:tc>
        <w:tc>
          <w:tcPr>
            <w:tcW w:type="dxa" w:w="3389"/>
            <w:vAlign w:val="center"/>
          </w:tcPr>
          <w:p>
            <w:r>
              <w:rPr>
                <w:sz w:val="15"/>
              </w:rPr>
              <w:t>Geometry-first discrete/topological physical architecture, nested state classes, number-field/topological claims.</w:t>
            </w:r>
          </w:p>
        </w:tc>
        <w:tc>
          <w:tcPr>
            <w:tcW w:type="dxa" w:w="3389"/>
            <w:vAlign w:val="center"/>
          </w:tcPr>
          <w:p>
            <w:r>
              <w:rPr>
                <w:sz w:val="15"/>
              </w:rPr>
              <w:t>Adversarial external theory corpus.</w:t>
            </w:r>
          </w:p>
        </w:tc>
      </w:tr>
      <w:tr>
        <w:tc>
          <w:tcPr>
            <w:tcW w:type="dxa" w:w="3389"/>
            <w:vAlign w:val="center"/>
          </w:tcPr>
          <w:p>
            <w:r>
              <w:rPr>
                <w:sz w:val="15"/>
              </w:rPr>
              <w:t>IT³ + Perez Hourglass unification preprint</w:t>
            </w:r>
          </w:p>
        </w:tc>
        <w:tc>
          <w:tcPr>
            <w:tcW w:type="dxa" w:w="3389"/>
            <w:vAlign w:val="center"/>
          </w:tcPr>
          <w:p>
            <w:r>
              <w:rPr>
                <w:sz w:val="15"/>
              </w:rPr>
              <w:t>Attempts a unification of IT³ torus and Perez Hourglass equation through Diophantine geometry and prime indexing.</w:t>
            </w:r>
          </w:p>
        </w:tc>
        <w:tc>
          <w:tcPr>
            <w:tcW w:type="dxa" w:w="3389"/>
            <w:vAlign w:val="center"/>
          </w:tcPr>
          <w:p>
            <w:r>
              <w:rPr>
                <w:sz w:val="15"/>
              </w:rPr>
              <w:t>Speculative hypothesis corpus; do not promote without independent tests.</w:t>
            </w:r>
          </w:p>
        </w:tc>
      </w:tr>
      <w:tr>
        <w:tc>
          <w:tcPr>
            <w:tcW w:type="dxa" w:w="3389"/>
            <w:vAlign w:val="center"/>
          </w:tcPr>
          <w:p>
            <w:r>
              <w:rPr>
                <w:sz w:val="15"/>
              </w:rPr>
              <w:t>C-PHAM code/data referenced in IT³ work</w:t>
            </w:r>
          </w:p>
        </w:tc>
        <w:tc>
          <w:tcPr>
            <w:tcW w:type="dxa" w:w="3389"/>
            <w:vAlign w:val="center"/>
          </w:tcPr>
          <w:p>
            <w:r>
              <w:rPr>
                <w:sz w:val="15"/>
              </w:rPr>
              <w:t>Executable state assignment / topological floor machinery and out-of-sample comparisons.</w:t>
            </w:r>
          </w:p>
        </w:tc>
        <w:tc>
          <w:tcPr>
            <w:tcW w:type="dxa" w:w="3389"/>
            <w:vAlign w:val="center"/>
          </w:tcPr>
          <w:p>
            <w:r>
              <w:rPr>
                <w:sz w:val="15"/>
              </w:rPr>
              <w:t>Useful classifier to audit and benchmark.</w:t>
            </w:r>
          </w:p>
        </w:tc>
      </w:tr>
    </w:tbl>
    <w:p>
      <w:pPr>
        <w:pStyle w:val="Heading2"/>
      </w:pPr>
      <w:r>
        <w:t>Reference URLs</w:t>
      </w:r>
    </w:p>
    <w:p>
      <w:pPr>
        <w:pStyle w:val="ListBullet"/>
      </w:pPr>
      <w:r>
        <w:t>https://github.com/FloatingPragma/observer-patch-holography</w:t>
      </w:r>
    </w:p>
    <w:p>
      <w:pPr>
        <w:pStyle w:val="ListBullet"/>
      </w:pPr>
      <w:r>
        <w:t>https://learn.floatingpragma.io/unification</w:t>
      </w:r>
    </w:p>
    <w:p>
      <w:pPr>
        <w:pStyle w:val="ListBullet"/>
      </w:pPr>
      <w:r>
        <w:t>https://zenodo.org/records/22882422</w:t>
      </w:r>
    </w:p>
    <w:p>
      <w:pPr>
        <w:pStyle w:val="ListBullet"/>
      </w:pPr>
      <w:r>
        <w:t>https://zenodo.org/records/20450282</w:t>
      </w:r>
    </w:p>
    <w:p>
      <w:pPr>
        <w:pStyle w:val="ListBullet"/>
      </w:pPr>
      <w:r>
        <w:t>https://zenodo.org/records/20734135</w:t>
      </w:r>
    </w:p>
    <w:p>
      <w:pPr>
        <w:pStyle w:val="Heading1"/>
      </w:pPr>
      <w:r>
        <w:t>2. OPH: WHAT THE CURRENT WORK ACTUALLY CONTAINS</w:t>
      </w:r>
    </w:p>
    <w:p>
      <w:r>
        <w:t>Primitive architecture. OPH begins with bounded, self-reading observer patches that have local state, observable boundaries, readback, durable records and authorized repair moves. Local carriers federate through typed overlaps; the public world is reconstructed from records that survive authorized comparison and repair. [OPH Flagship, pp. 1–3]</w:t>
      </w:r>
    </w:p>
    <w:p>
      <w:r>
        <w:rPr>
          <w:b/>
        </w:rPr>
        <w:t xml:space="preserve">A1 - </w:t>
      </w:r>
      <w:r>
        <w:t>carrier federation and spherical support.</w:t>
      </w:r>
    </w:p>
    <w:p>
      <w:r>
        <w:t>At each regulator r the theory defines a typed object N_r with an oriented twelve-port carrier boundary (12 vertices, 30 edges, 20 faces), a federation nerve, a bridge to oriented spherical support, a finite-dimensional unitary space H, and an injective real-linear response derivative D: V → u(H). The image is closed under commutators and carries a positive-definite trace pairing. [OPH Flagship, pp. 9–10]</w:t>
      </w:r>
    </w:p>
    <w:p>
      <w:pPr>
        <w:jc w:val="center"/>
      </w:pPr>
      <w:r>
        <w:rPr>
          <w:rFonts w:ascii="Cambria Math" w:hAnsi="Cambria Math"/>
          <w:i/>
          <w:sz w:val="21"/>
        </w:rPr>
        <w:t>D : V → u(H),    &lt;v,w&gt;_D = -Tr(D(v)D(w))</w:t>
      </w:r>
    </w:p>
    <w:p>
      <w:r>
        <w:rPr>
          <w:b/>
        </w:rPr>
        <w:t xml:space="preserve">A2 - </w:t>
      </w:r>
      <w:r>
        <w:t>observer agreement.</w:t>
      </w:r>
    </w:p>
    <w:p>
      <w:r>
        <w:t>Accepted data must have the same operational meaning on overlaps. Rechartings, seam translations, higher overlaps, federation maps and refinement maps must preserve interpretation. Proper carrier automorphisms are implemented endogenously by the same reversible response algebra. [OPH Flagship, p. 10]</w:t>
      </w:r>
    </w:p>
    <w:p>
      <w:pPr>
        <w:jc w:val="center"/>
      </w:pPr>
      <w:r>
        <w:rPr>
          <w:rFonts w:ascii="Cambria Math" w:hAnsi="Cambria Math"/>
          <w:i/>
          <w:sz w:val="21"/>
        </w:rPr>
        <w:t>J_O(res d_P) = J_O(τ res d_Q)</w:t>
      </w:r>
    </w:p>
    <w:p>
      <w:r>
        <w:rPr>
          <w:b/>
        </w:rPr>
        <w:t xml:space="preserve">A3 - </w:t>
      </w:r>
      <w:r>
        <w:t>maximum randomness under agreement constraints.</w:t>
      </w:r>
    </w:p>
    <w:p>
      <w:r>
        <w:t>After observer-visible compatibility constraints are imposed, the selected state is the least informative relative to the declared reference. This is an information-selection principle, not merely a narrative preference. [OPH Flagship, p. 10]</w:t>
      </w:r>
    </w:p>
    <w:p>
      <w:pPr>
        <w:pStyle w:val="Heading2"/>
      </w:pPr>
      <w:r>
        <w:t>Repair and public normal form</w:t>
      </w:r>
    </w:p>
    <w:p>
      <w:r>
        <w:t>When the named repair relation terminates, satisfies the local diamond, and is complete, every maximal schedule from the same initial quotient state reaches the same consistent normal form. The protected record is idempotent, schedule-independent and insensitive to presentation data hidden by the quotient. OPH interprets that public normal form as emergent objective reality. [OPH Flagship, p. 2]</w:t>
      </w:r>
    </w:p>
    <w:p>
      <w:pPr>
        <w:jc w:val="center"/>
      </w:pPr>
      <w:r>
        <w:rPr>
          <w:rFonts w:ascii="Cambria Math" w:hAnsi="Cambria Math"/>
          <w:i/>
          <w:sz w:val="21"/>
        </w:rPr>
        <w:t>x --σ₁→ NF(x),   x --σ₂→ NF(x)  ⇒  NF_σ₁(x) = NF_σ₂(x)</w:t>
      </w:r>
    </w:p>
    <w:p>
      <w:r>
        <w:t>This is directly useful to OCE: institutional state should not depend on which compliant worker/agent executed first. If two authorized schedules produce different public state, either the protocol is non-confluent or an unstated dependency exists.</w:t>
      </w:r>
    </w:p>
    <w:p>
      <w:pPr>
        <w:pStyle w:val="Heading2"/>
      </w:pPr>
      <w:r>
        <w:t>Claim classes / epistemic ledger</w:t>
      </w:r>
    </w:p>
    <w:tbl>
      <w:tblPr>
        <w:tblStyle w:val="TableGrid"/>
        <w:tblW w:type="auto" w:w="0"/>
        <w:jc w:val="center"/>
        <w:tblLook w:firstColumn="1" w:firstRow="1" w:lastColumn="0" w:lastRow="0" w:noHBand="0" w:noVBand="1" w:val="04A0"/>
      </w:tblPr>
      <w:tblGrid>
        <w:gridCol w:w="5083"/>
        <w:gridCol w:w="5083"/>
      </w:tblGrid>
      <w:tr>
        <w:tc>
          <w:tcPr>
            <w:tcW w:type="dxa" w:w="5083"/>
            <w:shd w:fill="1F2937"/>
          </w:tcPr>
          <w:p>
            <w:r>
              <w:rPr>
                <w:b/>
                <w:color w:val="FFFFFF"/>
                <w:sz w:val="16"/>
              </w:rPr>
              <w:t>Class</w:t>
            </w:r>
          </w:p>
        </w:tc>
        <w:tc>
          <w:tcPr>
            <w:tcW w:type="dxa" w:w="5083"/>
            <w:shd w:fill="1F2937"/>
          </w:tcPr>
          <w:p>
            <w:r>
              <w:rPr>
                <w:b/>
                <w:color w:val="FFFFFF"/>
                <w:sz w:val="16"/>
              </w:rPr>
              <w:t>Meaning for OCE</w:t>
            </w:r>
          </w:p>
        </w:tc>
      </w:tr>
      <w:tr>
        <w:tc>
          <w:tcPr>
            <w:tcW w:type="dxa" w:w="5083"/>
            <w:vAlign w:val="center"/>
          </w:tcPr>
          <w:p>
            <w:r>
              <w:rPr>
                <w:sz w:val="15"/>
              </w:rPr>
              <w:t>Finite theorem</w:t>
            </w:r>
          </w:p>
        </w:tc>
        <w:tc>
          <w:tcPr>
            <w:tcW w:type="dxa" w:w="5083"/>
            <w:vAlign w:val="center"/>
          </w:tcPr>
          <w:p>
            <w:r>
              <w:rPr>
                <w:sz w:val="15"/>
              </w:rPr>
              <w:t>Deductive result on a stated finite domain. Promote only within that domain.</w:t>
            </w:r>
          </w:p>
        </w:tc>
      </w:tr>
      <w:tr>
        <w:tc>
          <w:tcPr>
            <w:tcW w:type="dxa" w:w="5083"/>
            <w:vAlign w:val="center"/>
          </w:tcPr>
          <w:p>
            <w:r>
              <w:rPr>
                <w:sz w:val="15"/>
              </w:rPr>
              <w:t>Certified finite computation</w:t>
            </w:r>
          </w:p>
        </w:tc>
        <w:tc>
          <w:tcPr>
            <w:tcW w:type="dxa" w:w="5083"/>
            <w:vAlign w:val="center"/>
          </w:tcPr>
          <w:p>
            <w:r>
              <w:rPr>
                <w:sz w:val="15"/>
              </w:rPr>
              <w:t>Executable witness with frozen inputs/controls/output; computation does not automatically become theorem.</w:t>
            </w:r>
          </w:p>
        </w:tc>
      </w:tr>
      <w:tr>
        <w:tc>
          <w:tcPr>
            <w:tcW w:type="dxa" w:w="5083"/>
            <w:vAlign w:val="center"/>
          </w:tcPr>
          <w:p>
            <w:r>
              <w:rPr>
                <w:sz w:val="15"/>
              </w:rPr>
              <w:t>Reconstruction implication</w:t>
            </w:r>
          </w:p>
        </w:tc>
        <w:tc>
          <w:tcPr>
            <w:tcW w:type="dxa" w:w="5083"/>
            <w:vAlign w:val="center"/>
          </w:tcPr>
          <w:p>
            <w:r>
              <w:rPr>
                <w:sz w:val="15"/>
              </w:rPr>
              <w:t>Exact implication whose antecedents include explicit geometric/physical premises.</w:t>
            </w:r>
          </w:p>
        </w:tc>
      </w:tr>
      <w:tr>
        <w:tc>
          <w:tcPr>
            <w:tcW w:type="dxa" w:w="5083"/>
            <w:vAlign w:val="center"/>
          </w:tcPr>
          <w:p>
            <w:r>
              <w:rPr>
                <w:sz w:val="15"/>
              </w:rPr>
              <w:t>Unsupplied realization map</w:t>
            </w:r>
          </w:p>
        </w:tc>
        <w:tc>
          <w:tcPr>
            <w:tcW w:type="dxa" w:w="5083"/>
            <w:vAlign w:val="center"/>
          </w:tcPr>
          <w:p>
            <w:r>
              <w:rPr>
                <w:sz w:val="15"/>
              </w:rPr>
              <w:t>Required bridge from formal object to real-world object that has not yet been constructed.</w:t>
            </w:r>
          </w:p>
        </w:tc>
      </w:tr>
      <w:tr>
        <w:tc>
          <w:tcPr>
            <w:tcW w:type="dxa" w:w="5083"/>
            <w:vAlign w:val="center"/>
          </w:tcPr>
          <w:p>
            <w:r>
              <w:rPr>
                <w:sz w:val="15"/>
              </w:rPr>
              <w:t>Diagnostic</w:t>
            </w:r>
          </w:p>
        </w:tc>
        <w:tc>
          <w:tcPr>
            <w:tcW w:type="dxa" w:w="5083"/>
            <w:vAlign w:val="center"/>
          </w:tcPr>
          <w:p>
            <w:r>
              <w:rPr>
                <w:sz w:val="15"/>
              </w:rPr>
              <w:t>Comparison that consumes measured values; never relabel as prediction.</w:t>
            </w:r>
          </w:p>
        </w:tc>
      </w:tr>
      <w:tr>
        <w:tc>
          <w:tcPr>
            <w:tcW w:type="dxa" w:w="5083"/>
            <w:vAlign w:val="center"/>
          </w:tcPr>
          <w:p>
            <w:r>
              <w:rPr>
                <w:sz w:val="15"/>
              </w:rPr>
              <w:t>Prospectively fixed conditional test</w:t>
            </w:r>
          </w:p>
        </w:tc>
        <w:tc>
          <w:tcPr>
            <w:tcW w:type="dxa" w:w="5083"/>
            <w:vAlign w:val="center"/>
          </w:tcPr>
          <w:p>
            <w:r>
              <w:rPr>
                <w:sz w:val="15"/>
              </w:rPr>
              <w:t>Target, kill band, precision floor and decision rule frozen before comparison.</w:t>
            </w:r>
          </w:p>
        </w:tc>
      </w:tr>
      <w:tr>
        <w:tc>
          <w:tcPr>
            <w:tcW w:type="dxa" w:w="5083"/>
            <w:vAlign w:val="center"/>
          </w:tcPr>
          <w:p>
            <w:r>
              <w:rPr>
                <w:sz w:val="15"/>
              </w:rPr>
              <w:t>Frozen prospective branch prediction</w:t>
            </w:r>
          </w:p>
        </w:tc>
        <w:tc>
          <w:tcPr>
            <w:tcW w:type="dxa" w:w="5083"/>
            <w:vAlign w:val="center"/>
          </w:tcPr>
          <w:p>
            <w:r>
              <w:rPr>
                <w:sz w:val="15"/>
              </w:rPr>
              <w:t>Forward calculation frozen before eligible data; failure rejects the branch, not automatically the entire framework.</w:t>
            </w:r>
          </w:p>
        </w:tc>
      </w:tr>
    </w:tbl>
    <w:p>
      <w:r>
        <w:t>This seven-class ledger should be imported almost verbatim into OCE's research governance, generalized beyond physics.</w:t>
      </w:r>
    </w:p>
    <w:p>
      <w:pPr>
        <w:pStyle w:val="Heading2"/>
      </w:pPr>
      <w:r>
        <w:t>OPH mathematical outputs relevant to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2937"/>
          </w:tcPr>
          <w:p>
            <w:r>
              <w:rPr>
                <w:b/>
                <w:color w:val="FFFFFF"/>
                <w:sz w:val="16"/>
              </w:rPr>
              <w:t>Layer</w:t>
            </w:r>
          </w:p>
        </w:tc>
        <w:tc>
          <w:tcPr>
            <w:tcW w:type="dxa" w:w="3389"/>
            <w:shd w:fill="1F2937"/>
          </w:tcPr>
          <w:p>
            <w:r>
              <w:rPr>
                <w:b/>
                <w:color w:val="FFFFFF"/>
                <w:sz w:val="16"/>
              </w:rPr>
              <w:t>OPH result/status</w:t>
            </w:r>
          </w:p>
        </w:tc>
        <w:tc>
          <w:tcPr>
            <w:tcW w:type="dxa" w:w="3389"/>
            <w:shd w:fill="1F2937"/>
          </w:tcPr>
          <w:p>
            <w:r>
              <w:rPr>
                <w:b/>
                <w:color w:val="FFFFFF"/>
                <w:sz w:val="16"/>
              </w:rPr>
              <w:t>OCE interpretation</w:t>
            </w:r>
          </w:p>
        </w:tc>
      </w:tr>
      <w:tr>
        <w:tc>
          <w:tcPr>
            <w:tcW w:type="dxa" w:w="3389"/>
            <w:vAlign w:val="center"/>
          </w:tcPr>
          <w:p>
            <w:r>
              <w:rPr>
                <w:sz w:val="15"/>
              </w:rPr>
              <w:t>Consensus</w:t>
            </w:r>
          </w:p>
        </w:tc>
        <w:tc>
          <w:tcPr>
            <w:tcW w:type="dxa" w:w="3389"/>
            <w:vAlign w:val="center"/>
          </w:tcPr>
          <w:p>
            <w:r>
              <w:rPr>
                <w:sz w:val="15"/>
              </w:rPr>
              <w:t>Schedule-independent public normal forms under termination/local-diamond/completeness premises.</w:t>
            </w:r>
          </w:p>
        </w:tc>
        <w:tc>
          <w:tcPr>
            <w:tcW w:type="dxa" w:w="3389"/>
            <w:vAlign w:val="center"/>
          </w:tcPr>
          <w:p>
            <w:r>
              <w:rPr>
                <w:sz w:val="15"/>
              </w:rPr>
              <w:t>Confluent multi-agent state reconciliation.</w:t>
            </w:r>
          </w:p>
        </w:tc>
      </w:tr>
      <w:tr>
        <w:tc>
          <w:tcPr>
            <w:tcW w:type="dxa" w:w="3389"/>
            <w:vAlign w:val="center"/>
          </w:tcPr>
          <w:p>
            <w:r>
              <w:rPr>
                <w:sz w:val="15"/>
              </w:rPr>
              <w:t>Geometry</w:t>
            </w:r>
          </w:p>
        </w:tc>
        <w:tc>
          <w:tcPr>
            <w:tcW w:type="dxa" w:w="3389"/>
            <w:vAlign w:val="center"/>
          </w:tcPr>
          <w:p>
            <w:r>
              <w:rPr>
                <w:sz w:val="15"/>
              </w:rPr>
              <w:t>Normalized 12-port response has intrinsic rank-3 Gram quotient.</w:t>
            </w:r>
          </w:p>
        </w:tc>
        <w:tc>
          <w:tcPr>
            <w:tcW w:type="dxa" w:w="3389"/>
            <w:vAlign w:val="center"/>
          </w:tcPr>
          <w:p>
            <w:r>
              <w:rPr>
                <w:sz w:val="15"/>
              </w:rPr>
              <w:t>Dimension can emerge from response rank rather than be declared.</w:t>
            </w:r>
          </w:p>
        </w:tc>
      </w:tr>
      <w:tr>
        <w:tc>
          <w:tcPr>
            <w:tcW w:type="dxa" w:w="3389"/>
            <w:vAlign w:val="center"/>
          </w:tcPr>
          <w:p>
            <w:r>
              <w:rPr>
                <w:sz w:val="15"/>
              </w:rPr>
              <w:t>Causality</w:t>
            </w:r>
          </w:p>
        </w:tc>
        <w:tc>
          <w:tcPr>
            <w:tcW w:type="dxa" w:w="3389"/>
            <w:vAlign w:val="center"/>
          </w:tcPr>
          <w:p>
            <w:r>
              <w:rPr>
                <w:sz w:val="15"/>
              </w:rPr>
              <w:t>Authenticated provenance produces finite informational posets and canonical parent-chain height.</w:t>
            </w:r>
          </w:p>
        </w:tc>
        <w:tc>
          <w:tcPr>
            <w:tcW w:type="dxa" w:w="3389"/>
            <w:vAlign w:val="center"/>
          </w:tcPr>
          <w:p>
            <w:r>
              <w:rPr>
                <w:sz w:val="15"/>
              </w:rPr>
              <w:t>Event sourcing + causal provenance.</w:t>
            </w:r>
          </w:p>
        </w:tc>
      </w:tr>
      <w:tr>
        <w:tc>
          <w:tcPr>
            <w:tcW w:type="dxa" w:w="3389"/>
            <w:vAlign w:val="center"/>
          </w:tcPr>
          <w:p>
            <w:r>
              <w:rPr>
                <w:sz w:val="15"/>
              </w:rPr>
              <w:t>Quantum records</w:t>
            </w:r>
          </w:p>
        </w:tc>
        <w:tc>
          <w:tcPr>
            <w:tcW w:type="dxa" w:w="3389"/>
            <w:vAlign w:val="center"/>
          </w:tcPr>
          <w:p>
            <w:r>
              <w:rPr>
                <w:sz w:val="15"/>
              </w:rPr>
              <w:t>Finite effect valuations recover density-operator probability; Lüders/Tsirelson/no-cloning results on declared domains.</w:t>
            </w:r>
          </w:p>
        </w:tc>
        <w:tc>
          <w:tcPr>
            <w:tcW w:type="dxa" w:w="3389"/>
            <w:vAlign w:val="center"/>
          </w:tcPr>
          <w:p>
            <w:r>
              <w:rPr>
                <w:sz w:val="15"/>
              </w:rPr>
              <w:t>Example of deriving behavior from record algebra.</w:t>
            </w:r>
          </w:p>
        </w:tc>
      </w:tr>
      <w:tr>
        <w:tc>
          <w:tcPr>
            <w:tcW w:type="dxa" w:w="3389"/>
            <w:vAlign w:val="center"/>
          </w:tcPr>
          <w:p>
            <w:r>
              <w:rPr>
                <w:sz w:val="15"/>
              </w:rPr>
              <w:t>Gauge structure</w:t>
            </w:r>
          </w:p>
        </w:tc>
        <w:tc>
          <w:tcPr>
            <w:tcW w:type="dxa" w:w="3389"/>
            <w:vAlign w:val="center"/>
          </w:tcPr>
          <w:p>
            <w:r>
              <w:rPr>
                <w:sz w:val="15"/>
              </w:rPr>
              <w:t>A1 complete response + A2 endogenous transport force u(1)⊕su(2)⊕su(3) Lie type on declared 12-port architecture.</w:t>
            </w:r>
          </w:p>
        </w:tc>
        <w:tc>
          <w:tcPr>
            <w:tcW w:type="dxa" w:w="3389"/>
            <w:vAlign w:val="center"/>
          </w:tcPr>
          <w:p>
            <w:r>
              <w:rPr>
                <w:sz w:val="15"/>
              </w:rPr>
              <w:t>Classification from interface symmetry/completeness.</w:t>
            </w:r>
          </w:p>
        </w:tc>
      </w:tr>
      <w:tr>
        <w:tc>
          <w:tcPr>
            <w:tcW w:type="dxa" w:w="3389"/>
            <w:vAlign w:val="center"/>
          </w:tcPr>
          <w:p>
            <w:r>
              <w:rPr>
                <w:sz w:val="15"/>
              </w:rPr>
              <w:t>Matter</w:t>
            </w:r>
          </w:p>
        </w:tc>
        <w:tc>
          <w:tcPr>
            <w:tcW w:type="dxa" w:w="3389"/>
            <w:vAlign w:val="center"/>
          </w:tcPr>
          <w:p>
            <w:r>
              <w:rPr>
                <w:sz w:val="15"/>
              </w:rPr>
              <w:t>Supplied charged-scalar/Maxwell action has controlled finite/continuum results on stated branches.</w:t>
            </w:r>
          </w:p>
        </w:tc>
        <w:tc>
          <w:tcPr>
            <w:tcW w:type="dxa" w:w="3389"/>
            <w:vAlign w:val="center"/>
          </w:tcPr>
          <w:p>
            <w:r>
              <w:rPr>
                <w:sz w:val="15"/>
              </w:rPr>
              <w:t>Shows how to keep 'supplied law' distinct from 'derived law'.</w:t>
            </w:r>
          </w:p>
        </w:tc>
      </w:tr>
      <w:tr>
        <w:tc>
          <w:tcPr>
            <w:tcW w:type="dxa" w:w="3389"/>
            <w:vAlign w:val="center"/>
          </w:tcPr>
          <w:p>
            <w:r>
              <w:rPr>
                <w:sz w:val="15"/>
              </w:rPr>
              <w:t>Einstein branch</w:t>
            </w:r>
          </w:p>
        </w:tc>
        <w:tc>
          <w:tcPr>
            <w:tcW w:type="dxa" w:w="3389"/>
            <w:vAlign w:val="center"/>
          </w:tcPr>
          <w:p>
            <w:r>
              <w:rPr>
                <w:sz w:val="15"/>
              </w:rPr>
              <w:t>Einstein equation follows conditionally from realized null balance, Ward conservation, Bianchi identity and scale identification.</w:t>
            </w:r>
          </w:p>
        </w:tc>
        <w:tc>
          <w:tcPr>
            <w:tcW w:type="dxa" w:w="3389"/>
            <w:vAlign w:val="center"/>
          </w:tcPr>
          <w:p>
            <w:r>
              <w:rPr>
                <w:sz w:val="15"/>
              </w:rPr>
              <w:t>Excellent example of a reconstruction contract.</w:t>
            </w:r>
          </w:p>
        </w:tc>
      </w:tr>
      <w:tr>
        <w:tc>
          <w:tcPr>
            <w:tcW w:type="dxa" w:w="3389"/>
            <w:vAlign w:val="center"/>
          </w:tcPr>
          <w:p>
            <w:r>
              <w:rPr>
                <w:sz w:val="15"/>
              </w:rPr>
              <w:t>Closure</w:t>
            </w:r>
          </w:p>
        </w:tc>
        <w:tc>
          <w:tcPr>
            <w:tcW w:type="dxa" w:w="3389"/>
            <w:vAlign w:val="center"/>
          </w:tcPr>
          <w:p>
            <w:r>
              <w:rPr>
                <w:sz w:val="15"/>
              </w:rPr>
              <w:t>Universe-level T(U)=U fixed-point hypothesis; specification, reconstruction and inhabited system must agree.</w:t>
            </w:r>
          </w:p>
        </w:tc>
        <w:tc>
          <w:tcPr>
            <w:tcW w:type="dxa" w:w="3389"/>
            <w:vAlign w:val="center"/>
          </w:tcPr>
          <w:p>
            <w:r>
              <w:rPr>
                <w:sz w:val="15"/>
              </w:rPr>
              <w:t>Useful as a systems self-consistency pattern, not as OCE ontology.</w:t>
            </w:r>
          </w:p>
        </w:tc>
      </w:tr>
    </w:tbl>
    <w:p>
      <w:pPr>
        <w:pStyle w:val="Heading2"/>
      </w:pPr>
      <w:r>
        <w:t>Critical OPH boundary</w:t>
      </w:r>
    </w:p>
    <w:p>
      <w:r>
        <w:t>The flagship explicitly states five standing unsupplied physical realization obligations: M1 position/scale; M2 clock/energy calibration; M3 laboratory current; M4 one common physical refinement tower; M5 a source-selected action. It states that no result in the paper discharges all five. [OPH Flagship, pp. 8–9] This honesty is a feature OCE should copy: every promoted result should carry unresolved bridge obligations.</w:t>
      </w:r>
    </w:p>
    <w:p>
      <w:pPr>
        <w:pStyle w:val="Heading1"/>
      </w:pPr>
      <w:r>
        <w:t>3. IT³ / C-PHAM: WHAT TO INGEST VS WHAT TO QUARANTINE</w:t>
      </w:r>
    </w:p>
    <w:p>
      <w:r>
        <w:t>IT³ is useful to OCE primarily as a geometry-first research pattern: continuous/high-dimensional observations are transformed into discrete state classes, nested structures and invariant/topological descriptions. The associated work makes much stronger physical claims than OCE should inherit. Treat those claims as hypotheses to be attacked.</w:t>
      </w:r>
    </w:p>
    <w:p>
      <w:pPr>
        <w:jc w:val="center"/>
      </w:pPr>
      <w:r>
        <w:rPr>
          <w:rFonts w:ascii="Cambria Math" w:hAnsi="Cambria Math"/>
          <w:i/>
          <w:sz w:val="21"/>
        </w:rPr>
        <w:t>Observation X → transform F(X) → discrete state Q(F(X)) = S_n</w:t>
      </w:r>
    </w:p>
    <w:p>
      <w:pPr>
        <w:pStyle w:val="Heading2"/>
      </w:pPr>
      <w:r>
        <w:t>Reusable ideas</w:t>
      </w:r>
    </w:p>
    <w:p>
      <w:pPr>
        <w:pStyle w:val="ListBullet"/>
      </w:pPr>
      <w:r>
        <w:t>State reduction: compress noisy continuous observations into a small discrete state alphabet.</w:t>
      </w:r>
    </w:p>
    <w:p>
      <w:pPr>
        <w:pStyle w:val="ListBullet"/>
      </w:pPr>
      <w:r>
        <w:t>Multiscale nesting: allow state classes to compose into larger-scale structures rather than treating every scale independently.</w:t>
      </w:r>
    </w:p>
    <w:p>
      <w:pPr>
        <w:pStyle w:val="ListBullet"/>
      </w:pPr>
      <w:r>
        <w:t>Invariant-first modeling: search for quantities preserved under admissible transforms before fitting high-capacity predictors.</w:t>
      </w:r>
    </w:p>
    <w:p>
      <w:pPr>
        <w:pStyle w:val="ListBullet"/>
      </w:pPr>
      <w:r>
        <w:t>Geometry as a hypothesis generator: use topology/graph structure to propose constraints, not as proof by resemblance.</w:t>
      </w:r>
    </w:p>
    <w:p>
      <w:pPr>
        <w:pStyle w:val="ListBullet"/>
      </w:pPr>
      <w:r>
        <w:t>Out-of-sample delta testing: freeze a mapping, then test later data rather than repeatedly re-keying to the target.</w:t>
      </w:r>
    </w:p>
    <w:p>
      <w:pPr>
        <w:pStyle w:val="ListBullet"/>
      </w:pPr>
      <w:r>
        <w:t>Cross-domain stress tests: if a claimed invariant is universal, force it through perturbations and alternate domains.</w:t>
      </w:r>
    </w:p>
    <w:p>
      <w:pPr>
        <w:pStyle w:val="Heading2"/>
      </w:pPr>
      <w:r>
        <w:t>Quarantine rules</w:t>
      </w:r>
    </w:p>
    <w:p>
      <w:pPr>
        <w:pStyle w:val="ListBullet"/>
      </w:pPr>
      <w:r>
        <w:t>Do not equate a discrete output with evidence that nature itself is discrete when the algorithm explicitly quantizes the input.</w:t>
      </w:r>
    </w:p>
    <w:p>
      <w:pPr>
        <w:pStyle w:val="ListBullet"/>
      </w:pPr>
      <w:r>
        <w:t>Do not treat numerical/symmetry resemblance as a realization map.</w:t>
      </w:r>
    </w:p>
    <w:p>
      <w:pPr>
        <w:pStyle w:val="ListBullet"/>
      </w:pPr>
      <w:r>
        <w:t>Do not promote constants or integer correspondences without provenance showing they were not selected using the target.</w:t>
      </w:r>
    </w:p>
    <w:p>
      <w:pPr>
        <w:pStyle w:val="ListBullet"/>
      </w:pPr>
      <w:r>
        <w:t>Do not let a DOI, repository, or executable code substitute for independent validation.</w:t>
      </w:r>
    </w:p>
    <w:p>
      <w:pPr>
        <w:pStyle w:val="ListBullet"/>
      </w:pPr>
      <w:r>
        <w:t>Every claimed universal invariant must compete against null models and simpler baselines.</w:t>
      </w:r>
    </w:p>
    <w:p>
      <w:pPr>
        <w:pStyle w:val="Heading1"/>
      </w:pPr>
      <w:r>
        <w:t>4. THE ACTUAL BRIDGE: OPH × IT³</w:t>
      </w:r>
    </w:p>
    <w:p>
      <w:r>
        <w:t>The strongest common structure is not 'both use topology.' It is the attempt to reduce a complicated observable world to a smaller invariant grammar.</w:t>
      </w:r>
    </w:p>
    <w:p>
      <w:pPr>
        <w:jc w:val="center"/>
      </w:pPr>
      <w:r>
        <w:rPr>
          <w:rFonts w:ascii="Cambria Math" w:hAnsi="Cambria Math"/>
          <w:i/>
          <w:sz w:val="21"/>
        </w:rPr>
        <w:t>large phenomenology ≈ small invariant grammar + composition + state transitions</w:t>
      </w:r>
    </w:p>
    <w:p>
      <w:r>
        <w:t>But the mechanisms differ. IT³ commonly performs classification into discrete floors/states. OPH performs authorized repair toward a confluent normal form. OCE should explicitly test whether an IT³-style class can be reconstructed as an OPH-style normal-form equivalence class rather than assuming the two are the same.</w:t>
      </w:r>
    </w:p>
    <w:p>
      <w:pPr>
        <w:jc w:val="center"/>
      </w:pPr>
      <w:r>
        <w:rPr>
          <w:rFonts w:ascii="Cambria Math" w:hAnsi="Cambria Math"/>
          <w:i/>
          <w:sz w:val="21"/>
        </w:rPr>
        <w:t>S_n  ?≅  [x]_OPH = { y : NF(y) = NF(x) }</w:t>
      </w:r>
    </w:p>
    <w:p>
      <w:r>
        <w:t>Three possible outcomes must be distinguished: FORCED - OPH/OCE constraints uniquely imply the state structure; PERMITTED - the structure is one admissible realization among many; EXCLUDED - it violates an invariant, realization obligation, or confluence requirement.</w:t>
      </w:r>
    </w:p>
    <w:p>
      <w:pPr>
        <w:pStyle w:val="Heading1"/>
      </w:pPr>
      <w:r>
        <w:t>5. OCE MERGE ARCHITECTURE</w:t>
      </w:r>
    </w:p>
    <w:p>
      <w:r>
        <w:t>The recommended OCE integration is a new research substrate, not a physics module.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2937"/>
          </w:tcPr>
          <w:p>
            <w:r>
              <w:rPr>
                <w:b/>
                <w:color w:val="FFFFFF"/>
                <w:sz w:val="16"/>
              </w:rPr>
              <w:t>OCE component</w:t>
            </w:r>
          </w:p>
        </w:tc>
        <w:tc>
          <w:tcPr>
            <w:tcW w:type="dxa" w:w="2541"/>
            <w:shd w:fill="1F2937"/>
          </w:tcPr>
          <w:p>
            <w:r>
              <w:rPr>
                <w:b/>
                <w:color w:val="FFFFFF"/>
                <w:sz w:val="16"/>
              </w:rPr>
              <w:t>Borrow from OPH</w:t>
            </w:r>
          </w:p>
        </w:tc>
        <w:tc>
          <w:tcPr>
            <w:tcW w:type="dxa" w:w="2541"/>
            <w:shd w:fill="1F2937"/>
          </w:tcPr>
          <w:p>
            <w:r>
              <w:rPr>
                <w:b/>
                <w:color w:val="FFFFFF"/>
                <w:sz w:val="16"/>
              </w:rPr>
              <w:t>Borrow from IT³</w:t>
            </w:r>
          </w:p>
        </w:tc>
        <w:tc>
          <w:tcPr>
            <w:tcW w:type="dxa" w:w="2541"/>
            <w:shd w:fill="1F2937"/>
          </w:tcPr>
          <w:p>
            <w:r>
              <w:rPr>
                <w:b/>
                <w:color w:val="FFFFFF"/>
                <w:sz w:val="16"/>
              </w:rPr>
              <w:t>Result</w:t>
            </w:r>
          </w:p>
        </w:tc>
      </w:tr>
      <w:tr>
        <w:tc>
          <w:tcPr>
            <w:tcW w:type="dxa" w:w="2541"/>
            <w:vAlign w:val="center"/>
          </w:tcPr>
          <w:p>
            <w:r>
              <w:rPr>
                <w:sz w:val="15"/>
              </w:rPr>
              <w:t>Typed claim registry</w:t>
            </w:r>
          </w:p>
        </w:tc>
        <w:tc>
          <w:tcPr>
            <w:tcW w:type="dxa" w:w="2541"/>
            <w:vAlign w:val="center"/>
          </w:tcPr>
          <w:p>
            <w:r>
              <w:rPr>
                <w:sz w:val="15"/>
              </w:rPr>
              <w:t>Claim classes, premise register, realization obligations</w:t>
            </w:r>
          </w:p>
        </w:tc>
        <w:tc>
          <w:tcPr>
            <w:tcW w:type="dxa" w:w="2541"/>
            <w:vAlign w:val="center"/>
          </w:tcPr>
          <w:p>
            <w:r>
              <w:rPr>
                <w:sz w:val="15"/>
              </w:rPr>
              <w:t>State/invariant declarations</w:t>
            </w:r>
          </w:p>
        </w:tc>
        <w:tc>
          <w:tcPr>
            <w:tcW w:type="dxa" w:w="2541"/>
            <w:vAlign w:val="center"/>
          </w:tcPr>
          <w:p>
            <w:r>
              <w:rPr>
                <w:sz w:val="15"/>
              </w:rPr>
              <w:t>Every claim has type, dependencies, domain and falsifier.</w:t>
            </w:r>
          </w:p>
        </w:tc>
      </w:tr>
      <w:tr>
        <w:tc>
          <w:tcPr>
            <w:tcW w:type="dxa" w:w="2541"/>
            <w:vAlign w:val="center"/>
          </w:tcPr>
          <w:p>
            <w:r>
              <w:rPr>
                <w:sz w:val="15"/>
              </w:rPr>
              <w:t>Invariant engine</w:t>
            </w:r>
          </w:p>
        </w:tc>
        <w:tc>
          <w:tcPr>
            <w:tcW w:type="dxa" w:w="2541"/>
            <w:vAlign w:val="center"/>
          </w:tcPr>
          <w:p>
            <w:r>
              <w:rPr>
                <w:sz w:val="15"/>
              </w:rPr>
              <w:t>Quotient-visible protected data</w:t>
            </w:r>
          </w:p>
        </w:tc>
        <w:tc>
          <w:tcPr>
            <w:tcW w:type="dxa" w:w="2541"/>
            <w:vAlign w:val="center"/>
          </w:tcPr>
          <w:p>
            <w:r>
              <w:rPr>
                <w:sz w:val="15"/>
              </w:rPr>
              <w:t>Geometric/topological invariants</w:t>
            </w:r>
          </w:p>
        </w:tc>
        <w:tc>
          <w:tcPr>
            <w:tcW w:type="dxa" w:w="2541"/>
            <w:vAlign w:val="center"/>
          </w:tcPr>
          <w:p>
            <w:r>
              <w:rPr>
                <w:sz w:val="15"/>
              </w:rPr>
              <w:t>Search/verify invariants under transforms.</w:t>
            </w:r>
          </w:p>
        </w:tc>
      </w:tr>
      <w:tr>
        <w:tc>
          <w:tcPr>
            <w:tcW w:type="dxa" w:w="2541"/>
            <w:vAlign w:val="center"/>
          </w:tcPr>
          <w:p>
            <w:r>
              <w:rPr>
                <w:sz w:val="15"/>
              </w:rPr>
              <w:t>Repair/normalizer</w:t>
            </w:r>
          </w:p>
        </w:tc>
        <w:tc>
          <w:tcPr>
            <w:tcW w:type="dxa" w:w="2541"/>
            <w:vAlign w:val="center"/>
          </w:tcPr>
          <w:p>
            <w:r>
              <w:rPr>
                <w:sz w:val="15"/>
              </w:rPr>
              <w:t>Termination, local diamond, confluence, normal forms</w:t>
            </w:r>
          </w:p>
        </w:tc>
        <w:tc>
          <w:tcPr>
            <w:tcW w:type="dxa" w:w="2541"/>
            <w:vAlign w:val="center"/>
          </w:tcPr>
          <w:p>
            <w:r>
              <w:rPr>
                <w:sz w:val="15"/>
              </w:rPr>
              <w:t>Discrete state reduction</w:t>
            </w:r>
          </w:p>
        </w:tc>
        <w:tc>
          <w:tcPr>
            <w:tcW w:type="dxa" w:w="2541"/>
            <w:vAlign w:val="center"/>
          </w:tcPr>
          <w:p>
            <w:r>
              <w:rPr>
                <w:sz w:val="15"/>
              </w:rPr>
              <w:t>Compare repair-derived states vs direct classifiers.</w:t>
            </w:r>
          </w:p>
        </w:tc>
      </w:tr>
      <w:tr>
        <w:tc>
          <w:tcPr>
            <w:tcW w:type="dxa" w:w="2541"/>
            <w:vAlign w:val="center"/>
          </w:tcPr>
          <w:p>
            <w:r>
              <w:rPr>
                <w:sz w:val="15"/>
              </w:rPr>
              <w:t>Provenance DAG</w:t>
            </w:r>
          </w:p>
        </w:tc>
        <w:tc>
          <w:tcPr>
            <w:tcW w:type="dxa" w:w="2541"/>
            <w:vAlign w:val="center"/>
          </w:tcPr>
          <w:p>
            <w:r>
              <w:rPr>
                <w:sz w:val="15"/>
              </w:rPr>
              <w:t>Authenticated read-after-write causal order</w:t>
            </w:r>
          </w:p>
        </w:tc>
        <w:tc>
          <w:tcPr>
            <w:tcW w:type="dxa" w:w="2541"/>
            <w:vAlign w:val="center"/>
          </w:tcPr>
          <w:p>
            <w:r>
              <w:rPr>
                <w:sz w:val="15"/>
              </w:rPr>
              <w:t>Multiscale ancestry</w:t>
            </w:r>
          </w:p>
        </w:tc>
        <w:tc>
          <w:tcPr>
            <w:tcW w:type="dxa" w:w="2541"/>
            <w:vAlign w:val="center"/>
          </w:tcPr>
          <w:p>
            <w:r>
              <w:rPr>
                <w:sz w:val="15"/>
              </w:rPr>
              <w:t>Exact lineage for every promoted result.</w:t>
            </w:r>
          </w:p>
        </w:tc>
      </w:tr>
      <w:tr>
        <w:tc>
          <w:tcPr>
            <w:tcW w:type="dxa" w:w="2541"/>
            <w:vAlign w:val="center"/>
          </w:tcPr>
          <w:p>
            <w:r>
              <w:rPr>
                <w:sz w:val="15"/>
              </w:rPr>
              <w:t>Realization-map registry</w:t>
            </w:r>
          </w:p>
        </w:tc>
        <w:tc>
          <w:tcPr>
            <w:tcW w:type="dxa" w:w="2541"/>
            <w:vAlign w:val="center"/>
          </w:tcPr>
          <w:p>
            <w:r>
              <w:rPr>
                <w:sz w:val="15"/>
              </w:rPr>
              <w:t>Formal→physical bridge obligations</w:t>
            </w:r>
          </w:p>
        </w:tc>
        <w:tc>
          <w:tcPr>
            <w:tcW w:type="dxa" w:w="2541"/>
            <w:vAlign w:val="center"/>
          </w:tcPr>
          <w:p>
            <w:r>
              <w:rPr>
                <w:sz w:val="15"/>
              </w:rPr>
              <w:t>Cross-domain mappings</w:t>
            </w:r>
          </w:p>
        </w:tc>
        <w:tc>
          <w:tcPr>
            <w:tcW w:type="dxa" w:w="2541"/>
            <w:vAlign w:val="center"/>
          </w:tcPr>
          <w:p>
            <w:r>
              <w:rPr>
                <w:sz w:val="15"/>
              </w:rPr>
              <w:t>No analogy can silently become identity.</w:t>
            </w:r>
          </w:p>
        </w:tc>
      </w:tr>
      <w:tr>
        <w:tc>
          <w:tcPr>
            <w:tcW w:type="dxa" w:w="2541"/>
            <w:vAlign w:val="center"/>
          </w:tcPr>
          <w:p>
            <w:r>
              <w:rPr>
                <w:sz w:val="15"/>
              </w:rPr>
              <w:t>Prediction custody</w:t>
            </w:r>
          </w:p>
        </w:tc>
        <w:tc>
          <w:tcPr>
            <w:tcW w:type="dxa" w:w="2541"/>
            <w:vAlign w:val="center"/>
          </w:tcPr>
          <w:p>
            <w:r>
              <w:rPr>
                <w:sz w:val="15"/>
              </w:rPr>
              <w:t>Frozen target/kill band/precision</w:t>
            </w:r>
          </w:p>
        </w:tc>
        <w:tc>
          <w:tcPr>
            <w:tcW w:type="dxa" w:w="2541"/>
            <w:vAlign w:val="center"/>
          </w:tcPr>
          <w:p>
            <w:r>
              <w:rPr>
                <w:sz w:val="15"/>
              </w:rPr>
              <w:t>Out-of-sample delta tests</w:t>
            </w:r>
          </w:p>
        </w:tc>
        <w:tc>
          <w:tcPr>
            <w:tcW w:type="dxa" w:w="2541"/>
            <w:vAlign w:val="center"/>
          </w:tcPr>
          <w:p>
            <w:r>
              <w:rPr>
                <w:sz w:val="15"/>
              </w:rPr>
              <w:t>No post-hoc goalpost movement.</w:t>
            </w:r>
          </w:p>
        </w:tc>
      </w:tr>
      <w:tr>
        <w:tc>
          <w:tcPr>
            <w:tcW w:type="dxa" w:w="2541"/>
            <w:vAlign w:val="center"/>
          </w:tcPr>
          <w:p>
            <w:r>
              <w:rPr>
                <w:sz w:val="15"/>
              </w:rPr>
              <w:t>Adversarial lab</w:t>
            </w:r>
          </w:p>
        </w:tc>
        <w:tc>
          <w:tcPr>
            <w:tcW w:type="dxa" w:w="2541"/>
            <w:vAlign w:val="center"/>
          </w:tcPr>
          <w:p>
            <w:r>
              <w:rPr>
                <w:sz w:val="15"/>
              </w:rPr>
              <w:t>Countermodels, explicit premises</w:t>
            </w:r>
          </w:p>
        </w:tc>
        <w:tc>
          <w:tcPr>
            <w:tcW w:type="dxa" w:w="2541"/>
            <w:vAlign w:val="center"/>
          </w:tcPr>
          <w:p>
            <w:r>
              <w:rPr>
                <w:sz w:val="15"/>
              </w:rPr>
              <w:t>Universal-claim stress testing</w:t>
            </w:r>
          </w:p>
        </w:tc>
        <w:tc>
          <w:tcPr>
            <w:tcW w:type="dxa" w:w="2541"/>
            <w:vAlign w:val="center"/>
          </w:tcPr>
          <w:p>
            <w:r>
              <w:rPr>
                <w:sz w:val="15"/>
              </w:rPr>
              <w:t>Try to break every invariant before promotion.</w:t>
            </w:r>
          </w:p>
        </w:tc>
      </w:tr>
      <w:tr>
        <w:tc>
          <w:tcPr>
            <w:tcW w:type="dxa" w:w="2541"/>
            <w:vAlign w:val="center"/>
          </w:tcPr>
          <w:p>
            <w:r>
              <w:rPr>
                <w:sz w:val="15"/>
              </w:rPr>
              <w:t>Model-sparse selector</w:t>
            </w:r>
          </w:p>
        </w:tc>
        <w:tc>
          <w:tcPr>
            <w:tcW w:type="dxa" w:w="2541"/>
            <w:vAlign w:val="center"/>
          </w:tcPr>
          <w:p>
            <w:r>
              <w:rPr>
                <w:sz w:val="15"/>
              </w:rPr>
              <w:t>Least-informative compatible state</w:t>
            </w:r>
          </w:p>
        </w:tc>
        <w:tc>
          <w:tcPr>
            <w:tcW w:type="dxa" w:w="2541"/>
            <w:vAlign w:val="center"/>
          </w:tcPr>
          <w:p>
            <w:r>
              <w:rPr>
                <w:sz w:val="15"/>
              </w:rPr>
              <w:t>Low-cardinality state classes</w:t>
            </w:r>
          </w:p>
        </w:tc>
        <w:tc>
          <w:tcPr>
            <w:tcW w:type="dxa" w:w="2541"/>
            <w:vAlign w:val="center"/>
          </w:tcPr>
          <w:p>
            <w:r>
              <w:rPr>
                <w:sz w:val="15"/>
              </w:rPr>
              <w:t>Prefer minimal sufficient representation.</w:t>
            </w:r>
          </w:p>
        </w:tc>
      </w:tr>
    </w:tbl>
    <w:p>
      <w:pPr>
        <w:pStyle w:val="Heading1"/>
      </w:pPr>
      <w:r>
        <w:t>6. PROPOSED OCE OBJECT MODEL</w:t>
      </w:r>
    </w:p>
    <w:p>
      <w:pPr>
        <w:jc w:val="center"/>
      </w:pPr>
      <w:r>
        <w:rPr>
          <w:rFonts w:ascii="Cambria Math" w:hAnsi="Cambria Math"/>
          <w:i/>
          <w:sz w:val="21"/>
        </w:rPr>
        <w:t>Claim = (id, type, domain, premises, inputs, transform, output, invariants, realization_maps, falsifier, receipt)</w:t>
      </w:r>
    </w:p>
    <w:p>
      <w:pPr>
        <w:jc w:val="center"/>
      </w:pPr>
      <w:r>
        <w:rPr>
          <w:rFonts w:ascii="Cambria Math" w:hAnsi="Cambria Math"/>
          <w:i/>
          <w:sz w:val="21"/>
        </w:rPr>
        <w:t>State = (public, private, protected, provenance, version, normal_form_id)</w:t>
      </w:r>
    </w:p>
    <w:p>
      <w:pPr>
        <w:jc w:val="center"/>
      </w:pPr>
      <w:r>
        <w:rPr>
          <w:rFonts w:ascii="Cambria Math" w:hAnsi="Cambria Math"/>
          <w:i/>
          <w:sz w:val="21"/>
        </w:rPr>
        <w:t>Transition = (preconditions, operation, actor, evidence, postconditions, protected_invariants)</w:t>
      </w:r>
    </w:p>
    <w:p>
      <w:pPr>
        <w:jc w:val="center"/>
      </w:pPr>
      <w:r>
        <w:rPr>
          <w:rFonts w:ascii="Cambria Math" w:hAnsi="Cambria Math"/>
          <w:i/>
          <w:sz w:val="21"/>
        </w:rPr>
        <w:t>RealizationMap = (source_type, target_type, preserved_operations, preserved_order, preserved_normalization, refinement_rule)</w:t>
      </w:r>
    </w:p>
    <w:p>
      <w:pPr>
        <w:jc w:val="center"/>
      </w:pPr>
      <w:r>
        <w:rPr>
          <w:rFonts w:ascii="Cambria Math" w:hAnsi="Cambria Math"/>
          <w:i/>
          <w:sz w:val="21"/>
        </w:rPr>
        <w:t>Test = (hypothesis, baseline, perturbations, frozen_metric, kill_band, data_custody, result)</w:t>
      </w:r>
    </w:p>
    <w:p>
      <w:r>
        <w:t>No OCE agent may promote a claim if a required field is absent. Missing realization maps should produce a typed OPEN_BRIDGE state, not a prose warning.</w:t>
      </w:r>
    </w:p>
    <w:p>
      <w:pPr>
        <w:pStyle w:val="Heading1"/>
      </w:pPr>
      <w:r>
        <w:t>7. FIRST IMPLEMENTATION BLOCS</w:t>
      </w:r>
    </w:p>
    <w:p>
      <w:pPr>
        <w:pStyle w:val="Heading2"/>
      </w:pPr>
      <w:r>
        <w:t>BLOC A - Epistemic Claim Ledger</w:t>
      </w:r>
    </w:p>
    <w:p>
      <w:r>
        <w:t>Implement generalized OPH claim classes in OCE. Add theorem/certified-computation/reconstruction-implication/open-realization-map/diagnostic/prospective-test/frozen-prediction. Require machine-readable dependency and status.</w:t>
      </w:r>
    </w:p>
    <w:p>
      <w:pPr>
        <w:pStyle w:val="Heading2"/>
      </w:pPr>
      <w:r>
        <w:t>BLOC B - Confluence Harness</w:t>
      </w:r>
    </w:p>
    <w:p>
      <w:r>
        <w:t>Take existing OCE workflows and execute valid operation schedules in randomized order. Hash protected public state. Divergent hashes become CONFLUENCE_FAILURE with minimal counterexample trace.</w:t>
      </w:r>
    </w:p>
    <w:p>
      <w:pPr>
        <w:pStyle w:val="Heading2"/>
      </w:pPr>
      <w:r>
        <w:t>BLOC C - Invariant/Quotient Harness</w:t>
      </w:r>
    </w:p>
    <w:p>
      <w:r>
        <w:t>Define protected features, nuisance/presentation features and allowed transformations. Verify that quotient-visible outputs are invariant while presentation data can vary.</w:t>
      </w:r>
    </w:p>
    <w:p>
      <w:pPr>
        <w:pStyle w:val="Heading2"/>
      </w:pPr>
      <w:r>
        <w:t>BLOC D - State Reduction Arena</w:t>
      </w:r>
    </w:p>
    <w:p>
      <w:r>
        <w:t>Implement at least three competing reducers: direct clustering/classification, IT³-inspired deterministic quantizer, and OPH-inspired repair-to-normal-form. Compare stability, compression, predictive value and sensitivity.</w:t>
      </w:r>
    </w:p>
    <w:p>
      <w:pPr>
        <w:pStyle w:val="Heading2"/>
      </w:pPr>
      <w:r>
        <w:t>BLOC E - Realization Map Registry</w:t>
      </w:r>
    </w:p>
    <w:p>
      <w:r>
        <w:t>Every cross-layer mapping must declare what it preserves. Reject 'looks similar' mappings automatically.</w:t>
      </w:r>
    </w:p>
    <w:p>
      <w:pPr>
        <w:pStyle w:val="Heading2"/>
      </w:pPr>
      <w:r>
        <w:t>BLOC F - Frozen Prediction Custody</w:t>
      </w:r>
    </w:p>
    <w:p>
      <w:r>
        <w:t>Hash hypothesis, code, parameters, metric, kill band and eligible-data cutoff before evaluation. Append-only receipt after test.</w:t>
      </w:r>
    </w:p>
    <w:p>
      <w:pPr>
        <w:pStyle w:val="Heading2"/>
      </w:pPr>
      <w:r>
        <w:t>BLOC G - Countermodel Generator</w:t>
      </w:r>
    </w:p>
    <w:p>
      <w:r>
        <w:t>Have AI agents deliberately construct alternate mechanisms that reproduce the same observed output. Promotion requires surviving simpler explanations.</w:t>
      </w:r>
    </w:p>
    <w:p>
      <w:pPr>
        <w:pStyle w:val="Heading2"/>
      </w:pPr>
      <w:r>
        <w:t>BLOC H - Closure / Self-Consistency Audit</w:t>
      </w:r>
    </w:p>
    <w:p>
      <w:r>
        <w:t>For any OCE subsystem that infers a specification and later executes it, compare inferred spec, implementation and observed public behavior. Measure fixed-point residual rather than assuming closure.</w:t>
      </w:r>
    </w:p>
    <w:p>
      <w:pPr>
        <w:pStyle w:val="Heading1"/>
      </w:pPr>
      <w:r>
        <w:t>8. AI TEST PROGRAM</w:t>
      </w:r>
    </w:p>
    <w:p>
      <w:r>
        <w:t>Use OCE's AI as a research adversary, not merely a synthesizer. Each hypothesis should be attacked by independent roles with separated context where possible.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2937"/>
          </w:tcPr>
          <w:p>
            <w:r>
              <w:rPr>
                <w:b/>
                <w:color w:val="FFFFFF"/>
                <w:sz w:val="16"/>
              </w:rPr>
              <w:t>Agent role</w:t>
            </w:r>
          </w:p>
        </w:tc>
        <w:tc>
          <w:tcPr>
            <w:tcW w:type="dxa" w:w="3389"/>
            <w:shd w:fill="1F2937"/>
          </w:tcPr>
          <w:p>
            <w:r>
              <w:rPr>
                <w:b/>
                <w:color w:val="FFFFFF"/>
                <w:sz w:val="16"/>
              </w:rPr>
              <w:t>Task</w:t>
            </w:r>
          </w:p>
        </w:tc>
        <w:tc>
          <w:tcPr>
            <w:tcW w:type="dxa" w:w="3389"/>
            <w:shd w:fill="1F2937"/>
          </w:tcPr>
          <w:p>
            <w:r>
              <w:rPr>
                <w:b/>
                <w:color w:val="FFFFFF"/>
                <w:sz w:val="16"/>
              </w:rPr>
              <w:t>Must not do</w:t>
            </w:r>
          </w:p>
        </w:tc>
      </w:tr>
      <w:tr>
        <w:tc>
          <w:tcPr>
            <w:tcW w:type="dxa" w:w="3389"/>
            <w:vAlign w:val="center"/>
          </w:tcPr>
          <w:p>
            <w:r>
              <w:rPr>
                <w:sz w:val="15"/>
              </w:rPr>
              <w:t>Extractor</w:t>
            </w:r>
          </w:p>
        </w:tc>
        <w:tc>
          <w:tcPr>
            <w:tcW w:type="dxa" w:w="3389"/>
            <w:vAlign w:val="center"/>
          </w:tcPr>
          <w:p>
            <w:r>
              <w:rPr>
                <w:sz w:val="15"/>
              </w:rPr>
              <w:t>Convert papers/code into typed claims, premises, equations and dependencies.</w:t>
            </w:r>
          </w:p>
        </w:tc>
        <w:tc>
          <w:tcPr>
            <w:tcW w:type="dxa" w:w="3389"/>
            <w:vAlign w:val="center"/>
          </w:tcPr>
          <w:p>
            <w:r>
              <w:rPr>
                <w:sz w:val="15"/>
              </w:rPr>
              <w:t>Judge truth.</w:t>
            </w:r>
          </w:p>
        </w:tc>
      </w:tr>
      <w:tr>
        <w:tc>
          <w:tcPr>
            <w:tcW w:type="dxa" w:w="3389"/>
            <w:vAlign w:val="center"/>
          </w:tcPr>
          <w:p>
            <w:r>
              <w:rPr>
                <w:sz w:val="15"/>
              </w:rPr>
              <w:t>Formalizer</w:t>
            </w:r>
          </w:p>
        </w:tc>
        <w:tc>
          <w:tcPr>
            <w:tcW w:type="dxa" w:w="3389"/>
            <w:vAlign w:val="center"/>
          </w:tcPr>
          <w:p>
            <w:r>
              <w:rPr>
                <w:sz w:val="15"/>
              </w:rPr>
              <w:t>Translate candidate claims into executable contracts/invariants.</w:t>
            </w:r>
          </w:p>
        </w:tc>
        <w:tc>
          <w:tcPr>
            <w:tcW w:type="dxa" w:w="3389"/>
            <w:vAlign w:val="center"/>
          </w:tcPr>
          <w:p>
            <w:r>
              <w:rPr>
                <w:sz w:val="15"/>
              </w:rPr>
              <w:t>Add missing premises silently.</w:t>
            </w:r>
          </w:p>
        </w:tc>
      </w:tr>
      <w:tr>
        <w:tc>
          <w:tcPr>
            <w:tcW w:type="dxa" w:w="3389"/>
            <w:vAlign w:val="center"/>
          </w:tcPr>
          <w:p>
            <w:r>
              <w:rPr>
                <w:sz w:val="15"/>
              </w:rPr>
              <w:t>Red Team</w:t>
            </w:r>
          </w:p>
        </w:tc>
        <w:tc>
          <w:tcPr>
            <w:tcW w:type="dxa" w:w="3389"/>
            <w:vAlign w:val="center"/>
          </w:tcPr>
          <w:p>
            <w:r>
              <w:rPr>
                <w:sz w:val="15"/>
              </w:rPr>
              <w:t>Find counterexamples, leakage, target contamination, hidden degrees of freedom.</w:t>
            </w:r>
          </w:p>
        </w:tc>
        <w:tc>
          <w:tcPr>
            <w:tcW w:type="dxa" w:w="3389"/>
            <w:vAlign w:val="center"/>
          </w:tcPr>
          <w:p>
            <w:r>
              <w:rPr>
                <w:sz w:val="15"/>
              </w:rPr>
              <w:t>Repair the hypothesis while testing it.</w:t>
            </w:r>
          </w:p>
        </w:tc>
      </w:tr>
      <w:tr>
        <w:tc>
          <w:tcPr>
            <w:tcW w:type="dxa" w:w="3389"/>
            <w:vAlign w:val="center"/>
          </w:tcPr>
          <w:p>
            <w:r>
              <w:rPr>
                <w:sz w:val="15"/>
              </w:rPr>
              <w:t>Null Builder</w:t>
            </w:r>
          </w:p>
        </w:tc>
        <w:tc>
          <w:tcPr>
            <w:tcW w:type="dxa" w:w="3389"/>
            <w:vAlign w:val="center"/>
          </w:tcPr>
          <w:p>
            <w:r>
              <w:rPr>
                <w:sz w:val="15"/>
              </w:rPr>
              <w:t>Construct simpler/randomized baselines producing similar outputs.</w:t>
            </w:r>
          </w:p>
        </w:tc>
        <w:tc>
          <w:tcPr>
            <w:tcW w:type="dxa" w:w="3389"/>
            <w:vAlign w:val="center"/>
          </w:tcPr>
          <w:p>
            <w:r>
              <w:rPr>
                <w:sz w:val="15"/>
              </w:rPr>
              <w:t>Use the target labels in baseline construction unless declared.</w:t>
            </w:r>
          </w:p>
        </w:tc>
      </w:tr>
      <w:tr>
        <w:tc>
          <w:tcPr>
            <w:tcW w:type="dxa" w:w="3389"/>
            <w:vAlign w:val="center"/>
          </w:tcPr>
          <w:p>
            <w:r>
              <w:rPr>
                <w:sz w:val="15"/>
              </w:rPr>
              <w:t>Replication Agent</w:t>
            </w:r>
          </w:p>
        </w:tc>
        <w:tc>
          <w:tcPr>
            <w:tcW w:type="dxa" w:w="3389"/>
            <w:vAlign w:val="center"/>
          </w:tcPr>
          <w:p>
            <w:r>
              <w:rPr>
                <w:sz w:val="15"/>
              </w:rPr>
              <w:t>Re-run exact code/data and produce receipts.</w:t>
            </w:r>
          </w:p>
        </w:tc>
        <w:tc>
          <w:tcPr>
            <w:tcW w:type="dxa" w:w="3389"/>
            <w:vAlign w:val="center"/>
          </w:tcPr>
          <w:p>
            <w:r>
              <w:rPr>
                <w:sz w:val="15"/>
              </w:rPr>
              <w:t>Change parameters.</w:t>
            </w:r>
          </w:p>
        </w:tc>
      </w:tr>
      <w:tr>
        <w:tc>
          <w:tcPr>
            <w:tcW w:type="dxa" w:w="3389"/>
            <w:vAlign w:val="center"/>
          </w:tcPr>
          <w:p>
            <w:r>
              <w:rPr>
                <w:sz w:val="15"/>
              </w:rPr>
              <w:t>Ablation Agent</w:t>
            </w:r>
          </w:p>
        </w:tc>
        <w:tc>
          <w:tcPr>
            <w:tcW w:type="dxa" w:w="3389"/>
            <w:vAlign w:val="center"/>
          </w:tcPr>
          <w:p>
            <w:r>
              <w:rPr>
                <w:sz w:val="15"/>
              </w:rPr>
              <w:t>Remove one premise/constant/transform at a time.</w:t>
            </w:r>
          </w:p>
        </w:tc>
        <w:tc>
          <w:tcPr>
            <w:tcW w:type="dxa" w:w="3389"/>
            <w:vAlign w:val="center"/>
          </w:tcPr>
          <w:p>
            <w:r>
              <w:rPr>
                <w:sz w:val="15"/>
              </w:rPr>
              <w:t>Re-fit after each ablation unless test says so.</w:t>
            </w:r>
          </w:p>
        </w:tc>
      </w:tr>
      <w:tr>
        <w:tc>
          <w:tcPr>
            <w:tcW w:type="dxa" w:w="3389"/>
            <w:vAlign w:val="center"/>
          </w:tcPr>
          <w:p>
            <w:r>
              <w:rPr>
                <w:sz w:val="15"/>
              </w:rPr>
              <w:t>Cross-Domain Agent</w:t>
            </w:r>
          </w:p>
        </w:tc>
        <w:tc>
          <w:tcPr>
            <w:tcW w:type="dxa" w:w="3389"/>
            <w:vAlign w:val="center"/>
          </w:tcPr>
          <w:p>
            <w:r>
              <w:rPr>
                <w:sz w:val="15"/>
              </w:rPr>
              <w:t>Apply frozen operator to unrelated/held-out domains.</w:t>
            </w:r>
          </w:p>
        </w:tc>
        <w:tc>
          <w:tcPr>
            <w:tcW w:type="dxa" w:w="3389"/>
            <w:vAlign w:val="center"/>
          </w:tcPr>
          <w:p>
            <w:r>
              <w:rPr>
                <w:sz w:val="15"/>
              </w:rPr>
              <w:t>Interpret resemblance as proof.</w:t>
            </w:r>
          </w:p>
        </w:tc>
      </w:tr>
      <w:tr>
        <w:tc>
          <w:tcPr>
            <w:tcW w:type="dxa" w:w="3389"/>
            <w:vAlign w:val="center"/>
          </w:tcPr>
          <w:p>
            <w:r>
              <w:rPr>
                <w:sz w:val="15"/>
              </w:rPr>
              <w:t>Judge</w:t>
            </w:r>
          </w:p>
        </w:tc>
        <w:tc>
          <w:tcPr>
            <w:tcW w:type="dxa" w:w="3389"/>
            <w:vAlign w:val="center"/>
          </w:tcPr>
          <w:p>
            <w:r>
              <w:rPr>
                <w:sz w:val="15"/>
              </w:rPr>
              <w:t>Compare frozen metrics and assign only the allowed epistemic status.</w:t>
            </w:r>
          </w:p>
        </w:tc>
        <w:tc>
          <w:tcPr>
            <w:tcW w:type="dxa" w:w="3389"/>
            <w:vAlign w:val="center"/>
          </w:tcPr>
          <w:p>
            <w:r>
              <w:rPr>
                <w:sz w:val="15"/>
              </w:rPr>
              <w:t>Override failed kill bands.</w:t>
            </w:r>
          </w:p>
        </w:tc>
      </w:tr>
    </w:tbl>
    <w:p>
      <w:pPr>
        <w:pStyle w:val="Heading2"/>
      </w:pPr>
      <w:r>
        <w:t>Core tests</w:t>
      </w:r>
    </w:p>
    <w:tbl>
      <w:tblPr>
        <w:tblStyle w:val="TableGrid"/>
        <w:tblW w:type="auto" w:w="0"/>
        <w:jc w:val="center"/>
        <w:tblLook w:firstColumn="1" w:firstRow="1" w:lastColumn="0" w:lastRow="0" w:noHBand="0" w:noVBand="1" w:val="04A0"/>
      </w:tblPr>
      <w:tblGrid>
        <w:gridCol w:w="5083"/>
        <w:gridCol w:w="5083"/>
      </w:tblGrid>
      <w:tr>
        <w:tc>
          <w:tcPr>
            <w:tcW w:type="dxa" w:w="5083"/>
            <w:shd w:fill="1F2937"/>
          </w:tcPr>
          <w:p>
            <w:r>
              <w:rPr>
                <w:b/>
                <w:color w:val="FFFFFF"/>
                <w:sz w:val="16"/>
              </w:rPr>
              <w:t>Test</w:t>
            </w:r>
          </w:p>
        </w:tc>
        <w:tc>
          <w:tcPr>
            <w:tcW w:type="dxa" w:w="5083"/>
            <w:shd w:fill="1F2937"/>
          </w:tcPr>
          <w:p>
            <w:r>
              <w:rPr>
                <w:b/>
                <w:color w:val="FFFFFF"/>
                <w:sz w:val="16"/>
              </w:rPr>
              <w:t>Pass question</w:t>
            </w:r>
          </w:p>
        </w:tc>
      </w:tr>
      <w:tr>
        <w:tc>
          <w:tcPr>
            <w:tcW w:type="dxa" w:w="5083"/>
            <w:vAlign w:val="center"/>
          </w:tcPr>
          <w:p>
            <w:r>
              <w:rPr>
                <w:sz w:val="15"/>
              </w:rPr>
              <w:t>Confluence test</w:t>
            </w:r>
          </w:p>
        </w:tc>
        <w:tc>
          <w:tcPr>
            <w:tcW w:type="dxa" w:w="5083"/>
            <w:vAlign w:val="center"/>
          </w:tcPr>
          <w:p>
            <w:r>
              <w:rPr>
                <w:sz w:val="15"/>
              </w:rPr>
              <w:t>Run 100+ valid schedule permutations from identical initial state; protected normal-form hash must agree.</w:t>
            </w:r>
          </w:p>
        </w:tc>
      </w:tr>
      <w:tr>
        <w:tc>
          <w:tcPr>
            <w:tcW w:type="dxa" w:w="5083"/>
            <w:vAlign w:val="center"/>
          </w:tcPr>
          <w:p>
            <w:r>
              <w:rPr>
                <w:sz w:val="15"/>
              </w:rPr>
              <w:t>Idempotence test</w:t>
            </w:r>
          </w:p>
        </w:tc>
        <w:tc>
          <w:tcPr>
            <w:tcW w:type="dxa" w:w="5083"/>
            <w:vAlign w:val="center"/>
          </w:tcPr>
          <w:p>
            <w:r>
              <w:rPr>
                <w:sz w:val="15"/>
              </w:rPr>
              <w:t>NF(NF(x)) = NF(x).</w:t>
            </w:r>
          </w:p>
        </w:tc>
      </w:tr>
      <w:tr>
        <w:tc>
          <w:tcPr>
            <w:tcW w:type="dxa" w:w="5083"/>
            <w:vAlign w:val="center"/>
          </w:tcPr>
          <w:p>
            <w:r>
              <w:rPr>
                <w:sz w:val="15"/>
              </w:rPr>
              <w:t>Perturbation invariance</w:t>
            </w:r>
          </w:p>
        </w:tc>
        <w:tc>
          <w:tcPr>
            <w:tcW w:type="dxa" w:w="5083"/>
            <w:vAlign w:val="center"/>
          </w:tcPr>
          <w:p>
            <w:r>
              <w:rPr>
                <w:sz w:val="15"/>
              </w:rPr>
              <w:t>Apply admissible coordinate/presentation transformations; invariant output must remain stable.</w:t>
            </w:r>
          </w:p>
        </w:tc>
      </w:tr>
      <w:tr>
        <w:tc>
          <w:tcPr>
            <w:tcW w:type="dxa" w:w="5083"/>
            <w:vAlign w:val="center"/>
          </w:tcPr>
          <w:p>
            <w:r>
              <w:rPr>
                <w:sz w:val="15"/>
              </w:rPr>
              <w:t>Null-model test</w:t>
            </w:r>
          </w:p>
        </w:tc>
        <w:tc>
          <w:tcPr>
            <w:tcW w:type="dxa" w:w="5083"/>
            <w:vAlign w:val="center"/>
          </w:tcPr>
          <w:p>
            <w:r>
              <w:rPr>
                <w:sz w:val="15"/>
              </w:rPr>
              <w:t>Compare state structure against random quantizers, k-means/GMM, graph community methods and trivial discretizers.</w:t>
            </w:r>
          </w:p>
        </w:tc>
      </w:tr>
      <w:tr>
        <w:tc>
          <w:tcPr>
            <w:tcW w:type="dxa" w:w="5083"/>
            <w:vAlign w:val="center"/>
          </w:tcPr>
          <w:p>
            <w:r>
              <w:rPr>
                <w:sz w:val="15"/>
              </w:rPr>
              <w:t>Parameter provenance test</w:t>
            </w:r>
          </w:p>
        </w:tc>
        <w:tc>
          <w:tcPr>
            <w:tcW w:type="dxa" w:w="5083"/>
            <w:vAlign w:val="center"/>
          </w:tcPr>
          <w:p>
            <w:r>
              <w:rPr>
                <w:sz w:val="15"/>
              </w:rPr>
              <w:t>Trace every constant to axiom/measurement/fit/choice. Any target-informed choice is marked TARGET_CONTAMINATED.</w:t>
            </w:r>
          </w:p>
        </w:tc>
      </w:tr>
      <w:tr>
        <w:tc>
          <w:tcPr>
            <w:tcW w:type="dxa" w:w="5083"/>
            <w:vAlign w:val="center"/>
          </w:tcPr>
          <w:p>
            <w:r>
              <w:rPr>
                <w:sz w:val="15"/>
              </w:rPr>
              <w:t>Ablation test</w:t>
            </w:r>
          </w:p>
        </w:tc>
        <w:tc>
          <w:tcPr>
            <w:tcW w:type="dxa" w:w="5083"/>
            <w:vAlign w:val="center"/>
          </w:tcPr>
          <w:p>
            <w:r>
              <w:rPr>
                <w:sz w:val="15"/>
              </w:rPr>
              <w:t>Remove each structural ingredient and measure which results actually depend on it.</w:t>
            </w:r>
          </w:p>
        </w:tc>
      </w:tr>
      <w:tr>
        <w:tc>
          <w:tcPr>
            <w:tcW w:type="dxa" w:w="5083"/>
            <w:vAlign w:val="center"/>
          </w:tcPr>
          <w:p>
            <w:r>
              <w:rPr>
                <w:sz w:val="15"/>
              </w:rPr>
              <w:t>Bridge preservation test</w:t>
            </w:r>
          </w:p>
        </w:tc>
        <w:tc>
          <w:tcPr>
            <w:tcW w:type="dxa" w:w="5083"/>
            <w:vAlign w:val="center"/>
          </w:tcPr>
          <w:p>
            <w:r>
              <w:rPr>
                <w:sz w:val="15"/>
              </w:rPr>
              <w:t>For each realization map, test operations/order/normalization/refinement preservation.</w:t>
            </w:r>
          </w:p>
        </w:tc>
      </w:tr>
      <w:tr>
        <w:tc>
          <w:tcPr>
            <w:tcW w:type="dxa" w:w="5083"/>
            <w:vAlign w:val="center"/>
          </w:tcPr>
          <w:p>
            <w:r>
              <w:rPr>
                <w:sz w:val="15"/>
              </w:rPr>
              <w:t>Frozen holdout</w:t>
            </w:r>
          </w:p>
        </w:tc>
        <w:tc>
          <w:tcPr>
            <w:tcW w:type="dxa" w:w="5083"/>
            <w:vAlign w:val="center"/>
          </w:tcPr>
          <w:p>
            <w:r>
              <w:rPr>
                <w:sz w:val="15"/>
              </w:rPr>
              <w:t>Commit operator + metrics before revealing eligible holdout data.</w:t>
            </w:r>
          </w:p>
        </w:tc>
      </w:tr>
      <w:tr>
        <w:tc>
          <w:tcPr>
            <w:tcW w:type="dxa" w:w="5083"/>
            <w:vAlign w:val="center"/>
          </w:tcPr>
          <w:p>
            <w:r>
              <w:rPr>
                <w:sz w:val="15"/>
              </w:rPr>
              <w:t>Adversarial synthetic worlds</w:t>
            </w:r>
          </w:p>
        </w:tc>
        <w:tc>
          <w:tcPr>
            <w:tcW w:type="dxa" w:w="5083"/>
            <w:vAlign w:val="center"/>
          </w:tcPr>
          <w:p>
            <w:r>
              <w:rPr>
                <w:sz w:val="15"/>
              </w:rPr>
              <w:t>Generate worlds where the claimed pattern is absent/present by construction; estimate false positive/negative behavior.</w:t>
            </w:r>
          </w:p>
        </w:tc>
      </w:tr>
      <w:tr>
        <w:tc>
          <w:tcPr>
            <w:tcW w:type="dxa" w:w="5083"/>
            <w:vAlign w:val="center"/>
          </w:tcPr>
          <w:p>
            <w:r>
              <w:rPr>
                <w:sz w:val="15"/>
              </w:rPr>
              <w:t>Compression test</w:t>
            </w:r>
          </w:p>
        </w:tc>
        <w:tc>
          <w:tcPr>
            <w:tcW w:type="dxa" w:w="5083"/>
            <w:vAlign w:val="center"/>
          </w:tcPr>
          <w:p>
            <w:r>
              <w:rPr>
                <w:sz w:val="15"/>
              </w:rPr>
              <w:t>Does the invariant grammar materially reduce description length without destroying predictive/reconstruction fidelity?</w:t>
            </w:r>
          </w:p>
        </w:tc>
      </w:tr>
    </w:tbl>
    <w:p>
      <w:pPr>
        <w:pStyle w:val="Heading1"/>
      </w:pPr>
      <w:r>
        <w:t>9. OPH × IT³ CROSS-REALIZATION AUDIT</w:t>
      </w:r>
    </w:p>
    <w:p>
      <w:pPr>
        <w:pStyle w:val="ListNumber"/>
      </w:pPr>
      <w:r>
        <w:t>Extract IT³ primitives, transforms, constants, topology, state assignments and claimed invariants into a machine-readable graph.</w:t>
      </w:r>
    </w:p>
    <w:p>
      <w:pPr>
        <w:pStyle w:val="ListNumber"/>
      </w:pPr>
      <w:r>
        <w:t>Extract OPH A1/A2/A3, repair relation, quotient objects, normal-form contracts, geometry/gauge/quantum reconstruction dependencies and open realization maps.</w:t>
      </w:r>
    </w:p>
    <w:p>
      <w:pPr>
        <w:pStyle w:val="ListNumber"/>
      </w:pPr>
      <w:r>
        <w:t>Build candidate correspondence edges only when types match; semantic resemblance is insufficient.</w:t>
      </w:r>
    </w:p>
    <w:p>
      <w:pPr>
        <w:pStyle w:val="ListNumber"/>
      </w:pPr>
      <w:r>
        <w:t>For each IT³ state S_n, ask whether there exists an OPH/OCE repair relation whose equivalence class yields the same partition without target labels.</w:t>
      </w:r>
    </w:p>
    <w:p>
      <w:pPr>
        <w:pStyle w:val="ListNumber"/>
      </w:pPr>
      <w:r>
        <w:t>Classify each correspondence as FORCED, PERMITTED, EXCLUDED, or UNRESOLVED.</w:t>
      </w:r>
    </w:p>
    <w:p>
      <w:pPr>
        <w:pStyle w:val="ListNumber"/>
      </w:pPr>
      <w:r>
        <w:t>Replace deterministic floor/rounding steps with alternate quantizers and continuous baselines. Measure whether claimed structure survives.</w:t>
      </w:r>
    </w:p>
    <w:p>
      <w:pPr>
        <w:pStyle w:val="ListNumber"/>
      </w:pPr>
      <w:r>
        <w:t>Freeze the best candidate bridge before new data.</w:t>
      </w:r>
    </w:p>
    <w:p>
      <w:pPr>
        <w:pStyle w:val="ListNumber"/>
      </w:pPr>
      <w:r>
        <w:t>Run holdout and synthetic falsification tests.</w:t>
      </w:r>
    </w:p>
    <w:p>
      <w:pPr>
        <w:pStyle w:val="ListNumber"/>
      </w:pPr>
      <w:r>
        <w:t>Promote only surviving mappings to OCE research doctrine; keep failed/ambiguous mappings in the evidence ledger.</w:t>
      </w:r>
    </w:p>
    <w:p>
      <w:pPr>
        <w:pStyle w:val="Heading1"/>
      </w:pPr>
      <w:r>
        <w:t>10. WHAT NOT TO MERGE</w:t>
      </w:r>
    </w:p>
    <w:p>
      <w:r>
        <w:t>OCE should not adopt OPH's twelve-port physical hardware, spherical screen, physical gauge interpretation, or closure cosmology as institutional axioms. Those are domain-specific commitments. Likewise, OCE should not adopt IT³'s torus, number-field, prime-indexing, pyramid, biological, or cosmological claims as facts. The transferable layer is methodological and structural.</w:t>
      </w:r>
    </w:p>
    <w:p>
      <w:r>
        <w:t>The merge should therefore be:</w:t>
      </w:r>
    </w:p>
    <w:p>
      <w:pPr>
        <w:jc w:val="center"/>
      </w:pPr>
      <w:r>
        <w:rPr>
          <w:rFonts w:ascii="Cambria Math" w:hAnsi="Cambria Math"/>
          <w:i/>
          <w:sz w:val="21"/>
        </w:rPr>
        <w:t>OPH epistemic discipline + OPH confluence/normal forms + IT³ invariant/state search + OCE institutional execution</w:t>
      </w:r>
    </w:p>
    <w:p>
      <w:r>
        <w:t>not:</w:t>
      </w:r>
    </w:p>
    <w:p>
      <w:pPr>
        <w:jc w:val="center"/>
      </w:pPr>
      <w:r>
        <w:rPr>
          <w:rFonts w:ascii="Cambria Math" w:hAnsi="Cambria Math"/>
          <w:i/>
          <w:sz w:val="21"/>
        </w:rPr>
        <w:t>OPH physics + IT³ physics = OCE ontology</w:t>
      </w:r>
    </w:p>
    <w:p>
      <w:pPr>
        <w:pStyle w:val="Heading1"/>
      </w:pPr>
      <w:r>
        <w:t>11. PROMOTION LADDER FOR OCE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2937"/>
          </w:tcPr>
          <w:p>
            <w:r>
              <w:rPr>
                <w:b/>
                <w:color w:val="FFFFFF"/>
                <w:sz w:val="16"/>
              </w:rPr>
              <w:t>Level</w:t>
            </w:r>
          </w:p>
        </w:tc>
        <w:tc>
          <w:tcPr>
            <w:tcW w:type="dxa" w:w="3389"/>
            <w:shd w:fill="1F2937"/>
          </w:tcPr>
          <w:p>
            <w:r>
              <w:rPr>
                <w:b/>
                <w:color w:val="FFFFFF"/>
                <w:sz w:val="16"/>
              </w:rPr>
              <w:t>Status</w:t>
            </w:r>
          </w:p>
        </w:tc>
        <w:tc>
          <w:tcPr>
            <w:tcW w:type="dxa" w:w="3389"/>
            <w:shd w:fill="1F2937"/>
          </w:tcPr>
          <w:p>
            <w:r>
              <w:rPr>
                <w:b/>
                <w:color w:val="FFFFFF"/>
                <w:sz w:val="16"/>
              </w:rPr>
              <w:t>Requirement</w:t>
            </w:r>
          </w:p>
        </w:tc>
      </w:tr>
      <w:tr>
        <w:tc>
          <w:tcPr>
            <w:tcW w:type="dxa" w:w="3389"/>
            <w:vAlign w:val="center"/>
          </w:tcPr>
          <w:p>
            <w:r>
              <w:rPr>
                <w:sz w:val="15"/>
              </w:rPr>
              <w:t>L0</w:t>
            </w:r>
          </w:p>
        </w:tc>
        <w:tc>
          <w:tcPr>
            <w:tcW w:type="dxa" w:w="3389"/>
            <w:vAlign w:val="center"/>
          </w:tcPr>
          <w:p>
            <w:r>
              <w:rPr>
                <w:sz w:val="15"/>
              </w:rPr>
              <w:t>OBSERVATION</w:t>
            </w:r>
          </w:p>
        </w:tc>
        <w:tc>
          <w:tcPr>
            <w:tcW w:type="dxa" w:w="3389"/>
            <w:vAlign w:val="center"/>
          </w:tcPr>
          <w:p>
            <w:r>
              <w:rPr>
                <w:sz w:val="15"/>
              </w:rPr>
              <w:t>Raw source statement or measured pattern.</w:t>
            </w:r>
          </w:p>
        </w:tc>
      </w:tr>
      <w:tr>
        <w:tc>
          <w:tcPr>
            <w:tcW w:type="dxa" w:w="3389"/>
            <w:vAlign w:val="center"/>
          </w:tcPr>
          <w:p>
            <w:r>
              <w:rPr>
                <w:sz w:val="15"/>
              </w:rPr>
              <w:t>L1</w:t>
            </w:r>
          </w:p>
        </w:tc>
        <w:tc>
          <w:tcPr>
            <w:tcW w:type="dxa" w:w="3389"/>
            <w:vAlign w:val="center"/>
          </w:tcPr>
          <w:p>
            <w:r>
              <w:rPr>
                <w:sz w:val="15"/>
              </w:rPr>
              <w:t>CANDIDATE</w:t>
            </w:r>
          </w:p>
        </w:tc>
        <w:tc>
          <w:tcPr>
            <w:tcW w:type="dxa" w:w="3389"/>
            <w:vAlign w:val="center"/>
          </w:tcPr>
          <w:p>
            <w:r>
              <w:rPr>
                <w:sz w:val="15"/>
              </w:rPr>
              <w:t>Typed hypothesis with domain and dependencies.</w:t>
            </w:r>
          </w:p>
        </w:tc>
      </w:tr>
      <w:tr>
        <w:tc>
          <w:tcPr>
            <w:tcW w:type="dxa" w:w="3389"/>
            <w:vAlign w:val="center"/>
          </w:tcPr>
          <w:p>
            <w:r>
              <w:rPr>
                <w:sz w:val="15"/>
              </w:rPr>
              <w:t>L2</w:t>
            </w:r>
          </w:p>
        </w:tc>
        <w:tc>
          <w:tcPr>
            <w:tcW w:type="dxa" w:w="3389"/>
            <w:vAlign w:val="center"/>
          </w:tcPr>
          <w:p>
            <w:r>
              <w:rPr>
                <w:sz w:val="15"/>
              </w:rPr>
              <w:t>REPRODUCED</w:t>
            </w:r>
          </w:p>
        </w:tc>
        <w:tc>
          <w:tcPr>
            <w:tcW w:type="dxa" w:w="3389"/>
            <w:vAlign w:val="center"/>
          </w:tcPr>
          <w:p>
            <w:r>
              <w:rPr>
                <w:sz w:val="15"/>
              </w:rPr>
              <w:t>Exact source result independently rerun.</w:t>
            </w:r>
          </w:p>
        </w:tc>
      </w:tr>
      <w:tr>
        <w:tc>
          <w:tcPr>
            <w:tcW w:type="dxa" w:w="3389"/>
            <w:vAlign w:val="center"/>
          </w:tcPr>
          <w:p>
            <w:r>
              <w:rPr>
                <w:sz w:val="15"/>
              </w:rPr>
              <w:t>L3</w:t>
            </w:r>
          </w:p>
        </w:tc>
        <w:tc>
          <w:tcPr>
            <w:tcW w:type="dxa" w:w="3389"/>
            <w:vAlign w:val="center"/>
          </w:tcPr>
          <w:p>
            <w:r>
              <w:rPr>
                <w:sz w:val="15"/>
              </w:rPr>
              <w:t>ROBUST</w:t>
            </w:r>
          </w:p>
        </w:tc>
        <w:tc>
          <w:tcPr>
            <w:tcW w:type="dxa" w:w="3389"/>
            <w:vAlign w:val="center"/>
          </w:tcPr>
          <w:p>
            <w:r>
              <w:rPr>
                <w:sz w:val="15"/>
              </w:rPr>
              <w:t>Survives perturbation, ablation and null baselines.</w:t>
            </w:r>
          </w:p>
        </w:tc>
      </w:tr>
      <w:tr>
        <w:tc>
          <w:tcPr>
            <w:tcW w:type="dxa" w:w="3389"/>
            <w:vAlign w:val="center"/>
          </w:tcPr>
          <w:p>
            <w:r>
              <w:rPr>
                <w:sz w:val="15"/>
              </w:rPr>
              <w:t>L4</w:t>
            </w:r>
          </w:p>
        </w:tc>
        <w:tc>
          <w:tcPr>
            <w:tcW w:type="dxa" w:w="3389"/>
            <w:vAlign w:val="center"/>
          </w:tcPr>
          <w:p>
            <w:r>
              <w:rPr>
                <w:sz w:val="15"/>
              </w:rPr>
              <w:t>CONFLUENT</w:t>
            </w:r>
          </w:p>
        </w:tc>
        <w:tc>
          <w:tcPr>
            <w:tcW w:type="dxa" w:w="3389"/>
            <w:vAlign w:val="center"/>
          </w:tcPr>
          <w:p>
            <w:r>
              <w:rPr>
                <w:sz w:val="15"/>
              </w:rPr>
              <w:t>Independent valid execution schedules reach same protected state.</w:t>
            </w:r>
          </w:p>
        </w:tc>
      </w:tr>
      <w:tr>
        <w:tc>
          <w:tcPr>
            <w:tcW w:type="dxa" w:w="3389"/>
            <w:vAlign w:val="center"/>
          </w:tcPr>
          <w:p>
            <w:r>
              <w:rPr>
                <w:sz w:val="15"/>
              </w:rPr>
              <w:t>L5</w:t>
            </w:r>
          </w:p>
        </w:tc>
        <w:tc>
          <w:tcPr>
            <w:tcW w:type="dxa" w:w="3389"/>
            <w:vAlign w:val="center"/>
          </w:tcPr>
          <w:p>
            <w:r>
              <w:rPr>
                <w:sz w:val="15"/>
              </w:rPr>
              <w:t>BRIDGED</w:t>
            </w:r>
          </w:p>
        </w:tc>
        <w:tc>
          <w:tcPr>
            <w:tcW w:type="dxa" w:w="3389"/>
            <w:vAlign w:val="center"/>
          </w:tcPr>
          <w:p>
            <w:r>
              <w:rPr>
                <w:sz w:val="15"/>
              </w:rPr>
              <w:t>Required realization maps are explicit and preservation-tested.</w:t>
            </w:r>
          </w:p>
        </w:tc>
      </w:tr>
      <w:tr>
        <w:tc>
          <w:tcPr>
            <w:tcW w:type="dxa" w:w="3389"/>
            <w:vAlign w:val="center"/>
          </w:tcPr>
          <w:p>
            <w:r>
              <w:rPr>
                <w:sz w:val="15"/>
              </w:rPr>
              <w:t>L6</w:t>
            </w:r>
          </w:p>
        </w:tc>
        <w:tc>
          <w:tcPr>
            <w:tcW w:type="dxa" w:w="3389"/>
            <w:vAlign w:val="center"/>
          </w:tcPr>
          <w:p>
            <w:r>
              <w:rPr>
                <w:sz w:val="15"/>
              </w:rPr>
              <w:t>FROZEN</w:t>
            </w:r>
          </w:p>
        </w:tc>
        <w:tc>
          <w:tcPr>
            <w:tcW w:type="dxa" w:w="3389"/>
            <w:vAlign w:val="center"/>
          </w:tcPr>
          <w:p>
            <w:r>
              <w:rPr>
                <w:sz w:val="15"/>
              </w:rPr>
              <w:t>Forward test committed before eligible data.</w:t>
            </w:r>
          </w:p>
        </w:tc>
      </w:tr>
      <w:tr>
        <w:tc>
          <w:tcPr>
            <w:tcW w:type="dxa" w:w="3389"/>
            <w:vAlign w:val="center"/>
          </w:tcPr>
          <w:p>
            <w:r>
              <w:rPr>
                <w:sz w:val="15"/>
              </w:rPr>
              <w:t>L7</w:t>
            </w:r>
          </w:p>
        </w:tc>
        <w:tc>
          <w:tcPr>
            <w:tcW w:type="dxa" w:w="3389"/>
            <w:vAlign w:val="center"/>
          </w:tcPr>
          <w:p>
            <w:r>
              <w:rPr>
                <w:sz w:val="15"/>
              </w:rPr>
              <w:t>PROMOTED</w:t>
            </w:r>
          </w:p>
        </w:tc>
        <w:tc>
          <w:tcPr>
            <w:tcW w:type="dxa" w:w="3389"/>
            <w:vAlign w:val="center"/>
          </w:tcPr>
          <w:p>
            <w:r>
              <w:rPr>
                <w:sz w:val="15"/>
              </w:rPr>
              <w:t>Passes frozen test; becomes provisional OCE doctrine.</w:t>
            </w:r>
          </w:p>
        </w:tc>
      </w:tr>
      <w:tr>
        <w:tc>
          <w:tcPr>
            <w:tcW w:type="dxa" w:w="3389"/>
            <w:vAlign w:val="center"/>
          </w:tcPr>
          <w:p>
            <w:r>
              <w:rPr>
                <w:sz w:val="15"/>
              </w:rPr>
              <w:t>LX</w:t>
            </w:r>
          </w:p>
        </w:tc>
        <w:tc>
          <w:tcPr>
            <w:tcW w:type="dxa" w:w="3389"/>
            <w:vAlign w:val="center"/>
          </w:tcPr>
          <w:p>
            <w:r>
              <w:rPr>
                <w:sz w:val="15"/>
              </w:rPr>
              <w:t>REJECTED/QUARANTINED</w:t>
            </w:r>
          </w:p>
        </w:tc>
        <w:tc>
          <w:tcPr>
            <w:tcW w:type="dxa" w:w="3389"/>
            <w:vAlign w:val="center"/>
          </w:tcPr>
          <w:p>
            <w:r>
              <w:rPr>
                <w:sz w:val="15"/>
              </w:rPr>
              <w:t>Fails kill band, provenance, confluence or bridge test.</w:t>
            </w:r>
          </w:p>
        </w:tc>
      </w:tr>
    </w:tbl>
    <w:p>
      <w:r>
        <w:t>Important: 'PROMOTED' remains provisional and versioned. New counterevidence can demote doctrine without deleting its historical receipts.</w:t>
      </w:r>
    </w:p>
    <w:p>
      <w:pPr>
        <w:pStyle w:val="Heading1"/>
      </w:pPr>
      <w:r>
        <w:t>12. MACHINE-READABLE SCHEMA SKETCH</w:t>
      </w:r>
    </w:p>
    <w:p>
      <w:pPr>
        <w:pStyle w:val="Mono"/>
      </w:pPr>
      <w:r>
        <w:t>claim:</w:t>
        <w:br/>
        <w:t xml:space="preserve">  id: OCE-CLAIM-...</w:t>
        <w:br/>
        <w:t xml:space="preserve">  class: finite_theorem | certified_computation | reconstruction_implication |</w:t>
        <w:br/>
        <w:t xml:space="preserve">         open_realization_map | diagnostic | prospective_test | frozen_prediction</w:t>
        <w:br/>
        <w:t xml:space="preserve">  domain: ...</w:t>
        <w:br/>
        <w:t xml:space="preserve">  premises: [...]</w:t>
        <w:br/>
        <w:t xml:space="preserve">  source_refs: [...]</w:t>
        <w:br/>
        <w:t xml:space="preserve">  input_ancestry: [...]</w:t>
        <w:br/>
        <w:t xml:space="preserve">  transform_hash: ...</w:t>
        <w:br/>
        <w:t xml:space="preserve">  protected_invariants: [...]</w:t>
        <w:br/>
        <w:t xml:space="preserve">  realization_maps: [...]</w:t>
        <w:br/>
        <w:t xml:space="preserve">  null_models: [...]</w:t>
        <w:br/>
        <w:t xml:space="preserve">  frozen_metric: ...</w:t>
        <w:br/>
        <w:t xml:space="preserve">  kill_band: ...</w:t>
        <w:br/>
        <w:t xml:space="preserve">  eligible_data_cutoff: ...</w:t>
        <w:br/>
        <w:t xml:space="preserve">  status: candidate | reproduced | robust | confluent | bridged | frozen | promoted | rejected</w:t>
        <w:br/>
        <w:t xml:space="preserve">  receipts: [...]</w:t>
        <w:br/>
      </w:r>
    </w:p>
    <w:p>
      <w:pPr>
        <w:pStyle w:val="Heading1"/>
      </w:pPr>
      <w:r>
        <w:t>13. HANDOFF PROMPT FOR THE OCE AGENT</w:t>
      </w:r>
    </w:p>
    <w:p>
      <w:pPr>
        <w:pStyle w:val="Mono"/>
      </w:pPr>
      <w:r>
        <w:t>You are operating inside OCE. Treat the attached OCE × OPH × IT³ ingestion packet as an external research specification, not as doctrine.</w:t>
        <w:br/>
        <w:br/>
        <w:t>MISSION</w:t>
        <w:br/>
        <w:t>Implement the smallest useful research substrate that imports the strongest engineering ideas from Observer Patch Holography (OPH) and the IT³/C-PHAM body of work while preserving OCE's model-sparse institutional doctrine.</w:t>
        <w:br/>
        <w:br/>
        <w:t>NON-NEGOTIABLES</w:t>
        <w:br/>
        <w:t>1. Do not import either framework's physical ontology as an OCE axiom.</w:t>
        <w:br/>
        <w:t>2. Preserve claim status. A theorem, computation, diagnostic, conditional implication, open realization map, and frozen prediction are different objects.</w:t>
        <w:br/>
        <w:t>3. No analogy may be promoted as identity without a structure-preserving realization map.</w:t>
        <w:br/>
        <w:t>4. No target-informed constant may be labeled source-derived.</w:t>
        <w:br/>
        <w:t>5. Every promoted state must carry provenance, premises, code/config hashes, and falsification criteria.</w:t>
        <w:br/>
        <w:t>6. Prefer minimal sufficient models and explicit countermodels.</w:t>
        <w:br/>
        <w:t>7. Preserve OCE's existing rights/policy boundaries and authoritative owners.</w:t>
        <w:br/>
        <w:br/>
        <w:t>BUILD ORDER</w:t>
        <w:br/>
        <w:t>A. Epistemic Claim Ledger</w:t>
        <w:br/>
        <w:t>B. Confluence Harness</w:t>
        <w:br/>
        <w:t>C. Invariant/Quotient Harness</w:t>
        <w:br/>
        <w:t>D. State Reduction Arena</w:t>
        <w:br/>
        <w:t>E. Realization Map Registry</w:t>
        <w:br/>
        <w:t>F. Frozen Prediction Custody</w:t>
        <w:br/>
        <w:t>G. Countermodel Generator</w:t>
        <w:br/>
        <w:t>H. Closure/Self-Consistency Audit</w:t>
        <w:br/>
        <w:br/>
        <w:t>FIRST EXPERIMENT</w:t>
        <w:br/>
        <w:t>Select one bounded existing OCE workflow with deterministic fixtures. Define protected public state and nuisance/presentation state. Execute valid action schedules in multiple orders. Test termination, idempotence, local-diamond behavior and final-state confluence. Produce the smallest counterexample for every failure.</w:t>
        <w:br/>
        <w:br/>
        <w:t>SECOND EXPERIMENT</w:t>
        <w:br/>
        <w:t>On one existing OCE dataset/state stream, compare:</w:t>
        <w:br/>
        <w:t>- a continuous baseline,</w:t>
        <w:br/>
        <w:t>- a standard clustering baseline,</w:t>
        <w:br/>
        <w:t>- an IT³-inspired deterministic state reducer,</w:t>
        <w:br/>
        <w:t>- an OPH-inspired repair-to-normal-form reducer.</w:t>
        <w:br/>
        <w:t>Freeze metrics before comparison. Measure stability, compression, predictive/reconstruction fidelity, perturbation sensitivity and false structure on synthetic null data.</w:t>
        <w:br/>
        <w:br/>
        <w:t>DELIVERABLES</w:t>
        <w:br/>
        <w:t>- architecture note</w:t>
        <w:br/>
        <w:t>- schemas</w:t>
        <w:br/>
        <w:t>- tests</w:t>
        <w:br/>
        <w:t>- receipts</w:t>
        <w:br/>
        <w:t>- counterexamples</w:t>
        <w:br/>
        <w:t>- dependency graph</w:t>
        <w:br/>
        <w:t>- claim-status ledger</w:t>
        <w:br/>
        <w:t>- results table</w:t>
        <w:br/>
        <w:t>- explicit list of what was NOT implemented and why</w:t>
        <w:br/>
        <w:t>- next prompt only after authoritative suite is green</w:t>
        <w:br/>
        <w:br/>
        <w:t>Do not optimize for a flashy cross-theory synthesis. Optimize for falsifiable institutional machinery.</w:t>
      </w:r>
    </w:p>
    <w:p>
      <w:pPr>
        <w:pStyle w:val="Heading1"/>
      </w:pPr>
      <w:r>
        <w:t>14. DECISION RULES</w:t>
      </w:r>
    </w:p>
    <w:p>
      <w:pPr>
        <w:pStyle w:val="ListBullet"/>
      </w:pPr>
      <w:r>
        <w:t>If a result survives only because the reducer forces discreteness, classify it as OPERATOR-INDUCED.</w:t>
      </w:r>
    </w:p>
    <w:p>
      <w:pPr>
        <w:pStyle w:val="ListBullet"/>
      </w:pPr>
      <w:r>
        <w:t>If multiple reducers discover the same partition and it survives nulls/perturbations, classify it as CROSS-METHOD ROBUST.</w:t>
      </w:r>
    </w:p>
    <w:p>
      <w:pPr>
        <w:pStyle w:val="ListBullet"/>
      </w:pPr>
      <w:r>
        <w:t>If schedule order changes protected public state, classify CONFLUENCE_FAILURE.</w:t>
      </w:r>
    </w:p>
    <w:p>
      <w:pPr>
        <w:pStyle w:val="ListBullet"/>
      </w:pPr>
      <w:r>
        <w:t>If a mapping preserves names/dimensions but not operations/order/refinement, classify ANALOGY_ONLY.</w:t>
      </w:r>
    </w:p>
    <w:p>
      <w:pPr>
        <w:pStyle w:val="ListBullet"/>
      </w:pPr>
      <w:r>
        <w:t>If measured values were consumed in construction, classify DIAGNOSTIC, never PREDICTION.</w:t>
      </w:r>
    </w:p>
    <w:p>
      <w:pPr>
        <w:pStyle w:val="ListBullet"/>
      </w:pPr>
      <w:r>
        <w:t>If a future test was not custody-frozen before eligible data, it cannot be promoted as prospective evidence.</w:t>
      </w:r>
    </w:p>
    <w:p>
      <w:pPr>
        <w:pStyle w:val="ListBullet"/>
      </w:pPr>
      <w:r>
        <w:t>If an OCE mechanism works operationally even if the external physics interpretation fails, keep the mechanism and discard the interpretation.</w:t>
      </w:r>
    </w:p>
    <w:p>
      <w:pPr>
        <w:pStyle w:val="Heading1"/>
      </w:pPr>
      <w:r>
        <w:t>15. RECOMMENDED FIRST OCE USE CASES</w:t>
      </w:r>
    </w:p>
    <w:tbl>
      <w:tblPr>
        <w:tblStyle w:val="TableGrid"/>
        <w:tblW w:type="auto" w:w="0"/>
        <w:jc w:val="center"/>
        <w:tblLook w:firstColumn="1" w:firstRow="1" w:lastColumn="0" w:lastRow="0" w:noHBand="0" w:noVBand="1" w:val="04A0"/>
      </w:tblPr>
      <w:tblGrid>
        <w:gridCol w:w="5083"/>
        <w:gridCol w:w="5083"/>
      </w:tblGrid>
      <w:tr>
        <w:tc>
          <w:tcPr>
            <w:tcW w:type="dxa" w:w="5083"/>
            <w:shd w:fill="1F2937"/>
          </w:tcPr>
          <w:p>
            <w:r>
              <w:rPr>
                <w:b/>
                <w:color w:val="FFFFFF"/>
                <w:sz w:val="16"/>
              </w:rPr>
              <w:t>Use case</w:t>
            </w:r>
          </w:p>
        </w:tc>
        <w:tc>
          <w:tcPr>
            <w:tcW w:type="dxa" w:w="5083"/>
            <w:shd w:fill="1F2937"/>
          </w:tcPr>
          <w:p>
            <w:r>
              <w:rPr>
                <w:b/>
                <w:color w:val="FFFFFF"/>
                <w:sz w:val="16"/>
              </w:rPr>
              <w:t>Why this framework helps</w:t>
            </w:r>
          </w:p>
        </w:tc>
      </w:tr>
      <w:tr>
        <w:tc>
          <w:tcPr>
            <w:tcW w:type="dxa" w:w="5083"/>
            <w:vAlign w:val="center"/>
          </w:tcPr>
          <w:p>
            <w:r>
              <w:rPr>
                <w:sz w:val="15"/>
              </w:rPr>
              <w:t>Agent state reconciliation</w:t>
            </w:r>
          </w:p>
        </w:tc>
        <w:tc>
          <w:tcPr>
            <w:tcW w:type="dxa" w:w="5083"/>
            <w:vAlign w:val="center"/>
          </w:tcPr>
          <w:p>
            <w:r>
              <w:rPr>
                <w:sz w:val="15"/>
              </w:rPr>
              <w:t>OPH normal forms give a precise target for schedule-independent public state.</w:t>
            </w:r>
          </w:p>
        </w:tc>
      </w:tr>
      <w:tr>
        <w:tc>
          <w:tcPr>
            <w:tcW w:type="dxa" w:w="5083"/>
            <w:vAlign w:val="center"/>
          </w:tcPr>
          <w:p>
            <w:r>
              <w:rPr>
                <w:sz w:val="15"/>
              </w:rPr>
              <w:t>Research Mesh → doctrine promotion</w:t>
            </w:r>
          </w:p>
        </w:tc>
        <w:tc>
          <w:tcPr>
            <w:tcW w:type="dxa" w:w="5083"/>
            <w:vAlign w:val="center"/>
          </w:tcPr>
          <w:p>
            <w:r>
              <w:rPr>
                <w:sz w:val="15"/>
              </w:rPr>
              <w:t>Claim classes + frozen prediction custody prevent synthesis from outrunning evidence.</w:t>
            </w:r>
          </w:p>
        </w:tc>
      </w:tr>
      <w:tr>
        <w:tc>
          <w:tcPr>
            <w:tcW w:type="dxa" w:w="5083"/>
            <w:vAlign w:val="center"/>
          </w:tcPr>
          <w:p>
            <w:r>
              <w:rPr>
                <w:sz w:val="15"/>
              </w:rPr>
              <w:t>QCAE capability acquisition</w:t>
            </w:r>
          </w:p>
        </w:tc>
        <w:tc>
          <w:tcPr>
            <w:tcW w:type="dxa" w:w="5083"/>
            <w:vAlign w:val="center"/>
          </w:tcPr>
          <w:p>
            <w:r>
              <w:rPr>
                <w:sz w:val="15"/>
              </w:rPr>
              <w:t>Realization maps distinguish 'paper describes capability' from 'runtime actually implements capability'.</w:t>
            </w:r>
          </w:p>
        </w:tc>
      </w:tr>
      <w:tr>
        <w:tc>
          <w:tcPr>
            <w:tcW w:type="dxa" w:w="5083"/>
            <w:vAlign w:val="center"/>
          </w:tcPr>
          <w:p>
            <w:r>
              <w:rPr>
                <w:sz w:val="15"/>
              </w:rPr>
              <w:t>Rights/policy enforcement</w:t>
            </w:r>
          </w:p>
        </w:tc>
        <w:tc>
          <w:tcPr>
            <w:tcW w:type="dxa" w:w="5083"/>
            <w:vAlign w:val="center"/>
          </w:tcPr>
          <w:p>
            <w:r>
              <w:rPr>
                <w:sz w:val="15"/>
              </w:rPr>
              <w:t>Protected invariants can be tested under alternate execution paths.</w:t>
            </w:r>
          </w:p>
        </w:tc>
      </w:tr>
      <w:tr>
        <w:tc>
          <w:tcPr>
            <w:tcW w:type="dxa" w:w="5083"/>
            <w:vAlign w:val="center"/>
          </w:tcPr>
          <w:p>
            <w:r>
              <w:rPr>
                <w:sz w:val="15"/>
              </w:rPr>
              <w:t>Recovery/restart</w:t>
            </w:r>
          </w:p>
        </w:tc>
        <w:tc>
          <w:tcPr>
            <w:tcW w:type="dxa" w:w="5083"/>
            <w:vAlign w:val="center"/>
          </w:tcPr>
          <w:p>
            <w:r>
              <w:rPr>
                <w:sz w:val="15"/>
              </w:rPr>
              <w:t>Normal-form identity and provenance DAG provide stronger reconstruction criteria than 'process came back up'.</w:t>
            </w:r>
          </w:p>
        </w:tc>
      </w:tr>
      <w:tr>
        <w:tc>
          <w:tcPr>
            <w:tcW w:type="dxa" w:w="5083"/>
            <w:vAlign w:val="center"/>
          </w:tcPr>
          <w:p>
            <w:r>
              <w:rPr>
                <w:sz w:val="15"/>
              </w:rPr>
              <w:t>Multi-agent planning</w:t>
            </w:r>
          </w:p>
        </w:tc>
        <w:tc>
          <w:tcPr>
            <w:tcW w:type="dxa" w:w="5083"/>
            <w:vAlign w:val="center"/>
          </w:tcPr>
          <w:p>
            <w:r>
              <w:rPr>
                <w:sz w:val="15"/>
              </w:rPr>
              <w:t>Confluence testing reveals hidden ordering dependencies and race-condition semantics.</w:t>
            </w:r>
          </w:p>
        </w:tc>
      </w:tr>
      <w:tr>
        <w:tc>
          <w:tcPr>
            <w:tcW w:type="dxa" w:w="5083"/>
            <w:vAlign w:val="center"/>
          </w:tcPr>
          <w:p>
            <w:r>
              <w:rPr>
                <w:sz w:val="15"/>
              </w:rPr>
              <w:t>Model-sparse selection</w:t>
            </w:r>
          </w:p>
        </w:tc>
        <w:tc>
          <w:tcPr>
            <w:tcW w:type="dxa" w:w="5083"/>
            <w:vAlign w:val="center"/>
          </w:tcPr>
          <w:p>
            <w:r>
              <w:rPr>
                <w:sz w:val="15"/>
              </w:rPr>
              <w:t>A3-style least-information selection plus compression tests can prefer simpler sufficient state.</w:t>
            </w:r>
          </w:p>
        </w:tc>
      </w:tr>
    </w:tbl>
    <w:p>
      <w:pPr>
        <w:pStyle w:val="Heading1"/>
      </w:pPr>
      <w:r>
        <w:t>16. SOURCE-GROUNDED CAUTIONS</w:t>
      </w:r>
    </w:p>
    <w:p>
      <w:r>
        <w:t>OPH itself states that a physical realization map must preserve algebraic operations, overlap restrictions, causal order, normalizations and refinement relations; resemblance of spectra, dimensions or symmetry names is insufficient. [OPH Flagship, p. 4] That standard should govern the entire OPH × IT³ comparison.</w:t>
      </w:r>
    </w:p>
    <w:p>
      <w:r>
        <w:t>OPH also explicitly says it has not completed derivations of particle masses, a source-only fine-structure constant, a completed cosmology, or a proof that formal verification establishes physical truth. [OPH Flagship, p. 4] Keep these boundaries intact in OCE.</w:t>
      </w:r>
    </w:p>
    <w:p>
      <w:r>
        <w:t>The OPH repository currently describes more than 12,000 Lean theorems with no admitted proofs and a premise register containing 84 registered inputs not yet derived from the axioms alone. Treat the Lean coverage as evidence for the formal statements actually encoded, not as validation that nature realizes the premises. [OPH GitHub README, accessed 2026-09-23]</w:t>
      </w:r>
    </w:p>
    <w:p>
      <w:r>
        <w:t>IT³ and related Zenodo papers should be ingested as external preprints/hypotheses. Their strongest cross-domain and ontological claims require independent reproduction, null models, parameter-provenance audits and prospective tests before any OCE promotion.</w:t>
      </w:r>
    </w:p>
    <w:p>
      <w:pPr>
        <w:pStyle w:val="Heading1"/>
      </w:pPr>
      <w:r>
        <w:t>17. FINAL SYNTHESIS</w:t>
      </w:r>
    </w:p>
    <w:p>
      <w:r>
        <w:t>The useful merger is architectural. OPH gives OCE a mature language for observer-bounded evidence, typed overlaps, protected records, repair, confluence, normal forms, realization obligations and claim custody. IT³ contributes a provocative state-reduction/invariant-search program that is ideal for adversarial benchmarking. OCE contributes the institutional execution layer: persistent workers, authoritative state, rights, recovery, verified effects, model-sparse doctrine and multi-agent operation.</w:t>
      </w:r>
    </w:p>
    <w:p>
      <w:pPr>
        <w:jc w:val="center"/>
      </w:pPr>
      <w:r>
        <w:rPr>
          <w:rFonts w:ascii="Cambria Math" w:hAnsi="Cambria Math"/>
          <w:i/>
          <w:sz w:val="21"/>
        </w:rPr>
        <w:t>OPH = trustworthy reconstruction grammar</w:t>
      </w:r>
    </w:p>
    <w:p>
      <w:pPr>
        <w:jc w:val="center"/>
      </w:pPr>
      <w:r>
        <w:rPr>
          <w:rFonts w:ascii="Cambria Math" w:hAnsi="Cambria Math"/>
          <w:i/>
          <w:sz w:val="21"/>
        </w:rPr>
        <w:t>IT³ = aggressive invariant/state hypothesis generator</w:t>
      </w:r>
    </w:p>
    <w:p>
      <w:pPr>
        <w:jc w:val="center"/>
      </w:pPr>
      <w:r>
        <w:rPr>
          <w:rFonts w:ascii="Cambria Math" w:hAnsi="Cambria Math"/>
          <w:i/>
          <w:sz w:val="21"/>
        </w:rPr>
        <w:t>OCE = institutional execution + governance + validation substrate</w:t>
      </w:r>
    </w:p>
    <w:p>
      <w:r>
        <w:t>Combined correctly, the result is not a new theory of physics. It is a stronger research operating system: one that can discover compact structure, reconstruct public state, prove what is provable, expose what is merely conditional, freeze what is predictive, and keep every bridge auditable.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OCE × OPH × IT³ • Cross-Realization Ingestion Packet</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llout">
    <w:name w:val="Callout"/>
    <w:rPr>
      <w:rFonts w:ascii="Aptos" w:hAnsi="Aptos"/>
      <w:b w:val="0"/>
      <w:sz w:val="20"/>
    </w:rPr>
  </w:style>
  <w:style w:type="paragraph" w:customStyle="1" w:styleId="Mono">
    <w:name w:val="Mono"/>
    <w:rPr>
      <w:rFonts w:ascii="Consolas" w:hAnsi="Consolas"/>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