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styles" Target="word/styles.xml"/><Relationship Id="rId3" Type="http://schemas.openxmlformats.org/officeDocument/2006/relationships/footer" Target="word/footer1.xml"/></Relationships>
</file>

<file path=word/document.xml><?xml version="1.0" encoding="utf-8"?>
<w:document xmlns:w="http://schemas.openxmlformats.org/wordprocessingml/2006/main" xmlns:r="http://schemas.openxmlformats.org/officeDocument/2006/relationships">
  <w:body>
    <w:p>
      <w:pPr>
        <w:pStyle w:val="Title"/>
      </w:pPr>
      <w:r>
        <w:t>Georgia Rural Community Impact Grant FY2026 — Proposal</w:t>
      </w:r>
    </w:p>
    <w:p>
      <w:r>
        <w:br w:type="page"/>
      </w:r>
    </w:p>
    <w:p>
      <w:pPr>
        <w:pStyle w:val="Heading1"/>
      </w:pPr>
      <w:r>
        <w:t>Executive Summary</w:t>
      </w:r>
    </w:p>
    <w:p>
      <w:r>
        <w:t xml:space="preserve">The Rural Georgia Youth Development Coalition, Inc. will have 8 AmeriCorps members in Walker, Dade, and Catoosa counties in Northwest Georgia. AmeriCorps members will deliver after-school tutoring in 90-minute sessions three afternoons per week across a 32-week program year, a four-week summer bridge program at 20 hours per week, and 12 monthly workforce readiness workshops for students in grades 6-12 at risk of disengaging from school. At the end of the first program year, the AmeriCorps members will be responsible for sustaining direct tutoring and mentoring services for 420 youth across four partner sites. In addition, the AmeriCorps members will leverage 60 volunteers who will be engaged in mentoring, attendance follow-up, and workshop logistics. The AmeriCorps investment of $180,145 will be matched with $57,600 in documented non-federal share, satisfying the 24% first-period match requirement.</w:t>
      </w:r>
    </w:p>
    <w:p>
      <w:r>
        <w:br w:type="page"/>
      </w:r>
    </w:p>
    <w:p>
      <w:pPr>
        <w:pStyle w:val="Heading1"/>
      </w:pPr>
      <w:r>
        <w:t>Program Design</w:t>
      </w:r>
    </w:p>
    <w:p>
      <w:r>
        <w:t xml:space="preserve">Rural Northwest Georgia is a region of persistent educational and economic disparity that directly shapes the life trajectories of its young people. Walker, Dade, and Catoosa counties include school districts in which a substantial share of students qualify for free and reduced-price lunch, in which middle and high school chronic absenteeism has held steady above state averages, and in which postsecondary attainment trails the Georgia state rate. Local educators report that students in grades 6 through 12, particularly those disengaging from school because of family caregiving responsibilities, transportation gaps, or limited access to credentialed tutors, lack the consistent academic support and career exposure that peers in metropolitan districts take for granted. The Coalition's 2025 program report documents that 87 percent of youth attended thirty or more sessions in 2024-25, and that 84 percent of regularly attending youth improved their school engagement scores. The Coalition's three-year internal evaluation of 387 program participants found gains of 0.4 grade equivalents in mathematics and 0.5 in reading, with 91 percent of regularly attending seniors graduating on time against an 78 percent district comparison. These results, while encouraging, remain constrained by volunteer tutor capacity and by the absence of a full-time, member-supported service infrastructure that can sustain a 32-week program year across multiple sites simultaneously. The intervention proposed in this application directly addresses these constraints by placing eight full-time AmeriCorps members, the target MSY figure approved in the Coalition's 2026 AmeriCorps plan, as sustained, embedded tutors and youth development workers across four partner sites in LaFayette, Ridgeville, Trenton, and Rossville.</w:t>
      </w:r>
    </w:p>
    <w:p>
      <w:r>
        <w:t xml:space="preserve">The Logic Model is presented below in tabular form so each component can be traced from resources to long-term change.</w:t>
      </w:r>
    </w:p>
    <w:p>
      <w:r>
        <w:t xml:space="preserve">Inputs and Resources: Eight full-time AmeriCorps members (MSY target of 8), with member living allowances of $112,000, FICA of $8,568, and healthcare assistance of $4,800 supporting the service year. Program Director Marcus Ellison, LMSW, contributing 0.25 FTE valued at $15,600 for member supervision and compliance. Planned investments of $4,800 in member recruitment, $6,000 in member retention supports, $7,200 in data collection and evaluation systems, and $4,800 in member training and tutoring curriculum. Physical space at the LaFayette community center headquarters and three partner school sites. A board-committed cash match of $39,600 and in-kind space valued at $18,000 satisfying the 24 percent grantee match requirement for the first three-year funding period. Sixty leveraged community volunteers, mobilized by Coalition staff, extending member reach.</w:t>
      </w:r>
    </w:p>
    <w:p>
      <w:r>
        <w:t xml:space="preserve">Member deployment: Two members assigned to each of the four sites (LaFayette, Ridgeville, Trenton, and Rossville Community Center), with members rotating to support summer bridge programming at the LaFayette community center and Rossville Community Center.</w:t>
      </w:r>
    </w:p>
    <w:p>
      <w:r>
        <w:t xml:space="preserve">Member characteristics: Demonstrated reading and mathematics proficiency at a college level, prior experience working with adolescents, clear verbal communication, cultural competence relevant to rural Appalachian and rural Southern communities, the maturity to maintain consistent boundaries in school settings, the ability to drive between sites, and basic data-entry skill.</w:t>
      </w:r>
    </w:p>
    <w:p>
      <w:r>
        <w:t xml:space="preserve">Core Activities and Dosage: After-school tutoring runs three afternoons per week at each of four sites in ninety-minute sessions across a thirty-two-week program year, yielding ninety-six sessions per site and three hundred eighty-four sessions annually. A youth attending every tutoring session across the full program year would receive 144 hours of direct tutoring; a youth attending the program-design intent of at least 30 sessions would receive 45 hours. Both dosage levels are tracked against the targeted output of 420 unduplicated participants. The summer bridge program runs four weeks at twenty hours per week, totaling 80 hours of intensive academic and enrichment programming at the LaFayette and Rossville sites. Workforce readiness workshops run monthly at each site, for 12 workshops per site and 48 workshops annually, focused on goal setting, financial literacy, professional communication, and postsecondary planning.</w:t>
      </w:r>
    </w:p>
    <w:p>
      <w:r>
        <w:t xml:space="preserve">Target Population: 420 middle and high school students in grades 6 through 12 across Walker, Dade, and Catoosa counties, with priority for youth who are chronically absent, behind grade level in reading or math, or at risk of not graduating on time. The 420 figure reflects the Coalition's 2025 program report.</w:t>
      </w:r>
    </w:p>
    <w:p>
      <w:r>
        <w:t xml:space="preserve">Measurable Outputs: 420 unduplicated youth participants, 384 site-based tutoring sessions, four summer bridge cohorts, 48 workforce readiness workshops, and 60 leveraged volunteers supporting member-led service.</w:t>
      </w:r>
    </w:p>
    <w:p>
      <w:r>
        <w:t xml:space="preserve">Outcomes: Short-term outcomes within the program year include increased homework completion, improved classroom participation, and a measurable gain in reading or mathematics performance on district benchmarks among youth attending thirty or more tutoring sessions. Medium-term outcomes over a one-to-two-year horizon include grade promotion, on-time graduation at a rate of 91 percent or higher among regularly attending seniors, and persistence into postsecondary education, training, or employment. The long-term outcome pursued over the project period and beyond is a measurable increase, tracked annually, in the proportion of regularly participating rural Northwest Georgia youth who complete high school, earn an industry credential or postsecondary credential, and enter the regional workforce within twelve months of graduation.</w:t>
      </w:r>
    </w:p>
    <w:p>
      <w:r>
        <w:t xml:space="preserve">The evidence base for the proposed intervention draws on two well-aligned documents. The first is the Coalition's 2025 internal evaluation, a three-year retrospective cohort analysis comparing pre- and post-program academic records of 387 youth who participated across the 2022-23, 2023-24, and 2024-25 program years. The design matched each participant's baseline reading and mathematics performance to end-of-year outcomes, with comparison to district-level graduation rates for the same cohort years. Findings included academic gains of 0.4 grade equivalents in mathematics and 0.5 in reading, and a graduation-rate advantage of 91 percent among regularly attending seniors against an 78 percent district comparison group. The evaluation did not employ a randomized control design; its strengths are the large sample size, three-year observation window, and consistency with district benchmark data. The second is the Coalition's own 2024-25 prior performance measure data, showing 87 percent of youth attended thirty or more sessions and 84 percent of regularly attending youth improved school engagement scores. Because the Coalition has not previously received AmeriCorps or Georgia Serves funding, no prior AmeriCorps evaluation report is applicable. The applicant self-classifies the intervention within the Preliminary evidence tier, supported by documented prior performance data and an internal study design that supports confidence in the proposed activities.</w:t>
      </w:r>
    </w:p>
    <w:p>
      <w:r>
        <w:t xml:space="preserve">The proposed program advances a significant Georgia Serves funding priority as described in NOFO A.2. The Coalition's geographic focus on Walker, Dade, and Catoosa counties, all rural Northwest Georgia counties identified for priority attention, and the program's central focus on educational attainment, college and career readiness, and workforce preparation for youth in underserved regions, represents a significant rather than incidental component of the program design. All eight member placements, all four sites, and 100 percent of projected service hours are dedicated to this priority. The intended outcomes of on-time graduation, credential attainment, and entry into the regional workforce align directly with the priority's stated results. The Coalition's design also advances an additional A.2 priority by engaging 60 leveraged community volunteers who extend member-led service in rural communities.</w:t>
      </w:r>
    </w:p>
    <w:p>
      <w:r>
        <w:t xml:space="preserve">AmeriCorps members will receive a structured member experience that supports skill attainment, personal growth, and lasting civic connection. Each member serves a 1,700-hour term and will complete approximately 40 hours of pre-service training in tutoring methods, adolescent development, the Coalition's data systems, and site safety procedures. Members will then participate in monthly in-service trainings totaling roughly 30 hours across the program year on coaching techniques, résumé writing, financial literacy, and reflective practice. Members will be paired with a Coalition staff mentor who conducts a documented supervision check-in at least every two weeks. Each member will co-design an individual development plan that sets personal learning goals, will participate in structured reflection time and a mid-year retreat, and will present their work at a closing service showcase attended by families, school partners, and community funders. Members receive a living allowance, healthcare assistance, FICA coverage, and, upon successful completion of the term, the Segal AmeriCorps Education Award, which they may apply to postsecondary education or qualified student loans. These supports are intended not only to retain members through the term but to launch them into a lifetime of civic participation as tutors, educators, social workers, and community leaders rooted in the same rural Northwest Georgia communities the program serves.</w:t>
      </w:r>
    </w:p>
    <w:p>
      <w:r>
        <w:br w:type="page"/>
      </w:r>
    </w:p>
    <w:p>
      <w:pPr>
        <w:pStyle w:val="Heading1"/>
      </w:pPr>
      <w:r>
        <w:t>Organizational Capability</w:t>
      </w:r>
    </w:p>
    <w:p>
      <w:r>
        <w:t xml:space="preserve">Rural Georgia Youth Development Coalition, Inc. (the Coalition) brings thirteen years of continuous youth-serving operations in Northwest Georgia, a current roster of 7 full-time and 11 part-time staff, and a tested administrative infrastructure to the stewardship of AmeriCorps resources. Executive responsibility sits with Dana Whitfield, MPA, Executive Director, who holds 14 years of youth development leadership and retains ultimate fiduciary and compliance authority for the program. She chairs the Coalition's program leadership team, serves as principal liaison to AmeriCorps and the Georgia Serves state commission, and signs all federal financial reports. Marcus Ellison, LMSW, Program Director, is allocated in the project budget to lead AmeriCorps supervision and compliance and directly supervises the site coordinators and member programming. The Coalition's 13-member Board of Directors exercises governance through a board-approved procurement policy, quarterly review of grant financials, and the resolution of November 18, 2025 committing the 24 percent grantee match of $39,600 in cash plus in-kind space valued at $18,000 per year.</w:t>
      </w:r>
    </w:p>
    <w:p>
      <w:r>
        <w:t xml:space="preserve">The Coalition's controls to administer a federal award are documented, written, and tested annually. The organization's most recent independent audit, covering FY2025, returned an unqualified opinion. Grant expenditures are tracked in QuickBooks by individual award, allowing real-time segregation of federal and non-federal cost categories. Written policies, all adopted by the Board and reviewed annually, cover allowable costs, procurement, conflicts of interest, record retention, member suspension and grievance, drug-free workplace, civil rights compliance, and mandatory reporting. Member timesheets are submitted electronically each pay period and reconciled against service-site sign-in logs by the Program Director before payroll is released. New staff complete a documented orientation on federal grant compliance before assuming responsibility for any AmeriCorps cost center, and the Program Director maintains a written log of completion. Data on member hours, activities, and beneficiary outcomes are entered weekly by members and reviewed monthly by the Program Director using a standardized dashboard.</w:t>
      </w:r>
    </w:p>
    <w:p>
      <w:r>
        <w:t xml:space="preserve">Member supervision rests with a Coalition Site Coordinator at each of the four planned service sites, and the Program Director carries supervisory responsibility for the planned cohort of eight members serving a full-time 1,700-hour term. The Program Director conducts an individual check-in with each member every other week, alternating between on-site observation at the member's service location and a virtual meeting, with a written summary entered into the member's supervision file. Members also participate in a weekly cohort call with the full AmeriCorps team that includes case consultation and shared problem solving. Monthly, the Program Director convenes a structured supervision meeting that pairs a member self-assessment with a strengths-based review by the supervisor, using a standardized rubric covering tutoring fidelity, professionalism, attendance, and progress toward the member's individual development plan. Members set three competency goals at the start of the term and revisit them at the midpoint and in the final quarter, with opportunities for growth documented in the supervision file.</w:t>
      </w:r>
    </w:p>
    <w:p>
      <w:r>
        <w:t xml:space="preserve">The member training plan begins with a pre-service orientation that covers tutoring methodology, trauma-informed youth engagement, AmeriCorps rules and prohibited activities, child safety, mandatory reporting, and the Coalition's data collection system. Training is supported in the project budget through a dedicated line for the member training plan and tutoring curriculum, and the Executive Director reviews completion of required modules quarterly. The training sequence is designed to align with the Coalition's existing evidence base, including a 2025 internal evaluation of a three-year pre/post cohort of 387 program participants, which found average gains of 0.4 grade equivalents in math and 0.5 in reading and a graduation rate of 91 percent for regularly attending seniors compared to 78 percent for the district comparison group. Mid-year, members complete a structured professional development cycle that includes classroom management and progress monitoring, and they close the term with a reflection session. Through clearly delineated staff authority, tested fiscal controls, and a structured cadence of supervision and training, the Coalition is prepared to implement the AmeriCorps program with the rigor federal funding requires.</w:t>
      </w:r>
    </w:p>
    <w:p>
      <w:r>
        <w:br w:type="page"/>
      </w:r>
    </w:p>
    <w:p>
      <w:pPr>
        <w:pStyle w:val="Heading1"/>
      </w:pPr>
      <w:r>
        <w:t>Cost Effectiveness</w:t>
      </w:r>
    </w:p>
    <w:p>
      <w:r>
        <w:t xml:space="preserve">Rural Georgia Youth Development Coalition, Inc. requests total project costs of $180,145, with $140,545 requested from the Georgia Commission for Service and Volunteerism (Georgia Serves) and the 24 percent grantee share documented in board resolution 2025-11-18. The Coalition has never previously held AmeriCorps or Georgia Serves funding, and year-one expenses are therefore calibrated to build compliant recruitment, retention, and data infrastructure for a target of eight full-time Member Service Years (MSY) deployed across four sites: LaFayette High School, Ridgeville Middle School, Trenton Elementary, and the Rossville Community Center. Each MSY is planned at 1,700 hours over a 32-week program year at 32 hours per week, including three 90-minute tutoring sessions per week per site, a four-week summer bridge at 20 hours per week, and twelve monthly workforce-readiness workshops.</w:t>
      </w:r>
    </w:p>
    <w:p>
      <w:r>
        <w:t xml:space="preserve">**Member recruitment** is budgeted at $4,800, equivalent to $600 per MSY, a level set against the realistic yield of eight members from the Coalition's established three-county recruitment channels in Walker, Dade, and Catoosa counties. The line funds targeted advertising through Walker, Dade, and Catoosa County school district communications; printed materials distributed from the Coalition's LaFayette headquarters; staff time for application screening, structured interviews, and reference checks led by Program Director Marcus Ellison, LMSW, with oversight by Executive Director Dana Whitfield, MPA; candidate travel reimbursement so applicants from across the rural three-county service area can attend in-person interview days; and background-check fees required for onboarding. Because the Coalition already operates after-school tutoring at four partner school sites, recruitment will draw on documented school relationships rather than new institutional agreements, allowing this modest line to convert at a low cost per member while ensuring candidates reflect the lived experience of the youth the program will serve.</w:t>
      </w:r>
    </w:p>
    <w:p>
      <w:r>
        <w:t xml:space="preserve">**Member retention** is budgeted at $6,000, supplemented by a separately itemized Member Training Plan and Tutoring Curriculum line of $4,800. The eight members are planned to receive a living allowance of $112,000 in aggregate, equivalent to $14,000 per member — set above the AmeriCorps State minimum to reflect Northwest Georgia's rural cost of living and to remain competitive against local retail and school-district employment that has historically drawn tutors away mid-term. Employer FICA of $8,568 (7.65 percent) and $4,800 in healthcare assistance ($600 per member) are calculated to remove documented cost-related barriers to service for rural applicants. Retention funds will support workforce-pathway certification costs (e.g., tutoring, mentoring, or youth-work credentials) tied to post-service employment, coaching hours for site coordinators, a mid-year member recognition event, branded apparel for site identification, and a year-end transition package covering résumé development, interview preparation, and connection to the Coalition's existing volunteer and alumni network. Tutoring curriculum spending is aligned to the Coalition's documented pre/post cohort outcomes of +0.4 grade equivalents in math and +0.5 grade equivalents in reading (n=387), reinforcing the evidence base members will draw on as they build professional portfolios.</w:t>
      </w:r>
    </w:p>
    <w:p>
      <w:r>
        <w:t xml:space="preserve">**Data collection and evaluation** is budgeted at $7,200 and is anchored by the Coalition's existing QuickBooks-based grant cost tracking, board-approved procurement policy, segregation of duties, and FY2025 unqualified audit. The line funds an annual subscription to a member-hour and outcome-data platform, tablet devices for the four program sites so site coordinators can record attendance and session-level outputs in real time, and contracted evaluator time for instrument design, partner-site data quality checks, and quarterly reviews. Site coordinators at the four sites will enter attendance and outputs using a standardized instrument with defined denominators — total enrolled youth and total scheduled sessions — and Program Director Ellison will reconcile member service hours, participant attendance, and engagement indicators monthly. Community partners at each site will participate in a standing quarterly data-review call to validate denominators, confirm service-hour entries, and flag anomalies before quarterly AmeriCorps reporting. The contracted evaluator will deliver a mid-year data-quality memo and a year-end report sufficient to support timely and accurate entry into the AmeriCorps reporting system.</w:t>
      </w:r>
    </w:p>
    <w:p>
      <w:r>
        <w:t xml:space="preserve">**Full budget narrative.** Member living allowances of $112,000 fund eight full-time members at $14,000 each, with $8,568 for the 7.65 percent employer FICA share and $4,800 in healthcare assistance allocated at $600 per member, a level sufficient to supplement marketplace coverage gaps common among rural applicants; the Coalition will publish the allocation methodology in the awarded program's member-support plan. Program Director supervision and compliance is planned at 0.25 FTE ($15,600), a level adequate for eight MSYs across four sites. Recruitment ($4,800), retention ($6,000), data collection ($7,200), and the member training plan and tutoring curriculum ($4,800) are described above. The 10 percent de minimis indirect cost rate is applied to a modified total direct cost base of $163,768, yielding $16,377 in indirect costs. No travel, supplies, or other category lines are requested beyond those above, which keeps the budget proportionate to a first-year, eight-MSY operation while fully funding the systems required to deliver and document results.</w:t>
      </w:r>
    </w:p>
    <w:p>
      <w:r>
        <w:br w:type="page"/>
      </w:r>
    </w:p>
    <w:p>
      <w:pPr>
        <w:pStyle w:val="Heading1"/>
      </w:pPr>
      <w:r>
        <w:t>Evaluation Summary</w:t>
      </w:r>
    </w:p>
    <w:p>
      <w:r>
        <w:t xml:space="preserve">Evaluation Summary/Plan: N/A. This organization is a new applicant under this Notice and is not required to submit an evaluation plan summary.</w:t>
      </w:r>
    </w:p>
    <w:p>
      <w:r>
        <w:br w:type="page"/>
      </w:r>
    </w:p>
    <w:sectPr>
      <w:footerReference w:type="default" r:id="rId2"/>
    </w:sectPr>
  </w:body>
</w:document>
</file>

<file path=word/footer1.xml><?xml version="1.0" encoding="utf-8"?>
<w:ftr xmlns:w="http://schemas.openxmlformats.org/wordprocessingml/2006/main">
  <w:p>
    <w:r>
      <w:fldChar w:fldCharType="begin"/>
    </w:r>
    <w:r>
      <w:instrText xml:space="preserve"> PAGE </w:instrText>
    </w:r>
    <w:r>
      <w:fldChar w:fldCharType="end"/>
    </w:r>
  </w:p>
</w:ftr>
</file>

<file path=word/styles.xml><?xml version="1.0" encoding="utf-8"?>
<w:styles xmlns:w="http://schemas.openxmlformats.org/wordprocessingml/2006/main">
  <w:style w:type="paragraph" w:styleId="Title">
    <w:name w:val="Title"/>
    <w:rPr>
      <w:sz w:val="48"/>
    </w:rPr>
  </w:style>
  <w:style w:type="paragraph" w:styleId="Heading1">
    <w:name w:val="heading 1"/>
    <w:rPr>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