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7570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简易综合健康自评评分表（男女分版·满分100分）</w:t>
      </w:r>
    </w:p>
    <w:p w14:paraId="08B617E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说明</w:t>
      </w:r>
      <w:bookmarkEnd w:id="0"/>
    </w:p>
    <w:p w14:paraId="1B48C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本表总分 100 分，划分为</w:t>
      </w:r>
      <w:r>
        <w:rPr>
          <w:rFonts w:ascii="Arial" w:hAnsi="Arial" w:eastAsia="等线" w:cs="Arial"/>
          <w:b/>
          <w:sz w:val="22"/>
        </w:rPr>
        <w:t>BMI 指数、腰围、体脂率、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骨骼</w:t>
      </w:r>
      <w:bookmarkStart w:id="14" w:name="_GoBack"/>
      <w:bookmarkEnd w:id="14"/>
      <w:r>
        <w:rPr>
          <w:rFonts w:ascii="Arial" w:hAnsi="Arial" w:eastAsia="等线" w:cs="Arial"/>
          <w:b/>
          <w:sz w:val="22"/>
        </w:rPr>
        <w:t>肌肉率、身体年龄差</w:t>
      </w:r>
      <w:r>
        <w:rPr>
          <w:rFonts w:ascii="Arial" w:hAnsi="Arial" w:eastAsia="等线" w:cs="Arial"/>
          <w:sz w:val="22"/>
        </w:rPr>
        <w:t>5 大模块，单项各 20 分；区分</w:t>
      </w:r>
      <w:r>
        <w:rPr>
          <w:rFonts w:ascii="Arial" w:hAnsi="Arial" w:eastAsia="等线" w:cs="Arial"/>
          <w:b/>
          <w:sz w:val="22"/>
        </w:rPr>
        <w:t>男性、女性两套判定标准</w:t>
      </w:r>
      <w:r>
        <w:rPr>
          <w:rFonts w:ascii="Arial" w:hAnsi="Arial" w:eastAsia="等线" w:cs="Arial"/>
          <w:sz w:val="22"/>
        </w:rPr>
        <w:t>，适用于成年人群日常健康自测，总分汇总后划分健康等级。</w:t>
      </w:r>
    </w:p>
    <w:p w14:paraId="18CD257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一、维度 1：BMI 体重指数（20 分，男女通用判定区间）</w:t>
      </w:r>
      <w:bookmarkEnd w:id="1"/>
    </w:p>
    <w:p w14:paraId="075FB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计算公式：</w:t>
      </w:r>
      <m:oMath>
        <m:r>
          <m:rPr/>
          <w:rPr>
            <w:rFonts w:ascii="Cambria Math" w:hAnsi="Cambria Math"/>
          </w:rPr>
          <m:t>BMI=</m:t>
        </m:r>
        <m:r>
          <m:rPr>
            <m:sty m:val="p"/>
          </m:rPr>
          <w:rPr>
            <w:rFonts w:ascii="Cambria Math" w:hAnsi="Cambria Math"/>
          </w:rPr>
          <m:t>体重</m:t>
        </m:r>
        <m:r>
          <m:rPr/>
          <w:rPr>
            <w:rFonts w:ascii="Cambria Math" w:hAnsi="Cambria Math"/>
          </w:rPr>
          <m:t>(kg)÷</m:t>
        </m:r>
        <m:r>
          <m:rPr>
            <m:sty m:val="p"/>
          </m:rPr>
          <w:rPr>
            <w:rFonts w:ascii="Cambria Math" w:hAnsi="Cambria Math"/>
          </w:rPr>
          <m:t>身高</m:t>
        </m:r>
        <m:r>
          <m:rPr/>
          <w:rPr>
            <w:rFonts w:ascii="Cambria Math" w:hAnsi="Cambria Math"/>
          </w:rPr>
          <m:t>(m)²</m:t>
        </m:r>
      </m:oMath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9DB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F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BMI 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8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E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3D61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F2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18.5～23.9（标准）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7E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84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健康体重</w:t>
            </w:r>
          </w:p>
        </w:tc>
      </w:tr>
      <w:tr w14:paraId="0DBD4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9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24.0～27.9（超重）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3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DF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体重超标</w:t>
            </w:r>
          </w:p>
        </w:tc>
      </w:tr>
      <w:tr w14:paraId="29A41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F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＜18.5 或≥28（偏瘦 / 肥胖）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F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7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体重异常</w:t>
            </w:r>
          </w:p>
        </w:tc>
      </w:tr>
    </w:tbl>
    <w:p w14:paraId="0B3BB43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二、维度 2：腰围 &amp; 中心性肥胖（20 分，男女分标准）</w:t>
      </w:r>
      <w:bookmarkEnd w:id="2"/>
    </w:p>
    <w:p w14:paraId="6F78A7F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男性腰围标准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A90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3E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腰围区间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2B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4CD80"/>
        </w:tc>
      </w:tr>
      <w:tr w14:paraId="31291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D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＜85cm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45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E0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正常无腹型肥胖</w:t>
            </w:r>
          </w:p>
        </w:tc>
      </w:tr>
      <w:tr w14:paraId="08509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F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85cm≤腰围＜90cm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E9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F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临界肥胖</w:t>
            </w:r>
          </w:p>
        </w:tc>
      </w:tr>
      <w:tr w14:paraId="168DA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5F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≥90cm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A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2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中心性肥胖</w:t>
            </w:r>
          </w:p>
        </w:tc>
      </w:tr>
    </w:tbl>
    <w:p w14:paraId="78A18E7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女性腰围标准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069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8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腰围区间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80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50EB"/>
        </w:tc>
      </w:tr>
      <w:tr w14:paraId="0D143F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9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＜80cm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7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05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正常无腹型肥胖</w:t>
            </w:r>
          </w:p>
        </w:tc>
      </w:tr>
      <w:tr w14:paraId="0CCF5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1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80cm≤腰围＜85cm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B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D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临界肥胖</w:t>
            </w:r>
          </w:p>
        </w:tc>
      </w:tr>
      <w:tr w14:paraId="6BF80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8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≥85cm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4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A0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中心性肥胖</w:t>
            </w:r>
          </w:p>
        </w:tc>
      </w:tr>
    </w:tbl>
    <w:p w14:paraId="5CE5E22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三、维度 3：体脂率（20 分，男女分开参考标准）</w:t>
      </w:r>
      <w:bookmarkEnd w:id="5"/>
    </w:p>
    <w:p w14:paraId="5928D4C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成年男性体脂参考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D39F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B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体脂率区间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B5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BDC4"/>
        </w:tc>
      </w:tr>
      <w:tr w14:paraId="0E159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3A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15%～22%（理想）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70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8A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体脂达标</w:t>
            </w:r>
          </w:p>
        </w:tc>
      </w:tr>
      <w:tr w14:paraId="43B184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0F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23%～27%（偏高）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91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7E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体脂偏高</w:t>
            </w:r>
          </w:p>
        </w:tc>
      </w:tr>
      <w:tr w14:paraId="540C0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7C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＜12% 或＞27%（过低 / 过高）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1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83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体脂异常</w:t>
            </w:r>
          </w:p>
        </w:tc>
      </w:tr>
    </w:tbl>
    <w:p w14:paraId="16AAF29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成年女性体脂参考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7B3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4A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体脂率区间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BD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DE7FB"/>
        </w:tc>
      </w:tr>
      <w:tr w14:paraId="6026F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6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20%～28%（理想）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0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C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体脂达标</w:t>
            </w:r>
          </w:p>
        </w:tc>
      </w:tr>
      <w:tr w14:paraId="2C904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1A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29%～33%（偏高）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3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5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体脂偏高</w:t>
            </w:r>
          </w:p>
        </w:tc>
      </w:tr>
      <w:tr w14:paraId="2CDD4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2F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＜17% 或＞33%（过低 / 过高）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4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6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体脂异常</w:t>
            </w:r>
          </w:p>
        </w:tc>
      </w:tr>
    </w:tbl>
    <w:p w14:paraId="5CB04AE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四、维度 4：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骨骼</w:t>
      </w:r>
      <w:r>
        <w:rPr>
          <w:rFonts w:ascii="Arial" w:hAnsi="Arial" w:eastAsia="等线" w:cs="Arial"/>
          <w:b/>
          <w:sz w:val="32"/>
        </w:rPr>
        <w:t>肌肉率（20 分，男女分开参考标准）</w:t>
      </w:r>
      <w:bookmarkEnd w:id="8"/>
    </w:p>
    <w:p w14:paraId="7972C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计算公式：</w:t>
      </w:r>
      <w:r>
        <w:rPr>
          <w:rFonts w:hint="eastAsia" w:ascii="Arial" w:hAnsi="Arial" w:eastAsia="等线" w:cs="Arial"/>
          <w:sz w:val="22"/>
          <w:lang w:val="en-US" w:eastAsia="zh-CN"/>
        </w:rPr>
        <w:t>骨骼</w:t>
      </w:r>
      <w:r>
        <w:rPr>
          <w:rFonts w:ascii="Arial" w:hAnsi="Arial" w:eastAsia="等线" w:cs="Arial"/>
          <w:sz w:val="22"/>
        </w:rPr>
        <w:t xml:space="preserve">肌肉率 = </w:t>
      </w:r>
      <w:r>
        <w:rPr>
          <w:rFonts w:hint="eastAsia" w:ascii="Arial" w:hAnsi="Arial" w:eastAsia="等线" w:cs="Arial"/>
          <w:sz w:val="22"/>
          <w:lang w:val="en-US" w:eastAsia="zh-CN"/>
        </w:rPr>
        <w:t>骨骼</w:t>
      </w:r>
      <w:r>
        <w:rPr>
          <w:rFonts w:ascii="Arial" w:hAnsi="Arial" w:eastAsia="等线" w:cs="Arial"/>
          <w:sz w:val="22"/>
        </w:rPr>
        <w:t>肌重量 ÷ 实际体重 ×100%</w:t>
      </w:r>
    </w:p>
    <w:p w14:paraId="78EE5EF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成年男性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骨骼</w:t>
      </w:r>
      <w:r>
        <w:rPr>
          <w:rFonts w:ascii="Arial" w:hAnsi="Arial" w:eastAsia="等线" w:cs="Arial"/>
          <w:b/>
          <w:sz w:val="30"/>
        </w:rPr>
        <w:t>肌肉率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DEE2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08B4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骨骼</w:t>
            </w:r>
            <w:r>
              <w:rPr>
                <w:rFonts w:ascii="Arial" w:hAnsi="Arial" w:eastAsia="等线" w:cs="Arial"/>
                <w:sz w:val="22"/>
              </w:rPr>
              <w:t>肌肉率区间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E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677B"/>
        </w:tc>
      </w:tr>
      <w:tr w14:paraId="0D9FE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A7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≥35%（优秀）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B9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7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肌肉储备充足</w:t>
            </w:r>
          </w:p>
        </w:tc>
      </w:tr>
      <w:tr w14:paraId="30F9A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1D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32%～34.9%（合格）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C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9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肌肉达标</w:t>
            </w:r>
          </w:p>
        </w:tc>
      </w:tr>
      <w:tr w14:paraId="449ACA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B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＜32%（肌肉不足）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02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0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肌肉量偏低</w:t>
            </w:r>
          </w:p>
        </w:tc>
      </w:tr>
    </w:tbl>
    <w:p w14:paraId="2589662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成年女性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骨骼</w:t>
      </w:r>
      <w:r>
        <w:rPr>
          <w:rFonts w:ascii="Arial" w:hAnsi="Arial" w:eastAsia="等线" w:cs="Arial"/>
          <w:b/>
          <w:sz w:val="30"/>
        </w:rPr>
        <w:t>肌肉率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0451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E451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骨骼</w:t>
            </w:r>
            <w:r>
              <w:rPr>
                <w:rFonts w:ascii="Arial" w:hAnsi="Arial" w:eastAsia="等线" w:cs="Arial"/>
                <w:sz w:val="22"/>
              </w:rPr>
              <w:t>肌肉率区间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81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2151A"/>
        </w:tc>
      </w:tr>
      <w:tr w14:paraId="051A4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7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≥30%（优秀）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3C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87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肌肉储备充足</w:t>
            </w:r>
          </w:p>
        </w:tc>
      </w:tr>
      <w:tr w14:paraId="3F18A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D0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27%～29.9%（合格）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5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03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肌肉达标</w:t>
            </w:r>
          </w:p>
        </w:tc>
      </w:tr>
      <w:tr w14:paraId="34FDC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B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＜27%（肌肉不足）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D6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61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肌肉量偏低</w:t>
            </w:r>
          </w:p>
        </w:tc>
      </w:tr>
    </w:tbl>
    <w:p w14:paraId="58523EE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五、维度 5：身体年龄差值（20 分，男女统一标准）</w:t>
      </w:r>
      <w:bookmarkEnd w:id="11"/>
    </w:p>
    <w:p w14:paraId="0A17F4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计算方式：身体年龄−实际年龄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910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3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差值区间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8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99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C4CAC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6C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身体年龄＜实际年龄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E9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C2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生理状态优于实际岁数</w:t>
            </w:r>
          </w:p>
        </w:tc>
      </w:tr>
      <w:tr w14:paraId="0D0BFC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4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身体年龄＝实际年龄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77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CC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生理年龄匹配实际年龄</w:t>
            </w:r>
          </w:p>
        </w:tc>
      </w:tr>
      <w:tr w14:paraId="778534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D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身体年龄＞实际年龄，超出 0～3 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B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C8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轻度生理老化</w:t>
            </w:r>
          </w:p>
        </w:tc>
      </w:tr>
      <w:tr w14:paraId="49527F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FB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身体年龄＞实际年龄，超出＞3 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8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9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生理性老化明显</w:t>
            </w:r>
          </w:p>
        </w:tc>
      </w:tr>
    </w:tbl>
    <w:p w14:paraId="36528A2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六、总分核算与健康等级划分（男女通用）</w:t>
      </w:r>
      <w:bookmarkEnd w:id="12"/>
    </w:p>
    <w:p w14:paraId="6D5D6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 = BMI 得分 + 腰围得分 + 体脂得分 + 肌肉率得分 + 年龄差得分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21CC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27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0B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B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健康解读</w:t>
            </w:r>
          </w:p>
        </w:tc>
      </w:tr>
      <w:tr w14:paraId="7B9CA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02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90～100 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F8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4F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体成分、体态、生理机能整体优异，衰老速度慢</w:t>
            </w:r>
          </w:p>
        </w:tc>
      </w:tr>
      <w:tr w14:paraId="53A13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85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80～89 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2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54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整体健康稳定，仅个别指标轻微异常，微调作息即可</w:t>
            </w:r>
          </w:p>
        </w:tc>
      </w:tr>
      <w:tr w14:paraId="4DD42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0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70～79 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7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A8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多项指标亚健康，需规律运动 + 饮食管控改善</w:t>
            </w:r>
          </w:p>
        </w:tc>
      </w:tr>
      <w:tr w14:paraId="13681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55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＜70 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91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8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身体健康隐患偏高，建议全面调整饮食、作息、运动习惯</w:t>
            </w:r>
          </w:p>
        </w:tc>
      </w:tr>
    </w:tbl>
    <w:p w14:paraId="2005663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补充备注</w:t>
      </w:r>
      <w:bookmarkEnd w:id="13"/>
    </w:p>
    <w:p w14:paraId="5268282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中老年（50 周岁以上）可沿用本表标准，无需额外调整阈值；</w:t>
      </w:r>
    </w:p>
    <w:p w14:paraId="2117983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孕妇、重度慢性病、截肢等特殊人群不适用本表测评。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B7E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96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E83430"/>
    <w:rsid w:val="2B7D7783"/>
    <w:rsid w:val="2E8C5F2F"/>
    <w:rsid w:val="4FF77255"/>
    <w:rsid w:val="51114346"/>
    <w:rsid w:val="5A9F29C3"/>
    <w:rsid w:val="619F0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967</Words>
  <Characters>1112</Characters>
  <TotalTime>2</TotalTime>
  <ScaleCrop>false</ScaleCrop>
  <LinksUpToDate>false</LinksUpToDate>
  <CharactersWithSpaces>1171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2026-06-03T06:01:00Z</dcterms:created>
  <dc:creator>Apache POI</dc:creator>
  <cp:lastModifiedBy>卢兵</cp:lastModifiedBy>
  <dcterms:modified xsi:type="dcterms:W3CDTF">2026-06-03T10:09:05Z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{"Label":"1","ContentProducer":"001191110102MACQD9K64010000","ProduceID":"7647045243217726394","ReservedCode1":"","ContentPropagator":"","PropagateID":"","ReservedCode2":""}</vt:lpwstr>
  </property>
  <property fmtid="{D5CDD505-2E9C-101B-9397-08002B2CF9AE}" pid="3" name="KSOTemplateDocerSaveRecord">
    <vt:lpwstr>eyJoZGlkIjoiYjVmMWVlYTI5YTMzZTg0OTZmMWUwY2YxZTFkYjM1OTciLCJ1c2VySWQiOiIxNzY2NDkwOTA4In0=</vt:lpwstr>
  </property>
  <property fmtid="{D5CDD505-2E9C-101B-9397-08002B2CF9AE}" pid="4" name="KSOProductBuildVer">
    <vt:lpwstr>2052-12.1.0.25865</vt:lpwstr>
  </property>
  <property fmtid="{D5CDD505-2E9C-101B-9397-08002B2CF9AE}" pid="5" name="ICV">
    <vt:lpwstr>174EAD6AB8D1402686EF95838AB2F415_12</vt:lpwstr>
  </property>
</Properties>
</file>