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47CDC">
      <w:pPr>
        <w:spacing w:before="480" w:after="480" w:line="288" w:lineRule="auto"/>
        <w:ind w:left="0"/>
      </w:pPr>
      <w:r>
        <w:rPr>
          <w:rFonts w:ascii="Arial" w:hAnsi="Arial" w:eastAsia="等线" w:cs="Arial"/>
          <w:b/>
          <w:sz w:val="52"/>
        </w:rPr>
        <w:t>Chapter 10 Working with Direct Participation Programs (DPPs) and REITs</w:t>
      </w:r>
    </w:p>
    <w:p w14:paraId="092A928E">
      <w:pPr>
        <w:spacing w:before="380" w:after="140" w:line="288" w:lineRule="auto"/>
        <w:ind w:left="0"/>
        <w:jc w:val="left"/>
        <w:outlineLvl w:val="0"/>
      </w:pPr>
      <w:bookmarkStart w:id="0" w:name="heading_0"/>
      <w:r>
        <w:rPr>
          <w:rFonts w:ascii="Arial" w:hAnsi="Arial" w:eastAsia="等线" w:cs="Arial"/>
          <w:color w:val="3370FF"/>
          <w:sz w:val="36"/>
        </w:rPr>
        <w:t xml:space="preserve">1. </w:t>
      </w:r>
      <w:r>
        <w:rPr>
          <w:rFonts w:ascii="Arial" w:hAnsi="Arial" w:eastAsia="等线" w:cs="Arial"/>
          <w:b/>
          <w:sz w:val="36"/>
        </w:rPr>
        <w:t>总览</w:t>
      </w:r>
      <w:bookmarkEnd w:id="0"/>
    </w:p>
    <w:p w14:paraId="78267533">
      <w:pPr>
        <w:spacing w:before="120" w:after="120" w:line="288" w:lineRule="auto"/>
        <w:ind w:left="0"/>
        <w:jc w:val="left"/>
      </w:pPr>
      <w:r>
        <w:rPr>
          <w:rFonts w:ascii="Arial" w:hAnsi="Arial" w:eastAsia="等线" w:cs="Arial"/>
          <w:sz w:val="22"/>
        </w:rPr>
        <w:t>DPPs（Direct Participation Programs）为直接参与项目，可以筹集资金用于投资房地产、石油和天然气、设备租赁等项目。</w:t>
      </w:r>
    </w:p>
    <w:p w14:paraId="2BB693A4">
      <w:pPr>
        <w:spacing w:before="120" w:after="120" w:line="288" w:lineRule="auto"/>
        <w:ind w:left="0"/>
        <w:jc w:val="left"/>
      </w:pPr>
    </w:p>
    <w:p w14:paraId="11C17BA4">
      <w:pPr>
        <w:spacing w:before="120" w:after="120" w:line="288" w:lineRule="auto"/>
        <w:ind w:left="0"/>
        <w:jc w:val="left"/>
      </w:pPr>
      <w:r>
        <w:rPr>
          <w:rFonts w:ascii="Arial" w:hAnsi="Arial" w:eastAsia="等线" w:cs="Arial"/>
          <w:sz w:val="22"/>
        </w:rPr>
        <w:t>这些企业通常被称为有限合伙企业，与公司（股东所有公司）有些相似。然而，有限合伙企业拥有许多其他投资所不具备的特定税收优势（和劣势）。</w:t>
      </w:r>
    </w:p>
    <w:p w14:paraId="7370D702">
      <w:pPr>
        <w:spacing w:before="120" w:after="120" w:line="288" w:lineRule="auto"/>
        <w:ind w:left="0"/>
        <w:jc w:val="left"/>
      </w:pPr>
    </w:p>
    <w:p w14:paraId="3A19336A">
      <w:pPr>
        <w:spacing w:before="120" w:after="120" w:line="288" w:lineRule="auto"/>
        <w:ind w:left="0"/>
        <w:jc w:val="left"/>
      </w:pPr>
      <w:r>
        <w:rPr>
          <w:rFonts w:ascii="Arial" w:hAnsi="Arial" w:eastAsia="等线" w:cs="Arial"/>
          <w:b/>
          <w:sz w:val="22"/>
        </w:rPr>
        <w:t>根据税法，有限合伙企业不直接纳税；收益或损失直接转嫁给投资者（income or losses are passed directly through to the investors）。</w:t>
      </w:r>
    </w:p>
    <w:p w14:paraId="6EA03CC6">
      <w:pPr>
        <w:spacing w:before="120" w:after="120" w:line="288" w:lineRule="auto"/>
        <w:ind w:left="0"/>
        <w:jc w:val="left"/>
      </w:pPr>
    </w:p>
    <w:p w14:paraId="617BC3B4">
      <w:pPr>
        <w:spacing w:before="120" w:after="120" w:line="288" w:lineRule="auto"/>
        <w:ind w:left="0"/>
        <w:jc w:val="left"/>
      </w:pPr>
      <w:r>
        <w:rPr>
          <w:rFonts w:ascii="Arial" w:hAnsi="Arial" w:eastAsia="等线" w:cs="Arial"/>
          <w:sz w:val="22"/>
        </w:rPr>
        <w:t>REITs（Real Estate Investment Trusts）为房地产投资信托基金。与投资一篮子证券的共同基金不同，房地产投资信托基金投资于房地产。</w:t>
      </w:r>
    </w:p>
    <w:p w14:paraId="6C7FDB33">
      <w:pPr>
        <w:spacing w:before="120" w:after="120" w:line="288" w:lineRule="auto"/>
        <w:ind w:left="0"/>
        <w:jc w:val="left"/>
      </w:pPr>
    </w:p>
    <w:p w14:paraId="5E5536A4">
      <w:pPr>
        <w:spacing w:before="120" w:after="120" w:line="288" w:lineRule="auto"/>
        <w:ind w:left="0"/>
        <w:jc w:val="left"/>
      </w:pPr>
      <w:r>
        <w:rPr>
          <w:rFonts w:ascii="Arial" w:hAnsi="Arial" w:eastAsia="等线" w:cs="Arial"/>
          <w:sz w:val="22"/>
        </w:rPr>
        <w:t>本章的核心考点有：</w:t>
      </w:r>
    </w:p>
    <w:p w14:paraId="28305793">
      <w:pPr>
        <w:numPr>
          <w:ilvl w:val="0"/>
          <w:numId w:val="1"/>
        </w:numPr>
        <w:spacing w:before="120" w:after="120" w:line="288" w:lineRule="auto"/>
        <w:ind w:left="0"/>
        <w:jc w:val="left"/>
      </w:pPr>
      <w:r>
        <w:rPr>
          <w:rFonts w:ascii="Arial" w:hAnsi="Arial" w:eastAsia="等线" w:cs="Arial"/>
          <w:sz w:val="22"/>
        </w:rPr>
        <w:t>有限合伙人与普通合伙人之间的区别；</w:t>
      </w:r>
    </w:p>
    <w:p w14:paraId="6FD82F46">
      <w:pPr>
        <w:numPr>
          <w:ilvl w:val="0"/>
          <w:numId w:val="2"/>
        </w:numPr>
        <w:spacing w:before="120" w:after="120" w:line="288" w:lineRule="auto"/>
        <w:ind w:left="0"/>
        <w:jc w:val="left"/>
      </w:pPr>
      <w:r>
        <w:rPr>
          <w:rFonts w:ascii="Arial" w:hAnsi="Arial" w:eastAsia="等线" w:cs="Arial"/>
          <w:sz w:val="22"/>
        </w:rPr>
        <w:t>合伙企业的类型、它们特有的风险和潜在回报；</w:t>
      </w:r>
    </w:p>
    <w:p w14:paraId="2367D668">
      <w:pPr>
        <w:numPr>
          <w:ilvl w:val="0"/>
          <w:numId w:val="3"/>
        </w:numPr>
        <w:spacing w:before="120" w:after="120" w:line="288" w:lineRule="auto"/>
        <w:ind w:left="0"/>
        <w:jc w:val="left"/>
      </w:pPr>
      <w:r>
        <w:rPr>
          <w:rFonts w:ascii="Arial" w:hAnsi="Arial" w:eastAsia="等线" w:cs="Arial"/>
          <w:sz w:val="22"/>
        </w:rPr>
        <w:t>评估合伙企业的风险和回报，并确定 DPPs 是否适合投资者；</w:t>
      </w:r>
    </w:p>
    <w:p w14:paraId="6616F30D">
      <w:pPr>
        <w:numPr>
          <w:ilvl w:val="0"/>
          <w:numId w:val="4"/>
        </w:numPr>
        <w:spacing w:before="120" w:after="120" w:line="288" w:lineRule="auto"/>
        <w:ind w:left="0"/>
        <w:jc w:val="left"/>
      </w:pPr>
      <w:r>
        <w:rPr>
          <w:rFonts w:ascii="Arial" w:hAnsi="Arial" w:eastAsia="等线" w:cs="Arial"/>
          <w:sz w:val="22"/>
        </w:rPr>
        <w:t>了解房地产投资信托基金（REITs）的资格要求、主要类型以及关键特征与优劣势。</w:t>
      </w:r>
    </w:p>
    <w:p w14:paraId="11ECEE6B">
      <w:pPr>
        <w:spacing w:before="120" w:after="120" w:line="288" w:lineRule="auto"/>
        <w:ind w:left="0"/>
        <w:jc w:val="left"/>
      </w:pPr>
    </w:p>
    <w:p w14:paraId="714FA3D7">
      <w:pPr>
        <w:spacing w:before="380" w:after="140" w:line="288" w:lineRule="auto"/>
        <w:ind w:left="0"/>
        <w:jc w:val="left"/>
        <w:outlineLvl w:val="0"/>
      </w:pPr>
      <w:bookmarkStart w:id="1" w:name="heading_1"/>
      <w:r>
        <w:rPr>
          <w:rFonts w:ascii="Arial" w:hAnsi="Arial" w:eastAsia="等线" w:cs="Arial"/>
          <w:color w:val="3370FF"/>
          <w:sz w:val="36"/>
        </w:rPr>
        <w:t xml:space="preserve">2. </w:t>
      </w:r>
      <w:r>
        <w:rPr>
          <w:rFonts w:ascii="Arial" w:hAnsi="Arial" w:eastAsia="等线" w:cs="Arial"/>
          <w:b/>
          <w:sz w:val="36"/>
        </w:rPr>
        <w:t>知识点梳理</w:t>
      </w:r>
      <w:bookmarkEnd w:id="1"/>
    </w:p>
    <w:p w14:paraId="5EBFA53B">
      <w:pPr>
        <w:spacing w:before="320" w:after="120" w:line="288" w:lineRule="auto"/>
        <w:ind w:left="0"/>
        <w:jc w:val="left"/>
        <w:outlineLvl w:val="1"/>
      </w:pPr>
      <w:bookmarkStart w:id="2" w:name="heading_2"/>
      <w:r>
        <w:rPr>
          <w:rFonts w:ascii="Arial" w:hAnsi="Arial" w:eastAsia="等线" w:cs="Arial"/>
          <w:color w:val="3370FF"/>
          <w:sz w:val="32"/>
        </w:rPr>
        <w:t xml:space="preserve">2.1 </w:t>
      </w:r>
      <w:r>
        <w:rPr>
          <w:rFonts w:ascii="Arial" w:hAnsi="Arial" w:eastAsia="等线" w:cs="Arial"/>
          <w:b/>
          <w:sz w:val="32"/>
        </w:rPr>
        <w:t>直接参与项目</w:t>
      </w:r>
      <w:bookmarkEnd w:id="2"/>
    </w:p>
    <w:p w14:paraId="0262EC56">
      <w:pPr>
        <w:spacing w:before="300" w:after="120" w:line="288" w:lineRule="auto"/>
        <w:ind w:left="0"/>
        <w:jc w:val="left"/>
        <w:outlineLvl w:val="2"/>
      </w:pPr>
      <w:bookmarkStart w:id="3" w:name="heading_3"/>
      <w:r>
        <w:rPr>
          <w:rFonts w:ascii="Arial" w:hAnsi="Arial" w:eastAsia="等线" w:cs="Arial"/>
          <w:color w:val="3370FF"/>
          <w:sz w:val="30"/>
        </w:rPr>
        <w:t xml:space="preserve">2.1.1 </w:t>
      </w:r>
      <w:r>
        <w:rPr>
          <w:rFonts w:ascii="Arial" w:hAnsi="Arial" w:eastAsia="等线" w:cs="Arial"/>
          <w:b/>
          <w:sz w:val="30"/>
        </w:rPr>
        <w:t>DPPs 是什么？</w:t>
      </w:r>
      <w:bookmarkEnd w:id="3"/>
    </w:p>
    <w:p w14:paraId="28EC009A">
      <w:pPr>
        <w:spacing w:before="120" w:after="120" w:line="288" w:lineRule="auto"/>
        <w:ind w:left="0"/>
        <w:jc w:val="left"/>
      </w:pPr>
      <w:r>
        <w:rPr>
          <w:rFonts w:ascii="Arial" w:hAnsi="Arial" w:eastAsia="等线" w:cs="Arial"/>
          <w:sz w:val="22"/>
        </w:rPr>
        <w:t>DPPs（Direct Participation Programs）是一种旨在让投资者直接参与企业现金流和税收优惠的投资项目。它通常以有限合伙企业（Limited Partnership）的形式组建。</w:t>
      </w:r>
    </w:p>
    <w:p w14:paraId="66F2F80A">
      <w:pPr>
        <w:spacing w:before="120" w:after="120" w:line="288" w:lineRule="auto"/>
        <w:ind w:left="0"/>
        <w:jc w:val="left"/>
      </w:pPr>
    </w:p>
    <w:p w14:paraId="6DEBCC24">
      <w:pPr>
        <w:spacing w:before="120" w:after="120" w:line="288" w:lineRule="auto"/>
        <w:ind w:left="0"/>
        <w:jc w:val="left"/>
      </w:pPr>
      <w:r>
        <w:rPr>
          <w:rFonts w:ascii="Arial" w:hAnsi="Arial" w:eastAsia="等线" w:cs="Arial"/>
          <w:sz w:val="22"/>
        </w:rPr>
        <w:t>核心目标：产生定期收入、实现资本增值、并提供税收优惠。</w:t>
      </w:r>
    </w:p>
    <w:p w14:paraId="6E7BB2F8">
      <w:pPr>
        <w:spacing w:before="120" w:after="120" w:line="288" w:lineRule="auto"/>
        <w:ind w:left="0"/>
        <w:jc w:val="left"/>
      </w:pPr>
    </w:p>
    <w:p w14:paraId="6284A197">
      <w:pPr>
        <w:spacing w:before="120" w:after="120" w:line="288" w:lineRule="auto"/>
        <w:ind w:left="0"/>
        <w:jc w:val="left"/>
      </w:pPr>
      <w:r>
        <w:rPr>
          <w:rFonts w:ascii="Arial" w:hAnsi="Arial" w:eastAsia="等线" w:cs="Arial"/>
          <w:b/>
          <w:sz w:val="22"/>
        </w:rPr>
        <w:t>如何判定一家企业是公司还是有限合伙企业？</w:t>
      </w:r>
    </w:p>
    <w:p w14:paraId="35E2DED9">
      <w:pPr>
        <w:spacing w:before="120" w:after="120" w:line="288" w:lineRule="auto"/>
        <w:ind w:left="0"/>
        <w:jc w:val="left"/>
      </w:pPr>
    </w:p>
    <w:p w14:paraId="6E8662D4">
      <w:pPr>
        <w:spacing w:before="120" w:after="120" w:line="288" w:lineRule="auto"/>
        <w:ind w:left="0"/>
        <w:jc w:val="left"/>
      </w:pPr>
      <w:r>
        <w:rPr>
          <w:rFonts w:ascii="Arial" w:hAnsi="Arial" w:eastAsia="等线" w:cs="Arial"/>
          <w:sz w:val="22"/>
        </w:rPr>
        <w:t>美国国税局（IRS）规定，如果要让有限合伙企业被视为（并按）有限合伙企业（征税），它必须至少避免以下两项公司特征（通常是最后两项）：</w:t>
      </w:r>
    </w:p>
    <w:p w14:paraId="5E10DCAA">
      <w:pPr>
        <w:numPr>
          <w:ilvl w:val="0"/>
          <w:numId w:val="5"/>
        </w:numPr>
        <w:spacing w:before="120" w:after="120" w:line="288" w:lineRule="auto"/>
        <w:ind w:left="0"/>
        <w:jc w:val="left"/>
      </w:pPr>
      <w:r>
        <w:rPr>
          <w:rFonts w:ascii="Arial" w:hAnsi="Arial" w:eastAsia="等线" w:cs="Arial"/>
          <w:sz w:val="22"/>
        </w:rPr>
        <w:t>拥有集中化管理：公司的管理层位于同一地点。由于要从多个地点管理有限合伙企业所面临的挑战，使得这种公司特质很难被合伙企业避免。</w:t>
      </w:r>
    </w:p>
    <w:p w14:paraId="4BCB9128">
      <w:pPr>
        <w:numPr>
          <w:ilvl w:val="0"/>
          <w:numId w:val="6"/>
        </w:numPr>
        <w:spacing w:before="120" w:after="120" w:line="288" w:lineRule="auto"/>
        <w:ind w:left="0"/>
        <w:jc w:val="left"/>
      </w:pPr>
      <w:r>
        <w:rPr>
          <w:rFonts w:ascii="Arial" w:hAnsi="Arial" w:eastAsia="等线" w:cs="Arial"/>
          <w:sz w:val="22"/>
        </w:rPr>
        <w:t>提供有限责任：公司股东承担有限责任；有限合伙人也是如此。公司股东的责任仅限于所投资的金额，而有限合伙人的责任则仅限于所投资的金额加上合伙企业所获得的任何追索权贷款的一部分（如有）。</w:t>
      </w:r>
      <w:r>
        <w:rPr>
          <w:rFonts w:ascii="Arial" w:hAnsi="Arial" w:eastAsia="等线" w:cs="Arial"/>
          <w:b/>
          <w:sz w:val="22"/>
        </w:rPr>
        <w:t>注意：</w:t>
      </w:r>
      <w:r>
        <w:rPr>
          <w:rFonts w:ascii="Arial" w:hAnsi="Arial" w:eastAsia="等线" w:cs="Arial"/>
          <w:sz w:val="22"/>
        </w:rPr>
        <w:t>如果有限合伙人在管理中扮演积极角色，他们可能会被视为普通合伙人，并承担无限责任。</w:t>
      </w:r>
    </w:p>
    <w:p w14:paraId="41510744">
      <w:pPr>
        <w:numPr>
          <w:ilvl w:val="0"/>
          <w:numId w:val="7"/>
        </w:numPr>
        <w:spacing w:before="120" w:after="120" w:line="288" w:lineRule="auto"/>
        <w:ind w:left="0"/>
        <w:jc w:val="left"/>
      </w:pPr>
      <w:r>
        <w:rPr>
          <w:rFonts w:ascii="Arial" w:hAnsi="Arial" w:eastAsia="等线" w:cs="Arial"/>
          <w:b/>
          <w:sz w:val="22"/>
        </w:rPr>
        <w:t>拥有永久生命</w:t>
      </w:r>
      <w:r>
        <w:rPr>
          <w:rFonts w:ascii="Arial" w:hAnsi="Arial" w:eastAsia="等线" w:cs="Arial"/>
          <w:sz w:val="22"/>
        </w:rPr>
        <w:t>：与希望永存的公司不同，有限合伙企业是在特定时期内设立的。有限合伙企业会在预定时间解散，例如当它们的目标达成时，或者在设定的年限之后。</w:t>
      </w:r>
    </w:p>
    <w:p w14:paraId="47693E48">
      <w:pPr>
        <w:numPr>
          <w:ilvl w:val="0"/>
          <w:numId w:val="8"/>
        </w:numPr>
        <w:spacing w:before="120" w:after="120" w:line="288" w:lineRule="auto"/>
        <w:ind w:left="0"/>
        <w:jc w:val="left"/>
      </w:pPr>
      <w:r>
        <w:rPr>
          <w:rFonts w:ascii="Arial" w:hAnsi="Arial" w:eastAsia="等线" w:cs="Arial"/>
          <w:b/>
          <w:sz w:val="22"/>
        </w:rPr>
        <w:t>拥有合伙权益的自由转让权</w:t>
      </w:r>
      <w:r>
        <w:rPr>
          <w:rFonts w:ascii="Arial" w:hAnsi="Arial" w:eastAsia="等线" w:cs="Arial"/>
          <w:sz w:val="22"/>
        </w:rPr>
        <w:t>：直接参与计划（DPPs）难以进入和退出。与任何人都可以自由买卖的股票不同，有限合伙人不仅必须通过注册代表的审查，还需要获得普通合伙人的批准。有限合伙人必须证明他们有足够的资金进行初始投资，并且在合伙企业需要贷款时，其其他投资具有流动性。</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E851D2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shd w:val="clear" w:color="auto" w:fill="F0FBEF"/>
            <w:tcMar>
              <w:top w:w="60" w:type="dxa"/>
              <w:left w:w="120" w:type="dxa"/>
              <w:bottom w:w="30" w:type="dxa"/>
              <w:right w:w="120" w:type="dxa"/>
            </w:tcMar>
          </w:tcPr>
          <w:p w14:paraId="556EEAF7">
            <w:pPr>
              <w:numPr>
                <w:ilvl w:val="0"/>
                <w:numId w:val="9"/>
              </w:numPr>
              <w:spacing w:before="120" w:after="120" w:line="288" w:lineRule="auto"/>
              <w:ind w:left="0"/>
              <w:jc w:val="left"/>
            </w:pPr>
            <w:r>
              <w:rPr>
                <w:rFonts w:ascii="Arial" w:hAnsi="Arial" w:eastAsia="等线" w:cs="Arial"/>
                <w:sz w:val="22"/>
              </w:rPr>
              <w:t>Which two of the following corporate characteristics are the easiest for a limited partnership to</w:t>
            </w:r>
          </w:p>
          <w:p w14:paraId="51395D8C">
            <w:pPr>
              <w:spacing w:before="120" w:after="120" w:line="288" w:lineRule="auto"/>
              <w:ind w:left="0"/>
              <w:jc w:val="left"/>
            </w:pPr>
            <w:r>
              <w:rPr>
                <w:rFonts w:ascii="Arial" w:hAnsi="Arial" w:eastAsia="等线" w:cs="Arial"/>
                <w:sz w:val="22"/>
              </w:rPr>
              <w:t>avoid?</w:t>
            </w:r>
          </w:p>
          <w:p w14:paraId="172EFE5A">
            <w:pPr>
              <w:spacing w:before="120" w:after="120" w:line="288" w:lineRule="auto"/>
              <w:ind w:left="0"/>
              <w:jc w:val="left"/>
            </w:pPr>
            <w:r>
              <w:rPr>
                <w:rFonts w:ascii="Arial" w:hAnsi="Arial" w:eastAsia="等线" w:cs="Arial"/>
                <w:sz w:val="22"/>
              </w:rPr>
              <w:t>I. Having perpetual life</w:t>
            </w:r>
          </w:p>
          <w:p w14:paraId="7497724F">
            <w:pPr>
              <w:spacing w:before="120" w:after="120" w:line="288" w:lineRule="auto"/>
              <w:ind w:left="0"/>
              <w:jc w:val="left"/>
            </w:pPr>
            <w:r>
              <w:rPr>
                <w:rFonts w:ascii="Arial" w:hAnsi="Arial" w:eastAsia="等线" w:cs="Arial"/>
                <w:sz w:val="22"/>
              </w:rPr>
              <w:t>II. Providing limited liability</w:t>
            </w:r>
          </w:p>
          <w:p w14:paraId="51593025">
            <w:pPr>
              <w:spacing w:before="120" w:after="120" w:line="288" w:lineRule="auto"/>
              <w:ind w:left="0"/>
              <w:jc w:val="left"/>
            </w:pPr>
            <w:r>
              <w:rPr>
                <w:rFonts w:ascii="Arial" w:hAnsi="Arial" w:eastAsia="等线" w:cs="Arial"/>
                <w:sz w:val="22"/>
              </w:rPr>
              <w:t>III. Having centralized management</w:t>
            </w:r>
          </w:p>
          <w:p w14:paraId="68981174">
            <w:pPr>
              <w:spacing w:before="120" w:after="120" w:line="288" w:lineRule="auto"/>
              <w:ind w:left="0"/>
              <w:jc w:val="left"/>
            </w:pPr>
            <w:r>
              <w:rPr>
                <w:rFonts w:ascii="Arial" w:hAnsi="Arial" w:eastAsia="等线" w:cs="Arial"/>
                <w:sz w:val="22"/>
              </w:rPr>
              <w:t>IV. Having free transferability</w:t>
            </w:r>
          </w:p>
          <w:p w14:paraId="7355525D">
            <w:pPr>
              <w:spacing w:before="120" w:after="120" w:line="288" w:lineRule="auto"/>
              <w:ind w:left="0"/>
              <w:jc w:val="left"/>
            </w:pPr>
            <w:r>
              <w:rPr>
                <w:rFonts w:ascii="Arial" w:hAnsi="Arial" w:eastAsia="等线" w:cs="Arial"/>
                <w:sz w:val="22"/>
              </w:rPr>
              <w:t>(A) I and III</w:t>
            </w:r>
          </w:p>
          <w:p w14:paraId="7DC80B50">
            <w:pPr>
              <w:spacing w:before="120" w:after="120" w:line="288" w:lineRule="auto"/>
              <w:ind w:left="0"/>
              <w:jc w:val="left"/>
            </w:pPr>
            <w:r>
              <w:rPr>
                <w:rFonts w:ascii="Arial" w:hAnsi="Arial" w:eastAsia="等线" w:cs="Arial"/>
                <w:sz w:val="22"/>
              </w:rPr>
              <w:t>(B) I and IV</w:t>
            </w:r>
          </w:p>
          <w:p w14:paraId="3EB2996B">
            <w:pPr>
              <w:spacing w:before="120" w:after="120" w:line="288" w:lineRule="auto"/>
              <w:ind w:left="0"/>
              <w:jc w:val="left"/>
            </w:pPr>
            <w:r>
              <w:rPr>
                <w:rFonts w:ascii="Arial" w:hAnsi="Arial" w:eastAsia="等线" w:cs="Arial"/>
                <w:sz w:val="22"/>
              </w:rPr>
              <w:t>(C) II and III</w:t>
            </w:r>
          </w:p>
          <w:p w14:paraId="2111F488">
            <w:pPr>
              <w:spacing w:before="120" w:after="120" w:line="288" w:lineRule="auto"/>
              <w:ind w:left="0"/>
              <w:jc w:val="left"/>
            </w:pPr>
            <w:r>
              <w:rPr>
                <w:rFonts w:ascii="Arial" w:hAnsi="Arial" w:eastAsia="等线" w:cs="Arial"/>
                <w:sz w:val="22"/>
              </w:rPr>
              <w:t>(D) II and IV</w:t>
            </w:r>
          </w:p>
        </w:tc>
      </w:tr>
    </w:tbl>
    <w:p w14:paraId="08E0878D">
      <w:pPr>
        <w:spacing w:before="120" w:after="120" w:line="288" w:lineRule="auto"/>
        <w:ind w:left="0"/>
        <w:jc w:val="left"/>
      </w:pPr>
    </w:p>
    <w:p w14:paraId="4B76DC09">
      <w:pPr>
        <w:spacing w:before="300" w:after="120" w:line="288" w:lineRule="auto"/>
        <w:ind w:left="0"/>
        <w:jc w:val="left"/>
        <w:outlineLvl w:val="2"/>
      </w:pPr>
      <w:bookmarkStart w:id="4" w:name="heading_4"/>
      <w:r>
        <w:rPr>
          <w:rFonts w:ascii="Arial" w:hAnsi="Arial" w:eastAsia="等线" w:cs="Arial"/>
          <w:color w:val="3370FF"/>
          <w:sz w:val="30"/>
        </w:rPr>
        <w:t xml:space="preserve">2.1.2 </w:t>
      </w:r>
      <w:r>
        <w:rPr>
          <w:rFonts w:ascii="Arial" w:hAnsi="Arial" w:eastAsia="等线" w:cs="Arial"/>
          <w:b/>
          <w:sz w:val="30"/>
        </w:rPr>
        <w:t>DPPs 角色：普通合伙人和有限合伙人</w:t>
      </w:r>
      <w:bookmarkEnd w:id="4"/>
    </w:p>
    <w:p w14:paraId="6233ACDC">
      <w:pPr>
        <w:spacing w:before="120" w:after="120" w:line="288" w:lineRule="auto"/>
        <w:ind w:left="0"/>
        <w:jc w:val="left"/>
      </w:pPr>
      <w:r>
        <w:rPr>
          <w:rFonts w:ascii="Arial" w:hAnsi="Arial" w:eastAsia="等线" w:cs="Arial"/>
          <w:sz w:val="22"/>
        </w:rPr>
        <w:t>根据法律规定，有限合伙企业至少需要一名普通合伙人和一名有限合伙人。普通合伙人是管理者，有限合伙人是投资者。</w:t>
      </w:r>
    </w:p>
    <w:p w14:paraId="0ABBC554">
      <w:pPr>
        <w:spacing w:before="120" w:after="120" w:line="288" w:lineRule="auto"/>
        <w:ind w:left="453"/>
        <w:jc w:val="left"/>
      </w:pPr>
    </w:p>
    <w:p w14:paraId="0CC742A3">
      <w:pPr>
        <w:numPr>
          <w:ilvl w:val="0"/>
          <w:numId w:val="10"/>
        </w:numPr>
        <w:spacing w:before="120" w:after="120" w:line="288" w:lineRule="auto"/>
        <w:ind w:left="0"/>
        <w:jc w:val="left"/>
      </w:pPr>
      <w:r>
        <w:rPr>
          <w:rFonts w:ascii="Arial" w:hAnsi="Arial" w:eastAsia="等线" w:cs="Arial"/>
          <w:sz w:val="22"/>
        </w:rPr>
        <w:t>普通合伙人（General Partner, GP）：</w:t>
      </w:r>
    </w:p>
    <w:p w14:paraId="3E1C8597">
      <w:pPr>
        <w:numPr>
          <w:ilvl w:val="0"/>
          <w:numId w:val="11"/>
        </w:numPr>
        <w:spacing w:before="120" w:after="120" w:line="288" w:lineRule="auto"/>
        <w:ind w:left="453"/>
        <w:jc w:val="left"/>
      </w:pPr>
      <w:r>
        <w:rPr>
          <w:rFonts w:ascii="Arial" w:hAnsi="Arial" w:eastAsia="等线" w:cs="Arial"/>
          <w:sz w:val="22"/>
        </w:rPr>
        <w:t>负责管理和运营项目。</w:t>
      </w:r>
    </w:p>
    <w:p w14:paraId="66FE8419">
      <w:pPr>
        <w:numPr>
          <w:ilvl w:val="0"/>
          <w:numId w:val="12"/>
        </w:numPr>
        <w:spacing w:before="120" w:after="120" w:line="288" w:lineRule="auto"/>
        <w:ind w:left="453"/>
        <w:jc w:val="left"/>
      </w:pPr>
      <w:r>
        <w:rPr>
          <w:rFonts w:ascii="Arial" w:hAnsi="Arial" w:eastAsia="等线" w:cs="Arial"/>
          <w:sz w:val="22"/>
        </w:rPr>
        <w:t>承担无限责任。</w:t>
      </w:r>
    </w:p>
    <w:p w14:paraId="606FBC10">
      <w:pPr>
        <w:numPr>
          <w:ilvl w:val="0"/>
          <w:numId w:val="13"/>
        </w:numPr>
        <w:spacing w:before="120" w:after="120" w:line="288" w:lineRule="auto"/>
        <w:ind w:left="453"/>
        <w:jc w:val="left"/>
      </w:pPr>
      <w:r>
        <w:rPr>
          <w:rFonts w:ascii="Arial" w:hAnsi="Arial" w:eastAsia="等线" w:cs="Arial"/>
          <w:sz w:val="22"/>
        </w:rPr>
        <w:t>回报方式：管理费+业绩分成。</w:t>
      </w:r>
    </w:p>
    <w:p w14:paraId="4271DA90">
      <w:pPr>
        <w:numPr>
          <w:ilvl w:val="0"/>
          <w:numId w:val="14"/>
        </w:numPr>
        <w:spacing w:before="120" w:after="120" w:line="288" w:lineRule="auto"/>
        <w:ind w:left="0"/>
        <w:jc w:val="left"/>
      </w:pPr>
      <w:r>
        <w:rPr>
          <w:rFonts w:ascii="Arial" w:hAnsi="Arial" w:eastAsia="等线" w:cs="Arial"/>
          <w:sz w:val="22"/>
        </w:rPr>
        <w:t>有限合伙人（Limited Partner, LP）：</w:t>
      </w:r>
    </w:p>
    <w:p w14:paraId="3355AD4F">
      <w:pPr>
        <w:numPr>
          <w:ilvl w:val="0"/>
          <w:numId w:val="15"/>
        </w:numPr>
        <w:spacing w:before="120" w:after="120" w:line="288" w:lineRule="auto"/>
        <w:ind w:left="453"/>
        <w:jc w:val="left"/>
      </w:pPr>
      <w:r>
        <w:rPr>
          <w:rFonts w:ascii="Arial" w:hAnsi="Arial" w:eastAsia="等线" w:cs="Arial"/>
          <w:sz w:val="22"/>
        </w:rPr>
        <w:t>是被动投资者，提供资金。</w:t>
      </w:r>
    </w:p>
    <w:p w14:paraId="621EDF86">
      <w:pPr>
        <w:numPr>
          <w:ilvl w:val="0"/>
          <w:numId w:val="16"/>
        </w:numPr>
        <w:spacing w:before="120" w:after="120" w:line="288" w:lineRule="auto"/>
        <w:ind w:left="453"/>
        <w:jc w:val="left"/>
      </w:pPr>
      <w:r>
        <w:rPr>
          <w:rFonts w:ascii="Arial" w:hAnsi="Arial" w:eastAsia="等线" w:cs="Arial"/>
          <w:sz w:val="22"/>
        </w:rPr>
        <w:t>责任有限于其投资金额（这是投资 DPPs 的关键优势）。</w:t>
      </w:r>
    </w:p>
    <w:p w14:paraId="76D85574">
      <w:pPr>
        <w:numPr>
          <w:ilvl w:val="0"/>
          <w:numId w:val="17"/>
        </w:numPr>
        <w:spacing w:before="120" w:after="120" w:line="288" w:lineRule="auto"/>
        <w:ind w:left="453"/>
        <w:jc w:val="left"/>
      </w:pPr>
      <w:r>
        <w:rPr>
          <w:rFonts w:ascii="Arial" w:hAnsi="Arial" w:eastAsia="等线" w:cs="Arial"/>
          <w:sz w:val="22"/>
        </w:rPr>
        <w:t>享有项目的大部分现金流和税收优惠。</w:t>
      </w:r>
    </w:p>
    <w:p w14:paraId="74CFC06A">
      <w:pPr>
        <w:spacing w:before="120" w:after="120" w:line="288" w:lineRule="auto"/>
        <w:ind w:left="0"/>
        <w:jc w:val="left"/>
      </w:pPr>
    </w:p>
    <w:p w14:paraId="6FE1C77F">
      <w:pPr>
        <w:spacing w:before="120" w:after="120" w:line="288" w:lineRule="auto"/>
        <w:ind w:left="0"/>
        <w:jc w:val="left"/>
      </w:pPr>
      <w:r>
        <w:rPr>
          <w:rFonts w:ascii="Arial" w:hAnsi="Arial" w:eastAsia="等线" w:cs="Arial"/>
          <w:sz w:val="22"/>
        </w:rPr>
        <w:t>普通合伙人与有限合伙人的比较：</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05"/>
        <w:gridCol w:w="3120"/>
        <w:gridCol w:w="3570"/>
      </w:tblGrid>
      <w:tr w14:paraId="76F2DC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613620A0">
            <w:pPr>
              <w:spacing w:before="120" w:after="120" w:line="288" w:lineRule="auto"/>
              <w:ind w:left="0"/>
              <w:jc w:val="left"/>
            </w:pPr>
            <w:r>
              <w:rPr>
                <w:rFonts w:ascii="Arial" w:hAnsi="Arial" w:eastAsia="等线" w:cs="Arial"/>
                <w:b/>
                <w:sz w:val="22"/>
              </w:rPr>
              <w:t>类别</w:t>
            </w:r>
          </w:p>
        </w:tc>
        <w:tc>
          <w:tcPr>
            <w:tcW w:w="3120" w:type="dxa"/>
            <w:tcMar>
              <w:top w:w="60" w:type="dxa"/>
              <w:left w:w="120" w:type="dxa"/>
              <w:bottom w:w="30" w:type="dxa"/>
              <w:right w:w="120" w:type="dxa"/>
            </w:tcMar>
          </w:tcPr>
          <w:p w14:paraId="1B4D524C">
            <w:pPr>
              <w:spacing w:before="120" w:after="120" w:line="288" w:lineRule="auto"/>
              <w:ind w:left="0"/>
              <w:jc w:val="left"/>
            </w:pPr>
            <w:r>
              <w:rPr>
                <w:rFonts w:ascii="Arial" w:hAnsi="Arial" w:eastAsia="等线" w:cs="Arial"/>
                <w:b/>
                <w:sz w:val="22"/>
              </w:rPr>
              <w:t>普通合伙人</w:t>
            </w:r>
          </w:p>
        </w:tc>
        <w:tc>
          <w:tcPr>
            <w:tcW w:w="3570" w:type="dxa"/>
            <w:tcMar>
              <w:top w:w="60" w:type="dxa"/>
              <w:left w:w="120" w:type="dxa"/>
              <w:bottom w:w="30" w:type="dxa"/>
              <w:right w:w="120" w:type="dxa"/>
            </w:tcMar>
          </w:tcPr>
          <w:p w14:paraId="62DEDC9E">
            <w:pPr>
              <w:spacing w:before="120" w:after="120" w:line="288" w:lineRule="auto"/>
              <w:ind w:left="0"/>
              <w:jc w:val="left"/>
            </w:pPr>
            <w:r>
              <w:rPr>
                <w:rFonts w:ascii="Arial" w:hAnsi="Arial" w:eastAsia="等线" w:cs="Arial"/>
                <w:b/>
                <w:sz w:val="22"/>
              </w:rPr>
              <w:t>有限合伙人</w:t>
            </w:r>
          </w:p>
        </w:tc>
      </w:tr>
      <w:tr w14:paraId="11627A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69A758C6">
            <w:pPr>
              <w:spacing w:before="120" w:after="120" w:line="288" w:lineRule="auto"/>
              <w:ind w:left="0"/>
              <w:jc w:val="left"/>
            </w:pPr>
            <w:r>
              <w:rPr>
                <w:rFonts w:ascii="Arial" w:hAnsi="Arial" w:eastAsia="等线" w:cs="Arial"/>
                <w:sz w:val="22"/>
              </w:rPr>
              <w:t>决策制定（Decision-making）</w:t>
            </w:r>
          </w:p>
        </w:tc>
        <w:tc>
          <w:tcPr>
            <w:tcW w:w="3120" w:type="dxa"/>
            <w:tcMar>
              <w:top w:w="60" w:type="dxa"/>
              <w:left w:w="120" w:type="dxa"/>
              <w:bottom w:w="30" w:type="dxa"/>
              <w:right w:w="120" w:type="dxa"/>
            </w:tcMar>
          </w:tcPr>
          <w:p w14:paraId="529F2365">
            <w:pPr>
              <w:numPr>
                <w:ilvl w:val="0"/>
                <w:numId w:val="18"/>
              </w:numPr>
              <w:spacing w:before="120" w:after="120" w:line="288" w:lineRule="auto"/>
              <w:ind w:left="0"/>
              <w:jc w:val="left"/>
            </w:pPr>
            <w:r>
              <w:rPr>
                <w:rFonts w:ascii="Arial" w:hAnsi="Arial" w:eastAsia="等线" w:cs="Arial"/>
                <w:sz w:val="22"/>
              </w:rPr>
              <w:t>在法律上有义务为合伙企业的最佳利益做决策；</w:t>
            </w:r>
          </w:p>
          <w:p w14:paraId="0B0E6A2F">
            <w:pPr>
              <w:numPr>
                <w:ilvl w:val="0"/>
                <w:numId w:val="19"/>
              </w:numPr>
              <w:spacing w:before="120" w:after="120" w:line="288" w:lineRule="auto"/>
              <w:ind w:left="0"/>
              <w:jc w:val="left"/>
            </w:pPr>
            <w:r>
              <w:rPr>
                <w:rFonts w:ascii="Arial" w:hAnsi="Arial" w:eastAsia="等线" w:cs="Arial"/>
                <w:sz w:val="22"/>
              </w:rPr>
              <w:t>做出合伙企业的所有日常决策。</w:t>
            </w:r>
          </w:p>
        </w:tc>
        <w:tc>
          <w:tcPr>
            <w:tcW w:w="3570" w:type="dxa"/>
            <w:tcMar>
              <w:top w:w="60" w:type="dxa"/>
              <w:left w:w="120" w:type="dxa"/>
              <w:bottom w:w="30" w:type="dxa"/>
              <w:right w:w="120" w:type="dxa"/>
            </w:tcMar>
          </w:tcPr>
          <w:p w14:paraId="3E27DA03">
            <w:pPr>
              <w:spacing w:before="120" w:after="120" w:line="288" w:lineRule="auto"/>
              <w:ind w:left="0"/>
              <w:jc w:val="left"/>
            </w:pPr>
            <w:r>
              <w:rPr>
                <w:rFonts w:ascii="Arial" w:hAnsi="Arial" w:eastAsia="等线" w:cs="Arial"/>
                <w:sz w:val="22"/>
              </w:rPr>
              <w:t>有投票权，但不能为合伙企业做决策</w:t>
            </w:r>
          </w:p>
        </w:tc>
      </w:tr>
      <w:tr w14:paraId="3BDA47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590366D5">
            <w:pPr>
              <w:spacing w:before="120" w:after="120" w:line="288" w:lineRule="auto"/>
              <w:ind w:left="0"/>
              <w:jc w:val="left"/>
            </w:pPr>
            <w:r>
              <w:rPr>
                <w:rFonts w:ascii="Arial" w:hAnsi="Arial" w:eastAsia="等线" w:cs="Arial"/>
                <w:sz w:val="22"/>
              </w:rPr>
              <w:t>任务（Tasks）</w:t>
            </w:r>
          </w:p>
        </w:tc>
        <w:tc>
          <w:tcPr>
            <w:tcW w:w="3120" w:type="dxa"/>
            <w:tcMar>
              <w:top w:w="60" w:type="dxa"/>
              <w:left w:w="120" w:type="dxa"/>
              <w:bottom w:w="30" w:type="dxa"/>
              <w:right w:w="120" w:type="dxa"/>
            </w:tcMar>
          </w:tcPr>
          <w:p w14:paraId="74A437F1">
            <w:pPr>
              <w:numPr>
                <w:ilvl w:val="0"/>
                <w:numId w:val="20"/>
              </w:numPr>
              <w:spacing w:before="120" w:after="120" w:line="288" w:lineRule="auto"/>
              <w:ind w:left="0"/>
              <w:jc w:val="left"/>
            </w:pPr>
            <w:r>
              <w:rPr>
                <w:rFonts w:ascii="Arial" w:hAnsi="Arial" w:eastAsia="等线" w:cs="Arial"/>
                <w:sz w:val="22"/>
              </w:rPr>
              <w:t>为合伙企业买卖财产；</w:t>
            </w:r>
          </w:p>
          <w:p w14:paraId="2D5383D0">
            <w:pPr>
              <w:numPr>
                <w:ilvl w:val="0"/>
                <w:numId w:val="21"/>
              </w:numPr>
              <w:spacing w:before="120" w:after="120" w:line="288" w:lineRule="auto"/>
              <w:ind w:left="0"/>
              <w:jc w:val="left"/>
            </w:pPr>
            <w:r>
              <w:rPr>
                <w:rFonts w:ascii="Arial" w:hAnsi="Arial" w:eastAsia="等线" w:cs="Arial"/>
                <w:sz w:val="22"/>
              </w:rPr>
              <w:t>管理合伙企业的资产。</w:t>
            </w:r>
          </w:p>
        </w:tc>
        <w:tc>
          <w:tcPr>
            <w:tcW w:w="3570" w:type="dxa"/>
            <w:tcMar>
              <w:top w:w="60" w:type="dxa"/>
              <w:left w:w="120" w:type="dxa"/>
              <w:bottom w:w="30" w:type="dxa"/>
              <w:right w:w="120" w:type="dxa"/>
            </w:tcMar>
          </w:tcPr>
          <w:p w14:paraId="0ADC8A28">
            <w:pPr>
              <w:spacing w:before="120" w:after="120" w:line="288" w:lineRule="auto"/>
              <w:ind w:left="0"/>
              <w:jc w:val="left"/>
            </w:pPr>
            <w:r>
              <w:rPr>
                <w:rFonts w:ascii="Arial" w:hAnsi="Arial" w:eastAsia="等线" w:cs="Arial"/>
                <w:sz w:val="22"/>
              </w:rPr>
              <w:t>提供资金；投票；可通过审查账簿来约束普通合伙人</w:t>
            </w:r>
          </w:p>
        </w:tc>
      </w:tr>
      <w:tr w14:paraId="40FF66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173B73A3">
            <w:pPr>
              <w:spacing w:before="120" w:after="120" w:line="288" w:lineRule="auto"/>
              <w:ind w:left="0"/>
              <w:jc w:val="left"/>
            </w:pPr>
            <w:r>
              <w:rPr>
                <w:rFonts w:ascii="Arial" w:hAnsi="Arial" w:eastAsia="等线" w:cs="Arial"/>
                <w:sz w:val="22"/>
              </w:rPr>
              <w:t>责任与诉讼（Liability and litigation）</w:t>
            </w:r>
          </w:p>
          <w:p w14:paraId="7FDB727E">
            <w:pPr>
              <w:spacing w:before="120" w:after="120" w:line="288" w:lineRule="auto"/>
              <w:ind w:left="0"/>
              <w:jc w:val="left"/>
            </w:pPr>
          </w:p>
        </w:tc>
        <w:tc>
          <w:tcPr>
            <w:tcW w:w="3120" w:type="dxa"/>
            <w:tcMar>
              <w:top w:w="60" w:type="dxa"/>
              <w:left w:w="120" w:type="dxa"/>
              <w:bottom w:w="30" w:type="dxa"/>
              <w:right w:w="120" w:type="dxa"/>
            </w:tcMar>
          </w:tcPr>
          <w:p w14:paraId="39B76943">
            <w:pPr>
              <w:spacing w:before="120" w:after="120" w:line="288" w:lineRule="auto"/>
              <w:ind w:left="0"/>
              <w:jc w:val="left"/>
            </w:pPr>
            <w:r>
              <w:rPr>
                <w:rFonts w:ascii="Arial" w:hAnsi="Arial" w:eastAsia="等线" w:cs="Arial"/>
                <w:sz w:val="22"/>
              </w:rPr>
              <w:t>承担无限责任（可能因合伙企业的所有债务和损失而被起诉并承担个人责任）</w:t>
            </w:r>
          </w:p>
          <w:p w14:paraId="1D98F2E7">
            <w:pPr>
              <w:spacing w:before="120" w:after="120" w:line="288" w:lineRule="auto"/>
              <w:ind w:left="0"/>
              <w:jc w:val="left"/>
            </w:pPr>
          </w:p>
        </w:tc>
        <w:tc>
          <w:tcPr>
            <w:tcW w:w="3570" w:type="dxa"/>
            <w:tcMar>
              <w:top w:w="60" w:type="dxa"/>
              <w:left w:w="120" w:type="dxa"/>
              <w:bottom w:w="30" w:type="dxa"/>
              <w:right w:w="120" w:type="dxa"/>
            </w:tcMar>
          </w:tcPr>
          <w:p w14:paraId="3B44A321">
            <w:pPr>
              <w:numPr>
                <w:ilvl w:val="0"/>
                <w:numId w:val="22"/>
              </w:numPr>
              <w:spacing w:before="120" w:after="120" w:line="288" w:lineRule="auto"/>
              <w:ind w:left="0"/>
              <w:jc w:val="left"/>
            </w:pPr>
            <w:r>
              <w:rPr>
                <w:rFonts w:ascii="Arial" w:hAnsi="Arial" w:eastAsia="等线" w:cs="Arial"/>
                <w:sz w:val="22"/>
              </w:rPr>
              <w:t>承担有限责任（责任限于投资金额以及合伙企业所借有追索权贷款的相应份额）；</w:t>
            </w:r>
          </w:p>
          <w:p w14:paraId="3AED2207">
            <w:pPr>
              <w:numPr>
                <w:ilvl w:val="0"/>
                <w:numId w:val="23"/>
              </w:numPr>
              <w:spacing w:before="120" w:after="120" w:line="288" w:lineRule="auto"/>
              <w:ind w:left="0"/>
              <w:jc w:val="left"/>
            </w:pPr>
            <w:r>
              <w:rPr>
                <w:rFonts w:ascii="Arial" w:hAnsi="Arial" w:eastAsia="等线" w:cs="Arial"/>
                <w:sz w:val="22"/>
              </w:rPr>
              <w:t>可检查合伙企业的所有账簿；</w:t>
            </w:r>
          </w:p>
          <w:p w14:paraId="34094C84">
            <w:pPr>
              <w:numPr>
                <w:ilvl w:val="0"/>
                <w:numId w:val="24"/>
              </w:numPr>
              <w:spacing w:before="120" w:after="120" w:line="288" w:lineRule="auto"/>
              <w:ind w:left="0"/>
              <w:jc w:val="left"/>
            </w:pPr>
            <w:r>
              <w:rPr>
                <w:rFonts w:ascii="Arial" w:hAnsi="Arial" w:eastAsia="等线" w:cs="Arial"/>
                <w:sz w:val="22"/>
              </w:rPr>
              <w:t>可起诉普通合伙人，或起诉要求解散合伙企业。</w:t>
            </w:r>
          </w:p>
        </w:tc>
      </w:tr>
      <w:tr w14:paraId="1C88BD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2D78C5F2">
            <w:pPr>
              <w:spacing w:before="120" w:after="120" w:line="288" w:lineRule="auto"/>
              <w:ind w:left="0"/>
              <w:jc w:val="left"/>
            </w:pPr>
            <w:r>
              <w:rPr>
                <w:rFonts w:ascii="Arial" w:hAnsi="Arial" w:eastAsia="等线" w:cs="Arial"/>
                <w:sz w:val="22"/>
              </w:rPr>
              <w:t>财务参与（Financial involvement）</w:t>
            </w:r>
          </w:p>
        </w:tc>
        <w:tc>
          <w:tcPr>
            <w:tcW w:w="3120" w:type="dxa"/>
            <w:tcMar>
              <w:top w:w="60" w:type="dxa"/>
              <w:left w:w="120" w:type="dxa"/>
              <w:bottom w:w="30" w:type="dxa"/>
              <w:right w:w="120" w:type="dxa"/>
            </w:tcMar>
          </w:tcPr>
          <w:p w14:paraId="5BA72D11">
            <w:pPr>
              <w:spacing w:before="120" w:after="120" w:line="288" w:lineRule="auto"/>
              <w:ind w:left="0"/>
              <w:jc w:val="left"/>
            </w:pPr>
            <w:r>
              <w:rPr>
                <w:rFonts w:ascii="Arial" w:hAnsi="Arial" w:eastAsia="等线" w:cs="Arial"/>
                <w:sz w:val="22"/>
              </w:rPr>
              <w:t>在合伙企业中保有财务权益</w:t>
            </w:r>
          </w:p>
        </w:tc>
        <w:tc>
          <w:tcPr>
            <w:tcW w:w="3570" w:type="dxa"/>
            <w:tcMar>
              <w:top w:w="60" w:type="dxa"/>
              <w:left w:w="120" w:type="dxa"/>
              <w:bottom w:w="30" w:type="dxa"/>
              <w:right w:w="120" w:type="dxa"/>
            </w:tcMar>
          </w:tcPr>
          <w:p w14:paraId="5203392E">
            <w:pPr>
              <w:numPr>
                <w:ilvl w:val="0"/>
                <w:numId w:val="25"/>
              </w:numPr>
              <w:spacing w:before="120" w:after="120" w:line="288" w:lineRule="auto"/>
              <w:ind w:left="0"/>
              <w:jc w:val="left"/>
            </w:pPr>
            <w:r>
              <w:rPr>
                <w:rFonts w:ascii="Arial" w:hAnsi="Arial" w:eastAsia="等线" w:cs="Arial"/>
                <w:sz w:val="22"/>
              </w:rPr>
              <w:t>提供投入合伙企业的资金；</w:t>
            </w:r>
          </w:p>
          <w:p w14:paraId="45E32EB4">
            <w:pPr>
              <w:numPr>
                <w:ilvl w:val="0"/>
                <w:numId w:val="26"/>
              </w:numPr>
              <w:spacing w:before="120" w:after="120" w:line="288" w:lineRule="auto"/>
              <w:ind w:left="0"/>
              <w:jc w:val="left"/>
            </w:pPr>
            <w:r>
              <w:rPr>
                <w:rFonts w:ascii="Arial" w:hAnsi="Arial" w:eastAsia="等线" w:cs="Arial"/>
                <w:sz w:val="22"/>
              </w:rPr>
              <w:t>合伙企业的有追索权债务（recourse</w:t>
            </w:r>
          </w:p>
          <w:p w14:paraId="65A74F2D">
            <w:pPr>
              <w:spacing w:before="120" w:after="120" w:line="288" w:lineRule="auto"/>
              <w:ind w:left="0"/>
              <w:jc w:val="left"/>
            </w:pPr>
            <w:r>
              <w:rPr>
                <w:rFonts w:ascii="Arial" w:hAnsi="Arial" w:eastAsia="等线" w:cs="Arial"/>
                <w:sz w:val="22"/>
              </w:rPr>
              <w:t>debt）；</w:t>
            </w:r>
          </w:p>
          <w:p w14:paraId="0B12991B">
            <w:pPr>
              <w:numPr>
                <w:ilvl w:val="0"/>
                <w:numId w:val="27"/>
              </w:numPr>
              <w:spacing w:before="120" w:after="120" w:line="288" w:lineRule="auto"/>
              <w:ind w:left="0"/>
              <w:jc w:val="left"/>
            </w:pPr>
            <w:r>
              <w:rPr>
                <w:rFonts w:ascii="Arial" w:hAnsi="Arial" w:eastAsia="等线" w:cs="Arial"/>
                <w:sz w:val="22"/>
              </w:rPr>
              <w:t>以及房地产直接参与计划（DPP）的无追索权债务（nonrecourse</w:t>
            </w:r>
          </w:p>
          <w:p w14:paraId="173846FE">
            <w:pPr>
              <w:spacing w:before="120" w:after="120" w:line="288" w:lineRule="auto"/>
              <w:ind w:left="0"/>
              <w:jc w:val="left"/>
            </w:pPr>
            <w:r>
              <w:rPr>
                <w:rFonts w:ascii="Arial" w:hAnsi="Arial" w:eastAsia="等线" w:cs="Arial"/>
                <w:sz w:val="22"/>
              </w:rPr>
              <w:t>debt）。</w:t>
            </w:r>
          </w:p>
        </w:tc>
      </w:tr>
      <w:tr w14:paraId="662381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1E9F33DC">
            <w:pPr>
              <w:spacing w:before="120" w:after="120" w:line="288" w:lineRule="auto"/>
              <w:ind w:left="0"/>
              <w:jc w:val="left"/>
            </w:pPr>
            <w:r>
              <w:rPr>
                <w:rFonts w:ascii="Arial" w:hAnsi="Arial" w:eastAsia="等线" w:cs="Arial"/>
                <w:sz w:val="22"/>
              </w:rPr>
              <w:t>财务回报（Financial rewards）</w:t>
            </w:r>
          </w:p>
        </w:tc>
        <w:tc>
          <w:tcPr>
            <w:tcW w:w="3120" w:type="dxa"/>
            <w:tcMar>
              <w:top w:w="60" w:type="dxa"/>
              <w:left w:w="120" w:type="dxa"/>
              <w:bottom w:w="30" w:type="dxa"/>
              <w:right w:w="120" w:type="dxa"/>
            </w:tcMar>
          </w:tcPr>
          <w:p w14:paraId="6EEA4090">
            <w:pPr>
              <w:spacing w:before="120" w:after="120" w:line="288" w:lineRule="auto"/>
              <w:ind w:left="0"/>
              <w:jc w:val="left"/>
            </w:pPr>
            <w:r>
              <w:rPr>
                <w:rFonts w:ascii="Arial" w:hAnsi="Arial" w:eastAsia="等线" w:cs="Arial"/>
                <w:sz w:val="22"/>
              </w:rPr>
              <w:t>因管理合伙企业而获得报酬</w:t>
            </w:r>
          </w:p>
        </w:tc>
        <w:tc>
          <w:tcPr>
            <w:tcW w:w="3570" w:type="dxa"/>
            <w:tcMar>
              <w:top w:w="60" w:type="dxa"/>
              <w:left w:w="120" w:type="dxa"/>
              <w:bottom w:w="30" w:type="dxa"/>
              <w:right w:w="120" w:type="dxa"/>
            </w:tcMar>
          </w:tcPr>
          <w:p w14:paraId="3B65B2FF">
            <w:pPr>
              <w:spacing w:before="120" w:after="120" w:line="288" w:lineRule="auto"/>
              <w:ind w:left="0"/>
              <w:jc w:val="left"/>
            </w:pPr>
            <w:r>
              <w:rPr>
                <w:rFonts w:ascii="Arial" w:hAnsi="Arial" w:eastAsia="等线" w:cs="Arial"/>
                <w:sz w:val="22"/>
              </w:rPr>
              <w:t>按比例获得利润和承担损失</w:t>
            </w:r>
          </w:p>
        </w:tc>
      </w:tr>
      <w:tr w14:paraId="3591BB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05" w:type="dxa"/>
            <w:tcMar>
              <w:top w:w="60" w:type="dxa"/>
              <w:left w:w="120" w:type="dxa"/>
              <w:bottom w:w="30" w:type="dxa"/>
              <w:right w:w="120" w:type="dxa"/>
            </w:tcMar>
          </w:tcPr>
          <w:p w14:paraId="1CA40E6C">
            <w:pPr>
              <w:spacing w:before="120" w:after="120" w:line="288" w:lineRule="auto"/>
              <w:ind w:left="0"/>
              <w:jc w:val="left"/>
            </w:pPr>
            <w:r>
              <w:rPr>
                <w:rFonts w:ascii="Arial" w:hAnsi="Arial" w:eastAsia="等线" w:cs="Arial"/>
                <w:sz w:val="22"/>
              </w:rPr>
              <w:t>利益冲突（Conflicts of interest）</w:t>
            </w:r>
          </w:p>
        </w:tc>
        <w:tc>
          <w:tcPr>
            <w:tcW w:w="3120" w:type="dxa"/>
            <w:tcMar>
              <w:top w:w="60" w:type="dxa"/>
              <w:left w:w="120" w:type="dxa"/>
              <w:bottom w:w="30" w:type="dxa"/>
              <w:right w:w="120" w:type="dxa"/>
            </w:tcMar>
          </w:tcPr>
          <w:p w14:paraId="33A62303">
            <w:pPr>
              <w:numPr>
                <w:ilvl w:val="0"/>
                <w:numId w:val="28"/>
              </w:numPr>
              <w:spacing w:before="120" w:after="120" w:line="288" w:lineRule="auto"/>
              <w:ind w:left="0"/>
              <w:jc w:val="left"/>
            </w:pPr>
            <w:r>
              <w:rPr>
                <w:rFonts w:ascii="Arial" w:hAnsi="Arial" w:eastAsia="等线" w:cs="Arial"/>
                <w:sz w:val="22"/>
              </w:rPr>
              <w:t>不能从合伙企业借款；</w:t>
            </w:r>
          </w:p>
          <w:p w14:paraId="4BCD91B1">
            <w:pPr>
              <w:numPr>
                <w:ilvl w:val="0"/>
                <w:numId w:val="29"/>
              </w:numPr>
              <w:spacing w:before="120" w:after="120" w:line="288" w:lineRule="auto"/>
              <w:ind w:left="0"/>
              <w:jc w:val="left"/>
            </w:pPr>
            <w:r>
              <w:rPr>
                <w:rFonts w:ascii="Arial" w:hAnsi="Arial" w:eastAsia="等线" w:cs="Arial"/>
                <w:sz w:val="22"/>
              </w:rPr>
              <w:t>不能与合伙企业竞争（例如，不能为位置相近的两个不同合伙企业管理两栋建筑）</w:t>
            </w:r>
          </w:p>
        </w:tc>
        <w:tc>
          <w:tcPr>
            <w:tcW w:w="3570" w:type="dxa"/>
            <w:tcMar>
              <w:top w:w="60" w:type="dxa"/>
              <w:left w:w="120" w:type="dxa"/>
              <w:bottom w:w="30" w:type="dxa"/>
              <w:right w:w="120" w:type="dxa"/>
            </w:tcMar>
          </w:tcPr>
          <w:p w14:paraId="7AC3BBF9">
            <w:pPr>
              <w:spacing w:before="120" w:after="120" w:line="288" w:lineRule="auto"/>
              <w:ind w:left="0"/>
              <w:jc w:val="left"/>
            </w:pPr>
            <w:r>
              <w:rPr>
                <w:rFonts w:ascii="Arial" w:hAnsi="Arial" w:eastAsia="等线" w:cs="Arial"/>
                <w:sz w:val="22"/>
              </w:rPr>
              <w:t>无；可投资于有竞争关系的合伙企业</w:t>
            </w:r>
          </w:p>
        </w:tc>
      </w:tr>
    </w:tbl>
    <w:p w14:paraId="2F84DF66"/>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78575E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EEAD2"/>
            <w:tcMar>
              <w:top w:w="60" w:type="dxa"/>
              <w:left w:w="120" w:type="dxa"/>
              <w:bottom w:w="30" w:type="dxa"/>
              <w:right w:w="120" w:type="dxa"/>
            </w:tcMar>
          </w:tcPr>
          <w:p w14:paraId="1AE1CB94">
            <w:pPr>
              <w:spacing w:before="120" w:after="120" w:line="288" w:lineRule="auto"/>
              <w:ind w:left="0"/>
              <w:jc w:val="left"/>
            </w:pPr>
            <w:r>
              <w:rPr>
                <w:rFonts w:ascii="Arial" w:hAnsi="Arial" w:eastAsia="等线" w:cs="Arial"/>
                <w:sz w:val="22"/>
              </w:rPr>
              <w:t>无追索权债务（Nonrecourse Debt）是一种 “债权人仅能通过特定抵押资产追偿，无法向债务人个人或其他资产追责” 的债务形式，核心特点是</w:t>
            </w:r>
            <w:r>
              <w:rPr>
                <w:rFonts w:ascii="Arial" w:hAnsi="Arial" w:eastAsia="等线" w:cs="Arial"/>
                <w:b/>
                <w:sz w:val="22"/>
              </w:rPr>
              <w:t>债务人（个人或企业）不承担 “资产之外的额外还款责任”</w:t>
            </w:r>
            <w:r>
              <w:rPr>
                <w:rFonts w:ascii="Arial" w:hAnsi="Arial" w:eastAsia="等线" w:cs="Arial"/>
                <w:sz w:val="22"/>
              </w:rPr>
              <w:t>，常见于房地产、大型项目融资等场景，也是投资领域（如有限合伙企业）中影响税务处理的关键债务类型。</w:t>
            </w:r>
          </w:p>
        </w:tc>
      </w:tr>
    </w:tbl>
    <w:p w14:paraId="584BEFA1">
      <w:pPr>
        <w:spacing w:before="300" w:after="120" w:line="288" w:lineRule="auto"/>
        <w:ind w:left="0"/>
        <w:jc w:val="left"/>
        <w:outlineLvl w:val="2"/>
      </w:pPr>
      <w:bookmarkStart w:id="5" w:name="heading_5"/>
      <w:r>
        <w:rPr>
          <w:rFonts w:ascii="Arial" w:hAnsi="Arial" w:eastAsia="等线" w:cs="Arial"/>
          <w:color w:val="3370FF"/>
          <w:sz w:val="30"/>
        </w:rPr>
        <w:t xml:space="preserve">2.1.3 </w:t>
      </w:r>
      <w:r>
        <w:rPr>
          <w:rFonts w:ascii="Arial" w:hAnsi="Arial" w:eastAsia="等线" w:cs="Arial"/>
          <w:b/>
          <w:sz w:val="30"/>
        </w:rPr>
        <w:t>推进合伙文书工作</w:t>
      </w:r>
      <w:bookmarkEnd w:id="5"/>
    </w:p>
    <w:p w14:paraId="50E42F7F">
      <w:pPr>
        <w:spacing w:before="120" w:after="120" w:line="288" w:lineRule="auto"/>
        <w:ind w:left="0"/>
        <w:jc w:val="left"/>
      </w:pPr>
      <w:r>
        <w:rPr>
          <w:rFonts w:ascii="Arial" w:hAnsi="Arial" w:eastAsia="等线" w:cs="Arial"/>
          <w:sz w:val="22"/>
        </w:rPr>
        <w:t>有限合伙企业成立需要三份文件。</w:t>
      </w:r>
    </w:p>
    <w:p w14:paraId="44C23BF7">
      <w:pPr>
        <w:spacing w:before="120" w:after="120" w:line="288" w:lineRule="auto"/>
        <w:ind w:left="0"/>
        <w:jc w:val="left"/>
      </w:pPr>
    </w:p>
    <w:p w14:paraId="141D973D">
      <w:pPr>
        <w:spacing w:before="260" w:after="120" w:line="288" w:lineRule="auto"/>
        <w:ind w:left="0"/>
        <w:jc w:val="left"/>
        <w:outlineLvl w:val="3"/>
      </w:pPr>
      <w:bookmarkStart w:id="6" w:name="heading_6"/>
      <w:r>
        <w:rPr>
          <w:rFonts w:ascii="Arial" w:hAnsi="Arial" w:eastAsia="等线" w:cs="Arial"/>
          <w:color w:val="3370FF"/>
          <w:sz w:val="28"/>
        </w:rPr>
        <w:t xml:space="preserve">2.1.3.1 </w:t>
      </w:r>
      <w:r>
        <w:rPr>
          <w:rFonts w:ascii="Arial" w:hAnsi="Arial" w:eastAsia="等线" w:cs="Arial"/>
          <w:b/>
          <w:sz w:val="28"/>
        </w:rPr>
        <w:t>合伙协议</w:t>
      </w:r>
      <w:bookmarkEnd w:id="6"/>
    </w:p>
    <w:p w14:paraId="1A12AE64">
      <w:pPr>
        <w:spacing w:before="120" w:after="120" w:line="288" w:lineRule="auto"/>
        <w:ind w:left="0"/>
        <w:jc w:val="left"/>
      </w:pPr>
      <w:r>
        <w:rPr>
          <w:rFonts w:ascii="Arial" w:hAnsi="Arial" w:eastAsia="等线" w:cs="Arial"/>
          <w:sz w:val="22"/>
        </w:rPr>
        <w:t>合伙协议（Partnership agreement）是一份包含有限合伙人和普通合伙人权利与责任的文件。</w:t>
      </w:r>
    </w:p>
    <w:p w14:paraId="28515E03">
      <w:pPr>
        <w:spacing w:before="120" w:after="120" w:line="288" w:lineRule="auto"/>
        <w:ind w:left="0"/>
        <w:jc w:val="left"/>
      </w:pPr>
    </w:p>
    <w:p w14:paraId="7511F899">
      <w:pPr>
        <w:spacing w:before="120" w:after="120" w:line="288" w:lineRule="auto"/>
        <w:ind w:left="0"/>
        <w:jc w:val="left"/>
      </w:pPr>
      <w:r>
        <w:rPr>
          <w:rFonts w:ascii="Arial" w:hAnsi="Arial" w:eastAsia="等线" w:cs="Arial"/>
          <w:sz w:val="22"/>
        </w:rPr>
        <w:t>协议中包含一些你可能会想到的基本内容，例如合伙企业的名称、合伙企业的所在地、普通合伙人的姓名等。</w:t>
      </w:r>
    </w:p>
    <w:p w14:paraId="3024DA72">
      <w:pPr>
        <w:spacing w:before="120" w:after="120" w:line="288" w:lineRule="auto"/>
        <w:ind w:left="0"/>
        <w:jc w:val="left"/>
      </w:pPr>
    </w:p>
    <w:p w14:paraId="10DBB098">
      <w:pPr>
        <w:spacing w:before="120" w:after="120" w:line="288" w:lineRule="auto"/>
        <w:ind w:left="0"/>
        <w:jc w:val="left"/>
      </w:pPr>
      <w:r>
        <w:rPr>
          <w:rFonts w:ascii="Arial" w:hAnsi="Arial" w:eastAsia="等线" w:cs="Arial"/>
          <w:sz w:val="22"/>
        </w:rPr>
        <w:t>合伙协议还涉及普通合伙人的权利，包括：</w:t>
      </w:r>
    </w:p>
    <w:p w14:paraId="54CAA2C5">
      <w:pPr>
        <w:numPr>
          <w:ilvl w:val="0"/>
          <w:numId w:val="30"/>
        </w:numPr>
        <w:spacing w:before="120" w:after="120" w:line="288" w:lineRule="auto"/>
        <w:ind w:left="0"/>
        <w:jc w:val="left"/>
      </w:pPr>
      <w:r>
        <w:rPr>
          <w:rFonts w:ascii="Arial" w:hAnsi="Arial" w:eastAsia="等线" w:cs="Arial"/>
          <w:sz w:val="22"/>
        </w:rPr>
        <w:t>为合伙企业做决策而收取管理费；</w:t>
      </w:r>
    </w:p>
    <w:p w14:paraId="7DD4CA49">
      <w:pPr>
        <w:numPr>
          <w:ilvl w:val="0"/>
          <w:numId w:val="31"/>
        </w:numPr>
        <w:spacing w:before="120" w:after="120" w:line="288" w:lineRule="auto"/>
        <w:ind w:left="0"/>
        <w:jc w:val="left"/>
      </w:pPr>
      <w:r>
        <w:rPr>
          <w:rFonts w:ascii="Arial" w:hAnsi="Arial" w:eastAsia="等线" w:cs="Arial"/>
          <w:sz w:val="22"/>
        </w:rPr>
        <w:t>代表合伙企业签订合同；</w:t>
      </w:r>
    </w:p>
    <w:p w14:paraId="7ADE7CD4">
      <w:pPr>
        <w:numPr>
          <w:ilvl w:val="0"/>
          <w:numId w:val="32"/>
        </w:numPr>
        <w:spacing w:before="120" w:after="120" w:line="288" w:lineRule="auto"/>
        <w:ind w:left="0"/>
        <w:jc w:val="left"/>
      </w:pPr>
      <w:r>
        <w:rPr>
          <w:rFonts w:ascii="Arial" w:hAnsi="Arial" w:eastAsia="等线" w:cs="Arial"/>
          <w:sz w:val="22"/>
        </w:rPr>
        <w:t>决定是否向有限合伙人进行现金分配；</w:t>
      </w:r>
    </w:p>
    <w:p w14:paraId="0F6253E8">
      <w:pPr>
        <w:numPr>
          <w:ilvl w:val="0"/>
          <w:numId w:val="33"/>
        </w:numPr>
        <w:spacing w:before="120" w:after="120" w:line="288" w:lineRule="auto"/>
        <w:ind w:left="0"/>
        <w:jc w:val="left"/>
      </w:pPr>
      <w:r>
        <w:rPr>
          <w:rFonts w:ascii="Arial" w:hAnsi="Arial" w:eastAsia="等线" w:cs="Arial"/>
          <w:sz w:val="22"/>
        </w:rPr>
        <w:t>接受或拒绝有限合伙人。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A0CA7E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53EDE234">
            <w:pPr>
              <w:numPr>
                <w:ilvl w:val="0"/>
                <w:numId w:val="34"/>
              </w:numPr>
              <w:spacing w:before="120" w:after="120" w:line="288" w:lineRule="auto"/>
              <w:ind w:left="0"/>
              <w:jc w:val="left"/>
            </w:pPr>
            <w:r>
              <w:rPr>
                <w:rFonts w:ascii="Arial" w:hAnsi="Arial" w:eastAsia="等线" w:cs="Arial"/>
                <w:sz w:val="22"/>
              </w:rPr>
              <w:t>Which of the following partnership documents includes the rights and responsibilities of the</w:t>
            </w:r>
          </w:p>
          <w:p w14:paraId="18FB2668">
            <w:pPr>
              <w:spacing w:before="120" w:after="120" w:line="288" w:lineRule="auto"/>
              <w:ind w:left="0"/>
              <w:jc w:val="left"/>
            </w:pPr>
            <w:r>
              <w:rPr>
                <w:rFonts w:ascii="Arial" w:hAnsi="Arial" w:eastAsia="等线" w:cs="Arial"/>
                <w:sz w:val="22"/>
              </w:rPr>
              <w:t>general and limited partners?</w:t>
            </w:r>
          </w:p>
          <w:p w14:paraId="652B2CF0">
            <w:pPr>
              <w:spacing w:before="120" w:after="120" w:line="288" w:lineRule="auto"/>
              <w:ind w:left="0"/>
              <w:jc w:val="left"/>
            </w:pPr>
            <w:r>
              <w:rPr>
                <w:rFonts w:ascii="Arial" w:hAnsi="Arial" w:eastAsia="等线" w:cs="Arial"/>
                <w:sz w:val="22"/>
              </w:rPr>
              <w:t>(A) Certificate of limited partnership</w:t>
            </w:r>
          </w:p>
          <w:p w14:paraId="69CDE758">
            <w:pPr>
              <w:spacing w:before="120" w:after="120" w:line="288" w:lineRule="auto"/>
              <w:ind w:left="0"/>
              <w:jc w:val="left"/>
            </w:pPr>
            <w:r>
              <w:rPr>
                <w:rFonts w:ascii="Arial" w:hAnsi="Arial" w:eastAsia="等线" w:cs="Arial"/>
                <w:sz w:val="22"/>
              </w:rPr>
              <w:t>(B) Subscription agreement</w:t>
            </w:r>
          </w:p>
          <w:p w14:paraId="352301D5">
            <w:pPr>
              <w:spacing w:before="120" w:after="120" w:line="288" w:lineRule="auto"/>
              <w:ind w:left="0"/>
              <w:jc w:val="left"/>
            </w:pPr>
            <w:r>
              <w:rPr>
                <w:rFonts w:ascii="Arial" w:hAnsi="Arial" w:eastAsia="等线" w:cs="Arial"/>
                <w:sz w:val="22"/>
              </w:rPr>
              <w:t>(C) Partnership agreement</w:t>
            </w:r>
          </w:p>
          <w:p w14:paraId="140A6DED">
            <w:pPr>
              <w:spacing w:before="120" w:after="120" w:line="288" w:lineRule="auto"/>
              <w:ind w:left="0"/>
              <w:jc w:val="left"/>
            </w:pPr>
            <w:r>
              <w:rPr>
                <w:rFonts w:ascii="Arial" w:hAnsi="Arial" w:eastAsia="等线" w:cs="Arial"/>
                <w:sz w:val="22"/>
              </w:rPr>
              <w:t>(D) Both (A) and (C)</w:t>
            </w:r>
          </w:p>
        </w:tc>
      </w:tr>
    </w:tbl>
    <w:p w14:paraId="0DA54162">
      <w:pPr>
        <w:spacing w:before="120" w:after="120" w:line="288" w:lineRule="auto"/>
        <w:ind w:left="0"/>
        <w:jc w:val="left"/>
      </w:pPr>
    </w:p>
    <w:p w14:paraId="305FB3C6">
      <w:pPr>
        <w:spacing w:before="260" w:after="120" w:line="288" w:lineRule="auto"/>
        <w:ind w:left="0"/>
        <w:jc w:val="left"/>
        <w:outlineLvl w:val="3"/>
      </w:pPr>
      <w:bookmarkStart w:id="7" w:name="heading_7"/>
      <w:r>
        <w:rPr>
          <w:rFonts w:ascii="Arial" w:hAnsi="Arial" w:eastAsia="等线" w:cs="Arial"/>
          <w:color w:val="3370FF"/>
          <w:sz w:val="28"/>
        </w:rPr>
        <w:t xml:space="preserve">2.1.3.2 </w:t>
      </w:r>
      <w:r>
        <w:rPr>
          <w:rFonts w:ascii="Arial" w:hAnsi="Arial" w:eastAsia="等线" w:cs="Arial"/>
          <w:b/>
          <w:sz w:val="28"/>
        </w:rPr>
        <w:t>有限合伙证书</w:t>
      </w:r>
      <w:bookmarkEnd w:id="7"/>
    </w:p>
    <w:p w14:paraId="38B4E9DB">
      <w:pPr>
        <w:spacing w:before="120" w:after="120" w:line="288" w:lineRule="auto"/>
        <w:ind w:left="0"/>
        <w:jc w:val="left"/>
      </w:pPr>
      <w:r>
        <w:rPr>
          <w:rFonts w:ascii="Arial" w:hAnsi="Arial" w:eastAsia="等线" w:cs="Arial"/>
          <w:sz w:val="22"/>
        </w:rPr>
        <w:t>有限合伙证书（Certificate of limited partnership）是普通合伙人与有限合伙人之间的法律协议，公开募股时需向 SEC 提交，</w:t>
      </w:r>
      <w:r>
        <w:rPr>
          <w:rFonts w:ascii="Arial" w:hAnsi="Arial" w:eastAsia="等线" w:cs="Arial"/>
          <w:b/>
          <w:sz w:val="22"/>
        </w:rPr>
        <w:t>同时也需向合伙企业注册所在州的州务卿（Secretary of State）提交</w:t>
      </w:r>
      <w:r>
        <w:rPr>
          <w:rFonts w:ascii="Arial" w:hAnsi="Arial" w:eastAsia="等线" w:cs="Arial"/>
          <w:sz w:val="22"/>
        </w:rPr>
        <w:t>。</w:t>
      </w:r>
    </w:p>
    <w:p w14:paraId="1B9E3E02">
      <w:pPr>
        <w:spacing w:before="120" w:after="120" w:line="288" w:lineRule="auto"/>
        <w:ind w:left="0"/>
        <w:jc w:val="left"/>
      </w:pPr>
    </w:p>
    <w:p w14:paraId="56E0FCA7">
      <w:pPr>
        <w:spacing w:before="120" w:after="120" w:line="288" w:lineRule="auto"/>
        <w:ind w:left="0"/>
        <w:jc w:val="left"/>
      </w:pPr>
      <w:r>
        <w:rPr>
          <w:rFonts w:ascii="Arial" w:hAnsi="Arial" w:eastAsia="等线" w:cs="Arial"/>
          <w:sz w:val="22"/>
        </w:rPr>
        <w:t>有限合伙证书包含如下内容：</w:t>
      </w:r>
    </w:p>
    <w:p w14:paraId="33A5A1BB">
      <w:pPr>
        <w:numPr>
          <w:ilvl w:val="0"/>
          <w:numId w:val="35"/>
        </w:numPr>
        <w:spacing w:before="120" w:after="120" w:line="288" w:lineRule="auto"/>
        <w:ind w:left="0"/>
        <w:jc w:val="left"/>
      </w:pPr>
      <w:r>
        <w:rPr>
          <w:rFonts w:ascii="Arial" w:hAnsi="Arial" w:eastAsia="等线" w:cs="Arial"/>
          <w:sz w:val="22"/>
        </w:rPr>
        <w:t>合伙企业名称及其主要经营地点；</w:t>
      </w:r>
    </w:p>
    <w:p w14:paraId="6784C9F6">
      <w:pPr>
        <w:numPr>
          <w:ilvl w:val="0"/>
          <w:numId w:val="36"/>
        </w:numPr>
        <w:spacing w:before="120" w:after="120" w:line="288" w:lineRule="auto"/>
        <w:ind w:left="0"/>
        <w:jc w:val="left"/>
      </w:pPr>
      <w:r>
        <w:rPr>
          <w:rFonts w:ascii="Arial" w:hAnsi="Arial" w:eastAsia="等线" w:cs="Arial"/>
          <w:sz w:val="22"/>
        </w:rPr>
        <w:t>有限合伙人与普通合伙人的姓名和地址等基本信息；</w:t>
      </w:r>
    </w:p>
    <w:p w14:paraId="20F689AC">
      <w:pPr>
        <w:numPr>
          <w:ilvl w:val="0"/>
          <w:numId w:val="37"/>
        </w:numPr>
        <w:spacing w:before="120" w:after="120" w:line="288" w:lineRule="auto"/>
        <w:ind w:left="0"/>
        <w:jc w:val="left"/>
      </w:pPr>
      <w:r>
        <w:rPr>
          <w:rFonts w:ascii="Arial" w:hAnsi="Arial" w:eastAsia="等线" w:cs="Arial"/>
          <w:sz w:val="22"/>
        </w:rPr>
        <w:t>合伙企业的目标以及合伙企业预期的存续时长；</w:t>
      </w:r>
    </w:p>
    <w:p w14:paraId="223A2C04">
      <w:pPr>
        <w:numPr>
          <w:ilvl w:val="0"/>
          <w:numId w:val="38"/>
        </w:numPr>
        <w:spacing w:before="120" w:after="120" w:line="288" w:lineRule="auto"/>
        <w:ind w:left="0"/>
        <w:jc w:val="left"/>
      </w:pPr>
      <w:r>
        <w:rPr>
          <w:rFonts w:ascii="Arial" w:hAnsi="Arial" w:eastAsia="等线" w:cs="Arial"/>
          <w:sz w:val="22"/>
        </w:rPr>
        <w:t>每位合伙人的出资额，以及未来预期的投资；</w:t>
      </w:r>
    </w:p>
    <w:p w14:paraId="64BD20B7">
      <w:pPr>
        <w:numPr>
          <w:ilvl w:val="0"/>
          <w:numId w:val="39"/>
        </w:numPr>
        <w:spacing w:before="120" w:after="120" w:line="288" w:lineRule="auto"/>
        <w:ind w:left="0"/>
        <w:jc w:val="left"/>
      </w:pPr>
      <w:r>
        <w:rPr>
          <w:rFonts w:ascii="Arial" w:hAnsi="Arial" w:eastAsia="等线" w:cs="Arial"/>
          <w:sz w:val="22"/>
        </w:rPr>
        <w:t>利润的分配方式；</w:t>
      </w:r>
    </w:p>
    <w:p w14:paraId="38E2FF6C">
      <w:pPr>
        <w:numPr>
          <w:ilvl w:val="0"/>
          <w:numId w:val="40"/>
        </w:numPr>
        <w:spacing w:before="120" w:after="120" w:line="288" w:lineRule="auto"/>
        <w:ind w:left="0"/>
        <w:jc w:val="left"/>
      </w:pPr>
      <w:r>
        <w:rPr>
          <w:rFonts w:ascii="Arial" w:hAnsi="Arial" w:eastAsia="等线" w:cs="Arial"/>
          <w:sz w:val="22"/>
        </w:rPr>
        <w:t>参与者的角色；</w:t>
      </w:r>
    </w:p>
    <w:p w14:paraId="79B03E88">
      <w:pPr>
        <w:numPr>
          <w:ilvl w:val="0"/>
          <w:numId w:val="41"/>
        </w:numPr>
        <w:spacing w:before="120" w:after="120" w:line="288" w:lineRule="auto"/>
        <w:ind w:left="0"/>
        <w:jc w:val="left"/>
      </w:pPr>
      <w:r>
        <w:rPr>
          <w:rFonts w:ascii="Arial" w:hAnsi="Arial" w:eastAsia="等线" w:cs="Arial"/>
          <w:sz w:val="22"/>
        </w:rPr>
        <w:t>合伙企业如何解散（How the partnership can be dissolved）；</w:t>
      </w:r>
    </w:p>
    <w:p w14:paraId="1C37E2F4">
      <w:pPr>
        <w:numPr>
          <w:ilvl w:val="0"/>
          <w:numId w:val="42"/>
        </w:numPr>
        <w:spacing w:before="120" w:after="120" w:line="288" w:lineRule="auto"/>
        <w:ind w:left="0"/>
        <w:jc w:val="left"/>
      </w:pPr>
      <w:r>
        <w:rPr>
          <w:rFonts w:ascii="Arial" w:hAnsi="Arial" w:eastAsia="等线" w:cs="Arial"/>
          <w:sz w:val="22"/>
        </w:rPr>
        <w:t>有限合伙人是否可以出售或转让其在合伙企业中的权益（interest in the partnership）。</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95A0A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4F21D1B2">
            <w:pPr>
              <w:numPr>
                <w:ilvl w:val="0"/>
                <w:numId w:val="43"/>
              </w:numPr>
              <w:spacing w:before="120" w:after="120" w:line="288" w:lineRule="auto"/>
              <w:ind w:left="0"/>
              <w:jc w:val="left"/>
            </w:pPr>
            <w:r>
              <w:rPr>
                <w:rFonts w:ascii="Arial" w:hAnsi="Arial" w:eastAsia="等线" w:cs="Arial"/>
                <w:sz w:val="22"/>
              </w:rPr>
              <w:t>When making a public offering, which of the following documents is a limited partnership</w:t>
            </w:r>
          </w:p>
          <w:p w14:paraId="01A2CC85">
            <w:pPr>
              <w:spacing w:before="120" w:after="120" w:line="288" w:lineRule="auto"/>
              <w:ind w:left="0"/>
              <w:jc w:val="left"/>
            </w:pPr>
            <w:r>
              <w:rPr>
                <w:rFonts w:ascii="Arial" w:hAnsi="Arial" w:eastAsia="等线" w:cs="Arial"/>
                <w:sz w:val="22"/>
              </w:rPr>
              <w:t>required to file with the SEC?</w:t>
            </w:r>
          </w:p>
          <w:p w14:paraId="423F895F">
            <w:pPr>
              <w:spacing w:before="120" w:after="120" w:line="288" w:lineRule="auto"/>
              <w:ind w:left="0"/>
              <w:jc w:val="left"/>
            </w:pPr>
            <w:r>
              <w:rPr>
                <w:rFonts w:ascii="Arial" w:hAnsi="Arial" w:eastAsia="等线" w:cs="Arial"/>
                <w:sz w:val="22"/>
              </w:rPr>
              <w:t>(A) Certificate of limited partnership</w:t>
            </w:r>
          </w:p>
          <w:p w14:paraId="740C727C">
            <w:pPr>
              <w:spacing w:before="120" w:after="120" w:line="288" w:lineRule="auto"/>
              <w:ind w:left="0"/>
              <w:jc w:val="left"/>
            </w:pPr>
            <w:r>
              <w:rPr>
                <w:rFonts w:ascii="Arial" w:hAnsi="Arial" w:eastAsia="等线" w:cs="Arial"/>
                <w:sz w:val="22"/>
              </w:rPr>
              <w:t>(B) Agreement of limited partnership</w:t>
            </w:r>
          </w:p>
          <w:p w14:paraId="1E150B44">
            <w:pPr>
              <w:spacing w:before="120" w:after="120" w:line="288" w:lineRule="auto"/>
              <w:ind w:left="0"/>
              <w:jc w:val="left"/>
            </w:pPr>
            <w:r>
              <w:rPr>
                <w:rFonts w:ascii="Arial" w:hAnsi="Arial" w:eastAsia="等线" w:cs="Arial"/>
                <w:sz w:val="22"/>
              </w:rPr>
              <w:t>(C) Subscription agreement</w:t>
            </w:r>
          </w:p>
          <w:p w14:paraId="563DDBB2">
            <w:pPr>
              <w:spacing w:before="120" w:after="120" w:line="288" w:lineRule="auto"/>
              <w:ind w:left="0"/>
              <w:jc w:val="left"/>
            </w:pPr>
            <w:r>
              <w:rPr>
                <w:rFonts w:ascii="Arial" w:hAnsi="Arial" w:eastAsia="等线" w:cs="Arial"/>
                <w:sz w:val="22"/>
              </w:rPr>
              <w:t>(D) All of the above</w:t>
            </w:r>
          </w:p>
        </w:tc>
      </w:tr>
    </w:tbl>
    <w:p w14:paraId="32421551">
      <w:pPr>
        <w:spacing w:before="120" w:after="120" w:line="288" w:lineRule="auto"/>
        <w:ind w:left="0"/>
        <w:jc w:val="left"/>
      </w:pPr>
    </w:p>
    <w:p w14:paraId="714537EF">
      <w:pPr>
        <w:spacing w:before="260" w:after="120" w:line="288" w:lineRule="auto"/>
        <w:ind w:left="0"/>
        <w:jc w:val="left"/>
        <w:outlineLvl w:val="3"/>
      </w:pPr>
      <w:bookmarkStart w:id="8" w:name="heading_8"/>
      <w:r>
        <w:rPr>
          <w:rFonts w:ascii="Arial" w:hAnsi="Arial" w:eastAsia="等线" w:cs="Arial"/>
          <w:color w:val="3370FF"/>
          <w:sz w:val="28"/>
        </w:rPr>
        <w:t xml:space="preserve">2.1.3.3 </w:t>
      </w:r>
      <w:r>
        <w:rPr>
          <w:rFonts w:ascii="Arial" w:hAnsi="Arial" w:eastAsia="等线" w:cs="Arial"/>
          <w:b/>
          <w:sz w:val="28"/>
        </w:rPr>
        <w:t>认购协议</w:t>
      </w:r>
      <w:bookmarkEnd w:id="8"/>
    </w:p>
    <w:p w14:paraId="41EF4076">
      <w:pPr>
        <w:spacing w:before="120" w:after="120" w:line="288" w:lineRule="auto"/>
        <w:ind w:left="0"/>
        <w:jc w:val="left"/>
      </w:pPr>
      <w:r>
        <w:rPr>
          <w:rFonts w:ascii="Arial" w:hAnsi="Arial" w:eastAsia="等线" w:cs="Arial"/>
          <w:sz w:val="22"/>
        </w:rPr>
        <w:t>认购协议（Subscription Agreement）是潜在有限合伙人必须填写的申请表。</w:t>
      </w:r>
    </w:p>
    <w:p w14:paraId="3477264D">
      <w:pPr>
        <w:spacing w:before="120" w:after="120" w:line="288" w:lineRule="auto"/>
        <w:ind w:left="0"/>
        <w:jc w:val="left"/>
      </w:pPr>
    </w:p>
    <w:p w14:paraId="5EB33695">
      <w:pPr>
        <w:spacing w:before="120" w:after="120" w:line="288" w:lineRule="auto"/>
        <w:ind w:left="0"/>
        <w:jc w:val="left"/>
      </w:pPr>
      <w:r>
        <w:rPr>
          <w:rFonts w:ascii="Arial" w:hAnsi="Arial" w:eastAsia="等线" w:cs="Arial"/>
          <w:sz w:val="22"/>
        </w:rPr>
        <w:t>普通合伙人通过该协议来判断投资者是否适合成为有限合伙人。普通合伙人必须签署认购协议，以正式接纳投资者加入直接参与计划（DPP）。</w:t>
      </w:r>
    </w:p>
    <w:p w14:paraId="77F6B232">
      <w:pPr>
        <w:spacing w:before="120" w:after="120" w:line="288" w:lineRule="auto"/>
        <w:ind w:left="0"/>
        <w:jc w:val="left"/>
      </w:pPr>
    </w:p>
    <w:p w14:paraId="64390836">
      <w:pPr>
        <w:spacing w:before="120" w:after="120" w:line="288" w:lineRule="auto"/>
        <w:ind w:left="0"/>
        <w:jc w:val="left"/>
      </w:pPr>
      <w:r>
        <w:rPr>
          <w:rFonts w:ascii="Arial" w:hAnsi="Arial" w:eastAsia="等线" w:cs="Arial"/>
          <w:sz w:val="22"/>
        </w:rPr>
        <w:t>作为注册代表，你的工作之一是预先筛选潜在的有限合伙人，以确保该合伙企业适合此人。请考虑以下问题：</w:t>
      </w:r>
    </w:p>
    <w:p w14:paraId="388E1413">
      <w:pPr>
        <w:numPr>
          <w:ilvl w:val="0"/>
          <w:numId w:val="44"/>
        </w:numPr>
        <w:spacing w:before="120" w:after="120" w:line="288" w:lineRule="auto"/>
        <w:ind w:left="0"/>
        <w:jc w:val="left"/>
      </w:pPr>
      <w:r>
        <w:rPr>
          <w:rFonts w:ascii="Arial" w:hAnsi="Arial" w:eastAsia="等线" w:cs="Arial"/>
          <w:sz w:val="22"/>
        </w:rPr>
        <w:t>投资者有足够的资金用于投资吗（净资产和年收入情况如何）？</w:t>
      </w:r>
    </w:p>
    <w:p w14:paraId="3C8E6982">
      <w:pPr>
        <w:numPr>
          <w:ilvl w:val="0"/>
          <w:numId w:val="45"/>
        </w:numPr>
        <w:spacing w:before="120" w:after="120" w:line="288" w:lineRule="auto"/>
        <w:ind w:left="0"/>
        <w:jc w:val="left"/>
      </w:pPr>
      <w:r>
        <w:rPr>
          <w:rFonts w:ascii="Arial" w:hAnsi="Arial" w:eastAsia="等线" w:cs="Arial"/>
          <w:sz w:val="22"/>
        </w:rPr>
        <w:t>若合伙企业需要更多资金，投资者在其他投资中有足够的现金或流动性吗？</w:t>
      </w:r>
    </w:p>
    <w:p w14:paraId="2CF6B4E7">
      <w:pPr>
        <w:numPr>
          <w:ilvl w:val="0"/>
          <w:numId w:val="46"/>
        </w:numPr>
        <w:spacing w:before="120" w:after="120" w:line="288" w:lineRule="auto"/>
        <w:ind w:left="0"/>
        <w:jc w:val="left"/>
      </w:pPr>
      <w:r>
        <w:rPr>
          <w:rFonts w:ascii="Arial" w:hAnsi="Arial" w:eastAsia="等线" w:cs="Arial"/>
          <w:sz w:val="22"/>
        </w:rPr>
        <w:t>潜在合伙人能接受资金长期被套牢吗？</w:t>
      </w:r>
    </w:p>
    <w:p w14:paraId="7286BF26">
      <w:pPr>
        <w:numPr>
          <w:ilvl w:val="0"/>
          <w:numId w:val="47"/>
        </w:numPr>
        <w:spacing w:before="120" w:after="120" w:line="288" w:lineRule="auto"/>
        <w:ind w:left="0"/>
        <w:jc w:val="left"/>
      </w:pPr>
      <w:r>
        <w:rPr>
          <w:rFonts w:ascii="Arial" w:hAnsi="Arial" w:eastAsia="等线" w:cs="Arial"/>
          <w:sz w:val="22"/>
        </w:rPr>
        <w:t>他们能应对这些风险吗？</w:t>
      </w:r>
    </w:p>
    <w:p w14:paraId="1BA75F05">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FB2A9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0B9B64BD">
            <w:pPr>
              <w:numPr>
                <w:ilvl w:val="0"/>
                <w:numId w:val="48"/>
              </w:numPr>
              <w:spacing w:before="120" w:after="120" w:line="288" w:lineRule="auto"/>
              <w:ind w:left="0"/>
              <w:jc w:val="left"/>
            </w:pPr>
            <w:r>
              <w:rPr>
                <w:rFonts w:ascii="Arial" w:hAnsi="Arial" w:eastAsia="等线" w:cs="Arial"/>
                <w:sz w:val="22"/>
              </w:rPr>
              <w:t>Which of the following documents must be signed by a general partner to accept a new limited</w:t>
            </w:r>
          </w:p>
          <w:p w14:paraId="6B1863EE">
            <w:pPr>
              <w:spacing w:before="120" w:after="120" w:line="288" w:lineRule="auto"/>
              <w:ind w:left="0"/>
              <w:jc w:val="left"/>
            </w:pPr>
            <w:r>
              <w:rPr>
                <w:rFonts w:ascii="Arial" w:hAnsi="Arial" w:eastAsia="等线" w:cs="Arial"/>
                <w:sz w:val="22"/>
              </w:rPr>
              <w:t>partner?</w:t>
            </w:r>
          </w:p>
          <w:p w14:paraId="757ED749">
            <w:pPr>
              <w:spacing w:before="120" w:after="120" w:line="288" w:lineRule="auto"/>
              <w:ind w:left="0"/>
              <w:jc w:val="left"/>
            </w:pPr>
            <w:r>
              <w:rPr>
                <w:rFonts w:ascii="Arial" w:hAnsi="Arial" w:eastAsia="等线" w:cs="Arial"/>
                <w:sz w:val="22"/>
              </w:rPr>
              <w:t>(A) Partnership welcome form</w:t>
            </w:r>
          </w:p>
          <w:p w14:paraId="080A3D6C">
            <w:pPr>
              <w:spacing w:before="120" w:after="120" w:line="288" w:lineRule="auto"/>
              <w:ind w:left="0"/>
              <w:jc w:val="left"/>
            </w:pPr>
            <w:r>
              <w:rPr>
                <w:rFonts w:ascii="Arial" w:hAnsi="Arial" w:eastAsia="等线" w:cs="Arial"/>
                <w:sz w:val="22"/>
              </w:rPr>
              <w:t>(B) Certificate of limited partnership</w:t>
            </w:r>
          </w:p>
          <w:p w14:paraId="299BC900">
            <w:pPr>
              <w:spacing w:before="120" w:after="120" w:line="288" w:lineRule="auto"/>
              <w:ind w:left="0"/>
              <w:jc w:val="left"/>
            </w:pPr>
            <w:r>
              <w:rPr>
                <w:rFonts w:ascii="Arial" w:hAnsi="Arial" w:eastAsia="等线" w:cs="Arial"/>
                <w:sz w:val="22"/>
              </w:rPr>
              <w:t>(C) Agreement of limited partnership</w:t>
            </w:r>
          </w:p>
          <w:p w14:paraId="69C2026F">
            <w:pPr>
              <w:spacing w:before="120" w:after="120" w:line="288" w:lineRule="auto"/>
              <w:ind w:left="0"/>
              <w:jc w:val="left"/>
            </w:pPr>
            <w:r>
              <w:rPr>
                <w:rFonts w:ascii="Arial" w:hAnsi="Arial" w:eastAsia="等线" w:cs="Arial"/>
                <w:sz w:val="22"/>
              </w:rPr>
              <w:t>(D) Subscription agreement</w:t>
            </w:r>
          </w:p>
        </w:tc>
      </w:tr>
    </w:tbl>
    <w:p w14:paraId="4DC3FF4B">
      <w:pPr>
        <w:spacing w:before="300" w:after="120" w:line="288" w:lineRule="auto"/>
        <w:ind w:left="0"/>
        <w:jc w:val="left"/>
        <w:outlineLvl w:val="2"/>
      </w:pPr>
      <w:bookmarkStart w:id="9" w:name="heading_9"/>
      <w:r>
        <w:rPr>
          <w:rFonts w:ascii="Arial" w:hAnsi="Arial" w:eastAsia="等线" w:cs="Arial"/>
          <w:color w:val="3370FF"/>
          <w:sz w:val="30"/>
        </w:rPr>
        <w:t xml:space="preserve">2.1.4 </w:t>
      </w:r>
      <w:r>
        <w:rPr>
          <w:rFonts w:ascii="Arial" w:hAnsi="Arial" w:eastAsia="等线" w:cs="Arial"/>
          <w:b/>
          <w:sz w:val="30"/>
        </w:rPr>
        <w:t>DPPs 常见类型</w:t>
      </w:r>
      <w:bookmarkEnd w:id="9"/>
    </w:p>
    <w:p w14:paraId="33410067">
      <w:pPr>
        <w:spacing w:before="120" w:after="120" w:line="288" w:lineRule="auto"/>
        <w:ind w:left="0"/>
        <w:jc w:val="left"/>
      </w:pPr>
      <w:r>
        <w:rPr>
          <w:rFonts w:ascii="Arial" w:hAnsi="Arial" w:eastAsia="等线" w:cs="Arial"/>
          <w:sz w:val="22"/>
        </w:rPr>
        <w:t>合伙企业可以成立来经营几乎任何你能想到的业务，但 SIE 考试重点关注三大类：</w:t>
      </w:r>
    </w:p>
    <w:p w14:paraId="7932DF69">
      <w:pPr>
        <w:numPr>
          <w:ilvl w:val="0"/>
          <w:numId w:val="49"/>
        </w:numPr>
        <w:spacing w:before="120" w:after="120" w:line="288" w:lineRule="auto"/>
        <w:ind w:left="0"/>
        <w:jc w:val="left"/>
      </w:pPr>
      <w:r>
        <w:rPr>
          <w:rFonts w:ascii="Arial" w:hAnsi="Arial" w:eastAsia="等线" w:cs="Arial"/>
          <w:sz w:val="22"/>
        </w:rPr>
        <w:t>房地产</w:t>
      </w:r>
    </w:p>
    <w:p w14:paraId="0BD9B3EF">
      <w:pPr>
        <w:numPr>
          <w:ilvl w:val="0"/>
          <w:numId w:val="50"/>
        </w:numPr>
        <w:spacing w:before="120" w:after="120" w:line="288" w:lineRule="auto"/>
        <w:ind w:left="0"/>
        <w:jc w:val="left"/>
      </w:pPr>
      <w:r>
        <w:rPr>
          <w:rFonts w:ascii="Arial" w:hAnsi="Arial" w:eastAsia="等线" w:cs="Arial"/>
          <w:sz w:val="22"/>
        </w:rPr>
        <w:t>设备租赁和</w:t>
      </w:r>
    </w:p>
    <w:p w14:paraId="50F33F0E">
      <w:pPr>
        <w:numPr>
          <w:ilvl w:val="0"/>
          <w:numId w:val="51"/>
        </w:numPr>
        <w:spacing w:before="120" w:after="120" w:line="288" w:lineRule="auto"/>
        <w:ind w:left="0"/>
        <w:jc w:val="left"/>
      </w:pPr>
      <w:r>
        <w:rPr>
          <w:rFonts w:ascii="Arial" w:hAnsi="Arial" w:eastAsia="等线" w:cs="Arial"/>
          <w:sz w:val="22"/>
        </w:rPr>
        <w:t>油天然气</w:t>
      </w:r>
    </w:p>
    <w:p w14:paraId="5BBB19A8">
      <w:pPr>
        <w:spacing w:before="120" w:after="120" w:line="288" w:lineRule="auto"/>
        <w:ind w:left="0"/>
        <w:jc w:val="left"/>
      </w:pPr>
      <w:r>
        <w:rPr>
          <w:rFonts w:ascii="Arial" w:hAnsi="Arial" w:eastAsia="等线" w:cs="Arial"/>
          <w:sz w:val="22"/>
        </w:rPr>
        <w:t>你需要能够识别以下每种类型合伙企业的风险和潜在回报。</w:t>
      </w:r>
    </w:p>
    <w:p w14:paraId="5EC45147">
      <w:pPr>
        <w:spacing w:before="260" w:after="120" w:line="288" w:lineRule="auto"/>
        <w:ind w:left="0"/>
        <w:jc w:val="left"/>
        <w:outlineLvl w:val="3"/>
      </w:pPr>
      <w:bookmarkStart w:id="10" w:name="heading_10"/>
      <w:r>
        <w:rPr>
          <w:rFonts w:ascii="Arial" w:hAnsi="Arial" w:eastAsia="等线" w:cs="Arial"/>
          <w:color w:val="3370FF"/>
          <w:sz w:val="28"/>
        </w:rPr>
        <w:t xml:space="preserve">2.1.4.1 </w:t>
      </w:r>
      <w:r>
        <w:rPr>
          <w:rFonts w:ascii="Arial" w:hAnsi="Arial" w:eastAsia="等线" w:cs="Arial"/>
          <w:b/>
          <w:sz w:val="28"/>
        </w:rPr>
        <w:t>房地产合伙项目（Real Estate Programs）</w:t>
      </w:r>
      <w:bookmarkEnd w:id="10"/>
    </w:p>
    <w:p w14:paraId="1AAC13D3">
      <w:pPr>
        <w:spacing w:before="120" w:after="120" w:line="288" w:lineRule="auto"/>
        <w:ind w:left="0"/>
        <w:jc w:val="left"/>
      </w:pPr>
      <w:r>
        <w:rPr>
          <w:rFonts w:ascii="Arial" w:hAnsi="Arial" w:eastAsia="等线" w:cs="Arial"/>
          <w:sz w:val="22"/>
        </w:rPr>
        <w:t>房地产有限合伙（Real-estate limited partnerships，RELPs）包括投资于未开发土地、新建建筑、现有物业或政府补贴住房项目。你需要了解这些项目类型之间的差异，以及它们的风险和潜在回报。</w:t>
      </w:r>
    </w:p>
    <w:p w14:paraId="14C53F1F">
      <w:pPr>
        <w:spacing w:before="120" w:after="120" w:line="288" w:lineRule="auto"/>
        <w:ind w:left="0"/>
        <w:jc w:val="left"/>
      </w:pPr>
    </w:p>
    <w:p w14:paraId="46031C77">
      <w:pPr>
        <w:spacing w:before="120" w:after="120" w:line="288" w:lineRule="auto"/>
        <w:ind w:left="0"/>
        <w:jc w:val="left"/>
      </w:pPr>
      <w:r>
        <w:rPr>
          <w:rFonts w:ascii="Arial" w:hAnsi="Arial" w:eastAsia="等线" w:cs="Arial"/>
          <w:sz w:val="22"/>
        </w:rPr>
        <w:t>房地产直接参与计划（Real Estate DPPs）类型风险等级由低到高排列：</w:t>
      </w:r>
    </w:p>
    <w:p w14:paraId="0BA28593">
      <w:pPr>
        <w:spacing w:before="120" w:after="120" w:line="288" w:lineRule="auto"/>
        <w:ind w:left="0"/>
        <w:jc w:val="left"/>
      </w:pPr>
    </w:p>
    <w:p w14:paraId="6FCCC9C8">
      <w:pPr>
        <w:numPr>
          <w:ilvl w:val="0"/>
          <w:numId w:val="52"/>
        </w:numPr>
        <w:spacing w:before="120" w:after="120" w:line="288" w:lineRule="auto"/>
        <w:ind w:left="0"/>
        <w:jc w:val="left"/>
      </w:pPr>
      <w:r>
        <w:rPr>
          <w:rFonts w:ascii="Arial" w:hAnsi="Arial" w:eastAsia="等线" w:cs="Arial"/>
          <w:sz w:val="22"/>
        </w:rPr>
        <w:t>公共住房（政府资助住房项目）（Public housing (government-assisted housing programs)）</w:t>
      </w:r>
    </w:p>
    <w:p w14:paraId="2D8A6794">
      <w:pPr>
        <w:spacing w:before="120" w:after="120" w:line="288" w:lineRule="auto"/>
        <w:ind w:left="0"/>
        <w:jc w:val="left"/>
      </w:pPr>
      <w:r>
        <w:rPr>
          <w:rFonts w:ascii="Arial" w:hAnsi="Arial" w:eastAsia="等线" w:cs="Arial"/>
          <w:sz w:val="22"/>
        </w:rPr>
        <w:t>这类房地产 DPP 开发低收入和退休人员住房，重点是赚取稳定的收入并获得税收抵免（tax credits）。美国政府（通过补贴）通过美国住房和城市发展部（HUD）弥补任何不足的租金支付。增值潜力较低，维护成本可能较高，但DPP确实受益于一定程度的政府保障。公共住房DPP由美国政府支持，因此通常被认为是最安全的房地产DPP。</w:t>
      </w:r>
    </w:p>
    <w:p w14:paraId="74B23825">
      <w:pPr>
        <w:spacing w:before="120" w:after="120" w:line="288" w:lineRule="auto"/>
        <w:ind w:left="0"/>
        <w:jc w:val="left"/>
      </w:pPr>
    </w:p>
    <w:p w14:paraId="3FD40CD9">
      <w:pPr>
        <w:numPr>
          <w:ilvl w:val="0"/>
          <w:numId w:val="53"/>
        </w:numPr>
        <w:spacing w:before="120" w:after="120" w:line="288" w:lineRule="auto"/>
        <w:ind w:left="0"/>
        <w:jc w:val="left"/>
      </w:pPr>
      <w:r>
        <w:rPr>
          <w:rFonts w:ascii="Arial" w:hAnsi="Arial" w:eastAsia="等线" w:cs="Arial"/>
          <w:sz w:val="22"/>
        </w:rPr>
        <w:t>现有房产（Existing properties）</w:t>
      </w:r>
    </w:p>
    <w:p w14:paraId="4BF7E503">
      <w:pPr>
        <w:spacing w:before="120" w:after="120" w:line="288" w:lineRule="auto"/>
        <w:ind w:left="0"/>
        <w:jc w:val="left"/>
      </w:pPr>
      <w:r>
        <w:rPr>
          <w:rFonts w:ascii="Arial" w:hAnsi="Arial" w:eastAsia="等线" w:cs="Arial"/>
          <w:sz w:val="22"/>
        </w:rPr>
        <w:t>此类 DPP 购买现有房产，目的是产生定期的租金收入流。由于房产已经存在，这种 DPP 能产生即时现金流。风险在于维护或维修费用会侵蚀利润，以及租户不会续租。这些房产已经存在且正在产生收入，因此此类DPP的风险相对较低。</w:t>
      </w:r>
    </w:p>
    <w:p w14:paraId="3C5E01C6">
      <w:pPr>
        <w:spacing w:before="120" w:after="120" w:line="288" w:lineRule="auto"/>
        <w:ind w:left="0"/>
        <w:jc w:val="left"/>
      </w:pPr>
    </w:p>
    <w:p w14:paraId="4DC510E1">
      <w:pPr>
        <w:numPr>
          <w:ilvl w:val="0"/>
          <w:numId w:val="54"/>
        </w:numPr>
        <w:spacing w:before="120" w:after="120" w:line="288" w:lineRule="auto"/>
        <w:ind w:left="0"/>
        <w:jc w:val="left"/>
      </w:pPr>
      <w:r>
        <w:rPr>
          <w:rFonts w:ascii="Arial" w:hAnsi="Arial" w:eastAsia="等线" w:cs="Arial"/>
          <w:sz w:val="22"/>
        </w:rPr>
        <w:t>新建项目（New construction）</w:t>
      </w:r>
    </w:p>
    <w:p w14:paraId="0AEC8659">
      <w:pPr>
        <w:spacing w:before="120" w:after="120" w:line="288" w:lineRule="auto"/>
        <w:ind w:left="0"/>
        <w:jc w:val="left"/>
      </w:pPr>
      <w:r>
        <w:rPr>
          <w:rFonts w:ascii="Arial" w:hAnsi="Arial" w:eastAsia="等线" w:cs="Arial"/>
          <w:sz w:val="22"/>
        </w:rPr>
        <w:t>这类有限合伙企业（DPP）购买房产的目的是进行建设。建成后，该合伙企业的目标是在扣除所有费用后，将房产和建筑物出售以获取利润。建筑成本可能会超出预期，而且合伙企业在房产售出前不会有收入，但有限合伙企业（DPP）可以从土地和建筑物的增值中获益。尽管这种投资具有投机性（风险较高），但不像生地有限合伙企业（DPP）那样风险大。</w:t>
      </w:r>
    </w:p>
    <w:p w14:paraId="621C75B6">
      <w:pPr>
        <w:spacing w:before="120" w:after="120" w:line="288" w:lineRule="auto"/>
        <w:ind w:left="0"/>
        <w:jc w:val="left"/>
      </w:pPr>
    </w:p>
    <w:p w14:paraId="1DCA7299">
      <w:pPr>
        <w:numPr>
          <w:ilvl w:val="0"/>
          <w:numId w:val="55"/>
        </w:numPr>
        <w:spacing w:before="120" w:after="120" w:line="288" w:lineRule="auto"/>
        <w:ind w:left="0"/>
        <w:jc w:val="left"/>
      </w:pPr>
      <w:r>
        <w:rPr>
          <w:rFonts w:ascii="Arial" w:hAnsi="Arial" w:eastAsia="等线" w:cs="Arial"/>
          <w:sz w:val="22"/>
        </w:rPr>
        <w:t>生地（Raw land）</w:t>
      </w:r>
    </w:p>
    <w:p w14:paraId="55F180BA">
      <w:pPr>
        <w:spacing w:before="120" w:after="120" w:line="288" w:lineRule="auto"/>
        <w:ind w:left="0"/>
        <w:jc w:val="left"/>
      </w:pPr>
      <w:r>
        <w:rPr>
          <w:rFonts w:ascii="Arial" w:hAnsi="Arial" w:eastAsia="等线" w:cs="Arial"/>
          <w:sz w:val="22"/>
        </w:rPr>
        <w:t>此类 DPP 投资于未开发的土地，期望获得长期资本增值，这意味着生地 DPPs 实际上不会在该土地上进行建设或出租。合伙企业希望所购买的土地能够增值，以便 DPP 可以以高于购买价格加上所有费用的价格出售该土地。</w:t>
      </w:r>
    </w:p>
    <w:p w14:paraId="6188A780">
      <w:pPr>
        <w:spacing w:before="120" w:after="120" w:line="288" w:lineRule="auto"/>
        <w:ind w:left="0"/>
        <w:jc w:val="left"/>
      </w:pPr>
    </w:p>
    <w:p w14:paraId="70079F70">
      <w:pPr>
        <w:spacing w:before="120" w:after="120" w:line="288" w:lineRule="auto"/>
        <w:ind w:left="0"/>
        <w:jc w:val="left"/>
      </w:pPr>
      <w:r>
        <w:rPr>
          <w:rFonts w:ascii="Arial" w:hAnsi="Arial" w:eastAsia="等线" w:cs="Arial"/>
          <w:b/>
          <w:sz w:val="22"/>
        </w:rPr>
        <w:t>注意：</w:t>
      </w:r>
      <w:r>
        <w:rPr>
          <w:rFonts w:ascii="Arial" w:hAnsi="Arial" w:eastAsia="等线" w:cs="Arial"/>
          <w:sz w:val="22"/>
        </w:rPr>
        <w:t>生地直接参与计划被认为是风险最高的房地产直接参与计划，因为这类合伙企业没有任何现金流（没有租金或销售收入），而且土地价值可能不会上涨，甚至可能下跌。</w:t>
      </w:r>
    </w:p>
    <w:p w14:paraId="7F720AEF">
      <w:pPr>
        <w:spacing w:before="120" w:after="120" w:line="288" w:lineRule="auto"/>
        <w:ind w:left="0"/>
        <w:jc w:val="left"/>
      </w:pPr>
    </w:p>
    <w:p w14:paraId="22763ADA">
      <w:pPr>
        <w:spacing w:before="260" w:after="120" w:line="288" w:lineRule="auto"/>
        <w:ind w:left="0"/>
        <w:jc w:val="left"/>
        <w:outlineLvl w:val="3"/>
      </w:pPr>
      <w:bookmarkStart w:id="11" w:name="heading_11"/>
      <w:r>
        <w:rPr>
          <w:rFonts w:ascii="Arial" w:hAnsi="Arial" w:eastAsia="等线" w:cs="Arial"/>
          <w:color w:val="3370FF"/>
          <w:sz w:val="28"/>
        </w:rPr>
        <w:t xml:space="preserve">2.1.4.2 </w:t>
      </w:r>
      <w:r>
        <w:rPr>
          <w:rFonts w:ascii="Arial" w:hAnsi="Arial" w:eastAsia="等线" w:cs="Arial"/>
          <w:b/>
          <w:sz w:val="28"/>
        </w:rPr>
        <w:t>设备租赁合伙项目（Equipment Leasing Programs）</w:t>
      </w:r>
      <w:bookmarkEnd w:id="11"/>
    </w:p>
    <w:p w14:paraId="09402148">
      <w:pPr>
        <w:spacing w:before="120" w:after="120" w:line="288" w:lineRule="auto"/>
        <w:ind w:left="0"/>
        <w:jc w:val="left"/>
      </w:pPr>
      <w:r>
        <w:rPr>
          <w:rFonts w:ascii="Arial" w:hAnsi="Arial" w:eastAsia="等线" w:cs="Arial"/>
          <w:sz w:val="22"/>
        </w:rPr>
        <w:t>设备租赁项目会购买设备（卡车、重型机械、计算机等，不一而足）并将其出租给其他企业。其目标是获得稳定的现金流和折旧冲销。</w:t>
      </w:r>
    </w:p>
    <w:p w14:paraId="7BF9537D">
      <w:pPr>
        <w:spacing w:before="120" w:after="120" w:line="288" w:lineRule="auto"/>
        <w:ind w:left="0"/>
        <w:jc w:val="left"/>
      </w:pPr>
    </w:p>
    <w:p w14:paraId="0921326A">
      <w:pPr>
        <w:spacing w:before="120" w:after="120" w:line="288" w:lineRule="auto"/>
        <w:ind w:left="0"/>
        <w:jc w:val="left"/>
      </w:pPr>
      <w:r>
        <w:rPr>
          <w:rFonts w:ascii="Arial" w:hAnsi="Arial" w:eastAsia="等线" w:cs="Arial"/>
          <w:sz w:val="22"/>
        </w:rPr>
        <w:t>你需要了解的两种租赁安排是</w:t>
      </w:r>
      <w:r>
        <w:rPr>
          <w:rFonts w:ascii="Arial" w:hAnsi="Arial" w:eastAsia="等线" w:cs="Arial"/>
          <w:b/>
          <w:sz w:val="22"/>
        </w:rPr>
        <w:t>经营租赁</w:t>
      </w:r>
      <w:r>
        <w:rPr>
          <w:rFonts w:ascii="Arial" w:hAnsi="Arial" w:eastAsia="等线" w:cs="Arial"/>
          <w:sz w:val="22"/>
        </w:rPr>
        <w:t>和</w:t>
      </w:r>
      <w:r>
        <w:rPr>
          <w:rFonts w:ascii="Arial" w:hAnsi="Arial" w:eastAsia="等线" w:cs="Arial"/>
          <w:b/>
          <w:sz w:val="22"/>
        </w:rPr>
        <w:t>全额支付租赁。</w:t>
      </w:r>
    </w:p>
    <w:p w14:paraId="5AEFA2C0">
      <w:pPr>
        <w:numPr>
          <w:ilvl w:val="0"/>
          <w:numId w:val="56"/>
        </w:numPr>
        <w:spacing w:before="120" w:after="120" w:line="288" w:lineRule="auto"/>
        <w:ind w:left="0"/>
        <w:jc w:val="left"/>
      </w:pPr>
      <w:r>
        <w:rPr>
          <w:rFonts w:ascii="Arial" w:hAnsi="Arial" w:eastAsia="等线" w:cs="Arial"/>
          <w:sz w:val="22"/>
        </w:rPr>
        <w:t>经营租赁（Operating lease）</w:t>
      </w:r>
    </w:p>
    <w:p w14:paraId="337114B0">
      <w:pPr>
        <w:spacing w:before="120" w:after="120" w:line="288" w:lineRule="auto"/>
        <w:ind w:left="0"/>
        <w:jc w:val="left"/>
      </w:pPr>
      <w:r>
        <w:rPr>
          <w:rFonts w:ascii="Arial" w:hAnsi="Arial" w:eastAsia="等线" w:cs="Arial"/>
          <w:sz w:val="22"/>
        </w:rPr>
        <w:t>这种设备租赁方案是购买设备并短期出租。DPP 在第一次租赁期间不会收到设备的全部价值。这种安排允许DPP在机器的使用寿命内多次出租该设备。</w:t>
      </w:r>
    </w:p>
    <w:p w14:paraId="232D2DCC">
      <w:pPr>
        <w:numPr>
          <w:ilvl w:val="0"/>
          <w:numId w:val="57"/>
        </w:numPr>
        <w:spacing w:before="120" w:after="120" w:line="288" w:lineRule="auto"/>
        <w:ind w:left="0"/>
        <w:jc w:val="left"/>
      </w:pPr>
      <w:r>
        <w:rPr>
          <w:rFonts w:ascii="Arial" w:hAnsi="Arial" w:eastAsia="等线" w:cs="Arial"/>
          <w:sz w:val="22"/>
        </w:rPr>
        <w:t>全额支付租赁（Full payout lease）</w:t>
      </w:r>
    </w:p>
    <w:p w14:paraId="18B04EED">
      <w:pPr>
        <w:spacing w:before="120" w:after="120" w:line="288" w:lineRule="auto"/>
        <w:ind w:left="0"/>
        <w:jc w:val="left"/>
      </w:pPr>
      <w:r>
        <w:rPr>
          <w:rFonts w:ascii="Arial" w:hAnsi="Arial" w:eastAsia="等线" w:cs="Arial"/>
          <w:sz w:val="22"/>
        </w:rPr>
        <w:t>这种设备租赁方案是购买设备并长期出租。DPP从首次租赁中获得的收入足以覆盖设备成本和任何融资成本。通常，初始租赁期限与设备的使用寿命相当。</w:t>
      </w:r>
    </w:p>
    <w:p w14:paraId="474F83EC">
      <w:pPr>
        <w:spacing w:before="120" w:after="120" w:line="288" w:lineRule="auto"/>
        <w:ind w:left="0"/>
        <w:jc w:val="left"/>
      </w:pPr>
    </w:p>
    <w:p w14:paraId="1B7DFEAC">
      <w:pPr>
        <w:spacing w:before="120" w:after="120" w:line="288" w:lineRule="auto"/>
        <w:ind w:left="0"/>
        <w:jc w:val="left"/>
      </w:pPr>
      <w:r>
        <w:rPr>
          <w:rFonts w:ascii="Arial" w:hAnsi="Arial" w:eastAsia="等线" w:cs="Arial"/>
          <w:b/>
          <w:sz w:val="22"/>
        </w:rPr>
        <w:t>注意：</w:t>
      </w:r>
      <w:r>
        <w:rPr>
          <w:rFonts w:ascii="Arial" w:hAnsi="Arial" w:eastAsia="等线" w:cs="Arial"/>
          <w:sz w:val="22"/>
        </w:rPr>
        <w:t>经营租赁风险更高，因为设备会随着时间的推移变得不那么值钱或过时，因此也不太容易租出去。</w:t>
      </w:r>
    </w:p>
    <w:p w14:paraId="3923BAA0">
      <w:pPr>
        <w:spacing w:before="120" w:after="120" w:line="288" w:lineRule="auto"/>
        <w:ind w:left="0"/>
        <w:jc w:val="left"/>
      </w:pPr>
    </w:p>
    <w:p w14:paraId="5BA87F92">
      <w:pPr>
        <w:spacing w:before="260" w:after="120" w:line="288" w:lineRule="auto"/>
        <w:ind w:left="0"/>
        <w:jc w:val="left"/>
        <w:outlineLvl w:val="3"/>
      </w:pPr>
      <w:bookmarkStart w:id="12" w:name="heading_12"/>
      <w:r>
        <w:rPr>
          <w:rFonts w:ascii="Arial" w:hAnsi="Arial" w:eastAsia="等线" w:cs="Arial"/>
          <w:color w:val="3370FF"/>
          <w:sz w:val="28"/>
        </w:rPr>
        <w:t xml:space="preserve">2.1.4.3 </w:t>
      </w:r>
      <w:r>
        <w:rPr>
          <w:rFonts w:ascii="Arial" w:hAnsi="Arial" w:eastAsia="等线" w:cs="Arial"/>
          <w:b/>
          <w:sz w:val="28"/>
        </w:rPr>
        <w:t>油气合伙项目（Oil &amp; Gas Programs）</w:t>
      </w:r>
      <w:bookmarkEnd w:id="12"/>
    </w:p>
    <w:p w14:paraId="26C7FFF4">
      <w:pPr>
        <w:spacing w:before="120" w:after="120" w:line="288" w:lineRule="auto"/>
        <w:ind w:left="0"/>
        <w:jc w:val="left"/>
      </w:pPr>
      <w:r>
        <w:rPr>
          <w:rFonts w:ascii="Arial" w:hAnsi="Arial" w:eastAsia="等线" w:cs="Arial"/>
          <w:sz w:val="22"/>
        </w:rPr>
        <w:t>油气合伙企业包括产生收入的项目、具有投机性质的项目，或两者兼而有之的项目。你需要了解这些项目类型的差异，以及它们的风险和潜在回报。</w:t>
      </w:r>
    </w:p>
    <w:p w14:paraId="590A31E5">
      <w:pPr>
        <w:spacing w:before="120" w:after="120" w:line="288" w:lineRule="auto"/>
        <w:ind w:left="0"/>
        <w:jc w:val="left"/>
      </w:pPr>
    </w:p>
    <w:p w14:paraId="21B143E2">
      <w:pPr>
        <w:spacing w:before="120" w:after="120" w:line="288" w:lineRule="auto"/>
        <w:ind w:left="0"/>
        <w:jc w:val="left"/>
      </w:pPr>
      <w:r>
        <w:rPr>
          <w:rFonts w:ascii="Arial" w:hAnsi="Arial" w:eastAsia="等线" w:cs="Arial"/>
          <w:sz w:val="22"/>
        </w:rPr>
        <w:t>油气合伙企业还具有某些独特的税收优惠：</w:t>
      </w:r>
    </w:p>
    <w:p w14:paraId="326BC1C5">
      <w:pPr>
        <w:spacing w:before="120" w:after="120" w:line="288" w:lineRule="auto"/>
        <w:ind w:left="0"/>
        <w:jc w:val="left"/>
      </w:pPr>
    </w:p>
    <w:p w14:paraId="4607BFB1">
      <w:pPr>
        <w:numPr>
          <w:ilvl w:val="0"/>
          <w:numId w:val="58"/>
        </w:numPr>
        <w:spacing w:before="120" w:after="120" w:line="288" w:lineRule="auto"/>
        <w:ind w:left="0"/>
        <w:jc w:val="left"/>
      </w:pPr>
      <w:r>
        <w:rPr>
          <w:rFonts w:ascii="Arial" w:hAnsi="Arial" w:eastAsia="等线" w:cs="Arial"/>
          <w:sz w:val="22"/>
        </w:rPr>
        <w:t>无形钻井成本 Intangible Drilling Costs (IDCs)</w:t>
      </w:r>
    </w:p>
    <w:p w14:paraId="737D10FA">
      <w:pPr>
        <w:spacing w:before="120" w:after="120" w:line="288" w:lineRule="auto"/>
        <w:ind w:left="0"/>
        <w:jc w:val="left"/>
      </w:pPr>
      <w:r>
        <w:rPr>
          <w:rFonts w:ascii="Arial" w:hAnsi="Arial" w:eastAsia="等线" w:cs="Arial"/>
          <w:sz w:val="22"/>
        </w:rPr>
        <w:t>IDCs 是钻井费用的冲销。无形指的是非实际设备，包括员工工资（wages for employees）、燃料（fuels）、维修（repairs）、设备运输（hauling of equipment）、保险（insurance）等。无形成本发生的纳税年度，IDCs 通常可全额扣除。IDC 扣除仅适用于为石油和天然气生产而进行的钻井及油井准备工作。</w:t>
      </w:r>
    </w:p>
    <w:p w14:paraId="60A7DB8F">
      <w:pPr>
        <w:spacing w:before="120" w:after="120" w:line="288" w:lineRule="auto"/>
        <w:ind w:left="0"/>
        <w:jc w:val="left"/>
      </w:pPr>
    </w:p>
    <w:p w14:paraId="7E0CD9F6">
      <w:pPr>
        <w:numPr>
          <w:ilvl w:val="0"/>
          <w:numId w:val="59"/>
        </w:numPr>
        <w:spacing w:before="120" w:after="120" w:line="288" w:lineRule="auto"/>
        <w:ind w:left="0"/>
        <w:jc w:val="left"/>
      </w:pPr>
      <w:r>
        <w:rPr>
          <w:rFonts w:ascii="Arial" w:hAnsi="Arial" w:eastAsia="等线" w:cs="Arial"/>
          <w:sz w:val="22"/>
        </w:rPr>
        <w:t>有形钻井成本 Tangible Drilling Costs (TDCs)</w:t>
      </w:r>
    </w:p>
    <w:p w14:paraId="3B137442">
      <w:pPr>
        <w:spacing w:before="120" w:after="120" w:line="288" w:lineRule="auto"/>
        <w:ind w:left="0"/>
        <w:jc w:val="left"/>
      </w:pPr>
      <w:r>
        <w:rPr>
          <w:rFonts w:ascii="Arial" w:hAnsi="Arial" w:eastAsia="等线" w:cs="Arial"/>
          <w:sz w:val="22"/>
        </w:rPr>
        <w:t>TDCs 是对具有残值（salvage value）（可转售的物品）的已购物品的注销。所有油气直接参与项目（DPPs）都有TDCs，其中包括购买储油罐和油井设备等物品的成本。这些成本不会立即注销，而是在数年内进行折旧扣除 depreciated deducted）。折旧可以按直线法（每年注销等额金额）或加速法（前几年注销较多，后几年注销较少）计提。</w:t>
      </w:r>
    </w:p>
    <w:p w14:paraId="36753928">
      <w:pPr>
        <w:spacing w:before="120" w:after="120" w:line="288" w:lineRule="auto"/>
        <w:ind w:left="0"/>
        <w:jc w:val="left"/>
      </w:pPr>
    </w:p>
    <w:p w14:paraId="280763F5">
      <w:pPr>
        <w:spacing w:before="120" w:after="120" w:line="288" w:lineRule="auto"/>
        <w:ind w:left="0"/>
        <w:jc w:val="left"/>
      </w:pPr>
      <w:r>
        <w:rPr>
          <w:rFonts w:ascii="Arial" w:hAnsi="Arial" w:eastAsia="等线" w:cs="Arial"/>
          <w:b/>
          <w:sz w:val="22"/>
        </w:rPr>
        <w:t>注意：</w:t>
      </w:r>
      <w:r>
        <w:rPr>
          <w:rFonts w:ascii="Arial" w:hAnsi="Arial" w:eastAsia="等线" w:cs="Arial"/>
          <w:sz w:val="22"/>
        </w:rPr>
        <w:t>无形钻井成本（IDCs）在当年可全额扣除；有形钻井成本（TDCs）则在数年内折旧（扣除）。</w:t>
      </w:r>
    </w:p>
    <w:p w14:paraId="63CC7DD3">
      <w:pPr>
        <w:spacing w:before="120" w:after="120" w:line="288" w:lineRule="auto"/>
        <w:ind w:left="0"/>
        <w:jc w:val="left"/>
      </w:pPr>
    </w:p>
    <w:p w14:paraId="57CB62BF">
      <w:pPr>
        <w:numPr>
          <w:ilvl w:val="0"/>
          <w:numId w:val="60"/>
        </w:numPr>
        <w:spacing w:before="120" w:after="120" w:line="288" w:lineRule="auto"/>
        <w:ind w:left="0"/>
        <w:jc w:val="left"/>
      </w:pPr>
      <w:r>
        <w:rPr>
          <w:rFonts w:ascii="Arial" w:hAnsi="Arial" w:eastAsia="等线" w:cs="Arial"/>
          <w:sz w:val="22"/>
        </w:rPr>
        <w:t>损耗（Depletion）</w:t>
      </w:r>
    </w:p>
    <w:p w14:paraId="3F8FD098">
      <w:pPr>
        <w:spacing w:before="120" w:after="120" w:line="288" w:lineRule="auto"/>
        <w:ind w:left="0"/>
        <w:jc w:val="left"/>
      </w:pPr>
      <w:r>
        <w:rPr>
          <w:rFonts w:ascii="Arial" w:hAnsi="Arial" w:eastAsia="等线" w:cs="Arial"/>
          <w:sz w:val="22"/>
        </w:rPr>
        <w:t>损耗是一种税收减免，允许从事自然资源（如石油和天然气）业务的合伙企业因资源供应量的减少而获得减免。合伙企业只能对已售出（sold）的自然资源量（而非开采后储存起来供未来销售的量）申请损耗减免。</w:t>
      </w:r>
    </w:p>
    <w:p w14:paraId="13C4C2EE">
      <w:pPr>
        <w:spacing w:before="120" w:after="120" w:line="288" w:lineRule="auto"/>
        <w:ind w:left="0"/>
        <w:jc w:val="left"/>
      </w:pPr>
    </w:p>
    <w:p w14:paraId="4934B0E4">
      <w:pPr>
        <w:spacing w:before="120" w:after="120" w:line="288" w:lineRule="auto"/>
        <w:ind w:left="0"/>
        <w:jc w:val="left"/>
      </w:pPr>
      <w:r>
        <w:rPr>
          <w:rFonts w:ascii="Arial" w:hAnsi="Arial" w:eastAsia="等线" w:cs="Arial"/>
          <w:sz w:val="22"/>
        </w:rPr>
        <w:t>投资石油时，合伙企业可以开拓新领域、在现有油井附近钻探、购买生产中的油井，或者尝试将这些方法结合起来。就 SIE 考试而言，</w:t>
      </w:r>
      <w:r>
        <w:rPr>
          <w:rFonts w:ascii="Arial" w:hAnsi="Arial" w:eastAsia="等线" w:cs="Arial"/>
          <w:b/>
          <w:sz w:val="22"/>
        </w:rPr>
        <w:t>勘探类项目是风险最高的石油和天然气 DPP</w:t>
      </w:r>
      <w:r>
        <w:rPr>
          <w:rFonts w:ascii="Arial" w:hAnsi="Arial" w:eastAsia="等线" w:cs="Arial"/>
          <w:sz w:val="22"/>
        </w:rPr>
        <w:t>，因为可能永远找不到油气，而收益类项目是最安全的石油和天然气 DPP。</w:t>
      </w:r>
    </w:p>
    <w:p w14:paraId="2B753ADC">
      <w:pPr>
        <w:spacing w:before="120" w:after="120" w:line="288" w:lineRule="auto"/>
        <w:ind w:left="0"/>
        <w:jc w:val="left"/>
      </w:pPr>
    </w:p>
    <w:p w14:paraId="39A65575">
      <w:pPr>
        <w:spacing w:before="120" w:after="120" w:line="288" w:lineRule="auto"/>
        <w:ind w:left="0"/>
        <w:jc w:val="left"/>
      </w:pPr>
      <w:r>
        <w:rPr>
          <w:rFonts w:ascii="Arial" w:hAnsi="Arial" w:eastAsia="等线" w:cs="Arial"/>
          <w:sz w:val="22"/>
        </w:rPr>
        <w:t>各类 Oil and Gas DPPs 的优势与风险：</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30"/>
        <w:gridCol w:w="1665"/>
        <w:gridCol w:w="2385"/>
        <w:gridCol w:w="2385"/>
      </w:tblGrid>
      <w:tr w14:paraId="71B9CB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4A3F6DD1">
            <w:pPr>
              <w:spacing w:before="120" w:after="120" w:line="288" w:lineRule="auto"/>
              <w:ind w:left="0"/>
              <w:jc w:val="left"/>
            </w:pPr>
            <w:r>
              <w:rPr>
                <w:rFonts w:ascii="Arial" w:hAnsi="Arial" w:eastAsia="等线" w:cs="Arial"/>
                <w:b/>
                <w:sz w:val="22"/>
              </w:rPr>
              <w:t>Type</w:t>
            </w:r>
          </w:p>
        </w:tc>
        <w:tc>
          <w:tcPr>
            <w:tcW w:w="1665" w:type="dxa"/>
            <w:tcMar>
              <w:top w:w="60" w:type="dxa"/>
              <w:left w:w="120" w:type="dxa"/>
              <w:bottom w:w="30" w:type="dxa"/>
              <w:right w:w="120" w:type="dxa"/>
            </w:tcMar>
          </w:tcPr>
          <w:p w14:paraId="4941DF74">
            <w:pPr>
              <w:spacing w:before="120" w:after="120" w:line="288" w:lineRule="auto"/>
              <w:ind w:left="0"/>
              <w:jc w:val="left"/>
            </w:pPr>
            <w:r>
              <w:rPr>
                <w:rFonts w:ascii="Arial" w:hAnsi="Arial" w:eastAsia="等线" w:cs="Arial"/>
                <w:b/>
                <w:sz w:val="22"/>
              </w:rPr>
              <w:t>Objective</w:t>
            </w:r>
          </w:p>
        </w:tc>
        <w:tc>
          <w:tcPr>
            <w:tcW w:w="2385" w:type="dxa"/>
            <w:tcMar>
              <w:top w:w="60" w:type="dxa"/>
              <w:left w:w="120" w:type="dxa"/>
              <w:bottom w:w="30" w:type="dxa"/>
              <w:right w:w="120" w:type="dxa"/>
            </w:tcMar>
          </w:tcPr>
          <w:p w14:paraId="734FB1D6">
            <w:pPr>
              <w:spacing w:before="120" w:after="120" w:line="288" w:lineRule="auto"/>
              <w:ind w:left="0"/>
              <w:jc w:val="left"/>
            </w:pPr>
            <w:r>
              <w:rPr>
                <w:rFonts w:ascii="Arial" w:hAnsi="Arial" w:eastAsia="等线" w:cs="Arial"/>
                <w:b/>
                <w:sz w:val="22"/>
              </w:rPr>
              <w:t>Advantages</w:t>
            </w:r>
          </w:p>
        </w:tc>
        <w:tc>
          <w:tcPr>
            <w:tcW w:w="2385" w:type="dxa"/>
            <w:tcMar>
              <w:top w:w="60" w:type="dxa"/>
              <w:left w:w="120" w:type="dxa"/>
              <w:bottom w:w="30" w:type="dxa"/>
              <w:right w:w="120" w:type="dxa"/>
            </w:tcMar>
          </w:tcPr>
          <w:p w14:paraId="21755167">
            <w:pPr>
              <w:spacing w:before="120" w:after="120" w:line="288" w:lineRule="auto"/>
              <w:ind w:left="0"/>
              <w:jc w:val="left"/>
            </w:pPr>
            <w:r>
              <w:rPr>
                <w:rFonts w:ascii="Arial" w:hAnsi="Arial" w:eastAsia="等线" w:cs="Arial"/>
                <w:b/>
                <w:sz w:val="22"/>
              </w:rPr>
              <w:t>Risks</w:t>
            </w:r>
          </w:p>
        </w:tc>
      </w:tr>
      <w:tr w14:paraId="08B751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711DAB40">
            <w:pPr>
              <w:spacing w:before="120" w:after="120" w:line="288" w:lineRule="auto"/>
              <w:ind w:left="0"/>
              <w:jc w:val="left"/>
            </w:pPr>
            <w:r>
              <w:rPr>
                <w:rFonts w:ascii="Arial" w:hAnsi="Arial" w:eastAsia="等线" w:cs="Arial"/>
                <w:sz w:val="22"/>
              </w:rPr>
              <w:t>勘探型</w:t>
            </w:r>
          </w:p>
          <w:p w14:paraId="1A9EF86A">
            <w:pPr>
              <w:spacing w:before="120" w:after="120" w:line="288" w:lineRule="auto"/>
              <w:ind w:left="0"/>
              <w:jc w:val="left"/>
            </w:pPr>
            <w:r>
              <w:rPr>
                <w:rFonts w:ascii="Arial" w:hAnsi="Arial" w:eastAsia="等线" w:cs="Arial"/>
                <w:sz w:val="22"/>
              </w:rPr>
              <w:t>Exploratory（wildcatting）</w:t>
            </w:r>
          </w:p>
          <w:p w14:paraId="1DF2FB5C">
            <w:pPr>
              <w:spacing w:before="120" w:after="120" w:line="288" w:lineRule="auto"/>
              <w:ind w:left="0"/>
              <w:jc w:val="left"/>
            </w:pPr>
          </w:p>
        </w:tc>
        <w:tc>
          <w:tcPr>
            <w:tcW w:w="1665" w:type="dxa"/>
            <w:tcMar>
              <w:top w:w="60" w:type="dxa"/>
              <w:left w:w="120" w:type="dxa"/>
              <w:bottom w:w="30" w:type="dxa"/>
              <w:right w:w="120" w:type="dxa"/>
            </w:tcMar>
          </w:tcPr>
          <w:p w14:paraId="23EB12AE">
            <w:pPr>
              <w:spacing w:before="120" w:after="120" w:line="288" w:lineRule="auto"/>
              <w:ind w:left="0"/>
              <w:jc w:val="left"/>
            </w:pPr>
            <w:r>
              <w:rPr>
                <w:rFonts w:ascii="Arial" w:hAnsi="Arial" w:eastAsia="等线" w:cs="Arial"/>
                <w:sz w:val="22"/>
              </w:rPr>
              <w:t>在未经证实、尚未发现的区域定位并钻探石油</w:t>
            </w:r>
          </w:p>
          <w:p w14:paraId="7A93D83F">
            <w:pPr>
              <w:spacing w:before="120" w:after="120" w:line="288" w:lineRule="auto"/>
              <w:ind w:left="0"/>
              <w:jc w:val="left"/>
            </w:pPr>
          </w:p>
        </w:tc>
        <w:tc>
          <w:tcPr>
            <w:tcW w:w="2385" w:type="dxa"/>
            <w:tcMar>
              <w:top w:w="60" w:type="dxa"/>
              <w:left w:w="120" w:type="dxa"/>
              <w:bottom w:w="30" w:type="dxa"/>
              <w:right w:w="120" w:type="dxa"/>
            </w:tcMar>
          </w:tcPr>
          <w:p w14:paraId="41D74FFF">
            <w:pPr>
              <w:spacing w:before="120" w:after="120" w:line="288" w:lineRule="auto"/>
              <w:ind w:left="0"/>
              <w:jc w:val="left"/>
            </w:pPr>
            <w:r>
              <w:rPr>
                <w:rFonts w:ascii="Arial" w:hAnsi="Arial" w:eastAsia="等线" w:cs="Arial"/>
                <w:sz w:val="22"/>
              </w:rPr>
              <w:t>长期资本增值潜力；发现新石油或天然气储量可获得高回报</w:t>
            </w:r>
          </w:p>
        </w:tc>
        <w:tc>
          <w:tcPr>
            <w:tcW w:w="2385" w:type="dxa"/>
            <w:tcMar>
              <w:top w:w="60" w:type="dxa"/>
              <w:left w:w="120" w:type="dxa"/>
              <w:bottom w:w="30" w:type="dxa"/>
              <w:right w:w="120" w:type="dxa"/>
            </w:tcMar>
          </w:tcPr>
          <w:p w14:paraId="6BD19612">
            <w:pPr>
              <w:spacing w:before="120" w:after="120" w:line="288" w:lineRule="auto"/>
              <w:ind w:left="0"/>
              <w:jc w:val="left"/>
            </w:pPr>
            <w:r>
              <w:rPr>
                <w:rFonts w:ascii="Arial" w:hAnsi="Arial" w:eastAsia="等线" w:cs="Arial"/>
                <w:sz w:val="22"/>
              </w:rPr>
              <w:t>是风险最高的 Oil and Gas DPP，因为可能永远找不到新的石油储量；由于直接参与计划不与生产井合作，所以有较高的无形钻井成本（IDCs）</w:t>
            </w:r>
          </w:p>
        </w:tc>
      </w:tr>
      <w:tr w14:paraId="537F6E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5CAA7DDF">
            <w:pPr>
              <w:spacing w:before="120" w:after="120" w:line="288" w:lineRule="auto"/>
              <w:ind w:left="0"/>
              <w:jc w:val="left"/>
            </w:pPr>
            <w:r>
              <w:rPr>
                <w:rFonts w:ascii="Arial" w:hAnsi="Arial" w:eastAsia="等线" w:cs="Arial"/>
                <w:sz w:val="22"/>
              </w:rPr>
              <w:t>开发型</w:t>
            </w:r>
          </w:p>
          <w:p w14:paraId="548219DE">
            <w:pPr>
              <w:spacing w:before="120" w:after="120" w:line="288" w:lineRule="auto"/>
              <w:ind w:left="0"/>
              <w:jc w:val="left"/>
            </w:pPr>
            <w:r>
              <w:rPr>
                <w:rFonts w:ascii="Arial" w:hAnsi="Arial" w:eastAsia="等线" w:cs="Arial"/>
                <w:sz w:val="22"/>
              </w:rPr>
              <w:t>Developmental</w:t>
            </w:r>
          </w:p>
        </w:tc>
        <w:tc>
          <w:tcPr>
            <w:tcW w:w="1665" w:type="dxa"/>
            <w:tcMar>
              <w:top w:w="60" w:type="dxa"/>
              <w:left w:w="120" w:type="dxa"/>
              <w:bottom w:w="30" w:type="dxa"/>
              <w:right w:w="120" w:type="dxa"/>
            </w:tcMar>
          </w:tcPr>
          <w:p w14:paraId="77748A63">
            <w:pPr>
              <w:spacing w:before="120" w:after="120" w:line="288" w:lineRule="auto"/>
              <w:ind w:left="0"/>
              <w:jc w:val="left"/>
            </w:pPr>
            <w:r>
              <w:rPr>
                <w:rFonts w:ascii="Arial" w:hAnsi="Arial" w:eastAsia="等线" w:cs="Arial"/>
                <w:sz w:val="22"/>
              </w:rPr>
              <w:t>在生产井附近钻探，希望找到新的储量</w:t>
            </w:r>
          </w:p>
        </w:tc>
        <w:tc>
          <w:tcPr>
            <w:tcW w:w="2385" w:type="dxa"/>
            <w:tcMar>
              <w:top w:w="60" w:type="dxa"/>
              <w:left w:w="120" w:type="dxa"/>
              <w:bottom w:w="30" w:type="dxa"/>
              <w:right w:w="120" w:type="dxa"/>
            </w:tcMar>
          </w:tcPr>
          <w:p w14:paraId="6C02CE89">
            <w:pPr>
              <w:numPr>
                <w:ilvl w:val="0"/>
                <w:numId w:val="61"/>
              </w:numPr>
              <w:spacing w:before="120" w:after="120" w:line="288" w:lineRule="auto"/>
              <w:ind w:left="0"/>
              <w:jc w:val="left"/>
            </w:pPr>
            <w:r>
              <w:rPr>
                <w:rFonts w:ascii="Arial" w:hAnsi="Arial" w:eastAsia="等线" w:cs="Arial"/>
                <w:sz w:val="22"/>
              </w:rPr>
              <w:t>相比勘探型项目，有长期资本增值潜力且风险更低；</w:t>
            </w:r>
          </w:p>
          <w:p w14:paraId="5110AE84">
            <w:pPr>
              <w:numPr>
                <w:ilvl w:val="0"/>
                <w:numId w:val="62"/>
              </w:numPr>
              <w:spacing w:before="120" w:after="120" w:line="288" w:lineRule="auto"/>
              <w:ind w:left="0"/>
              <w:jc w:val="left"/>
            </w:pPr>
            <w:r>
              <w:rPr>
                <w:rFonts w:ascii="Arial" w:hAnsi="Arial" w:eastAsia="等线" w:cs="Arial"/>
                <w:sz w:val="22"/>
              </w:rPr>
              <w:t>很可能会发现石油。</w:t>
            </w:r>
          </w:p>
        </w:tc>
        <w:tc>
          <w:tcPr>
            <w:tcW w:w="2385" w:type="dxa"/>
            <w:tcMar>
              <w:top w:w="60" w:type="dxa"/>
              <w:left w:w="120" w:type="dxa"/>
              <w:bottom w:w="30" w:type="dxa"/>
              <w:right w:w="120" w:type="dxa"/>
            </w:tcMar>
          </w:tcPr>
          <w:p w14:paraId="39D34D01">
            <w:pPr>
              <w:spacing w:before="120" w:after="120" w:line="288" w:lineRule="auto"/>
              <w:ind w:left="0"/>
              <w:jc w:val="left"/>
            </w:pPr>
            <w:r>
              <w:rPr>
                <w:rFonts w:ascii="Arial" w:hAnsi="Arial" w:eastAsia="等线" w:cs="Arial"/>
                <w:sz w:val="22"/>
              </w:rPr>
              <w:t>地产价格昂贵；钻探成本可能高于预期；干井（无生产能力的井）的风险仍相当高；无形钻井成本（IDCs）为中等水平</w:t>
            </w:r>
          </w:p>
        </w:tc>
      </w:tr>
      <w:tr w14:paraId="3BFE3F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F9FDD53">
            <w:pPr>
              <w:spacing w:before="120" w:after="120" w:line="288" w:lineRule="auto"/>
              <w:ind w:left="0"/>
              <w:jc w:val="left"/>
            </w:pPr>
            <w:r>
              <w:rPr>
                <w:rFonts w:ascii="Arial" w:hAnsi="Arial" w:eastAsia="等线" w:cs="Arial"/>
                <w:sz w:val="22"/>
              </w:rPr>
              <w:t>收入型</w:t>
            </w:r>
          </w:p>
          <w:p w14:paraId="7E3FF272">
            <w:pPr>
              <w:spacing w:before="120" w:after="120" w:line="288" w:lineRule="auto"/>
              <w:ind w:left="0"/>
              <w:jc w:val="left"/>
            </w:pPr>
            <w:r>
              <w:rPr>
                <w:rFonts w:ascii="Arial" w:hAnsi="Arial" w:eastAsia="等线" w:cs="Arial"/>
                <w:sz w:val="22"/>
              </w:rPr>
              <w:t>Income</w:t>
            </w:r>
          </w:p>
          <w:p w14:paraId="31F2FA72">
            <w:pPr>
              <w:spacing w:before="120" w:after="120" w:line="288" w:lineRule="auto"/>
              <w:ind w:left="0"/>
              <w:jc w:val="left"/>
            </w:pPr>
          </w:p>
        </w:tc>
        <w:tc>
          <w:tcPr>
            <w:tcW w:w="1665" w:type="dxa"/>
            <w:tcMar>
              <w:top w:w="60" w:type="dxa"/>
              <w:left w:w="120" w:type="dxa"/>
              <w:bottom w:w="30" w:type="dxa"/>
              <w:right w:w="120" w:type="dxa"/>
            </w:tcMar>
          </w:tcPr>
          <w:p w14:paraId="0DDA53D5">
            <w:pPr>
              <w:spacing w:before="120" w:after="120" w:line="288" w:lineRule="auto"/>
              <w:ind w:left="0"/>
              <w:jc w:val="left"/>
            </w:pPr>
            <w:r>
              <w:rPr>
                <w:rFonts w:ascii="Arial" w:hAnsi="Arial" w:eastAsia="等线" w:cs="Arial"/>
                <w:sz w:val="22"/>
              </w:rPr>
              <w:t>通过购买生产井来提供即时收入。</w:t>
            </w:r>
          </w:p>
          <w:p w14:paraId="38C0BED8">
            <w:pPr>
              <w:spacing w:before="120" w:after="120" w:line="288" w:lineRule="auto"/>
              <w:ind w:left="0"/>
              <w:jc w:val="left"/>
            </w:pPr>
          </w:p>
        </w:tc>
        <w:tc>
          <w:tcPr>
            <w:tcW w:w="2385" w:type="dxa"/>
            <w:tcMar>
              <w:top w:w="60" w:type="dxa"/>
              <w:left w:w="120" w:type="dxa"/>
              <w:bottom w:w="30" w:type="dxa"/>
              <w:right w:w="120" w:type="dxa"/>
            </w:tcMar>
          </w:tcPr>
          <w:p w14:paraId="0EC0D0E7">
            <w:pPr>
              <w:spacing w:before="120" w:after="120" w:line="288" w:lineRule="auto"/>
              <w:ind w:left="0"/>
              <w:jc w:val="left"/>
            </w:pPr>
            <w:r>
              <w:rPr>
                <w:rFonts w:ascii="Arial" w:hAnsi="Arial" w:eastAsia="等线" w:cs="Arial"/>
                <w:sz w:val="22"/>
              </w:rPr>
              <w:t>合伙企业能产生即时现金流；是石油和天然气直接参与计划中风险最低的；无无形钻井成本（IDCs）</w:t>
            </w:r>
          </w:p>
        </w:tc>
        <w:tc>
          <w:tcPr>
            <w:tcW w:w="2385" w:type="dxa"/>
            <w:tcMar>
              <w:top w:w="60" w:type="dxa"/>
              <w:left w:w="120" w:type="dxa"/>
              <w:bottom w:w="30" w:type="dxa"/>
              <w:right w:w="120" w:type="dxa"/>
            </w:tcMar>
          </w:tcPr>
          <w:p w14:paraId="17CF3BDC">
            <w:pPr>
              <w:spacing w:before="120" w:after="120" w:line="288" w:lineRule="auto"/>
              <w:ind w:left="0"/>
              <w:jc w:val="left"/>
            </w:pPr>
            <w:r>
              <w:rPr>
                <w:rFonts w:ascii="Arial" w:hAnsi="Arial" w:eastAsia="等线" w:cs="Arial"/>
                <w:sz w:val="22"/>
              </w:rPr>
              <w:t>初始成本高；油井可能枯竭；天然气价格可能下跌</w:t>
            </w:r>
          </w:p>
        </w:tc>
      </w:tr>
      <w:tr w14:paraId="180C98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30" w:type="dxa"/>
            <w:tcMar>
              <w:top w:w="60" w:type="dxa"/>
              <w:left w:w="120" w:type="dxa"/>
              <w:bottom w:w="30" w:type="dxa"/>
              <w:right w:w="120" w:type="dxa"/>
            </w:tcMar>
          </w:tcPr>
          <w:p w14:paraId="2A3FDD8C">
            <w:pPr>
              <w:spacing w:before="120" w:after="120" w:line="288" w:lineRule="auto"/>
              <w:ind w:left="0"/>
              <w:jc w:val="left"/>
            </w:pPr>
            <w:r>
              <w:rPr>
                <w:rFonts w:ascii="Arial" w:hAnsi="Arial" w:eastAsia="等线" w:cs="Arial"/>
                <w:sz w:val="22"/>
              </w:rPr>
              <w:t>组合型</w:t>
            </w:r>
          </w:p>
          <w:p w14:paraId="7FE0781E">
            <w:pPr>
              <w:spacing w:before="120" w:after="120" w:line="288" w:lineRule="auto"/>
              <w:ind w:left="0"/>
              <w:jc w:val="left"/>
            </w:pPr>
            <w:r>
              <w:rPr>
                <w:rFonts w:ascii="Arial" w:hAnsi="Arial" w:eastAsia="等线" w:cs="Arial"/>
                <w:sz w:val="22"/>
              </w:rPr>
              <w:t>Combination</w:t>
            </w:r>
          </w:p>
        </w:tc>
        <w:tc>
          <w:tcPr>
            <w:tcW w:w="1665" w:type="dxa"/>
            <w:tcMar>
              <w:top w:w="60" w:type="dxa"/>
              <w:left w:w="120" w:type="dxa"/>
              <w:bottom w:w="30" w:type="dxa"/>
              <w:right w:w="120" w:type="dxa"/>
            </w:tcMar>
          </w:tcPr>
          <w:p w14:paraId="22AEEF84">
            <w:pPr>
              <w:spacing w:before="120" w:after="120" w:line="288" w:lineRule="auto"/>
              <w:ind w:left="0"/>
              <w:jc w:val="left"/>
            </w:pPr>
            <w:r>
              <w:rPr>
                <w:rFonts w:ascii="Arial" w:hAnsi="Arial" w:eastAsia="等线" w:cs="Arial"/>
                <w:sz w:val="22"/>
              </w:rPr>
              <w:t>提供收入以帮助支付寻找新石油储量的成本。</w:t>
            </w:r>
          </w:p>
        </w:tc>
        <w:tc>
          <w:tcPr>
            <w:tcW w:w="2385" w:type="dxa"/>
            <w:tcMar>
              <w:top w:w="60" w:type="dxa"/>
              <w:left w:w="120" w:type="dxa"/>
              <w:bottom w:w="30" w:type="dxa"/>
              <w:right w:w="120" w:type="dxa"/>
            </w:tcMar>
          </w:tcPr>
          <w:p w14:paraId="3DE591A5">
            <w:pPr>
              <w:spacing w:before="120" w:after="120" w:line="288" w:lineRule="auto"/>
              <w:ind w:left="0"/>
              <w:jc w:val="left"/>
            </w:pPr>
            <w:r>
              <w:rPr>
                <w:rFonts w:ascii="Arial" w:hAnsi="Arial" w:eastAsia="等线" w:cs="Arial"/>
                <w:sz w:val="22"/>
              </w:rPr>
              <w:t>能够利用现有油井产生的收入来抵消新井钻探的成本</w:t>
            </w:r>
          </w:p>
        </w:tc>
        <w:tc>
          <w:tcPr>
            <w:tcW w:w="2385" w:type="dxa"/>
            <w:tcMar>
              <w:top w:w="60" w:type="dxa"/>
              <w:left w:w="120" w:type="dxa"/>
              <w:bottom w:w="30" w:type="dxa"/>
              <w:right w:w="120" w:type="dxa"/>
            </w:tcMar>
          </w:tcPr>
          <w:p w14:paraId="76542CDF">
            <w:pPr>
              <w:spacing w:before="120" w:after="120" w:line="288" w:lineRule="auto"/>
              <w:ind w:left="0"/>
              <w:jc w:val="left"/>
            </w:pPr>
            <w:r>
              <w:rPr>
                <w:rFonts w:ascii="Arial" w:hAnsi="Arial" w:eastAsia="等线" w:cs="Arial"/>
                <w:sz w:val="22"/>
              </w:rPr>
              <w:t>综合了所有项目的风险</w:t>
            </w:r>
          </w:p>
        </w:tc>
      </w:tr>
    </w:tbl>
    <w:p w14:paraId="225A3A0A"/>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6D439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5D76C679">
            <w:pPr>
              <w:numPr>
                <w:ilvl w:val="0"/>
                <w:numId w:val="63"/>
              </w:numPr>
              <w:spacing w:before="120" w:after="120" w:line="288" w:lineRule="auto"/>
              <w:ind w:left="0"/>
              <w:jc w:val="left"/>
            </w:pPr>
            <w:r>
              <w:rPr>
                <w:rFonts w:ascii="Arial" w:hAnsi="Arial" w:eastAsia="等线" w:cs="Arial"/>
                <w:sz w:val="22"/>
              </w:rPr>
              <w:t>Which of the following types of oil and gas partnerships is the riskiest?</w:t>
            </w:r>
          </w:p>
          <w:p w14:paraId="1F55B5BF">
            <w:pPr>
              <w:spacing w:before="120" w:after="120" w:line="288" w:lineRule="auto"/>
              <w:ind w:left="0"/>
              <w:jc w:val="left"/>
            </w:pPr>
            <w:r>
              <w:rPr>
                <w:rFonts w:ascii="Arial" w:hAnsi="Arial" w:eastAsia="等线" w:cs="Arial"/>
                <w:sz w:val="22"/>
              </w:rPr>
              <w:t>(A) Exploratory</w:t>
            </w:r>
          </w:p>
          <w:p w14:paraId="3276F49D">
            <w:pPr>
              <w:spacing w:before="120" w:after="120" w:line="288" w:lineRule="auto"/>
              <w:ind w:left="0"/>
              <w:jc w:val="left"/>
            </w:pPr>
            <w:r>
              <w:rPr>
                <w:rFonts w:ascii="Arial" w:hAnsi="Arial" w:eastAsia="等线" w:cs="Arial"/>
                <w:sz w:val="22"/>
              </w:rPr>
              <w:t>(B) Developmental</w:t>
            </w:r>
          </w:p>
          <w:p w14:paraId="335860E1">
            <w:pPr>
              <w:spacing w:before="120" w:after="120" w:line="288" w:lineRule="auto"/>
              <w:ind w:left="0"/>
              <w:jc w:val="left"/>
            </w:pPr>
            <w:r>
              <w:rPr>
                <w:rFonts w:ascii="Arial" w:hAnsi="Arial" w:eastAsia="等线" w:cs="Arial"/>
                <w:sz w:val="22"/>
              </w:rPr>
              <w:t>(C) Income</w:t>
            </w:r>
          </w:p>
          <w:p w14:paraId="66433A6C">
            <w:pPr>
              <w:spacing w:before="120" w:after="120" w:line="288" w:lineRule="auto"/>
              <w:ind w:left="0"/>
              <w:jc w:val="left"/>
            </w:pPr>
            <w:r>
              <w:rPr>
                <w:rFonts w:ascii="Arial" w:hAnsi="Arial" w:eastAsia="等线" w:cs="Arial"/>
                <w:sz w:val="22"/>
              </w:rPr>
              <w:t>(D) Combination</w:t>
            </w:r>
          </w:p>
          <w:p w14:paraId="5609DE85">
            <w:pPr>
              <w:spacing w:before="120" w:after="120" w:line="288" w:lineRule="auto"/>
              <w:ind w:left="0"/>
              <w:jc w:val="left"/>
            </w:pPr>
          </w:p>
          <w:p w14:paraId="272CE5A3">
            <w:pPr>
              <w:numPr>
                <w:ilvl w:val="0"/>
                <w:numId w:val="64"/>
              </w:numPr>
              <w:spacing w:before="120" w:after="120" w:line="288" w:lineRule="auto"/>
              <w:ind w:left="0"/>
              <w:jc w:val="left"/>
            </w:pPr>
            <w:r>
              <w:rPr>
                <w:rFonts w:ascii="Arial" w:hAnsi="Arial" w:eastAsia="等线" w:cs="Arial"/>
                <w:sz w:val="22"/>
              </w:rPr>
              <w:t>Ayla has money invested in a limited partnership that’s expected to have a significant amount</w:t>
            </w:r>
          </w:p>
          <w:p w14:paraId="56FD4B1E">
            <w:pPr>
              <w:spacing w:before="120" w:after="120" w:line="288" w:lineRule="auto"/>
              <w:ind w:left="0"/>
              <w:jc w:val="left"/>
            </w:pPr>
            <w:r>
              <w:rPr>
                <w:rFonts w:ascii="Arial" w:hAnsi="Arial" w:eastAsia="等线" w:cs="Arial"/>
                <w:sz w:val="22"/>
              </w:rPr>
              <w:t>of income over the next one to two years. Which of the following programs would BEST help</w:t>
            </w:r>
          </w:p>
          <w:p w14:paraId="46DBC6C1">
            <w:pPr>
              <w:spacing w:before="120" w:after="120" w:line="288" w:lineRule="auto"/>
              <w:ind w:left="0"/>
              <w:jc w:val="left"/>
            </w:pPr>
            <w:r>
              <w:rPr>
                <w:rFonts w:ascii="Arial" w:hAnsi="Arial" w:eastAsia="等线" w:cs="Arial"/>
                <w:sz w:val="22"/>
              </w:rPr>
              <w:t>Ayla shelter the MOST of that income?</w:t>
            </w:r>
          </w:p>
          <w:p w14:paraId="47D3FEFD">
            <w:pPr>
              <w:spacing w:before="120" w:after="120" w:line="288" w:lineRule="auto"/>
              <w:ind w:left="0"/>
              <w:jc w:val="left"/>
            </w:pPr>
            <w:r>
              <w:rPr>
                <w:rFonts w:ascii="Arial" w:hAnsi="Arial" w:eastAsia="等线" w:cs="Arial"/>
                <w:sz w:val="22"/>
              </w:rPr>
              <w:t>(A) Oil and gas exploratory</w:t>
            </w:r>
          </w:p>
          <w:p w14:paraId="7E97FBAB">
            <w:pPr>
              <w:spacing w:before="120" w:after="120" w:line="288" w:lineRule="auto"/>
              <w:ind w:left="0"/>
              <w:jc w:val="left"/>
            </w:pPr>
            <w:r>
              <w:rPr>
                <w:rFonts w:ascii="Arial" w:hAnsi="Arial" w:eastAsia="等线" w:cs="Arial"/>
                <w:sz w:val="22"/>
              </w:rPr>
              <w:t>(B) Raw land purchasing</w:t>
            </w:r>
          </w:p>
          <w:p w14:paraId="72891C84">
            <w:pPr>
              <w:spacing w:before="120" w:after="120" w:line="288" w:lineRule="auto"/>
              <w:ind w:left="0"/>
              <w:jc w:val="left"/>
            </w:pPr>
            <w:r>
              <w:rPr>
                <w:rFonts w:ascii="Arial" w:hAnsi="Arial" w:eastAsia="等线" w:cs="Arial"/>
                <w:sz w:val="22"/>
              </w:rPr>
              <w:t>(C) Equipment leasing</w:t>
            </w:r>
          </w:p>
          <w:p w14:paraId="197073B3">
            <w:pPr>
              <w:spacing w:before="120" w:after="120" w:line="288" w:lineRule="auto"/>
              <w:ind w:left="0"/>
              <w:jc w:val="left"/>
            </w:pPr>
            <w:r>
              <w:rPr>
                <w:rFonts w:ascii="Arial" w:hAnsi="Arial" w:eastAsia="等线" w:cs="Arial"/>
                <w:sz w:val="22"/>
              </w:rPr>
              <w:t>(D) Existing real-estate property</w:t>
            </w:r>
          </w:p>
          <w:p w14:paraId="1DAC9A9E">
            <w:pPr>
              <w:spacing w:before="120" w:after="120" w:line="288" w:lineRule="auto"/>
              <w:ind w:left="0"/>
              <w:jc w:val="left"/>
            </w:pPr>
          </w:p>
          <w:p w14:paraId="4214E150">
            <w:pPr>
              <w:numPr>
                <w:ilvl w:val="0"/>
                <w:numId w:val="65"/>
              </w:numPr>
              <w:spacing w:before="120" w:after="120" w:line="288" w:lineRule="auto"/>
              <w:ind w:left="0"/>
              <w:jc w:val="left"/>
            </w:pPr>
            <w:r>
              <w:rPr>
                <w:rFonts w:ascii="Arial" w:hAnsi="Arial" w:eastAsia="等线" w:cs="Arial"/>
                <w:sz w:val="22"/>
              </w:rPr>
              <w:t>Depletion deductions may be claimed for</w:t>
            </w:r>
          </w:p>
          <w:p w14:paraId="5881D5EF">
            <w:pPr>
              <w:spacing w:before="120" w:after="120" w:line="288" w:lineRule="auto"/>
              <w:ind w:left="0"/>
              <w:jc w:val="left"/>
            </w:pPr>
            <w:r>
              <w:rPr>
                <w:rFonts w:ascii="Arial" w:hAnsi="Arial" w:eastAsia="等线" w:cs="Arial"/>
                <w:sz w:val="22"/>
              </w:rPr>
              <w:t>(A) equipment leasing programs</w:t>
            </w:r>
          </w:p>
          <w:p w14:paraId="1CAE7BF9">
            <w:pPr>
              <w:spacing w:before="120" w:after="120" w:line="288" w:lineRule="auto"/>
              <w:ind w:left="0"/>
              <w:jc w:val="left"/>
            </w:pPr>
            <w:r>
              <w:rPr>
                <w:rFonts w:ascii="Arial" w:hAnsi="Arial" w:eastAsia="等线" w:cs="Arial"/>
                <w:sz w:val="22"/>
              </w:rPr>
              <w:t>(B) raw land real-estate programs</w:t>
            </w:r>
          </w:p>
          <w:p w14:paraId="70F6278A">
            <w:pPr>
              <w:spacing w:before="120" w:after="120" w:line="288" w:lineRule="auto"/>
              <w:ind w:left="0"/>
              <w:jc w:val="left"/>
            </w:pPr>
            <w:r>
              <w:rPr>
                <w:rFonts w:ascii="Arial" w:hAnsi="Arial" w:eastAsia="等线" w:cs="Arial"/>
                <w:sz w:val="22"/>
              </w:rPr>
              <w:t>(C) exploratory oil and gas programs</w:t>
            </w:r>
          </w:p>
          <w:p w14:paraId="36060BB2">
            <w:pPr>
              <w:spacing w:before="120" w:after="120" w:line="288" w:lineRule="auto"/>
              <w:ind w:left="0"/>
              <w:jc w:val="left"/>
            </w:pPr>
            <w:r>
              <w:rPr>
                <w:rFonts w:ascii="Arial" w:hAnsi="Arial" w:eastAsia="等线" w:cs="Arial"/>
                <w:sz w:val="22"/>
              </w:rPr>
              <w:t>(D) income oil and gas programs</w:t>
            </w:r>
          </w:p>
        </w:tc>
      </w:tr>
    </w:tbl>
    <w:p w14:paraId="1C829ED3">
      <w:pPr>
        <w:spacing w:before="120" w:after="120" w:line="288" w:lineRule="auto"/>
        <w:ind w:left="0"/>
        <w:jc w:val="left"/>
      </w:pPr>
    </w:p>
    <w:p w14:paraId="3B462BB4">
      <w:pPr>
        <w:spacing w:before="300" w:after="120" w:line="288" w:lineRule="auto"/>
        <w:ind w:left="0"/>
        <w:jc w:val="left"/>
        <w:outlineLvl w:val="2"/>
      </w:pPr>
      <w:bookmarkStart w:id="13" w:name="heading_13"/>
      <w:r>
        <w:rPr>
          <w:rFonts w:ascii="Arial" w:hAnsi="Arial" w:eastAsia="等线" w:cs="Arial"/>
          <w:color w:val="3370FF"/>
          <w:sz w:val="30"/>
        </w:rPr>
        <w:t xml:space="preserve">2.1.5 </w:t>
      </w:r>
      <w:r>
        <w:rPr>
          <w:rFonts w:ascii="Arial" w:hAnsi="Arial" w:eastAsia="等线" w:cs="Arial"/>
          <w:b/>
          <w:sz w:val="30"/>
        </w:rPr>
        <w:t>DPPs 的终止日期</w:t>
      </w:r>
      <w:bookmarkEnd w:id="13"/>
    </w:p>
    <w:p w14:paraId="4202F0B5">
      <w:pPr>
        <w:spacing w:before="120" w:after="120" w:line="288" w:lineRule="auto"/>
        <w:ind w:left="0"/>
        <w:jc w:val="left"/>
      </w:pPr>
      <w:r>
        <w:rPr>
          <w:rFonts w:ascii="Arial" w:hAnsi="Arial" w:eastAsia="等线" w:cs="Arial"/>
          <w:sz w:val="22"/>
        </w:rPr>
        <w:t>与公司不同，直接参与项目（DPPs）有终止日期。</w:t>
      </w:r>
    </w:p>
    <w:p w14:paraId="1D46C367">
      <w:pPr>
        <w:spacing w:before="120" w:after="120" w:line="288" w:lineRule="auto"/>
        <w:ind w:left="0"/>
        <w:jc w:val="left"/>
      </w:pPr>
    </w:p>
    <w:p w14:paraId="7DAB8E7A">
      <w:pPr>
        <w:spacing w:before="120" w:after="120" w:line="288" w:lineRule="auto"/>
        <w:ind w:left="0"/>
        <w:jc w:val="left"/>
      </w:pPr>
      <w:r>
        <w:rPr>
          <w:rFonts w:ascii="Arial" w:hAnsi="Arial" w:eastAsia="等线" w:cs="Arial"/>
          <w:sz w:val="22"/>
        </w:rPr>
        <w:t>该日期可以是合伙协议中预先设定的，也可以是在项目完成时（例如建筑物建成并出售、发现石油并出售土地、出售设备等情况），或者是在有限合伙人投票决定解散合伙关系时。</w:t>
      </w:r>
    </w:p>
    <w:p w14:paraId="201EBC4B">
      <w:pPr>
        <w:spacing w:before="120" w:after="120" w:line="288" w:lineRule="auto"/>
        <w:ind w:left="0"/>
        <w:jc w:val="left"/>
      </w:pPr>
    </w:p>
    <w:p w14:paraId="5E2133F1">
      <w:pPr>
        <w:spacing w:before="120" w:after="120" w:line="288" w:lineRule="auto"/>
        <w:ind w:left="0"/>
        <w:jc w:val="left"/>
      </w:pPr>
      <w:r>
        <w:rPr>
          <w:rFonts w:ascii="Arial" w:hAnsi="Arial" w:eastAsia="等线" w:cs="Arial"/>
          <w:sz w:val="22"/>
        </w:rPr>
        <w:t>当合伙关系解散时，首先从合伙资产中获得偿付的是有担保债权人；然后是一般债权人；接下来是有限合伙人；最后获得偿付的是普通合伙人。</w:t>
      </w:r>
    </w:p>
    <w:p w14:paraId="2C40E892">
      <w:pPr>
        <w:spacing w:before="120" w:after="120" w:line="288" w:lineRule="auto"/>
        <w:ind w:left="0"/>
        <w:jc w:val="left"/>
      </w:pPr>
    </w:p>
    <w:p w14:paraId="50B6CA90">
      <w:pPr>
        <w:spacing w:before="300" w:after="120" w:line="288" w:lineRule="auto"/>
        <w:ind w:left="0"/>
        <w:jc w:val="left"/>
        <w:outlineLvl w:val="2"/>
      </w:pPr>
      <w:bookmarkStart w:id="14" w:name="heading_14"/>
      <w:r>
        <w:rPr>
          <w:rFonts w:ascii="Arial" w:hAnsi="Arial" w:eastAsia="等线" w:cs="Arial"/>
          <w:color w:val="3370FF"/>
          <w:sz w:val="30"/>
        </w:rPr>
        <w:t xml:space="preserve">2.1.6 </w:t>
      </w:r>
      <w:r>
        <w:rPr>
          <w:rFonts w:ascii="Arial" w:hAnsi="Arial" w:eastAsia="等线" w:cs="Arial"/>
          <w:b/>
          <w:sz w:val="30"/>
        </w:rPr>
        <w:t>被动收入与损失：合伙企业的税收</w:t>
      </w:r>
      <w:bookmarkEnd w:id="14"/>
    </w:p>
    <w:p w14:paraId="05AA6ABD">
      <w:pPr>
        <w:spacing w:before="120" w:after="120" w:line="288" w:lineRule="auto"/>
        <w:ind w:left="0"/>
        <w:jc w:val="left"/>
      </w:pPr>
      <w:r>
        <w:rPr>
          <w:rFonts w:ascii="Arial" w:hAnsi="Arial" w:eastAsia="等线" w:cs="Arial"/>
          <w:sz w:val="22"/>
        </w:rPr>
        <w:t>DPPs 过去被称为避税工具，因为 DPPs 不仅将收入，还将亏损转嫁（或传递）给投资者，公司只转嫁收入。</w:t>
      </w:r>
    </w:p>
    <w:p w14:paraId="77F5858A">
      <w:pPr>
        <w:spacing w:before="120" w:after="120" w:line="288" w:lineRule="auto"/>
        <w:ind w:left="0"/>
        <w:jc w:val="left"/>
      </w:pPr>
    </w:p>
    <w:p w14:paraId="401CDF54">
      <w:pPr>
        <w:spacing w:before="120" w:after="120" w:line="288" w:lineRule="auto"/>
        <w:ind w:left="0"/>
        <w:jc w:val="left"/>
      </w:pPr>
      <w:r>
        <w:rPr>
          <w:rFonts w:ascii="Arial" w:hAnsi="Arial" w:eastAsia="等线" w:cs="Arial"/>
          <w:sz w:val="22"/>
        </w:rPr>
        <w:t>1986年之前，投资者可以用这些亏损来冲抵其他投资的收入，例如资本利得。然后国会介入此事，是因为它认为这种注销对投资者而言是过大的优势（或者说我们选出的官员认为美国国税局收的钱不够多），并决定为直接参与计划设立单独的税收类别。如今，由于投资者并未积极参与收入的获取，直接参与计划的税收被归类为被动收入和被动损失（Passive Income and Losses）。</w:t>
      </w:r>
    </w:p>
    <w:p w14:paraId="7851D59E">
      <w:pPr>
        <w:spacing w:before="120" w:after="120" w:line="288" w:lineRule="auto"/>
        <w:ind w:left="0"/>
        <w:jc w:val="left"/>
      </w:pPr>
    </w:p>
    <w:p w14:paraId="029B7EBD">
      <w:pPr>
        <w:spacing w:before="120" w:after="120" w:line="288" w:lineRule="auto"/>
        <w:ind w:left="0"/>
        <w:jc w:val="left"/>
      </w:pPr>
      <w:r>
        <w:rPr>
          <w:rFonts w:ascii="Arial" w:hAnsi="Arial" w:eastAsia="等线" w:cs="Arial"/>
          <w:b/>
          <w:sz w:val="22"/>
        </w:rPr>
        <w:t>注意：</w:t>
      </w:r>
      <w:r>
        <w:rPr>
          <w:rFonts w:ascii="Arial" w:hAnsi="Arial" w:eastAsia="等线" w:cs="Arial"/>
          <w:sz w:val="22"/>
        </w:rPr>
        <w:t>对于SIE考试而言，需要记住的关键是，投资者只能用来自其他 DPP 投资的被动收入来冲销被动损失。</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3AD132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76E4FA88">
            <w:pPr>
              <w:numPr>
                <w:ilvl w:val="0"/>
                <w:numId w:val="66"/>
              </w:numPr>
              <w:spacing w:before="120" w:after="120" w:line="288" w:lineRule="auto"/>
              <w:ind w:left="0"/>
              <w:jc w:val="left"/>
            </w:pPr>
            <w:r>
              <w:rPr>
                <w:rFonts w:ascii="Arial" w:hAnsi="Arial" w:eastAsia="等线" w:cs="Arial"/>
                <w:sz w:val="22"/>
              </w:rPr>
              <w:t>Passive income can be written off against which of the following?</w:t>
            </w:r>
          </w:p>
          <w:p w14:paraId="5F244C72">
            <w:pPr>
              <w:spacing w:before="120" w:after="120" w:line="288" w:lineRule="auto"/>
              <w:ind w:left="0"/>
              <w:jc w:val="left"/>
            </w:pPr>
            <w:r>
              <w:rPr>
                <w:rFonts w:ascii="Arial" w:hAnsi="Arial" w:eastAsia="等线" w:cs="Arial"/>
                <w:sz w:val="22"/>
              </w:rPr>
              <w:t>(A) Passive losses</w:t>
            </w:r>
          </w:p>
          <w:p w14:paraId="40AF6889">
            <w:pPr>
              <w:spacing w:before="120" w:after="120" w:line="288" w:lineRule="auto"/>
              <w:ind w:left="0"/>
              <w:jc w:val="left"/>
            </w:pPr>
            <w:r>
              <w:rPr>
                <w:rFonts w:ascii="Arial" w:hAnsi="Arial" w:eastAsia="等线" w:cs="Arial"/>
                <w:sz w:val="22"/>
              </w:rPr>
              <w:t>(B) Capital losses</w:t>
            </w:r>
          </w:p>
          <w:p w14:paraId="2748A7AA">
            <w:pPr>
              <w:spacing w:before="120" w:after="120" w:line="288" w:lineRule="auto"/>
              <w:ind w:left="0"/>
              <w:jc w:val="left"/>
            </w:pPr>
            <w:r>
              <w:rPr>
                <w:rFonts w:ascii="Arial" w:hAnsi="Arial" w:eastAsia="等线" w:cs="Arial"/>
                <w:sz w:val="22"/>
              </w:rPr>
              <w:t>(C) Both (A) and (B)</w:t>
            </w:r>
          </w:p>
          <w:p w14:paraId="6D2C5BCE">
            <w:pPr>
              <w:spacing w:before="120" w:after="120" w:line="288" w:lineRule="auto"/>
              <w:ind w:left="0"/>
              <w:jc w:val="left"/>
            </w:pPr>
            <w:r>
              <w:rPr>
                <w:rFonts w:ascii="Arial" w:hAnsi="Arial" w:eastAsia="等线" w:cs="Arial"/>
                <w:sz w:val="22"/>
              </w:rPr>
              <w:t>(D) Neither (A) nor (B)</w:t>
            </w:r>
          </w:p>
        </w:tc>
      </w:tr>
    </w:tbl>
    <w:p w14:paraId="649AF5F7">
      <w:pPr>
        <w:spacing w:before="120" w:after="120" w:line="288" w:lineRule="auto"/>
        <w:ind w:left="0"/>
        <w:jc w:val="left"/>
      </w:pPr>
    </w:p>
    <w:p w14:paraId="62C9A9F0">
      <w:pPr>
        <w:spacing w:before="300" w:after="120" w:line="288" w:lineRule="auto"/>
        <w:ind w:left="0"/>
        <w:jc w:val="left"/>
        <w:outlineLvl w:val="2"/>
      </w:pPr>
      <w:bookmarkStart w:id="15" w:name="heading_15"/>
      <w:r>
        <w:rPr>
          <w:rFonts w:ascii="Arial" w:hAnsi="Arial" w:eastAsia="等线" w:cs="Arial"/>
          <w:color w:val="3370FF"/>
          <w:sz w:val="30"/>
        </w:rPr>
        <w:t xml:space="preserve">2.1.7 </w:t>
      </w:r>
      <w:r>
        <w:rPr>
          <w:rFonts w:ascii="Arial" w:hAnsi="Arial" w:eastAsia="等线" w:cs="Arial"/>
          <w:b/>
          <w:sz w:val="30"/>
        </w:rPr>
        <w:t>评估 DPPs</w:t>
      </w:r>
      <w:bookmarkEnd w:id="15"/>
    </w:p>
    <w:p w14:paraId="08414E1B">
      <w:pPr>
        <w:spacing w:before="120" w:after="120" w:line="288" w:lineRule="auto"/>
        <w:ind w:left="0"/>
        <w:jc w:val="left"/>
      </w:pPr>
      <w:r>
        <w:rPr>
          <w:rFonts w:ascii="Arial" w:hAnsi="Arial" w:eastAsia="等线" w:cs="Arial"/>
          <w:sz w:val="22"/>
        </w:rPr>
        <w:t>DPPs 可以公开或私下发行。</w:t>
      </w:r>
    </w:p>
    <w:p w14:paraId="75AFA401">
      <w:pPr>
        <w:spacing w:before="120" w:after="120" w:line="288" w:lineRule="auto"/>
        <w:ind w:left="0"/>
        <w:jc w:val="left"/>
      </w:pPr>
    </w:p>
    <w:p w14:paraId="5644C3AC">
      <w:pPr>
        <w:spacing w:before="120" w:after="120" w:line="288" w:lineRule="auto"/>
        <w:ind w:left="0"/>
        <w:jc w:val="left"/>
      </w:pPr>
      <w:r>
        <w:rPr>
          <w:rFonts w:ascii="Arial" w:hAnsi="Arial" w:eastAsia="等线" w:cs="Arial"/>
          <w:sz w:val="22"/>
        </w:rPr>
        <w:t>公开募集的 DPPs 必须向美国证券交易委员会（SEC）注册，而私募发行（主要面向富有的投资者）则无需注册。</w:t>
      </w:r>
    </w:p>
    <w:p w14:paraId="1EECC6C8">
      <w:pPr>
        <w:spacing w:before="120" w:after="120" w:line="288" w:lineRule="auto"/>
        <w:ind w:left="0"/>
        <w:jc w:val="left"/>
      </w:pPr>
    </w:p>
    <w:p w14:paraId="16F4B616">
      <w:pPr>
        <w:spacing w:before="120" w:after="120" w:line="288" w:lineRule="auto"/>
        <w:ind w:left="0"/>
        <w:jc w:val="left"/>
      </w:pPr>
      <w:r>
        <w:rPr>
          <w:rFonts w:ascii="Arial" w:hAnsi="Arial" w:eastAsia="等线" w:cs="Arial"/>
          <w:sz w:val="22"/>
        </w:rPr>
        <w:t>通常，公开募集的 DPPs 的单位（买入）成本低于私募发行的 DPPs。</w:t>
      </w:r>
    </w:p>
    <w:p w14:paraId="36AB2023">
      <w:pPr>
        <w:spacing w:before="120" w:after="120" w:line="288" w:lineRule="auto"/>
        <w:ind w:left="0"/>
        <w:jc w:val="left"/>
      </w:pPr>
    </w:p>
    <w:p w14:paraId="6FB7A8CF">
      <w:pPr>
        <w:spacing w:before="120" w:after="120" w:line="288" w:lineRule="auto"/>
        <w:ind w:left="0"/>
        <w:jc w:val="left"/>
      </w:pPr>
      <w:r>
        <w:rPr>
          <w:rFonts w:ascii="Arial" w:hAnsi="Arial" w:eastAsia="等线" w:cs="Arial"/>
          <w:sz w:val="22"/>
        </w:rPr>
        <w:t>当然，直接参与计划确实有一些优势，但它们也存在其他类型投资所没有的额外风险，例如在必要时必须向合伙企业追加贷款。因此，在评估投资直接参与计划是否适合你的某位客户时，你需要判断投资合伙企业对该客户而言是否明智，并且作为他们的代表，你还需要考虑以下事项：</w:t>
      </w:r>
    </w:p>
    <w:p w14:paraId="268E91B0">
      <w:pPr>
        <w:numPr>
          <w:ilvl w:val="0"/>
          <w:numId w:val="67"/>
        </w:numPr>
        <w:spacing w:before="120" w:after="120" w:line="288" w:lineRule="auto"/>
        <w:ind w:left="0"/>
        <w:jc w:val="left"/>
      </w:pPr>
      <w:r>
        <w:rPr>
          <w:rFonts w:ascii="Arial" w:hAnsi="Arial" w:eastAsia="等线" w:cs="Arial"/>
          <w:sz w:val="22"/>
        </w:rPr>
        <w:t>项目的经济合理性（Economic Soundness）。换句话说，你认为它会盈利吗？</w:t>
      </w:r>
    </w:p>
    <w:p w14:paraId="37B1136E">
      <w:pPr>
        <w:numPr>
          <w:ilvl w:val="0"/>
          <w:numId w:val="68"/>
        </w:numPr>
        <w:spacing w:before="120" w:after="120" w:line="288" w:lineRule="auto"/>
        <w:ind w:left="0"/>
        <w:jc w:val="left"/>
      </w:pPr>
      <w:r>
        <w:rPr>
          <w:rFonts w:ascii="Arial" w:hAnsi="Arial" w:eastAsia="等线" w:cs="Arial"/>
          <w:sz w:val="22"/>
        </w:rPr>
        <w:t>普通合伙人的专业能力（Expertise），如过往业绩记录。</w:t>
      </w:r>
    </w:p>
    <w:p w14:paraId="19CED9F4">
      <w:pPr>
        <w:numPr>
          <w:ilvl w:val="0"/>
          <w:numId w:val="69"/>
        </w:numPr>
        <w:spacing w:before="120" w:after="120" w:line="288" w:lineRule="auto"/>
        <w:ind w:left="0"/>
        <w:jc w:val="left"/>
      </w:pPr>
      <w:r>
        <w:rPr>
          <w:rFonts w:ascii="Arial" w:hAnsi="Arial" w:eastAsia="等线" w:cs="Arial"/>
          <w:sz w:val="22"/>
        </w:rPr>
        <w:t>该项目的基本目标（Basic Objectives）。</w:t>
      </w:r>
    </w:p>
    <w:p w14:paraId="6F209C99">
      <w:pPr>
        <w:numPr>
          <w:ilvl w:val="0"/>
          <w:numId w:val="70"/>
        </w:numPr>
        <w:spacing w:before="120" w:after="120" w:line="288" w:lineRule="auto"/>
        <w:ind w:left="0"/>
        <w:jc w:val="left"/>
      </w:pPr>
      <w:r>
        <w:rPr>
          <w:rFonts w:ascii="Arial" w:hAnsi="Arial" w:eastAsia="等线" w:cs="Arial"/>
          <w:sz w:val="22"/>
        </w:rPr>
        <w:t>涉及的启动成本（Start-up Costs）。</w:t>
      </w:r>
    </w:p>
    <w:p w14:paraId="7037B227">
      <w:pPr>
        <w:spacing w:before="120" w:after="120" w:line="288" w:lineRule="auto"/>
        <w:ind w:left="0"/>
        <w:jc w:val="left"/>
      </w:pPr>
    </w:p>
    <w:p w14:paraId="569B7A3F">
      <w:pPr>
        <w:spacing w:before="300" w:after="120" w:line="288" w:lineRule="auto"/>
        <w:ind w:left="0"/>
        <w:jc w:val="left"/>
        <w:outlineLvl w:val="2"/>
      </w:pPr>
      <w:bookmarkStart w:id="16" w:name="heading_16"/>
      <w:r>
        <w:rPr>
          <w:rFonts w:ascii="Arial" w:hAnsi="Arial" w:eastAsia="等线" w:cs="Arial"/>
          <w:color w:val="3370FF"/>
          <w:sz w:val="30"/>
        </w:rPr>
        <w:t xml:space="preserve">2.1.8 </w:t>
      </w:r>
      <w:r>
        <w:rPr>
          <w:rFonts w:ascii="Arial" w:hAnsi="Arial" w:eastAsia="等线" w:cs="Arial"/>
          <w:b/>
          <w:sz w:val="30"/>
        </w:rPr>
        <w:t>DPPs 的优点与风险</w:t>
      </w:r>
      <w:bookmarkEnd w:id="16"/>
    </w:p>
    <w:p w14:paraId="5C0822E8">
      <w:pPr>
        <w:spacing w:before="120" w:after="120" w:line="288" w:lineRule="auto"/>
        <w:ind w:left="0"/>
        <w:jc w:val="left"/>
      </w:pPr>
      <w:r>
        <w:rPr>
          <w:rFonts w:ascii="Arial" w:hAnsi="Arial" w:eastAsia="等线" w:cs="Arial"/>
          <w:sz w:val="22"/>
        </w:rPr>
        <w:t>DPPs 是聚焦油气、房地产等领域的私募集合投资工具，优劣势均与其 “私募运作、项目绑定” 特性强相关。</w:t>
      </w:r>
    </w:p>
    <w:p w14:paraId="5223CB07">
      <w:pPr>
        <w:spacing w:before="120" w:after="120" w:line="288" w:lineRule="auto"/>
        <w:ind w:left="0"/>
        <w:jc w:val="left"/>
      </w:pPr>
    </w:p>
    <w:p w14:paraId="71E9F752">
      <w:pPr>
        <w:spacing w:before="120" w:after="120" w:line="288" w:lineRule="auto"/>
        <w:ind w:left="0"/>
        <w:jc w:val="left"/>
      </w:pPr>
      <w:r>
        <w:rPr>
          <w:rFonts w:ascii="Arial" w:hAnsi="Arial" w:eastAsia="等线" w:cs="Arial"/>
          <w:b/>
          <w:sz w:val="22"/>
        </w:rPr>
        <w:t>优点：</w:t>
      </w:r>
    </w:p>
    <w:p w14:paraId="0F1F5E17">
      <w:pPr>
        <w:numPr>
          <w:ilvl w:val="0"/>
          <w:numId w:val="71"/>
        </w:numPr>
        <w:spacing w:before="120" w:after="120" w:line="288" w:lineRule="auto"/>
        <w:ind w:left="0"/>
        <w:jc w:val="left"/>
      </w:pPr>
      <w:r>
        <w:rPr>
          <w:rFonts w:ascii="Arial" w:hAnsi="Arial" w:eastAsia="等线" w:cs="Arial"/>
          <w:b/>
          <w:sz w:val="22"/>
        </w:rPr>
        <w:t>税收优惠显著</w:t>
      </w:r>
      <w:r>
        <w:rPr>
          <w:rFonts w:ascii="Arial" w:hAnsi="Arial" w:eastAsia="等线" w:cs="Arial"/>
          <w:sz w:val="22"/>
        </w:rPr>
        <w:t>：以有限合伙形式实现 “穿透式征税”（避免双重税负），油气类可抵扣无形钻井成本、损耗成本，房地产类可抵扣折旧、贷款利息，大幅降低税负。</w:t>
      </w:r>
    </w:p>
    <w:p w14:paraId="007531DE">
      <w:pPr>
        <w:numPr>
          <w:ilvl w:val="0"/>
          <w:numId w:val="72"/>
        </w:numPr>
        <w:spacing w:before="120" w:after="120" w:line="288" w:lineRule="auto"/>
        <w:ind w:left="0"/>
        <w:jc w:val="left"/>
      </w:pPr>
      <w:r>
        <w:rPr>
          <w:rFonts w:ascii="Arial" w:hAnsi="Arial" w:eastAsia="等线" w:cs="Arial"/>
          <w:b/>
          <w:sz w:val="22"/>
        </w:rPr>
        <w:t>降低运营负担</w:t>
      </w:r>
      <w:r>
        <w:rPr>
          <w:rFonts w:ascii="Arial" w:hAnsi="Arial" w:eastAsia="等线" w:cs="Arial"/>
          <w:sz w:val="22"/>
        </w:rPr>
        <w:t>：投资者以 LP 身份仅承担有限责任，项目由 GP（专业团队）全流程运营，无需参与具体管理。</w:t>
      </w:r>
    </w:p>
    <w:p w14:paraId="3EFAA9EC">
      <w:pPr>
        <w:numPr>
          <w:ilvl w:val="0"/>
          <w:numId w:val="73"/>
        </w:numPr>
        <w:spacing w:before="120" w:after="120" w:line="288" w:lineRule="auto"/>
        <w:ind w:left="0"/>
        <w:jc w:val="left"/>
      </w:pPr>
      <w:r>
        <w:rPr>
          <w:rFonts w:ascii="Arial" w:hAnsi="Arial" w:eastAsia="等线" w:cs="Arial"/>
          <w:b/>
          <w:sz w:val="22"/>
        </w:rPr>
        <w:t>有限责任保护</w:t>
      </w:r>
      <w:r>
        <w:rPr>
          <w:rFonts w:ascii="Arial" w:hAnsi="Arial" w:eastAsia="等线" w:cs="Arial"/>
          <w:sz w:val="22"/>
        </w:rPr>
        <w:t>：投资者多以 “有限合伙人（LP）” 身份参与，仅以出资额为限承担风险，无需对 DPP 的项目债务（如贷款、工程欠款）承担额外连带责任，风险边界清晰；</w:t>
      </w:r>
    </w:p>
    <w:p w14:paraId="4314B05C">
      <w:pPr>
        <w:numPr>
          <w:ilvl w:val="0"/>
          <w:numId w:val="74"/>
        </w:numPr>
        <w:spacing w:before="120" w:after="120" w:line="288" w:lineRule="auto"/>
        <w:ind w:left="0"/>
        <w:jc w:val="left"/>
      </w:pPr>
      <w:r>
        <w:rPr>
          <w:rFonts w:ascii="Arial" w:hAnsi="Arial" w:eastAsia="等线" w:cs="Arial"/>
          <w:b/>
          <w:sz w:val="22"/>
        </w:rPr>
        <w:t>低门槛进高壁垒领域</w:t>
      </w:r>
      <w:r>
        <w:rPr>
          <w:rFonts w:ascii="Arial" w:hAnsi="Arial" w:eastAsia="等线" w:cs="Arial"/>
          <w:sz w:val="22"/>
        </w:rPr>
        <w:t>：汇集小额资金，让投资者以数万美元起投，参与油气勘探、商业地产开发等需巨额资金的领域，分享行业收益；</w:t>
      </w:r>
    </w:p>
    <w:p w14:paraId="4EE313C6">
      <w:pPr>
        <w:numPr>
          <w:ilvl w:val="0"/>
          <w:numId w:val="75"/>
        </w:numPr>
        <w:spacing w:before="120" w:after="120" w:line="288" w:lineRule="auto"/>
        <w:ind w:left="0"/>
        <w:jc w:val="left"/>
      </w:pPr>
      <w:r>
        <w:rPr>
          <w:rFonts w:ascii="Arial" w:hAnsi="Arial" w:eastAsia="等线" w:cs="Arial"/>
          <w:b/>
          <w:sz w:val="22"/>
        </w:rPr>
        <w:t>收益灵活适配需求</w:t>
      </w:r>
      <w:r>
        <w:rPr>
          <w:rFonts w:ascii="Arial" w:hAnsi="Arial" w:eastAsia="等线" w:cs="Arial"/>
          <w:sz w:val="22"/>
        </w:rPr>
        <w:t>：收入型 DPP（如成熟油井、满租物业）提供稳定现金流，开发 / 勘探型 DPP（如待开发地产、新油气区块）追求长期资本增值。</w:t>
      </w:r>
    </w:p>
    <w:p w14:paraId="3ED8C9E0">
      <w:pPr>
        <w:numPr>
          <w:ilvl w:val="0"/>
          <w:numId w:val="76"/>
        </w:numPr>
        <w:spacing w:before="120" w:after="120" w:line="288" w:lineRule="auto"/>
        <w:ind w:left="0"/>
        <w:jc w:val="left"/>
      </w:pPr>
      <w:r>
        <w:rPr>
          <w:rFonts w:ascii="Arial" w:hAnsi="Arial" w:eastAsia="等线" w:cs="Arial"/>
          <w:b/>
          <w:sz w:val="22"/>
        </w:rPr>
        <w:t>平均收益更高的市场相关性</w:t>
      </w:r>
      <w:r>
        <w:rPr>
          <w:rFonts w:ascii="Arial" w:hAnsi="Arial" w:eastAsia="等线" w:cs="Arial"/>
          <w:sz w:val="22"/>
        </w:rPr>
        <w:t>：DPPs 提供了与市场相关的、且具有更高平均回报的相关性（market-related correlations with higher average returns）。因为 DPPs 直接投资于产生经济效益的项目，收益表现与市场表现强相关。因牺牲了流动性（资金锁定期长）和承担更高复杂度，作为补偿，历史平均收益往往高于公开交易的股票或基金。这是吸引投资者的关键。</w:t>
      </w:r>
    </w:p>
    <w:p w14:paraId="6DDA9D1A">
      <w:pPr>
        <w:spacing w:before="120" w:after="120" w:line="288" w:lineRule="auto"/>
        <w:ind w:left="0"/>
        <w:jc w:val="left"/>
      </w:pPr>
    </w:p>
    <w:p w14:paraId="603CC677">
      <w:pPr>
        <w:spacing w:before="120" w:after="120" w:line="288" w:lineRule="auto"/>
        <w:ind w:left="0"/>
        <w:jc w:val="left"/>
      </w:pPr>
      <w:r>
        <w:rPr>
          <w:rFonts w:ascii="Arial" w:hAnsi="Arial" w:eastAsia="等线" w:cs="Arial"/>
          <w:b/>
          <w:sz w:val="22"/>
        </w:rPr>
        <w:t>风险：</w:t>
      </w:r>
    </w:p>
    <w:p w14:paraId="5123D07D">
      <w:pPr>
        <w:numPr>
          <w:ilvl w:val="0"/>
          <w:numId w:val="77"/>
        </w:numPr>
        <w:spacing w:before="120" w:after="120" w:line="288" w:lineRule="auto"/>
        <w:ind w:left="0"/>
        <w:jc w:val="left"/>
      </w:pPr>
      <w:r>
        <w:rPr>
          <w:rFonts w:ascii="Arial" w:hAnsi="Arial" w:eastAsia="等线" w:cs="Arial"/>
          <w:b/>
          <w:sz w:val="22"/>
        </w:rPr>
        <w:t>流动性极差</w:t>
      </w:r>
      <w:r>
        <w:rPr>
          <w:rFonts w:ascii="Arial" w:hAnsi="Arial" w:eastAsia="等线" w:cs="Arial"/>
          <w:sz w:val="22"/>
        </w:rPr>
        <w:t>：无公开交易市场，资金锁定期 5-10 年（与项目周期绑定），提前退出需私下协商且依赖 GP 同意，易折价或无法变现；</w:t>
      </w:r>
    </w:p>
    <w:p w14:paraId="68937AC0">
      <w:pPr>
        <w:numPr>
          <w:ilvl w:val="0"/>
          <w:numId w:val="78"/>
        </w:numPr>
        <w:spacing w:before="120" w:after="120" w:line="288" w:lineRule="auto"/>
        <w:ind w:left="0"/>
        <w:jc w:val="left"/>
      </w:pPr>
      <w:r>
        <w:rPr>
          <w:rFonts w:ascii="Arial" w:hAnsi="Arial" w:eastAsia="等线" w:cs="Arial"/>
          <w:b/>
          <w:sz w:val="22"/>
        </w:rPr>
        <w:t>项目风险集中</w:t>
      </w:r>
      <w:r>
        <w:rPr>
          <w:rFonts w:ascii="Arial" w:hAnsi="Arial" w:eastAsia="等线" w:cs="Arial"/>
          <w:sz w:val="22"/>
        </w:rPr>
        <w:t>：单只 DPP 收益完全依赖所投项目，油气可能遇 “干井”、油价暴跌，房地产可能遇市场低迷、政策调控，且 GP 决策 / 道德风险直接影响收益；</w:t>
      </w:r>
    </w:p>
    <w:p w14:paraId="398ED795">
      <w:pPr>
        <w:numPr>
          <w:ilvl w:val="0"/>
          <w:numId w:val="79"/>
        </w:numPr>
        <w:spacing w:before="120" w:after="120" w:line="288" w:lineRule="auto"/>
        <w:ind w:left="0"/>
        <w:jc w:val="left"/>
      </w:pPr>
      <w:r>
        <w:rPr>
          <w:rFonts w:ascii="Arial" w:hAnsi="Arial" w:eastAsia="等线" w:cs="Arial"/>
          <w:b/>
          <w:sz w:val="22"/>
        </w:rPr>
        <w:t>税收政策不稳定</w:t>
      </w:r>
      <w:r>
        <w:rPr>
          <w:rFonts w:ascii="Arial" w:hAnsi="Arial" w:eastAsia="等线" w:cs="Arial"/>
          <w:sz w:val="22"/>
        </w:rPr>
        <w:t>：优惠（如油气成本抵扣）依赖政策，若政策调整（取消抵扣、提高门槛），投资吸引力骤降；</w:t>
      </w:r>
    </w:p>
    <w:p w14:paraId="7750F7ED">
      <w:pPr>
        <w:numPr>
          <w:ilvl w:val="0"/>
          <w:numId w:val="80"/>
        </w:numPr>
        <w:spacing w:before="120" w:after="120" w:line="288" w:lineRule="auto"/>
        <w:ind w:left="0"/>
        <w:jc w:val="left"/>
      </w:pPr>
      <w:r>
        <w:rPr>
          <w:rFonts w:ascii="Arial" w:hAnsi="Arial" w:eastAsia="等线" w:cs="Arial"/>
          <w:b/>
          <w:sz w:val="22"/>
        </w:rPr>
        <w:t>信息透明度低</w:t>
      </w:r>
      <w:r>
        <w:rPr>
          <w:rFonts w:ascii="Arial" w:hAnsi="Arial" w:eastAsia="等线" w:cs="Arial"/>
          <w:sz w:val="22"/>
        </w:rPr>
        <w:t>：私募属性导致披露不充分，投资者难全面掌握项目细节，易滞后察觉风险；</w:t>
      </w:r>
    </w:p>
    <w:p w14:paraId="38C2FBCE">
      <w:pPr>
        <w:numPr>
          <w:ilvl w:val="0"/>
          <w:numId w:val="81"/>
        </w:numPr>
        <w:spacing w:before="120" w:after="120" w:line="288" w:lineRule="auto"/>
        <w:ind w:left="0"/>
        <w:jc w:val="left"/>
      </w:pPr>
      <w:r>
        <w:rPr>
          <w:rFonts w:ascii="Arial" w:hAnsi="Arial" w:eastAsia="等线" w:cs="Arial"/>
          <w:b/>
          <w:sz w:val="22"/>
        </w:rPr>
        <w:t>受宏观环境冲击大</w:t>
      </w:r>
      <w:r>
        <w:rPr>
          <w:rFonts w:ascii="Arial" w:hAnsi="Arial" w:eastAsia="等线" w:cs="Arial"/>
          <w:sz w:val="22"/>
        </w:rPr>
        <w:t>：经济衰退（油气需求降、地产低迷）、利率上升（融资成本增、资金分流）均会挤压收益。</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A7376C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3811C883">
            <w:pPr>
              <w:numPr>
                <w:ilvl w:val="0"/>
                <w:numId w:val="82"/>
              </w:numPr>
              <w:spacing w:before="120" w:after="120" w:line="288" w:lineRule="auto"/>
              <w:ind w:left="0"/>
              <w:jc w:val="left"/>
            </w:pPr>
            <w:r>
              <w:rPr>
                <w:rFonts w:ascii="Arial" w:hAnsi="Arial" w:eastAsia="等线" w:cs="Arial"/>
                <w:sz w:val="22"/>
              </w:rPr>
              <w:t>Which of the following is a benefit of investing in a direct participation program?</w:t>
            </w:r>
          </w:p>
          <w:p w14:paraId="4B8B85EC">
            <w:pPr>
              <w:spacing w:before="120" w:after="120" w:line="288" w:lineRule="auto"/>
              <w:ind w:left="0"/>
              <w:jc w:val="left"/>
            </w:pPr>
            <w:r>
              <w:rPr>
                <w:rFonts w:ascii="Arial" w:hAnsi="Arial" w:eastAsia="等线" w:cs="Arial"/>
                <w:sz w:val="22"/>
              </w:rPr>
              <w:t>(A) Professional management</w:t>
            </w:r>
          </w:p>
          <w:p w14:paraId="40D321BD">
            <w:pPr>
              <w:spacing w:before="120" w:after="120" w:line="288" w:lineRule="auto"/>
              <w:ind w:left="0"/>
              <w:jc w:val="left"/>
            </w:pPr>
            <w:r>
              <w:rPr>
                <w:rFonts w:ascii="Arial" w:hAnsi="Arial" w:eastAsia="等线" w:cs="Arial"/>
                <w:sz w:val="22"/>
              </w:rPr>
              <w:t>(B) Pass-through of income and losses</w:t>
            </w:r>
          </w:p>
          <w:p w14:paraId="7B94FECA">
            <w:pPr>
              <w:spacing w:before="120" w:after="120" w:line="288" w:lineRule="auto"/>
              <w:ind w:left="0"/>
              <w:jc w:val="left"/>
            </w:pPr>
            <w:r>
              <w:rPr>
                <w:rFonts w:ascii="Arial" w:hAnsi="Arial" w:eastAsia="等线" w:cs="Arial"/>
                <w:sz w:val="22"/>
              </w:rPr>
              <w:t>(C) Limited liability</w:t>
            </w:r>
          </w:p>
          <w:p w14:paraId="6075C572">
            <w:pPr>
              <w:spacing w:before="120" w:after="120" w:line="288" w:lineRule="auto"/>
              <w:ind w:left="0"/>
              <w:jc w:val="left"/>
            </w:pPr>
            <w:r>
              <w:rPr>
                <w:rFonts w:ascii="Arial" w:hAnsi="Arial" w:eastAsia="等线" w:cs="Arial"/>
                <w:sz w:val="22"/>
              </w:rPr>
              <w:t>(D) All of the abov</w:t>
            </w:r>
          </w:p>
        </w:tc>
      </w:tr>
    </w:tbl>
    <w:p w14:paraId="0F4B282B">
      <w:pPr>
        <w:spacing w:before="320" w:after="120" w:line="288" w:lineRule="auto"/>
        <w:ind w:left="0"/>
        <w:jc w:val="left"/>
        <w:outlineLvl w:val="1"/>
      </w:pPr>
      <w:bookmarkStart w:id="17" w:name="heading_17"/>
      <w:r>
        <w:rPr>
          <w:rFonts w:ascii="Arial" w:hAnsi="Arial" w:eastAsia="等线" w:cs="Arial"/>
          <w:color w:val="3370FF"/>
          <w:sz w:val="32"/>
        </w:rPr>
        <w:t xml:space="preserve">2.2 </w:t>
      </w:r>
      <w:r>
        <w:rPr>
          <w:rFonts w:ascii="Arial" w:hAnsi="Arial" w:eastAsia="等线" w:cs="Arial"/>
          <w:b/>
          <w:sz w:val="32"/>
        </w:rPr>
        <w:t>房地产投资信托</w:t>
      </w:r>
      <w:bookmarkEnd w:id="17"/>
    </w:p>
    <w:p w14:paraId="5C2529AA">
      <w:pPr>
        <w:spacing w:before="300" w:after="120" w:line="288" w:lineRule="auto"/>
        <w:ind w:left="0"/>
        <w:jc w:val="left"/>
        <w:outlineLvl w:val="2"/>
      </w:pPr>
      <w:bookmarkStart w:id="18" w:name="heading_18"/>
      <w:r>
        <w:rPr>
          <w:rFonts w:ascii="Arial" w:hAnsi="Arial" w:eastAsia="等线" w:cs="Arial"/>
          <w:color w:val="3370FF"/>
          <w:sz w:val="30"/>
        </w:rPr>
        <w:t xml:space="preserve">2.2.1 </w:t>
      </w:r>
      <w:r>
        <w:rPr>
          <w:rFonts w:ascii="Arial" w:hAnsi="Arial" w:eastAsia="等线" w:cs="Arial"/>
          <w:b/>
          <w:sz w:val="30"/>
        </w:rPr>
        <w:t>REITs 是什么？</w:t>
      </w:r>
      <w:bookmarkEnd w:id="18"/>
    </w:p>
    <w:p w14:paraId="24FFC5AA">
      <w:pPr>
        <w:spacing w:before="120" w:after="120" w:line="288" w:lineRule="auto"/>
        <w:ind w:left="0"/>
        <w:jc w:val="left"/>
      </w:pPr>
      <w:r>
        <w:rPr>
          <w:rFonts w:ascii="Arial" w:hAnsi="Arial" w:eastAsia="等线" w:cs="Arial"/>
          <w:sz w:val="22"/>
        </w:rPr>
        <w:t>房地产投资信托（Real Estate Investment Trusts）是一种通过发行股票（shares）或受益凭证汇集资金，由专门的基金管理公司进行房地产投资经营管理，并将投资综合收益按比例分配给投资者的一种信托基金 。</w:t>
      </w:r>
    </w:p>
    <w:p w14:paraId="168B2010">
      <w:pPr>
        <w:spacing w:before="120" w:after="120" w:line="288" w:lineRule="auto"/>
        <w:ind w:left="0"/>
        <w:jc w:val="left"/>
      </w:pPr>
    </w:p>
    <w:p w14:paraId="0BEAF6DD">
      <w:pPr>
        <w:spacing w:before="120" w:after="120" w:line="288" w:lineRule="auto"/>
        <w:ind w:left="0"/>
        <w:jc w:val="left"/>
      </w:pPr>
      <w:r>
        <w:rPr>
          <w:rFonts w:ascii="Arial" w:hAnsi="Arial" w:eastAsia="等线" w:cs="Arial"/>
          <w:sz w:val="22"/>
        </w:rPr>
        <w:t>REITs 允许普通投资者通过购买股票的方式投资大型、多样化的房地产投资组合，而无需直接购买房产。</w:t>
      </w:r>
    </w:p>
    <w:p w14:paraId="43EF1FDD">
      <w:pPr>
        <w:spacing w:before="120" w:after="120" w:line="288" w:lineRule="auto"/>
        <w:ind w:left="0"/>
        <w:jc w:val="left"/>
      </w:pPr>
    </w:p>
    <w:p w14:paraId="39B56C10">
      <w:pPr>
        <w:spacing w:before="120" w:after="120" w:line="288" w:lineRule="auto"/>
        <w:ind w:left="0"/>
        <w:jc w:val="left"/>
      </w:pPr>
      <w:r>
        <w:rPr>
          <w:rFonts w:ascii="Arial" w:hAnsi="Arial" w:eastAsia="等线" w:cs="Arial"/>
          <w:sz w:val="22"/>
        </w:rPr>
        <w:t>REITs 在一级市场以首次公开募股（IPO）价格发行。与共同基金可向发行人赎回不同，REITs 在二级市场（已发行证券的交易市场）与其他投资者进行交易（买入和卖出）。此外，与封闭式基金一样，房地产投资信托基金的流通股数量是固定的。由于房地产投资信托基金在二级市场交易，其价格可能低于或高于资产净值（NAV），这取决于盈利能力和投资者情绪。</w:t>
      </w:r>
    </w:p>
    <w:p w14:paraId="222C0A9A">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C6C6AF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33FF8D4B">
            <w:pPr>
              <w:numPr>
                <w:ilvl w:val="0"/>
                <w:numId w:val="83"/>
              </w:numPr>
              <w:spacing w:before="120" w:after="120" w:line="288" w:lineRule="auto"/>
              <w:ind w:left="0"/>
              <w:jc w:val="left"/>
            </w:pPr>
            <w:r>
              <w:rPr>
                <w:rFonts w:ascii="Arial" w:hAnsi="Arial" w:eastAsia="等线" w:cs="Arial"/>
                <w:sz w:val="22"/>
              </w:rPr>
              <w:t>Which of the following is NOT TRUE of real-estate investment trusts?</w:t>
            </w:r>
          </w:p>
          <w:p w14:paraId="0B024888">
            <w:pPr>
              <w:spacing w:before="120" w:after="120" w:line="288" w:lineRule="auto"/>
              <w:ind w:left="0"/>
              <w:jc w:val="left"/>
            </w:pPr>
            <w:r>
              <w:rPr>
                <w:rFonts w:ascii="Arial" w:hAnsi="Arial" w:eastAsia="等线" w:cs="Arial"/>
                <w:sz w:val="22"/>
              </w:rPr>
              <w:t>(A) They may trade at a discount to the NAV.</w:t>
            </w:r>
          </w:p>
          <w:p w14:paraId="5731B93A">
            <w:pPr>
              <w:spacing w:before="120" w:after="120" w:line="288" w:lineRule="auto"/>
              <w:ind w:left="0"/>
              <w:jc w:val="left"/>
            </w:pPr>
            <w:r>
              <w:rPr>
                <w:rFonts w:ascii="Arial" w:hAnsi="Arial" w:eastAsia="等线" w:cs="Arial"/>
                <w:sz w:val="22"/>
              </w:rPr>
              <w:t>(B) They may invest in construction loans.</w:t>
            </w:r>
          </w:p>
          <w:p w14:paraId="0C458813">
            <w:pPr>
              <w:spacing w:before="120" w:after="120" w:line="288" w:lineRule="auto"/>
              <w:ind w:left="0"/>
              <w:jc w:val="left"/>
            </w:pPr>
            <w:r>
              <w:rPr>
                <w:rFonts w:ascii="Arial" w:hAnsi="Arial" w:eastAsia="等线" w:cs="Arial"/>
                <w:sz w:val="22"/>
              </w:rPr>
              <w:t>(C) They are redeemable securities.</w:t>
            </w:r>
          </w:p>
          <w:p w14:paraId="4ED3CC0B">
            <w:pPr>
              <w:spacing w:before="120" w:after="120" w:line="288" w:lineRule="auto"/>
              <w:ind w:left="0"/>
              <w:jc w:val="left"/>
            </w:pPr>
            <w:r>
              <w:rPr>
                <w:rFonts w:ascii="Arial" w:hAnsi="Arial" w:eastAsia="等线" w:cs="Arial"/>
                <w:sz w:val="22"/>
              </w:rPr>
              <w:t>(D) None of the above.</w:t>
            </w:r>
          </w:p>
        </w:tc>
      </w:tr>
    </w:tbl>
    <w:p w14:paraId="152EAB00">
      <w:pPr>
        <w:spacing w:before="120" w:after="120" w:line="288" w:lineRule="auto"/>
        <w:ind w:left="0"/>
        <w:jc w:val="left"/>
      </w:pPr>
    </w:p>
    <w:p w14:paraId="3217E203">
      <w:pPr>
        <w:spacing w:before="300" w:after="120" w:line="288" w:lineRule="auto"/>
        <w:ind w:left="0"/>
        <w:jc w:val="left"/>
        <w:outlineLvl w:val="2"/>
      </w:pPr>
      <w:bookmarkStart w:id="19" w:name="heading_19"/>
      <w:r>
        <w:rPr>
          <w:rFonts w:ascii="Arial" w:hAnsi="Arial" w:eastAsia="等线" w:cs="Arial"/>
          <w:color w:val="3370FF"/>
          <w:sz w:val="30"/>
        </w:rPr>
        <w:t xml:space="preserve">2.2.2 </w:t>
      </w:r>
      <w:r>
        <w:rPr>
          <w:rFonts w:ascii="Arial" w:hAnsi="Arial" w:eastAsia="等线" w:cs="Arial"/>
          <w:b/>
          <w:sz w:val="30"/>
        </w:rPr>
        <w:t>REITs 类型</w:t>
      </w:r>
      <w:bookmarkEnd w:id="19"/>
    </w:p>
    <w:p w14:paraId="0A017603">
      <w:pPr>
        <w:numPr>
          <w:ilvl w:val="0"/>
          <w:numId w:val="84"/>
        </w:numPr>
        <w:spacing w:before="120" w:after="120" w:line="288" w:lineRule="auto"/>
        <w:ind w:left="0"/>
        <w:jc w:val="left"/>
      </w:pPr>
      <w:r>
        <w:rPr>
          <w:rFonts w:ascii="Arial" w:hAnsi="Arial" w:eastAsia="等线" w:cs="Arial"/>
          <w:sz w:val="22"/>
        </w:rPr>
        <w:t>权益型（Equity REITs）（最常见）</w:t>
      </w:r>
    </w:p>
    <w:p w14:paraId="5F2EE1CC">
      <w:pPr>
        <w:spacing w:before="120" w:after="120" w:line="288" w:lineRule="auto"/>
        <w:ind w:left="0"/>
        <w:jc w:val="left"/>
      </w:pPr>
      <w:r>
        <w:rPr>
          <w:rFonts w:ascii="Arial" w:hAnsi="Arial" w:eastAsia="等线" w:cs="Arial"/>
          <w:sz w:val="22"/>
        </w:rPr>
        <w:t>权益型 REITs 在房地产物业中持有权益头寸（直接拥有房产）；其收入来自收取的租金或物业出售时获得的利润。</w:t>
      </w:r>
    </w:p>
    <w:p w14:paraId="3B0870FB">
      <w:pPr>
        <w:spacing w:before="120" w:after="120" w:line="288" w:lineRule="auto"/>
        <w:ind w:left="0"/>
        <w:jc w:val="left"/>
      </w:pPr>
    </w:p>
    <w:p w14:paraId="18E101E1">
      <w:pPr>
        <w:spacing w:before="120" w:after="120" w:line="288" w:lineRule="auto"/>
        <w:ind w:left="0"/>
        <w:jc w:val="left"/>
      </w:pPr>
      <w:r>
        <w:rPr>
          <w:rFonts w:ascii="Arial" w:hAnsi="Arial" w:eastAsia="等线" w:cs="Arial"/>
          <w:sz w:val="22"/>
        </w:rPr>
        <w:t>权益型房地产投资信托基金通常持有能产生收入的物业，如公寓、购物中心、度假胜地等。</w:t>
      </w:r>
    </w:p>
    <w:p w14:paraId="45861DCF">
      <w:pPr>
        <w:spacing w:before="120" w:after="120" w:line="288" w:lineRule="auto"/>
        <w:ind w:left="0"/>
        <w:jc w:val="left"/>
      </w:pPr>
    </w:p>
    <w:p w14:paraId="3D957EF8">
      <w:pPr>
        <w:numPr>
          <w:ilvl w:val="0"/>
          <w:numId w:val="85"/>
        </w:numPr>
        <w:spacing w:before="120" w:after="120" w:line="288" w:lineRule="auto"/>
        <w:ind w:left="0"/>
        <w:jc w:val="left"/>
      </w:pPr>
      <w:r>
        <w:rPr>
          <w:rFonts w:ascii="Arial" w:hAnsi="Arial" w:eastAsia="等线" w:cs="Arial"/>
          <w:sz w:val="22"/>
        </w:rPr>
        <w:t>抵押型（Mortgage REITs）</w:t>
      </w:r>
    </w:p>
    <w:p w14:paraId="5E031A3A">
      <w:pPr>
        <w:spacing w:before="120" w:after="120" w:line="288" w:lineRule="auto"/>
        <w:ind w:left="0"/>
        <w:jc w:val="left"/>
      </w:pPr>
      <w:r>
        <w:rPr>
          <w:rFonts w:ascii="Arial" w:hAnsi="Arial" w:eastAsia="等线" w:cs="Arial"/>
          <w:sz w:val="22"/>
        </w:rPr>
        <w:t>抵押 REITs 不直接拥有房产，而是通过向房地产所有者和开发商提供抵押贷款，或购买建筑贷款、抵押贷款或抵押贷款支持证券（MBS） 来盈利。信托会收到贷款所支付的利息，进而将其转交给信托的所有者（即投资者）。</w:t>
      </w:r>
    </w:p>
    <w:p w14:paraId="42820D07">
      <w:pPr>
        <w:spacing w:before="120" w:after="120" w:line="288" w:lineRule="auto"/>
        <w:ind w:left="0"/>
        <w:jc w:val="left"/>
      </w:pPr>
    </w:p>
    <w:p w14:paraId="2904D952">
      <w:pPr>
        <w:numPr>
          <w:ilvl w:val="0"/>
          <w:numId w:val="86"/>
        </w:numPr>
        <w:spacing w:before="120" w:after="120" w:line="288" w:lineRule="auto"/>
        <w:ind w:left="0"/>
        <w:jc w:val="left"/>
      </w:pPr>
      <w:r>
        <w:rPr>
          <w:rFonts w:ascii="Arial" w:hAnsi="Arial" w:eastAsia="等线" w:cs="Arial"/>
          <w:sz w:val="22"/>
        </w:rPr>
        <w:t>混合型（Hybrid REITs）</w:t>
      </w:r>
    </w:p>
    <w:p w14:paraId="6993F277">
      <w:pPr>
        <w:spacing w:before="120" w:after="120" w:line="288" w:lineRule="auto"/>
        <w:ind w:left="0"/>
        <w:jc w:val="left"/>
      </w:pPr>
      <w:r>
        <w:rPr>
          <w:rFonts w:ascii="Arial" w:hAnsi="Arial" w:eastAsia="等线" w:cs="Arial"/>
          <w:sz w:val="22"/>
        </w:rPr>
        <w:t>混合房地产投资信托基金（REITs）是权益型和抵押型 REITs 的结合体。混合 REITs 的收入来源于租金和资本利得（如权益型房地产投资信托基金）以及利息（如抵押型房地产投资信托基金）。</w:t>
      </w:r>
    </w:p>
    <w:p w14:paraId="70DC6892">
      <w:pPr>
        <w:spacing w:before="120" w:after="120" w:line="288" w:lineRule="auto"/>
        <w:ind w:left="0"/>
        <w:jc w:val="left"/>
      </w:pP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3B2DD2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52BB158D">
            <w:pPr>
              <w:numPr>
                <w:ilvl w:val="0"/>
                <w:numId w:val="87"/>
              </w:numPr>
              <w:spacing w:before="120" w:after="120" w:line="288" w:lineRule="auto"/>
              <w:ind w:left="0"/>
              <w:jc w:val="left"/>
            </w:pPr>
            <w:r>
              <w:rPr>
                <w:rFonts w:ascii="Arial" w:hAnsi="Arial" w:eastAsia="等线" w:cs="Arial"/>
                <w:sz w:val="22"/>
              </w:rPr>
              <w:t>Which of the following real-estate investment trusts have income that is derived at least par-</w:t>
            </w:r>
          </w:p>
          <w:p w14:paraId="3CF3591E">
            <w:pPr>
              <w:spacing w:before="120" w:after="120" w:line="288" w:lineRule="auto"/>
              <w:ind w:left="0"/>
              <w:jc w:val="left"/>
            </w:pPr>
            <w:r>
              <w:rPr>
                <w:rFonts w:ascii="Arial" w:hAnsi="Arial" w:eastAsia="等线" w:cs="Arial"/>
                <w:sz w:val="22"/>
              </w:rPr>
              <w:t>tially from rent collected?</w:t>
            </w:r>
          </w:p>
          <w:p w14:paraId="08A39D06">
            <w:pPr>
              <w:spacing w:before="120" w:after="120" w:line="288" w:lineRule="auto"/>
              <w:ind w:left="0"/>
              <w:jc w:val="left"/>
            </w:pPr>
            <w:r>
              <w:rPr>
                <w:rFonts w:ascii="Arial" w:hAnsi="Arial" w:eastAsia="等线" w:cs="Arial"/>
                <w:sz w:val="22"/>
              </w:rPr>
              <w:t>I. Equity REITs</w:t>
            </w:r>
          </w:p>
          <w:p w14:paraId="733B8459">
            <w:pPr>
              <w:spacing w:before="120" w:after="120" w:line="288" w:lineRule="auto"/>
              <w:ind w:left="0"/>
              <w:jc w:val="left"/>
            </w:pPr>
            <w:r>
              <w:rPr>
                <w:rFonts w:ascii="Arial" w:hAnsi="Arial" w:eastAsia="等线" w:cs="Arial"/>
                <w:sz w:val="22"/>
              </w:rPr>
              <w:t>II. Mortgage REITs</w:t>
            </w:r>
          </w:p>
          <w:p w14:paraId="29F188E7">
            <w:pPr>
              <w:spacing w:before="120" w:after="120" w:line="288" w:lineRule="auto"/>
              <w:ind w:left="0"/>
              <w:jc w:val="left"/>
            </w:pPr>
            <w:r>
              <w:rPr>
                <w:rFonts w:ascii="Arial" w:hAnsi="Arial" w:eastAsia="等线" w:cs="Arial"/>
                <w:sz w:val="22"/>
              </w:rPr>
              <w:t>III. Hybrid REITs</w:t>
            </w:r>
          </w:p>
          <w:p w14:paraId="459927CD">
            <w:pPr>
              <w:spacing w:before="120" w:after="120" w:line="288" w:lineRule="auto"/>
              <w:ind w:left="0"/>
              <w:jc w:val="left"/>
            </w:pPr>
            <w:r>
              <w:rPr>
                <w:rFonts w:ascii="Arial" w:hAnsi="Arial" w:eastAsia="等线" w:cs="Arial"/>
                <w:sz w:val="22"/>
              </w:rPr>
              <w:t>(A) I and III</w:t>
            </w:r>
          </w:p>
          <w:p w14:paraId="7BB9D9E5">
            <w:pPr>
              <w:spacing w:before="120" w:after="120" w:line="288" w:lineRule="auto"/>
              <w:ind w:left="0"/>
              <w:jc w:val="left"/>
            </w:pPr>
            <w:r>
              <w:rPr>
                <w:rFonts w:ascii="Arial" w:hAnsi="Arial" w:eastAsia="等线" w:cs="Arial"/>
                <w:sz w:val="22"/>
              </w:rPr>
              <w:t>(B) II and III</w:t>
            </w:r>
          </w:p>
          <w:p w14:paraId="5B47807D">
            <w:pPr>
              <w:spacing w:before="120" w:after="120" w:line="288" w:lineRule="auto"/>
              <w:ind w:left="0"/>
              <w:jc w:val="left"/>
            </w:pPr>
            <w:r>
              <w:rPr>
                <w:rFonts w:ascii="Arial" w:hAnsi="Arial" w:eastAsia="等线" w:cs="Arial"/>
                <w:sz w:val="22"/>
              </w:rPr>
              <w:t>(C) I and II</w:t>
            </w:r>
          </w:p>
          <w:p w14:paraId="105E14E7">
            <w:pPr>
              <w:spacing w:before="120" w:after="120" w:line="288" w:lineRule="auto"/>
              <w:ind w:left="0"/>
              <w:jc w:val="left"/>
            </w:pPr>
            <w:r>
              <w:rPr>
                <w:rFonts w:ascii="Arial" w:hAnsi="Arial" w:eastAsia="等线" w:cs="Arial"/>
                <w:sz w:val="22"/>
              </w:rPr>
              <w:t>(D) I, II, and III</w:t>
            </w:r>
          </w:p>
        </w:tc>
      </w:tr>
    </w:tbl>
    <w:p w14:paraId="77BB70C1">
      <w:pPr>
        <w:spacing w:before="120" w:after="120" w:line="288" w:lineRule="auto"/>
        <w:ind w:left="0"/>
        <w:jc w:val="left"/>
      </w:pPr>
    </w:p>
    <w:p w14:paraId="16305325">
      <w:pPr>
        <w:spacing w:before="300" w:after="120" w:line="288" w:lineRule="auto"/>
        <w:ind w:left="0"/>
        <w:jc w:val="left"/>
        <w:outlineLvl w:val="2"/>
      </w:pPr>
      <w:bookmarkStart w:id="20" w:name="heading_20"/>
      <w:r>
        <w:rPr>
          <w:rFonts w:ascii="Arial" w:hAnsi="Arial" w:eastAsia="等线" w:cs="Arial"/>
          <w:color w:val="3370FF"/>
          <w:sz w:val="30"/>
        </w:rPr>
        <w:t xml:space="preserve">2.2.3 </w:t>
      </w:r>
      <w:r>
        <w:rPr>
          <w:rFonts w:ascii="Arial" w:hAnsi="Arial" w:eastAsia="等线" w:cs="Arial"/>
          <w:b/>
          <w:sz w:val="30"/>
        </w:rPr>
        <w:t>关于税收</w:t>
      </w:r>
      <w:bookmarkEnd w:id="20"/>
    </w:p>
    <w:p w14:paraId="4D6968FE">
      <w:pPr>
        <w:spacing w:before="120" w:after="120" w:line="288" w:lineRule="auto"/>
        <w:ind w:left="0"/>
        <w:jc w:val="left"/>
      </w:pPr>
      <w:r>
        <w:rPr>
          <w:rFonts w:ascii="Arial" w:hAnsi="Arial" w:eastAsia="等线" w:cs="Arial"/>
          <w:sz w:val="22"/>
        </w:rPr>
        <w:t>至于税收方面，如果满足以下条件，REITs 可以避免像公司一样被征税：</w:t>
      </w:r>
    </w:p>
    <w:p w14:paraId="3B670A81">
      <w:pPr>
        <w:numPr>
          <w:ilvl w:val="0"/>
          <w:numId w:val="88"/>
        </w:numPr>
        <w:spacing w:before="120" w:after="120" w:line="288" w:lineRule="auto"/>
        <w:ind w:left="0"/>
        <w:jc w:val="left"/>
      </w:pPr>
      <w:r>
        <w:rPr>
          <w:rFonts w:ascii="Arial" w:hAnsi="Arial" w:eastAsia="等线" w:cs="Arial"/>
          <w:sz w:val="22"/>
        </w:rPr>
        <w:t>至少75%的收入来自房地产相关的活动。</w:t>
      </w:r>
    </w:p>
    <w:p w14:paraId="7ACF2E26">
      <w:pPr>
        <w:numPr>
          <w:ilvl w:val="0"/>
          <w:numId w:val="89"/>
        </w:numPr>
        <w:spacing w:before="120" w:after="120" w:line="288" w:lineRule="auto"/>
        <w:ind w:left="0"/>
        <w:jc w:val="left"/>
      </w:pPr>
      <w:r>
        <w:rPr>
          <w:rFonts w:ascii="Arial" w:hAnsi="Arial" w:eastAsia="等线" w:cs="Arial"/>
          <w:sz w:val="22"/>
        </w:rPr>
        <w:t>至少75%的资产投资于房地产、政府证券和/或现金。</w:t>
      </w:r>
    </w:p>
    <w:p w14:paraId="161A43D0">
      <w:pPr>
        <w:numPr>
          <w:ilvl w:val="0"/>
          <w:numId w:val="90"/>
        </w:numPr>
        <w:spacing w:before="120" w:after="120" w:line="288" w:lineRule="auto"/>
        <w:ind w:left="0"/>
        <w:jc w:val="left"/>
      </w:pPr>
      <w:r>
        <w:rPr>
          <w:rFonts w:ascii="Arial" w:hAnsi="Arial" w:eastAsia="等线" w:cs="Arial"/>
          <w:sz w:val="22"/>
        </w:rPr>
        <w:t>至少90%的净收入会分配给股东（股东需为这笔收入缴税）。这意味着，与公司在企业层面缴税、投资者就现金股息缴税不同，如果 REITs 遵循这些规定，就不会存在双重征税的情况。因此，对于投资 REITs 的个人而言，他们能获得具有税收优势的收入。</w:t>
      </w:r>
    </w:p>
    <w:p w14:paraId="4EE92CDD">
      <w:pPr>
        <w:spacing w:before="120" w:after="120" w:line="288" w:lineRule="auto"/>
        <w:ind w:left="0"/>
        <w:jc w:val="left"/>
      </w:pPr>
    </w:p>
    <w:p w14:paraId="0724CA5E">
      <w:pPr>
        <w:spacing w:before="300" w:after="120" w:line="288" w:lineRule="auto"/>
        <w:ind w:left="0"/>
        <w:jc w:val="left"/>
        <w:outlineLvl w:val="2"/>
      </w:pPr>
      <w:bookmarkStart w:id="21" w:name="heading_21"/>
      <w:r>
        <w:rPr>
          <w:rFonts w:ascii="Arial" w:hAnsi="Arial" w:eastAsia="等线" w:cs="Arial"/>
          <w:color w:val="3370FF"/>
          <w:sz w:val="30"/>
        </w:rPr>
        <w:t xml:space="preserve">2.2.4 </w:t>
      </w:r>
      <w:r>
        <w:rPr>
          <w:rFonts w:ascii="Arial" w:hAnsi="Arial" w:eastAsia="等线" w:cs="Arial"/>
          <w:b/>
          <w:sz w:val="30"/>
        </w:rPr>
        <w:t>REITs 售卖方式</w:t>
      </w:r>
      <w:bookmarkEnd w:id="21"/>
    </w:p>
    <w:p w14:paraId="54ADC2AC">
      <w:pPr>
        <w:spacing w:before="120" w:after="120" w:line="288" w:lineRule="auto"/>
        <w:ind w:left="0"/>
        <w:jc w:val="left"/>
      </w:pPr>
      <w:r>
        <w:rPr>
          <w:rFonts w:ascii="Arial" w:hAnsi="Arial" w:eastAsia="等线" w:cs="Arial"/>
          <w:sz w:val="22"/>
        </w:rPr>
        <w:t>REITs 售卖方式有三种：私募发行（private placements）、非上市交易（nonlisted）和上市交易（listed）。</w:t>
      </w:r>
    </w:p>
    <w:p w14:paraId="305EFEB7">
      <w:pPr>
        <w:spacing w:before="120" w:after="120" w:line="288" w:lineRule="auto"/>
        <w:ind w:left="0"/>
        <w:jc w:val="left"/>
      </w:pPr>
    </w:p>
    <w:p w14:paraId="50F2B775">
      <w:pPr>
        <w:numPr>
          <w:ilvl w:val="0"/>
          <w:numId w:val="91"/>
        </w:numPr>
        <w:spacing w:before="120" w:after="120" w:line="288" w:lineRule="auto"/>
        <w:ind w:left="0"/>
        <w:jc w:val="left"/>
      </w:pPr>
      <w:r>
        <w:rPr>
          <w:rFonts w:ascii="Arial" w:hAnsi="Arial" w:eastAsia="等线" w:cs="Arial"/>
          <w:sz w:val="22"/>
        </w:rPr>
        <w:t>私募 REITs</w:t>
      </w:r>
    </w:p>
    <w:p w14:paraId="2A284C99">
      <w:pPr>
        <w:spacing w:before="120" w:after="120" w:line="288" w:lineRule="auto"/>
        <w:ind w:left="0"/>
        <w:jc w:val="left"/>
      </w:pPr>
      <w:r>
        <w:rPr>
          <w:rFonts w:ascii="Arial" w:hAnsi="Arial" w:eastAsia="等线" w:cs="Arial"/>
          <w:sz w:val="22"/>
        </w:rPr>
        <w:t>私募 REITs 通过私募方式销售，其份额不在全国性证券交易所（如纽约证券交易所）交易。因此，它们无需遵守与在交易所上市的 REITs 或公开非上市 REITs 相同的披露要求。根据 《1933 年证券法》D 条例，私募房地产投资信托基金豁免于SEC注册（详见第5章）。</w:t>
      </w:r>
    </w:p>
    <w:p w14:paraId="10F72C59">
      <w:pPr>
        <w:spacing w:before="120" w:after="120" w:line="288" w:lineRule="auto"/>
        <w:ind w:left="0"/>
        <w:jc w:val="left"/>
      </w:pPr>
    </w:p>
    <w:p w14:paraId="09FC5FDF">
      <w:pPr>
        <w:spacing w:before="120" w:after="120" w:line="288" w:lineRule="auto"/>
        <w:ind w:left="0"/>
        <w:jc w:val="left"/>
      </w:pPr>
      <w:r>
        <w:rPr>
          <w:rFonts w:ascii="Arial" w:hAnsi="Arial" w:eastAsia="等线" w:cs="Arial"/>
          <w:sz w:val="22"/>
        </w:rPr>
        <w:t>私募 REITs 仅向合格投资者和机构投资者销售，它们不在交易所交易，流动性最差。</w:t>
      </w:r>
    </w:p>
    <w:p w14:paraId="3294E98D">
      <w:pPr>
        <w:spacing w:before="120" w:after="120" w:line="288" w:lineRule="auto"/>
        <w:ind w:left="0"/>
        <w:jc w:val="left"/>
      </w:pPr>
    </w:p>
    <w:p w14:paraId="762281FE">
      <w:pPr>
        <w:numPr>
          <w:ilvl w:val="0"/>
          <w:numId w:val="92"/>
        </w:numPr>
        <w:spacing w:before="120" w:after="120" w:line="288" w:lineRule="auto"/>
        <w:ind w:left="0"/>
        <w:jc w:val="left"/>
      </w:pPr>
      <w:r>
        <w:rPr>
          <w:rFonts w:ascii="Arial" w:hAnsi="Arial" w:eastAsia="等线" w:cs="Arial"/>
          <w:sz w:val="22"/>
        </w:rPr>
        <w:t>公募非上市房地产投资信托基金（Public Non-listed REITs）</w:t>
      </w:r>
    </w:p>
    <w:p w14:paraId="3A2753CA">
      <w:pPr>
        <w:spacing w:before="120" w:after="120" w:line="288" w:lineRule="auto"/>
        <w:ind w:left="0"/>
        <w:jc w:val="left"/>
      </w:pPr>
    </w:p>
    <w:p w14:paraId="7951F6C0">
      <w:pPr>
        <w:spacing w:before="120" w:after="120" w:line="288" w:lineRule="auto"/>
        <w:ind w:left="0"/>
        <w:jc w:val="left"/>
      </w:pPr>
      <w:r>
        <w:rPr>
          <w:rFonts w:ascii="Arial" w:hAnsi="Arial" w:eastAsia="等线" w:cs="Arial"/>
          <w:sz w:val="22"/>
        </w:rPr>
        <w:t>公募非上市 REITs 也叫</w:t>
      </w:r>
      <w:r>
        <w:rPr>
          <w:rFonts w:ascii="Arial" w:hAnsi="Arial" w:eastAsia="等线" w:cs="Arial"/>
          <w:b/>
          <w:sz w:val="22"/>
        </w:rPr>
        <w:t>注册非上市 REITs</w:t>
      </w:r>
      <w:r>
        <w:rPr>
          <w:rFonts w:ascii="Arial" w:hAnsi="Arial" w:eastAsia="等线" w:cs="Arial"/>
          <w:sz w:val="22"/>
        </w:rPr>
        <w:t>（Registered nonlisted REITs）。</w:t>
      </w:r>
    </w:p>
    <w:p w14:paraId="1B5AFC79">
      <w:pPr>
        <w:spacing w:before="120" w:after="120" w:line="288" w:lineRule="auto"/>
        <w:ind w:left="0"/>
        <w:jc w:val="left"/>
      </w:pPr>
    </w:p>
    <w:p w14:paraId="603F617E">
      <w:pPr>
        <w:spacing w:before="120" w:after="120" w:line="288" w:lineRule="auto"/>
        <w:ind w:left="0"/>
        <w:jc w:val="left"/>
      </w:pPr>
      <w:r>
        <w:rPr>
          <w:rFonts w:ascii="Arial" w:hAnsi="Arial" w:eastAsia="等线" w:cs="Arial"/>
          <w:sz w:val="22"/>
        </w:rPr>
        <w:t>公募非上市房地产投资信托基金（PNLRs）在 SEC 注册，但不在主要交易所交易。</w:t>
      </w:r>
    </w:p>
    <w:p w14:paraId="2ABFFCDE">
      <w:pPr>
        <w:spacing w:before="120" w:after="120" w:line="288" w:lineRule="auto"/>
        <w:ind w:left="0"/>
        <w:jc w:val="left"/>
      </w:pPr>
    </w:p>
    <w:p w14:paraId="28000DB2">
      <w:pPr>
        <w:spacing w:before="120" w:after="120" w:line="288" w:lineRule="auto"/>
        <w:ind w:left="0"/>
        <w:jc w:val="left"/>
      </w:pPr>
      <w:r>
        <w:rPr>
          <w:rFonts w:ascii="Arial" w:hAnsi="Arial" w:eastAsia="等线" w:cs="Arial"/>
          <w:sz w:val="22"/>
        </w:rPr>
        <w:t>PNLRs 在各方面都与上市房地产投资信托基金相似，包括披露要求，不同之处在于它们的流动性较低。PNLRs 可以在场外进行买卖，一些发行方有定期（每日或频率更低）的回购选项，允许投资者按资产净值将股份卖回给发行方。</w:t>
      </w:r>
    </w:p>
    <w:p w14:paraId="0649804B">
      <w:pPr>
        <w:spacing w:before="120" w:after="120" w:line="288" w:lineRule="auto"/>
        <w:ind w:left="0"/>
        <w:jc w:val="left"/>
      </w:pPr>
    </w:p>
    <w:p w14:paraId="01A2CADD">
      <w:pPr>
        <w:spacing w:before="120" w:after="120" w:line="288" w:lineRule="auto"/>
        <w:ind w:left="0"/>
        <w:jc w:val="left"/>
      </w:pPr>
      <w:r>
        <w:rPr>
          <w:rFonts w:ascii="Arial" w:hAnsi="Arial" w:eastAsia="等线" w:cs="Arial"/>
          <w:sz w:val="22"/>
        </w:rPr>
        <w:t>注册非上市交易 REITs 不在交易所交易。流动性差，估值困难，但通常提供更高的股息收益率以补偿流动性风险。</w:t>
      </w:r>
    </w:p>
    <w:p w14:paraId="299DB4B6">
      <w:pPr>
        <w:spacing w:before="120" w:after="120" w:line="288" w:lineRule="auto"/>
        <w:ind w:left="0"/>
        <w:jc w:val="left"/>
      </w:pPr>
    </w:p>
    <w:p w14:paraId="79FCD03C">
      <w:pPr>
        <w:numPr>
          <w:ilvl w:val="0"/>
          <w:numId w:val="93"/>
        </w:numPr>
        <w:spacing w:before="120" w:after="120" w:line="288" w:lineRule="auto"/>
        <w:ind w:left="0"/>
        <w:jc w:val="left"/>
      </w:pPr>
      <w:r>
        <w:rPr>
          <w:rFonts w:ascii="Arial" w:hAnsi="Arial" w:eastAsia="等线" w:cs="Arial"/>
          <w:sz w:val="22"/>
        </w:rPr>
        <w:t>上市交易 REITs</w:t>
      </w:r>
    </w:p>
    <w:p w14:paraId="5A6FC8B4">
      <w:pPr>
        <w:spacing w:before="120" w:after="120" w:line="288" w:lineRule="auto"/>
        <w:ind w:left="0"/>
        <w:jc w:val="left"/>
      </w:pPr>
      <w:r>
        <w:rPr>
          <w:rFonts w:ascii="Arial" w:hAnsi="Arial" w:eastAsia="等线" w:cs="Arial"/>
          <w:sz w:val="22"/>
        </w:rPr>
        <w:t>上市交易 REITs 必须向 SEC 注册，并且在一个或多个全国性交易所上市。</w:t>
      </w:r>
    </w:p>
    <w:p w14:paraId="72A177DD">
      <w:pPr>
        <w:spacing w:before="120" w:after="120" w:line="288" w:lineRule="auto"/>
        <w:ind w:left="0"/>
        <w:jc w:val="left"/>
      </w:pPr>
    </w:p>
    <w:p w14:paraId="6756A8A7">
      <w:pPr>
        <w:spacing w:before="120" w:after="120" w:line="288" w:lineRule="auto"/>
        <w:ind w:left="0"/>
        <w:jc w:val="left"/>
      </w:pPr>
      <w:r>
        <w:rPr>
          <w:rFonts w:ascii="Arial" w:hAnsi="Arial" w:eastAsia="等线" w:cs="Arial"/>
          <w:sz w:val="22"/>
        </w:rPr>
        <w:t>在主要证券交易所（如 NYSE）像股票一样交易，流动性好。</w:t>
      </w:r>
    </w:p>
    <w:p w14:paraId="137E81BF">
      <w:pPr>
        <w:spacing w:before="120" w:after="120" w:line="288" w:lineRule="auto"/>
        <w:ind w:left="0"/>
        <w:jc w:val="left"/>
      </w:pPr>
    </w:p>
    <w:p w14:paraId="70A4C680">
      <w:pPr>
        <w:spacing w:before="300" w:after="120" w:line="288" w:lineRule="auto"/>
        <w:ind w:left="0"/>
        <w:jc w:val="left"/>
        <w:outlineLvl w:val="2"/>
      </w:pPr>
      <w:bookmarkStart w:id="22" w:name="heading_22"/>
      <w:r>
        <w:rPr>
          <w:rFonts w:ascii="Arial" w:hAnsi="Arial" w:eastAsia="等线" w:cs="Arial"/>
          <w:color w:val="3370FF"/>
          <w:sz w:val="30"/>
        </w:rPr>
        <w:t xml:space="preserve">2.2.5 </w:t>
      </w:r>
      <w:r>
        <w:rPr>
          <w:rFonts w:ascii="Arial" w:hAnsi="Arial" w:eastAsia="等线" w:cs="Arial"/>
          <w:b/>
          <w:sz w:val="30"/>
        </w:rPr>
        <w:t>REITs 与 RELPs 的区别</w:t>
      </w:r>
      <w:bookmarkEnd w:id="22"/>
    </w:p>
    <w:p w14:paraId="6F1AA1B3">
      <w:pPr>
        <w:spacing w:before="120" w:after="120" w:line="288" w:lineRule="auto"/>
        <w:ind w:left="0"/>
        <w:jc w:val="left"/>
      </w:pPr>
      <w:r>
        <w:rPr>
          <w:rFonts w:ascii="Arial" w:hAnsi="Arial" w:eastAsia="等线" w:cs="Arial"/>
          <w:sz w:val="22"/>
        </w:rPr>
        <w:t>RELPs（Real Estate Limited Partnerships，房地产有限合伙企业）是一种聚焦房地产投资的</w:t>
      </w:r>
      <w:r>
        <w:rPr>
          <w:rFonts w:ascii="Arial" w:hAnsi="Arial" w:eastAsia="等线" w:cs="Arial"/>
          <w:b/>
          <w:sz w:val="22"/>
        </w:rPr>
        <w:t>有限合伙制投资实体。</w:t>
      </w:r>
    </w:p>
    <w:p w14:paraId="19C91F01">
      <w:pPr>
        <w:spacing w:before="120" w:after="120" w:line="288" w:lineRule="auto"/>
        <w:ind w:left="0"/>
        <w:jc w:val="left"/>
      </w:pPr>
    </w:p>
    <w:p w14:paraId="6C7039F3">
      <w:pPr>
        <w:spacing w:before="120" w:after="120" w:line="288" w:lineRule="auto"/>
        <w:ind w:left="0"/>
        <w:jc w:val="left"/>
      </w:pPr>
      <w:r>
        <w:rPr>
          <w:rFonts w:ascii="Arial" w:hAnsi="Arial" w:eastAsia="等线" w:cs="Arial"/>
          <w:sz w:val="22"/>
        </w:rPr>
        <w:t>REITs（Real Estate Investment Trusts，房地产投资信托基金）是一种专门投资房地产的“特殊基金”。</w:t>
      </w:r>
    </w:p>
    <w:p w14:paraId="7ECACADD">
      <w:pPr>
        <w:spacing w:before="120" w:after="120" w:line="288" w:lineRule="auto"/>
        <w:ind w:left="0"/>
        <w:jc w:val="left"/>
      </w:pPr>
    </w:p>
    <w:p w14:paraId="137A0F0F">
      <w:pPr>
        <w:spacing w:before="120" w:after="120" w:line="288" w:lineRule="auto"/>
        <w:ind w:left="0"/>
        <w:jc w:val="left"/>
      </w:pPr>
      <w:r>
        <w:rPr>
          <w:rFonts w:ascii="Arial" w:hAnsi="Arial" w:eastAsia="等线" w:cs="Arial"/>
          <w:sz w:val="22"/>
        </w:rPr>
        <w:t>不要将 REITs 与 RELPs 混淆。RELPs 会将收入和亏损转嫁给投资者，由投资者个人纳税申报；而 REITs 仅将收入和收益转嫁给投资者，不包括亏损或冲销（losses or write-offs）。</w:t>
      </w:r>
    </w:p>
    <w:p w14:paraId="019E7F9D">
      <w:pPr>
        <w:spacing w:before="120" w:after="120" w:line="288" w:lineRule="auto"/>
        <w:ind w:left="0"/>
        <w:jc w:val="left"/>
      </w:pPr>
    </w:p>
    <w:p w14:paraId="220B8032">
      <w:pPr>
        <w:spacing w:before="300" w:after="120" w:line="288" w:lineRule="auto"/>
        <w:ind w:left="0"/>
        <w:jc w:val="left"/>
        <w:outlineLvl w:val="2"/>
      </w:pPr>
      <w:bookmarkStart w:id="23" w:name="heading_23"/>
      <w:r>
        <w:rPr>
          <w:rFonts w:ascii="Arial" w:hAnsi="Arial" w:eastAsia="等线" w:cs="Arial"/>
          <w:color w:val="3370FF"/>
          <w:sz w:val="30"/>
        </w:rPr>
        <w:t xml:space="preserve">2.2.6 </w:t>
      </w:r>
      <w:r>
        <w:rPr>
          <w:rFonts w:ascii="Arial" w:hAnsi="Arial" w:eastAsia="等线" w:cs="Arial"/>
          <w:b/>
          <w:sz w:val="30"/>
        </w:rPr>
        <w:t>REITs 优势</w:t>
      </w:r>
      <w:bookmarkEnd w:id="23"/>
    </w:p>
    <w:p w14:paraId="08CC5E1A">
      <w:pPr>
        <w:numPr>
          <w:ilvl w:val="0"/>
          <w:numId w:val="94"/>
        </w:numPr>
        <w:spacing w:before="120" w:after="120" w:line="288" w:lineRule="auto"/>
        <w:ind w:left="0"/>
        <w:jc w:val="left"/>
      </w:pPr>
      <w:r>
        <w:rPr>
          <w:rFonts w:ascii="Arial" w:hAnsi="Arial" w:eastAsia="等线" w:cs="Arial"/>
          <w:b/>
          <w:sz w:val="22"/>
        </w:rPr>
        <w:t>专业管理的房地产资产组合</w:t>
      </w:r>
      <w:r>
        <w:rPr>
          <w:rFonts w:ascii="Arial" w:hAnsi="Arial" w:eastAsia="等线" w:cs="Arial"/>
          <w:sz w:val="22"/>
        </w:rPr>
        <w:t>：REITs 由专业团队负责房地产资产的运营、维护与交易（如商业地产租赁、物业管理等），投资者无需直接参与房地产的日常管理，即可间接持有房地产资产，降低了个人投资房地产的管理门槛与精力成本。</w:t>
      </w:r>
    </w:p>
    <w:p w14:paraId="73B3D8E7">
      <w:pPr>
        <w:numPr>
          <w:ilvl w:val="0"/>
          <w:numId w:val="95"/>
        </w:numPr>
        <w:spacing w:before="120" w:after="120" w:line="288" w:lineRule="auto"/>
        <w:ind w:left="0"/>
        <w:jc w:val="left"/>
      </w:pPr>
      <w:r>
        <w:rPr>
          <w:rFonts w:ascii="Arial" w:hAnsi="Arial" w:eastAsia="等线" w:cs="Arial"/>
          <w:b/>
          <w:sz w:val="22"/>
        </w:rPr>
        <w:t>良好的流动性</w:t>
      </w:r>
      <w:r>
        <w:rPr>
          <w:rFonts w:ascii="Arial" w:hAnsi="Arial" w:eastAsia="等线" w:cs="Arial"/>
          <w:sz w:val="22"/>
        </w:rPr>
        <w:t>：上市 REITs 可在证券交易所进行交易，投资者能像买卖股票一样快速买入或卖出 REITs 份额，相比直接投资实物房地产（如住宅、商铺等，需经历复杂的产权过户、寻找买家等流程，流动性较差），具备显著的流动性优势。</w:t>
      </w:r>
    </w:p>
    <w:p w14:paraId="0D1ADA85">
      <w:pPr>
        <w:numPr>
          <w:ilvl w:val="0"/>
          <w:numId w:val="96"/>
        </w:numPr>
        <w:spacing w:before="120" w:after="120" w:line="288" w:lineRule="auto"/>
        <w:ind w:left="0"/>
        <w:jc w:val="left"/>
      </w:pPr>
      <w:r>
        <w:rPr>
          <w:rFonts w:ascii="Arial" w:hAnsi="Arial" w:eastAsia="等线" w:cs="Arial"/>
          <w:b/>
          <w:sz w:val="22"/>
        </w:rPr>
        <w:t>分散投资与风险对冲功能</w:t>
      </w:r>
      <w:r>
        <w:rPr>
          <w:rFonts w:ascii="Arial" w:hAnsi="Arial" w:eastAsia="等线" w:cs="Arial"/>
          <w:sz w:val="22"/>
        </w:rPr>
        <w:t>：REITs 的收益主要与房地产市场表现相关，与股票、债券等传统权益类证券的相关性较低。将 REITs 纳入投资组合，可帮助投资者分散单一市场（如股票市场）的波动风险，对其他权益证券的负面价格变动起到一定的对冲作用，提升整体组合的抗风险能力。</w:t>
      </w:r>
    </w:p>
    <w:p w14:paraId="4681C5B1">
      <w:pPr>
        <w:numPr>
          <w:ilvl w:val="0"/>
          <w:numId w:val="97"/>
        </w:numPr>
        <w:spacing w:before="120" w:after="120" w:line="288" w:lineRule="auto"/>
        <w:ind w:left="0"/>
        <w:jc w:val="left"/>
      </w:pPr>
      <w:r>
        <w:rPr>
          <w:rFonts w:ascii="Arial" w:hAnsi="Arial" w:eastAsia="等线" w:cs="Arial"/>
          <w:b/>
          <w:sz w:val="22"/>
        </w:rPr>
        <w:t>稳定的股息分配</w:t>
      </w:r>
      <w:r>
        <w:rPr>
          <w:rFonts w:ascii="Arial" w:hAnsi="Arial" w:eastAsia="等线" w:cs="Arial"/>
          <w:sz w:val="22"/>
        </w:rPr>
        <w:t>：为符合 REITs 的税收优惠条件（避免双重征税），文件明确 REITs 需将至少 90% 的年度净收入以股息形式分配给股东，这使得投资者通常能获得相对稳定且较高的股息收益，为追求定期现金流的投资者提供了优质选择。</w:t>
      </w:r>
    </w:p>
    <w:p w14:paraId="7EEB41C9">
      <w:pPr>
        <w:spacing w:before="380" w:after="140" w:line="288" w:lineRule="auto"/>
        <w:ind w:left="0"/>
        <w:jc w:val="left"/>
        <w:outlineLvl w:val="0"/>
      </w:pPr>
      <w:bookmarkStart w:id="24" w:name="heading_24"/>
      <w:r>
        <w:rPr>
          <w:rFonts w:ascii="Arial" w:hAnsi="Arial" w:eastAsia="等线" w:cs="Arial"/>
          <w:color w:val="3370FF"/>
          <w:sz w:val="36"/>
        </w:rPr>
        <w:t xml:space="preserve">3. </w:t>
      </w:r>
      <w:r>
        <w:rPr>
          <w:rFonts w:ascii="Arial" w:hAnsi="Arial" w:eastAsia="等线" w:cs="Arial"/>
          <w:b/>
          <w:sz w:val="36"/>
        </w:rPr>
        <w:t>核心考点</w:t>
      </w:r>
      <w:bookmarkEnd w:id="24"/>
    </w:p>
    <w:p w14:paraId="36BA21AB">
      <w:pPr>
        <w:numPr>
          <w:ilvl w:val="0"/>
          <w:numId w:val="98"/>
        </w:numPr>
        <w:spacing w:before="120" w:after="120" w:line="288" w:lineRule="auto"/>
        <w:ind w:left="0"/>
        <w:jc w:val="left"/>
      </w:pPr>
      <w:r>
        <w:rPr>
          <w:rFonts w:ascii="Arial" w:hAnsi="Arial" w:eastAsia="等线" w:cs="Arial"/>
          <w:sz w:val="22"/>
        </w:rPr>
        <w:t>适当性（suitability）：DPP 和非公开交易的 REIT 由于流动性差、风险高、结构复杂，只适合有经验的、财务实力雄厚的合格投资者（Accredited Investors）。考试一定会考到如何为客户推荐合适的产品。</w:t>
      </w:r>
    </w:p>
    <w:p w14:paraId="01173A77">
      <w:pPr>
        <w:numPr>
          <w:ilvl w:val="0"/>
          <w:numId w:val="99"/>
        </w:numPr>
        <w:spacing w:before="120" w:after="120" w:line="288" w:lineRule="auto"/>
        <w:ind w:left="0"/>
        <w:jc w:val="left"/>
      </w:pPr>
      <w:r>
        <w:rPr>
          <w:rFonts w:ascii="Arial" w:hAnsi="Arial" w:eastAsia="等线" w:cs="Arial"/>
          <w:sz w:val="22"/>
        </w:rPr>
        <w:t>风险识别：务必能区分DPP和各类REIT的特定风险（如流动性风险、利率风险、项目特定风险）。</w:t>
      </w:r>
    </w:p>
    <w:p w14:paraId="020299E3">
      <w:pPr>
        <w:numPr>
          <w:ilvl w:val="0"/>
          <w:numId w:val="100"/>
        </w:numPr>
        <w:spacing w:before="120" w:after="120" w:line="288" w:lineRule="auto"/>
        <w:ind w:left="0"/>
        <w:jc w:val="left"/>
      </w:pPr>
      <w:r>
        <w:rPr>
          <w:rFonts w:ascii="Arial" w:hAnsi="Arial" w:eastAsia="等线" w:cs="Arial"/>
          <w:sz w:val="22"/>
        </w:rPr>
        <w:t>税收区别：理解 DPP 的“转嫁税收”与 REIT 的“免税+高股息”模式之间的根本区别。</w:t>
      </w:r>
    </w:p>
    <w:p w14:paraId="32B5CA5E">
      <w:pPr>
        <w:numPr>
          <w:ilvl w:val="0"/>
          <w:numId w:val="101"/>
        </w:numPr>
        <w:spacing w:before="120" w:after="120" w:line="288" w:lineRule="auto"/>
        <w:ind w:left="0"/>
        <w:jc w:val="left"/>
      </w:pPr>
      <w:r>
        <w:rPr>
          <w:rFonts w:ascii="Arial" w:hAnsi="Arial" w:eastAsia="等线" w:cs="Arial"/>
          <w:sz w:val="22"/>
        </w:rPr>
        <w:t>收入类型：区分权益型 REIT（租金收入）和抵押型 REIT（利息收入）。</w:t>
      </w:r>
    </w:p>
    <w:p w14:paraId="544D0598">
      <w:pPr>
        <w:numPr>
          <w:ilvl w:val="0"/>
          <w:numId w:val="102"/>
        </w:numPr>
        <w:spacing w:before="120" w:after="120" w:line="288" w:lineRule="auto"/>
        <w:ind w:left="0"/>
        <w:jc w:val="left"/>
      </w:pPr>
      <w:r>
        <w:rPr>
          <w:rFonts w:ascii="Arial" w:hAnsi="Arial" w:eastAsia="等线" w:cs="Arial"/>
          <w:sz w:val="22"/>
        </w:rPr>
        <w:t>法律结构：记住 DPP 主要是有限合伙（LP），而 REIT 是公司或信托。</w:t>
      </w:r>
    </w:p>
    <w:p w14:paraId="03A1905D">
      <w:pPr>
        <w:spacing w:before="120" w:after="120" w:line="288" w:lineRule="auto"/>
        <w:ind w:left="0"/>
        <w:jc w:val="left"/>
      </w:pPr>
    </w:p>
    <w:p w14:paraId="0F682DE2">
      <w:pPr>
        <w:spacing w:before="380" w:after="140" w:line="288" w:lineRule="auto"/>
        <w:ind w:left="0"/>
        <w:jc w:val="left"/>
        <w:outlineLvl w:val="0"/>
      </w:pPr>
      <w:bookmarkStart w:id="25" w:name="heading_25"/>
      <w:r>
        <w:rPr>
          <w:rFonts w:ascii="Arial" w:hAnsi="Arial" w:eastAsia="等线" w:cs="Arial"/>
          <w:color w:val="3370FF"/>
          <w:sz w:val="36"/>
        </w:rPr>
        <w:t xml:space="preserve">4. </w:t>
      </w:r>
      <w:r>
        <w:rPr>
          <w:rFonts w:ascii="Arial" w:hAnsi="Arial" w:eastAsia="等线" w:cs="Arial"/>
          <w:b/>
          <w:sz w:val="36"/>
        </w:rPr>
        <w:t>核心词汇表</w:t>
      </w:r>
      <w:bookmarkEnd w:id="25"/>
    </w:p>
    <w:p w14:paraId="6F2DB439">
      <w:pPr>
        <w:spacing w:before="320" w:after="120" w:line="288" w:lineRule="auto"/>
        <w:ind w:left="0"/>
        <w:jc w:val="left"/>
        <w:outlineLvl w:val="1"/>
      </w:pPr>
      <w:bookmarkStart w:id="26" w:name="heading_26"/>
      <w:r>
        <w:rPr>
          <w:rFonts w:ascii="Arial" w:hAnsi="Arial" w:eastAsia="等线" w:cs="Arial"/>
          <w:color w:val="3370FF"/>
          <w:sz w:val="32"/>
        </w:rPr>
        <w:t xml:space="preserve">4.1 </w:t>
      </w:r>
      <w:r>
        <w:rPr>
          <w:rFonts w:ascii="Arial" w:hAnsi="Arial" w:eastAsia="等线" w:cs="Arial"/>
          <w:b/>
          <w:sz w:val="32"/>
        </w:rPr>
        <w:t>核心投资工具</w:t>
      </w:r>
      <w:bookmarkEnd w:id="2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355"/>
        <w:gridCol w:w="1200"/>
        <w:gridCol w:w="4710"/>
      </w:tblGrid>
      <w:tr w14:paraId="6787D0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55" w:type="dxa"/>
            <w:tcMar>
              <w:top w:w="60" w:type="dxa"/>
              <w:left w:w="120" w:type="dxa"/>
              <w:bottom w:w="30" w:type="dxa"/>
              <w:right w:w="120" w:type="dxa"/>
            </w:tcMar>
          </w:tcPr>
          <w:p w14:paraId="1D813CF3">
            <w:pPr>
              <w:spacing w:before="120" w:after="120" w:line="288" w:lineRule="auto"/>
              <w:ind w:left="0"/>
              <w:jc w:val="left"/>
            </w:pPr>
            <w:r>
              <w:rPr>
                <w:rFonts w:ascii="Arial" w:hAnsi="Arial" w:eastAsia="等线" w:cs="Arial"/>
                <w:b/>
                <w:sz w:val="22"/>
              </w:rPr>
              <w:t>英文词汇</w:t>
            </w:r>
          </w:p>
        </w:tc>
        <w:tc>
          <w:tcPr>
            <w:tcW w:w="1200" w:type="dxa"/>
            <w:tcMar>
              <w:top w:w="60" w:type="dxa"/>
              <w:left w:w="120" w:type="dxa"/>
              <w:bottom w:w="30" w:type="dxa"/>
              <w:right w:w="120" w:type="dxa"/>
            </w:tcMar>
          </w:tcPr>
          <w:p w14:paraId="7FA66DD7">
            <w:pPr>
              <w:spacing w:before="120" w:after="120" w:line="288" w:lineRule="auto"/>
              <w:ind w:left="0"/>
              <w:jc w:val="left"/>
            </w:pPr>
            <w:r>
              <w:rPr>
                <w:rFonts w:ascii="Arial" w:hAnsi="Arial" w:eastAsia="等线" w:cs="Arial"/>
                <w:b/>
                <w:sz w:val="22"/>
              </w:rPr>
              <w:t>中文释义</w:t>
            </w:r>
          </w:p>
        </w:tc>
        <w:tc>
          <w:tcPr>
            <w:tcW w:w="4710" w:type="dxa"/>
            <w:tcMar>
              <w:top w:w="60" w:type="dxa"/>
              <w:left w:w="120" w:type="dxa"/>
              <w:bottom w:w="30" w:type="dxa"/>
              <w:right w:w="120" w:type="dxa"/>
            </w:tcMar>
          </w:tcPr>
          <w:p w14:paraId="2ECF81E8">
            <w:pPr>
              <w:spacing w:before="120" w:after="120" w:line="288" w:lineRule="auto"/>
              <w:ind w:left="0"/>
              <w:jc w:val="left"/>
            </w:pPr>
            <w:r>
              <w:rPr>
                <w:rFonts w:ascii="Arial" w:hAnsi="Arial" w:eastAsia="等线" w:cs="Arial"/>
                <w:b/>
                <w:sz w:val="22"/>
              </w:rPr>
              <w:t>补充说明</w:t>
            </w:r>
          </w:p>
        </w:tc>
      </w:tr>
      <w:tr w14:paraId="4883DC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55" w:type="dxa"/>
            <w:tcMar>
              <w:top w:w="60" w:type="dxa"/>
              <w:left w:w="120" w:type="dxa"/>
              <w:bottom w:w="30" w:type="dxa"/>
              <w:right w:w="120" w:type="dxa"/>
            </w:tcMar>
          </w:tcPr>
          <w:p w14:paraId="3040ED5D">
            <w:pPr>
              <w:spacing w:before="120" w:after="120" w:line="288" w:lineRule="auto"/>
              <w:ind w:left="0"/>
              <w:jc w:val="left"/>
            </w:pPr>
            <w:r>
              <w:rPr>
                <w:rFonts w:ascii="Arial" w:hAnsi="Arial" w:eastAsia="等线" w:cs="Arial"/>
                <w:sz w:val="22"/>
              </w:rPr>
              <w:t>Direct Participation Programs (DPPs)</w:t>
            </w:r>
          </w:p>
        </w:tc>
        <w:tc>
          <w:tcPr>
            <w:tcW w:w="1200" w:type="dxa"/>
            <w:tcMar>
              <w:top w:w="60" w:type="dxa"/>
              <w:left w:w="120" w:type="dxa"/>
              <w:bottom w:w="30" w:type="dxa"/>
              <w:right w:w="120" w:type="dxa"/>
            </w:tcMar>
          </w:tcPr>
          <w:p w14:paraId="63E9568F">
            <w:pPr>
              <w:spacing w:before="120" w:after="120" w:line="288" w:lineRule="auto"/>
              <w:ind w:left="0"/>
              <w:jc w:val="left"/>
            </w:pPr>
            <w:r>
              <w:rPr>
                <w:rFonts w:ascii="Arial" w:hAnsi="Arial" w:eastAsia="等线" w:cs="Arial"/>
                <w:sz w:val="22"/>
              </w:rPr>
              <w:t>直接参与计划</w:t>
            </w:r>
          </w:p>
        </w:tc>
        <w:tc>
          <w:tcPr>
            <w:tcW w:w="4710" w:type="dxa"/>
            <w:tcMar>
              <w:top w:w="60" w:type="dxa"/>
              <w:left w:w="120" w:type="dxa"/>
              <w:bottom w:w="30" w:type="dxa"/>
              <w:right w:w="120" w:type="dxa"/>
            </w:tcMar>
          </w:tcPr>
          <w:p w14:paraId="2B59C543">
            <w:pPr>
              <w:spacing w:before="120" w:after="120" w:line="288" w:lineRule="auto"/>
              <w:ind w:left="0"/>
              <w:jc w:val="left"/>
            </w:pPr>
            <w:r>
              <w:rPr>
                <w:rFonts w:ascii="Arial" w:hAnsi="Arial" w:eastAsia="等线" w:cs="Arial"/>
                <w:sz w:val="22"/>
              </w:rPr>
              <w:t>一种集合投资工具，通过汇集投资者资金投向特定领域（如房地产、石油天然气），投资者直接参与项目收益分配，常见形式为有限合伙企业</w:t>
            </w:r>
          </w:p>
        </w:tc>
      </w:tr>
      <w:tr w14:paraId="514B19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55" w:type="dxa"/>
            <w:tcMar>
              <w:top w:w="60" w:type="dxa"/>
              <w:left w:w="120" w:type="dxa"/>
              <w:bottom w:w="30" w:type="dxa"/>
              <w:right w:w="120" w:type="dxa"/>
            </w:tcMar>
          </w:tcPr>
          <w:p w14:paraId="7F2AC61B">
            <w:pPr>
              <w:spacing w:before="120" w:after="120" w:line="288" w:lineRule="auto"/>
              <w:ind w:left="0"/>
              <w:jc w:val="left"/>
            </w:pPr>
            <w:r>
              <w:rPr>
                <w:rFonts w:ascii="Arial" w:hAnsi="Arial" w:eastAsia="等线" w:cs="Arial"/>
                <w:sz w:val="22"/>
              </w:rPr>
              <w:t>Real Estate Investment Trusts (REITs)</w:t>
            </w:r>
          </w:p>
        </w:tc>
        <w:tc>
          <w:tcPr>
            <w:tcW w:w="1200" w:type="dxa"/>
            <w:tcMar>
              <w:top w:w="60" w:type="dxa"/>
              <w:left w:w="120" w:type="dxa"/>
              <w:bottom w:w="30" w:type="dxa"/>
              <w:right w:w="120" w:type="dxa"/>
            </w:tcMar>
          </w:tcPr>
          <w:p w14:paraId="4B08EF0A">
            <w:pPr>
              <w:spacing w:before="120" w:after="120" w:line="288" w:lineRule="auto"/>
              <w:ind w:left="0"/>
              <w:jc w:val="left"/>
            </w:pPr>
            <w:r>
              <w:rPr>
                <w:rFonts w:ascii="Arial" w:hAnsi="Arial" w:eastAsia="等线" w:cs="Arial"/>
                <w:sz w:val="22"/>
              </w:rPr>
              <w:t>房地产投资信托</w:t>
            </w:r>
          </w:p>
        </w:tc>
        <w:tc>
          <w:tcPr>
            <w:tcW w:w="4710" w:type="dxa"/>
            <w:tcMar>
              <w:top w:w="60" w:type="dxa"/>
              <w:left w:w="120" w:type="dxa"/>
              <w:bottom w:w="30" w:type="dxa"/>
              <w:right w:w="120" w:type="dxa"/>
            </w:tcMar>
          </w:tcPr>
          <w:p w14:paraId="1615A009">
            <w:pPr>
              <w:spacing w:before="120" w:after="120" w:line="288" w:lineRule="auto"/>
              <w:ind w:left="0"/>
              <w:jc w:val="left"/>
            </w:pPr>
            <w:r>
              <w:rPr>
                <w:rFonts w:ascii="Arial" w:hAnsi="Arial" w:eastAsia="等线" w:cs="Arial"/>
                <w:sz w:val="22"/>
              </w:rPr>
              <w:t>专门投资房地产的信托基金，通常在交易所上市，需将至少 90% 应纳税收入以股息形式分配给投资者，分为权益型、抵押型、混合型</w:t>
            </w:r>
          </w:p>
        </w:tc>
      </w:tr>
      <w:tr w14:paraId="247F5D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55" w:type="dxa"/>
            <w:tcMar>
              <w:top w:w="60" w:type="dxa"/>
              <w:left w:w="120" w:type="dxa"/>
              <w:bottom w:w="30" w:type="dxa"/>
              <w:right w:w="120" w:type="dxa"/>
            </w:tcMar>
          </w:tcPr>
          <w:p w14:paraId="5FFD1099">
            <w:pPr>
              <w:spacing w:before="120" w:after="120" w:line="288" w:lineRule="auto"/>
              <w:ind w:left="0"/>
              <w:jc w:val="left"/>
            </w:pPr>
            <w:r>
              <w:rPr>
                <w:rFonts w:ascii="Arial" w:hAnsi="Arial" w:eastAsia="等线" w:cs="Arial"/>
                <w:sz w:val="22"/>
              </w:rPr>
              <w:t>Real Estate Limited Partnerships (RELPs)</w:t>
            </w:r>
          </w:p>
        </w:tc>
        <w:tc>
          <w:tcPr>
            <w:tcW w:w="1200" w:type="dxa"/>
            <w:tcMar>
              <w:top w:w="60" w:type="dxa"/>
              <w:left w:w="120" w:type="dxa"/>
              <w:bottom w:w="30" w:type="dxa"/>
              <w:right w:w="120" w:type="dxa"/>
            </w:tcMar>
          </w:tcPr>
          <w:p w14:paraId="09553E88">
            <w:pPr>
              <w:spacing w:before="120" w:after="120" w:line="288" w:lineRule="auto"/>
              <w:ind w:left="0"/>
              <w:jc w:val="left"/>
            </w:pPr>
            <w:r>
              <w:rPr>
                <w:rFonts w:ascii="Arial" w:hAnsi="Arial" w:eastAsia="等线" w:cs="Arial"/>
                <w:sz w:val="22"/>
              </w:rPr>
              <w:t>房地产有限合伙企业</w:t>
            </w:r>
          </w:p>
        </w:tc>
        <w:tc>
          <w:tcPr>
            <w:tcW w:w="4710" w:type="dxa"/>
            <w:tcMar>
              <w:top w:w="60" w:type="dxa"/>
              <w:left w:w="120" w:type="dxa"/>
              <w:bottom w:w="30" w:type="dxa"/>
              <w:right w:w="120" w:type="dxa"/>
            </w:tcMar>
          </w:tcPr>
          <w:p w14:paraId="24494BB0">
            <w:pPr>
              <w:spacing w:before="120" w:after="120" w:line="288" w:lineRule="auto"/>
              <w:ind w:left="0"/>
              <w:jc w:val="left"/>
            </w:pPr>
            <w:r>
              <w:rPr>
                <w:rFonts w:ascii="Arial" w:hAnsi="Arial" w:eastAsia="等线" w:cs="Arial"/>
                <w:sz w:val="22"/>
              </w:rPr>
              <w:t>聚焦房地产投资的有限合伙制实体，由普通合伙人（GP）负责管理并承担无限责任，有限合伙人（LP）仅出资并承担有限责任，属于 DPPs 的常见类型。</w:t>
            </w:r>
          </w:p>
        </w:tc>
      </w:tr>
    </w:tbl>
    <w:p w14:paraId="2B878EDC">
      <w:pPr>
        <w:spacing w:before="320" w:after="120" w:line="288" w:lineRule="auto"/>
        <w:ind w:left="0"/>
        <w:jc w:val="left"/>
        <w:outlineLvl w:val="1"/>
      </w:pPr>
      <w:bookmarkStart w:id="27" w:name="heading_27"/>
      <w:r>
        <w:rPr>
          <w:rFonts w:ascii="Arial" w:hAnsi="Arial" w:eastAsia="等线" w:cs="Arial"/>
          <w:color w:val="3370FF"/>
          <w:sz w:val="32"/>
        </w:rPr>
        <w:t xml:space="preserve">4.2 </w:t>
      </w:r>
      <w:r>
        <w:rPr>
          <w:rFonts w:ascii="Arial" w:hAnsi="Arial" w:eastAsia="等线" w:cs="Arial"/>
          <w:b/>
          <w:sz w:val="32"/>
        </w:rPr>
        <w:t>DPPs 相关术语（含细分领域）</w:t>
      </w:r>
      <w:bookmarkEnd w:id="2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95"/>
        <w:gridCol w:w="1890"/>
        <w:gridCol w:w="4395"/>
      </w:tblGrid>
      <w:tr w14:paraId="185092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4B8C34E9">
            <w:pPr>
              <w:spacing w:before="120" w:after="120" w:line="288" w:lineRule="auto"/>
              <w:ind w:left="0"/>
              <w:jc w:val="left"/>
            </w:pPr>
            <w:r>
              <w:rPr>
                <w:rFonts w:ascii="Arial" w:hAnsi="Arial" w:eastAsia="等线" w:cs="Arial"/>
                <w:b/>
                <w:sz w:val="22"/>
              </w:rPr>
              <w:t>英文词汇</w:t>
            </w:r>
          </w:p>
        </w:tc>
        <w:tc>
          <w:tcPr>
            <w:tcW w:w="1890" w:type="dxa"/>
            <w:tcMar>
              <w:top w:w="60" w:type="dxa"/>
              <w:left w:w="120" w:type="dxa"/>
              <w:bottom w:w="30" w:type="dxa"/>
              <w:right w:w="120" w:type="dxa"/>
            </w:tcMar>
          </w:tcPr>
          <w:p w14:paraId="18587CFD">
            <w:pPr>
              <w:spacing w:before="120" w:after="120" w:line="288" w:lineRule="auto"/>
              <w:ind w:left="0"/>
              <w:jc w:val="left"/>
            </w:pPr>
            <w:r>
              <w:rPr>
                <w:rFonts w:ascii="Arial" w:hAnsi="Arial" w:eastAsia="等线" w:cs="Arial"/>
                <w:b/>
                <w:sz w:val="22"/>
              </w:rPr>
              <w:t>中文释义</w:t>
            </w:r>
          </w:p>
        </w:tc>
        <w:tc>
          <w:tcPr>
            <w:tcW w:w="4395" w:type="dxa"/>
            <w:tcMar>
              <w:top w:w="60" w:type="dxa"/>
              <w:left w:w="120" w:type="dxa"/>
              <w:bottom w:w="30" w:type="dxa"/>
              <w:right w:w="120" w:type="dxa"/>
            </w:tcMar>
          </w:tcPr>
          <w:p w14:paraId="079AF2BA">
            <w:pPr>
              <w:spacing w:before="120" w:after="120" w:line="288" w:lineRule="auto"/>
              <w:ind w:left="0"/>
              <w:jc w:val="left"/>
            </w:pPr>
            <w:r>
              <w:rPr>
                <w:rFonts w:ascii="Arial" w:hAnsi="Arial" w:eastAsia="等线" w:cs="Arial"/>
                <w:b/>
                <w:sz w:val="22"/>
              </w:rPr>
              <w:t>补充说明</w:t>
            </w:r>
          </w:p>
        </w:tc>
      </w:tr>
      <w:tr w14:paraId="116012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169EAB21">
            <w:pPr>
              <w:spacing w:before="120" w:after="120" w:line="288" w:lineRule="auto"/>
              <w:ind w:left="0"/>
              <w:jc w:val="left"/>
            </w:pPr>
            <w:r>
              <w:rPr>
                <w:rFonts w:ascii="Arial" w:hAnsi="Arial" w:eastAsia="等线" w:cs="Arial"/>
                <w:sz w:val="22"/>
              </w:rPr>
              <w:t>Exploratory DPP (Wildcatting DPP)</w:t>
            </w:r>
          </w:p>
        </w:tc>
        <w:tc>
          <w:tcPr>
            <w:tcW w:w="1890" w:type="dxa"/>
            <w:tcMar>
              <w:top w:w="60" w:type="dxa"/>
              <w:left w:w="120" w:type="dxa"/>
              <w:bottom w:w="30" w:type="dxa"/>
              <w:right w:w="120" w:type="dxa"/>
            </w:tcMar>
          </w:tcPr>
          <w:p w14:paraId="30DEF39A">
            <w:pPr>
              <w:spacing w:before="120" w:after="120" w:line="288" w:lineRule="auto"/>
              <w:ind w:left="0"/>
              <w:jc w:val="left"/>
            </w:pPr>
            <w:r>
              <w:rPr>
                <w:rFonts w:ascii="Arial" w:hAnsi="Arial" w:eastAsia="等线" w:cs="Arial"/>
                <w:sz w:val="22"/>
              </w:rPr>
              <w:t>勘探型直接参与计划</w:t>
            </w:r>
          </w:p>
        </w:tc>
        <w:tc>
          <w:tcPr>
            <w:tcW w:w="4395" w:type="dxa"/>
            <w:tcMar>
              <w:top w:w="60" w:type="dxa"/>
              <w:left w:w="120" w:type="dxa"/>
              <w:bottom w:w="30" w:type="dxa"/>
              <w:right w:w="120" w:type="dxa"/>
            </w:tcMar>
          </w:tcPr>
          <w:p w14:paraId="13F08FFC">
            <w:pPr>
              <w:spacing w:before="120" w:after="120" w:line="288" w:lineRule="auto"/>
              <w:ind w:left="0"/>
              <w:jc w:val="left"/>
            </w:pPr>
            <w:r>
              <w:rPr>
                <w:rFonts w:ascii="Arial" w:hAnsi="Arial" w:eastAsia="等线" w:cs="Arial"/>
                <w:sz w:val="22"/>
              </w:rPr>
              <w:t>特指石油天然气领域的 DPP，投向未经证实的区域钻探石油 / 天然气，风险高但潜在回报高，存在 “干井”（无产能井）风险</w:t>
            </w:r>
          </w:p>
        </w:tc>
      </w:tr>
      <w:tr w14:paraId="170837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77D05C79">
            <w:pPr>
              <w:spacing w:before="120" w:after="120" w:line="288" w:lineRule="auto"/>
              <w:ind w:left="0"/>
              <w:jc w:val="left"/>
            </w:pPr>
            <w:r>
              <w:rPr>
                <w:rFonts w:ascii="Arial" w:hAnsi="Arial" w:eastAsia="等线" w:cs="Arial"/>
                <w:sz w:val="22"/>
              </w:rPr>
              <w:t>Developmental DPP</w:t>
            </w:r>
          </w:p>
        </w:tc>
        <w:tc>
          <w:tcPr>
            <w:tcW w:w="1890" w:type="dxa"/>
            <w:tcMar>
              <w:top w:w="60" w:type="dxa"/>
              <w:left w:w="120" w:type="dxa"/>
              <w:bottom w:w="30" w:type="dxa"/>
              <w:right w:w="120" w:type="dxa"/>
            </w:tcMar>
          </w:tcPr>
          <w:p w14:paraId="268A9B14">
            <w:pPr>
              <w:spacing w:before="120" w:after="120" w:line="288" w:lineRule="auto"/>
              <w:ind w:left="0"/>
              <w:jc w:val="left"/>
            </w:pPr>
            <w:r>
              <w:rPr>
                <w:rFonts w:ascii="Arial" w:hAnsi="Arial" w:eastAsia="等线" w:cs="Arial"/>
                <w:sz w:val="22"/>
              </w:rPr>
              <w:t>开发型直接参与计划</w:t>
            </w:r>
          </w:p>
        </w:tc>
        <w:tc>
          <w:tcPr>
            <w:tcW w:w="4395" w:type="dxa"/>
            <w:tcMar>
              <w:top w:w="60" w:type="dxa"/>
              <w:left w:w="120" w:type="dxa"/>
              <w:bottom w:w="30" w:type="dxa"/>
              <w:right w:w="120" w:type="dxa"/>
            </w:tcMar>
          </w:tcPr>
          <w:p w14:paraId="6DB8DFDA">
            <w:pPr>
              <w:spacing w:before="120" w:after="120" w:line="288" w:lineRule="auto"/>
              <w:ind w:left="0"/>
              <w:jc w:val="left"/>
            </w:pPr>
            <w:r>
              <w:rPr>
                <w:rFonts w:ascii="Arial" w:hAnsi="Arial" w:eastAsia="等线" w:cs="Arial"/>
                <w:sz w:val="22"/>
              </w:rPr>
              <w:t>石油天然气或房地产领域的 DPP，投向已发现资源 / 成熟区域附近（如生产井周边、已开发商圈），风险低于勘探型，仍有钻探 / 开发成本超支风险</w:t>
            </w:r>
          </w:p>
        </w:tc>
      </w:tr>
      <w:tr w14:paraId="2ECD4D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2B199ACD">
            <w:pPr>
              <w:spacing w:before="120" w:after="120" w:line="288" w:lineRule="auto"/>
              <w:ind w:left="0"/>
              <w:jc w:val="left"/>
            </w:pPr>
            <w:r>
              <w:rPr>
                <w:rFonts w:ascii="Arial" w:hAnsi="Arial" w:eastAsia="等线" w:cs="Arial"/>
                <w:sz w:val="22"/>
              </w:rPr>
              <w:t>Income DPP</w:t>
            </w:r>
          </w:p>
        </w:tc>
        <w:tc>
          <w:tcPr>
            <w:tcW w:w="1890" w:type="dxa"/>
            <w:tcMar>
              <w:top w:w="60" w:type="dxa"/>
              <w:left w:w="120" w:type="dxa"/>
              <w:bottom w:w="30" w:type="dxa"/>
              <w:right w:w="120" w:type="dxa"/>
            </w:tcMar>
          </w:tcPr>
          <w:p w14:paraId="3AF92CE5">
            <w:pPr>
              <w:spacing w:before="120" w:after="120" w:line="288" w:lineRule="auto"/>
              <w:ind w:left="0"/>
              <w:jc w:val="left"/>
            </w:pPr>
            <w:r>
              <w:rPr>
                <w:rFonts w:ascii="Arial" w:hAnsi="Arial" w:eastAsia="等线" w:cs="Arial"/>
                <w:sz w:val="22"/>
              </w:rPr>
              <w:t>收入型直接参与计划</w:t>
            </w:r>
          </w:p>
        </w:tc>
        <w:tc>
          <w:tcPr>
            <w:tcW w:w="4395" w:type="dxa"/>
            <w:tcMar>
              <w:top w:w="60" w:type="dxa"/>
              <w:left w:w="120" w:type="dxa"/>
              <w:bottom w:w="30" w:type="dxa"/>
              <w:right w:w="120" w:type="dxa"/>
            </w:tcMar>
          </w:tcPr>
          <w:p w14:paraId="1F8407B3">
            <w:pPr>
              <w:spacing w:before="120" w:after="120" w:line="288" w:lineRule="auto"/>
              <w:ind w:left="0"/>
              <w:jc w:val="left"/>
            </w:pPr>
            <w:r>
              <w:rPr>
                <w:rFonts w:ascii="Arial" w:hAnsi="Arial" w:eastAsia="等线" w:cs="Arial"/>
                <w:sz w:val="22"/>
              </w:rPr>
              <w:t>以获取稳定现金流为目标的 DPP，如购买已投产的石油井、已出租的商业物业，收益以租金 / 生产收益为主，风险最低，无无形钻井成本</w:t>
            </w:r>
          </w:p>
        </w:tc>
      </w:tr>
      <w:tr w14:paraId="1E3508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31F43DE5">
            <w:pPr>
              <w:spacing w:before="120" w:after="120" w:line="288" w:lineRule="auto"/>
              <w:ind w:left="0"/>
              <w:jc w:val="left"/>
            </w:pPr>
            <w:r>
              <w:rPr>
                <w:rFonts w:ascii="Arial" w:hAnsi="Arial" w:eastAsia="等线" w:cs="Arial"/>
                <w:sz w:val="22"/>
              </w:rPr>
              <w:t>Combination DPP</w:t>
            </w:r>
          </w:p>
          <w:p w14:paraId="7C31973C">
            <w:pPr>
              <w:spacing w:before="120" w:after="120" w:line="288" w:lineRule="auto"/>
              <w:ind w:left="0"/>
              <w:jc w:val="left"/>
            </w:pPr>
          </w:p>
        </w:tc>
        <w:tc>
          <w:tcPr>
            <w:tcW w:w="1890" w:type="dxa"/>
            <w:tcMar>
              <w:top w:w="60" w:type="dxa"/>
              <w:left w:w="120" w:type="dxa"/>
              <w:bottom w:w="30" w:type="dxa"/>
              <w:right w:w="120" w:type="dxa"/>
            </w:tcMar>
          </w:tcPr>
          <w:p w14:paraId="629332C2">
            <w:pPr>
              <w:spacing w:before="120" w:after="120" w:line="288" w:lineRule="auto"/>
              <w:ind w:left="0"/>
              <w:jc w:val="left"/>
            </w:pPr>
            <w:r>
              <w:rPr>
                <w:rFonts w:ascii="Arial" w:hAnsi="Arial" w:eastAsia="等线" w:cs="Arial"/>
                <w:sz w:val="22"/>
              </w:rPr>
              <w:t>组合型直接参与计划</w:t>
            </w:r>
          </w:p>
        </w:tc>
        <w:tc>
          <w:tcPr>
            <w:tcW w:w="4395" w:type="dxa"/>
            <w:tcMar>
              <w:top w:w="60" w:type="dxa"/>
              <w:left w:w="120" w:type="dxa"/>
              <w:bottom w:w="30" w:type="dxa"/>
              <w:right w:w="120" w:type="dxa"/>
            </w:tcMar>
          </w:tcPr>
          <w:p w14:paraId="73729848">
            <w:pPr>
              <w:spacing w:before="120" w:after="120" w:line="288" w:lineRule="auto"/>
              <w:ind w:left="0"/>
              <w:jc w:val="left"/>
            </w:pPr>
            <w:r>
              <w:rPr>
                <w:rFonts w:ascii="Arial" w:hAnsi="Arial" w:eastAsia="等线" w:cs="Arial"/>
                <w:sz w:val="22"/>
              </w:rPr>
              <w:t>结合勘探 / 开发型与收入型 DPP 的特点，用现有项目收入（如成熟油井租金）覆盖新项目成本（如钻探新井），风险与收益均衡</w:t>
            </w:r>
          </w:p>
        </w:tc>
      </w:tr>
      <w:tr w14:paraId="152AF8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5BBFC31">
            <w:pPr>
              <w:spacing w:before="120" w:after="120" w:line="288" w:lineRule="auto"/>
              <w:ind w:left="0"/>
              <w:jc w:val="left"/>
            </w:pPr>
            <w:r>
              <w:rPr>
                <w:rFonts w:ascii="Arial" w:hAnsi="Arial" w:eastAsia="等线" w:cs="Arial"/>
                <w:sz w:val="22"/>
              </w:rPr>
              <w:t>Intangible Drilling Costs (IDCs)</w:t>
            </w:r>
          </w:p>
        </w:tc>
        <w:tc>
          <w:tcPr>
            <w:tcW w:w="1890" w:type="dxa"/>
            <w:tcMar>
              <w:top w:w="60" w:type="dxa"/>
              <w:left w:w="120" w:type="dxa"/>
              <w:bottom w:w="30" w:type="dxa"/>
              <w:right w:w="120" w:type="dxa"/>
            </w:tcMar>
          </w:tcPr>
          <w:p w14:paraId="75F7B808">
            <w:pPr>
              <w:spacing w:before="120" w:after="120" w:line="288" w:lineRule="auto"/>
              <w:ind w:left="0"/>
              <w:jc w:val="left"/>
            </w:pPr>
            <w:r>
              <w:rPr>
                <w:rFonts w:ascii="Arial" w:hAnsi="Arial" w:eastAsia="等线" w:cs="Arial"/>
                <w:sz w:val="22"/>
              </w:rPr>
              <w:t>无形钻井成本</w:t>
            </w:r>
          </w:p>
        </w:tc>
        <w:tc>
          <w:tcPr>
            <w:tcW w:w="4395" w:type="dxa"/>
            <w:tcMar>
              <w:top w:w="60" w:type="dxa"/>
              <w:left w:w="120" w:type="dxa"/>
              <w:bottom w:w="30" w:type="dxa"/>
              <w:right w:w="120" w:type="dxa"/>
            </w:tcMar>
          </w:tcPr>
          <w:p w14:paraId="28471316">
            <w:pPr>
              <w:spacing w:before="120" w:after="120" w:line="288" w:lineRule="auto"/>
              <w:ind w:left="0"/>
              <w:jc w:val="left"/>
            </w:pPr>
            <w:r>
              <w:rPr>
                <w:rFonts w:ascii="Arial" w:hAnsi="Arial" w:eastAsia="等线" w:cs="Arial"/>
                <w:sz w:val="22"/>
              </w:rPr>
              <w:t>石油天然气 DPP 中，与钻井相关但无实物形态的成本（如人工、技术服务、许可费），可用于税收抵扣，勘探型 DPP 的 IDCs 通常最高</w:t>
            </w:r>
          </w:p>
        </w:tc>
      </w:tr>
      <w:tr w14:paraId="763293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58BE424F">
            <w:pPr>
              <w:spacing w:before="120" w:after="120" w:line="288" w:lineRule="auto"/>
              <w:ind w:left="0"/>
              <w:jc w:val="left"/>
            </w:pPr>
            <w:r>
              <w:rPr>
                <w:rFonts w:ascii="Arial" w:hAnsi="Arial" w:eastAsia="等线" w:cs="Arial"/>
                <w:sz w:val="22"/>
              </w:rPr>
              <w:t>Tangible Drilling Costs (TDCs)</w:t>
            </w:r>
          </w:p>
          <w:p w14:paraId="0A5369F8">
            <w:pPr>
              <w:spacing w:before="120" w:after="120" w:line="288" w:lineRule="auto"/>
              <w:ind w:left="0"/>
              <w:jc w:val="left"/>
            </w:pPr>
          </w:p>
        </w:tc>
        <w:tc>
          <w:tcPr>
            <w:tcW w:w="1890" w:type="dxa"/>
            <w:tcMar>
              <w:top w:w="60" w:type="dxa"/>
              <w:left w:w="120" w:type="dxa"/>
              <w:bottom w:w="30" w:type="dxa"/>
              <w:right w:w="120" w:type="dxa"/>
            </w:tcMar>
          </w:tcPr>
          <w:p w14:paraId="481FBEAC">
            <w:pPr>
              <w:spacing w:before="120" w:after="120" w:line="288" w:lineRule="auto"/>
              <w:ind w:left="0"/>
              <w:jc w:val="left"/>
            </w:pPr>
            <w:r>
              <w:rPr>
                <w:rFonts w:ascii="Arial" w:hAnsi="Arial" w:eastAsia="等线" w:cs="Arial"/>
                <w:sz w:val="22"/>
              </w:rPr>
              <w:t>有形钻井成本</w:t>
            </w:r>
          </w:p>
        </w:tc>
        <w:tc>
          <w:tcPr>
            <w:tcW w:w="4395" w:type="dxa"/>
            <w:tcMar>
              <w:top w:w="60" w:type="dxa"/>
              <w:left w:w="120" w:type="dxa"/>
              <w:bottom w:w="30" w:type="dxa"/>
              <w:right w:w="120" w:type="dxa"/>
            </w:tcMar>
          </w:tcPr>
          <w:p w14:paraId="6E75B5C4">
            <w:pPr>
              <w:spacing w:before="120" w:after="120" w:line="288" w:lineRule="auto"/>
              <w:ind w:left="0"/>
              <w:jc w:val="left"/>
            </w:pPr>
            <w:r>
              <w:rPr>
                <w:rFonts w:ascii="Arial" w:hAnsi="Arial" w:eastAsia="等线" w:cs="Arial"/>
                <w:sz w:val="22"/>
              </w:rPr>
              <w:t>石油天然气 DPP 中，与钻井相关且具有实物形态的成本，主要包括钻井设备（如钻机、套管）、钻井平台、工具等固定资产支出；与无形钻井成本（IDCs）不同，TDCs 通常需按资产折旧规则分期抵扣税收，而非一次性抵扣，在各类石油天然气 DPP 中均会涉及，金额占比随项目类型（勘探型 / 开发型）略有差异。</w:t>
            </w:r>
          </w:p>
        </w:tc>
      </w:tr>
      <w:tr w14:paraId="2EC685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95" w:type="dxa"/>
            <w:tcMar>
              <w:top w:w="60" w:type="dxa"/>
              <w:left w:w="120" w:type="dxa"/>
              <w:bottom w:w="30" w:type="dxa"/>
              <w:right w:w="120" w:type="dxa"/>
            </w:tcMar>
          </w:tcPr>
          <w:p w14:paraId="6A2CF787">
            <w:pPr>
              <w:spacing w:before="120" w:after="120" w:line="288" w:lineRule="auto"/>
              <w:ind w:left="0"/>
              <w:jc w:val="left"/>
            </w:pPr>
            <w:r>
              <w:rPr>
                <w:rFonts w:ascii="Arial" w:hAnsi="Arial" w:eastAsia="等线" w:cs="Arial"/>
                <w:sz w:val="22"/>
              </w:rPr>
              <w:t>Dry Holes</w:t>
            </w:r>
          </w:p>
        </w:tc>
        <w:tc>
          <w:tcPr>
            <w:tcW w:w="1890" w:type="dxa"/>
            <w:tcMar>
              <w:top w:w="60" w:type="dxa"/>
              <w:left w:w="120" w:type="dxa"/>
              <w:bottom w:w="30" w:type="dxa"/>
              <w:right w:w="120" w:type="dxa"/>
            </w:tcMar>
          </w:tcPr>
          <w:p w14:paraId="4133B174">
            <w:pPr>
              <w:spacing w:before="120" w:after="120" w:line="288" w:lineRule="auto"/>
              <w:ind w:left="0"/>
              <w:jc w:val="left"/>
            </w:pPr>
            <w:r>
              <w:rPr>
                <w:rFonts w:ascii="Arial" w:hAnsi="Arial" w:eastAsia="等线" w:cs="Arial"/>
                <w:sz w:val="22"/>
              </w:rPr>
              <w:t>干井</w:t>
            </w:r>
          </w:p>
        </w:tc>
        <w:tc>
          <w:tcPr>
            <w:tcW w:w="4395" w:type="dxa"/>
            <w:tcMar>
              <w:top w:w="60" w:type="dxa"/>
              <w:left w:w="120" w:type="dxa"/>
              <w:bottom w:w="30" w:type="dxa"/>
              <w:right w:w="120" w:type="dxa"/>
            </w:tcMar>
          </w:tcPr>
          <w:p w14:paraId="27134793">
            <w:pPr>
              <w:spacing w:before="120" w:after="120" w:line="288" w:lineRule="auto"/>
              <w:ind w:left="0"/>
              <w:jc w:val="left"/>
            </w:pPr>
            <w:r>
              <w:rPr>
                <w:rFonts w:ascii="Arial" w:hAnsi="Arial" w:eastAsia="等线" w:cs="Arial"/>
                <w:sz w:val="22"/>
              </w:rPr>
              <w:t>石油天然气勘探 / 开发项目中，钻探后未发现可开采油气资源或产能极低的井，会导致项目成本损失，是 DPP 的核心风险之一</w:t>
            </w:r>
          </w:p>
        </w:tc>
      </w:tr>
    </w:tbl>
    <w:p w14:paraId="7B108024">
      <w:pPr>
        <w:spacing w:before="320" w:after="120" w:line="288" w:lineRule="auto"/>
        <w:ind w:left="0"/>
        <w:jc w:val="left"/>
        <w:outlineLvl w:val="1"/>
      </w:pPr>
      <w:bookmarkStart w:id="28" w:name="heading_28"/>
      <w:r>
        <w:rPr>
          <w:rFonts w:ascii="Arial" w:hAnsi="Arial" w:eastAsia="等线" w:cs="Arial"/>
          <w:color w:val="3370FF"/>
          <w:sz w:val="32"/>
        </w:rPr>
        <w:t xml:space="preserve">4.3 </w:t>
      </w:r>
      <w:r>
        <w:rPr>
          <w:rFonts w:ascii="Arial" w:hAnsi="Arial" w:eastAsia="等线" w:cs="Arial"/>
          <w:b/>
          <w:sz w:val="32"/>
        </w:rPr>
        <w:t>REITs 相关术语（含分类与运作）</w:t>
      </w:r>
      <w:bookmarkEnd w:id="2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665"/>
        <w:gridCol w:w="4845"/>
      </w:tblGrid>
      <w:tr w14:paraId="1C1860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0380D9B">
            <w:pPr>
              <w:spacing w:before="120" w:after="120" w:line="288" w:lineRule="auto"/>
              <w:ind w:left="0"/>
              <w:jc w:val="left"/>
            </w:pPr>
            <w:r>
              <w:rPr>
                <w:rFonts w:ascii="Arial" w:hAnsi="Arial" w:eastAsia="等线" w:cs="Arial"/>
                <w:b/>
                <w:sz w:val="22"/>
              </w:rPr>
              <w:t>英文词汇</w:t>
            </w:r>
          </w:p>
        </w:tc>
        <w:tc>
          <w:tcPr>
            <w:tcW w:w="1665" w:type="dxa"/>
            <w:tcMar>
              <w:top w:w="60" w:type="dxa"/>
              <w:left w:w="120" w:type="dxa"/>
              <w:bottom w:w="30" w:type="dxa"/>
              <w:right w:w="120" w:type="dxa"/>
            </w:tcMar>
          </w:tcPr>
          <w:p w14:paraId="04F9BE01">
            <w:pPr>
              <w:spacing w:before="120" w:after="120" w:line="288" w:lineRule="auto"/>
              <w:ind w:left="0"/>
              <w:jc w:val="left"/>
            </w:pPr>
            <w:r>
              <w:rPr>
                <w:rFonts w:ascii="Arial" w:hAnsi="Arial" w:eastAsia="等线" w:cs="Arial"/>
                <w:b/>
                <w:sz w:val="22"/>
              </w:rPr>
              <w:t>中文释义</w:t>
            </w:r>
          </w:p>
        </w:tc>
        <w:tc>
          <w:tcPr>
            <w:tcW w:w="4845" w:type="dxa"/>
            <w:tcMar>
              <w:top w:w="60" w:type="dxa"/>
              <w:left w:w="120" w:type="dxa"/>
              <w:bottom w:w="30" w:type="dxa"/>
              <w:right w:w="120" w:type="dxa"/>
            </w:tcMar>
          </w:tcPr>
          <w:p w14:paraId="299FC650">
            <w:pPr>
              <w:spacing w:before="120" w:after="120" w:line="288" w:lineRule="auto"/>
              <w:ind w:left="0"/>
              <w:jc w:val="left"/>
            </w:pPr>
            <w:r>
              <w:rPr>
                <w:rFonts w:ascii="Arial" w:hAnsi="Arial" w:eastAsia="等线" w:cs="Arial"/>
                <w:b/>
                <w:sz w:val="22"/>
              </w:rPr>
              <w:t>补充说明</w:t>
            </w:r>
          </w:p>
        </w:tc>
      </w:tr>
      <w:tr w14:paraId="46C787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5E3C484">
            <w:pPr>
              <w:spacing w:before="120" w:after="120" w:line="288" w:lineRule="auto"/>
              <w:ind w:left="0"/>
              <w:jc w:val="left"/>
            </w:pPr>
            <w:r>
              <w:rPr>
                <w:rFonts w:ascii="Arial" w:hAnsi="Arial" w:eastAsia="等线" w:cs="Arial"/>
                <w:sz w:val="22"/>
              </w:rPr>
              <w:t>Equity REITs</w:t>
            </w:r>
          </w:p>
        </w:tc>
        <w:tc>
          <w:tcPr>
            <w:tcW w:w="1665" w:type="dxa"/>
            <w:tcMar>
              <w:top w:w="60" w:type="dxa"/>
              <w:left w:w="120" w:type="dxa"/>
              <w:bottom w:w="30" w:type="dxa"/>
              <w:right w:w="120" w:type="dxa"/>
            </w:tcMar>
          </w:tcPr>
          <w:p w14:paraId="01C69B20">
            <w:pPr>
              <w:spacing w:before="120" w:after="120" w:line="288" w:lineRule="auto"/>
              <w:ind w:left="0"/>
              <w:jc w:val="left"/>
            </w:pPr>
            <w:r>
              <w:rPr>
                <w:rFonts w:ascii="Arial" w:hAnsi="Arial" w:eastAsia="等线" w:cs="Arial"/>
                <w:sz w:val="22"/>
              </w:rPr>
              <w:t>权益型房地产投资信托</w:t>
            </w:r>
          </w:p>
        </w:tc>
        <w:tc>
          <w:tcPr>
            <w:tcW w:w="4845" w:type="dxa"/>
            <w:tcMar>
              <w:top w:w="60" w:type="dxa"/>
              <w:left w:w="120" w:type="dxa"/>
              <w:bottom w:w="30" w:type="dxa"/>
              <w:right w:w="120" w:type="dxa"/>
            </w:tcMar>
          </w:tcPr>
          <w:p w14:paraId="4D743634">
            <w:pPr>
              <w:spacing w:before="120" w:after="120" w:line="288" w:lineRule="auto"/>
              <w:ind w:left="0"/>
              <w:jc w:val="left"/>
            </w:pPr>
            <w:r>
              <w:rPr>
                <w:rFonts w:ascii="Arial" w:hAnsi="Arial" w:eastAsia="等线" w:cs="Arial"/>
                <w:sz w:val="22"/>
              </w:rPr>
              <w:t>最常见的 REITs 类型，直接持有并运营房地产物业（如写字楼、购物中心、仓储物流），收益主要来自租金和物业增值。</w:t>
            </w:r>
          </w:p>
        </w:tc>
      </w:tr>
      <w:tr w14:paraId="6E8A80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5BFD62C">
            <w:pPr>
              <w:spacing w:before="120" w:after="120" w:line="288" w:lineRule="auto"/>
              <w:ind w:left="0"/>
              <w:jc w:val="left"/>
            </w:pPr>
            <w:r>
              <w:rPr>
                <w:rFonts w:ascii="Arial" w:hAnsi="Arial" w:eastAsia="等线" w:cs="Arial"/>
                <w:sz w:val="22"/>
              </w:rPr>
              <w:t>Mortgage REITs (mREITs)</w:t>
            </w:r>
          </w:p>
        </w:tc>
        <w:tc>
          <w:tcPr>
            <w:tcW w:w="1665" w:type="dxa"/>
            <w:tcMar>
              <w:top w:w="60" w:type="dxa"/>
              <w:left w:w="120" w:type="dxa"/>
              <w:bottom w:w="30" w:type="dxa"/>
              <w:right w:w="120" w:type="dxa"/>
            </w:tcMar>
          </w:tcPr>
          <w:p w14:paraId="1F7CAABC">
            <w:pPr>
              <w:spacing w:before="120" w:after="120" w:line="288" w:lineRule="auto"/>
              <w:ind w:left="0"/>
              <w:jc w:val="left"/>
            </w:pPr>
            <w:r>
              <w:rPr>
                <w:rFonts w:ascii="Arial" w:hAnsi="Arial" w:eastAsia="等线" w:cs="Arial"/>
                <w:sz w:val="22"/>
              </w:rPr>
              <w:t>抵押型房地产投资信托</w:t>
            </w:r>
          </w:p>
        </w:tc>
        <w:tc>
          <w:tcPr>
            <w:tcW w:w="4845" w:type="dxa"/>
            <w:tcMar>
              <w:top w:w="60" w:type="dxa"/>
              <w:left w:w="120" w:type="dxa"/>
              <w:bottom w:w="30" w:type="dxa"/>
              <w:right w:w="120" w:type="dxa"/>
            </w:tcMar>
          </w:tcPr>
          <w:p w14:paraId="16693953">
            <w:pPr>
              <w:spacing w:before="120" w:after="120" w:line="288" w:lineRule="auto"/>
              <w:ind w:left="0"/>
              <w:jc w:val="left"/>
            </w:pPr>
            <w:r>
              <w:rPr>
                <w:rFonts w:ascii="Arial" w:hAnsi="Arial" w:eastAsia="等线" w:cs="Arial"/>
                <w:sz w:val="22"/>
              </w:rPr>
              <w:t>不直接持有物业，而是向房地产开发商 / 所有者提供抵押贷款，或投资房地产抵押支持证券（MBS），收益主要来自贷款利息。</w:t>
            </w:r>
          </w:p>
        </w:tc>
      </w:tr>
      <w:tr w14:paraId="76194B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B8E9F34">
            <w:pPr>
              <w:spacing w:before="120" w:after="120" w:line="288" w:lineRule="auto"/>
              <w:ind w:left="0"/>
              <w:jc w:val="left"/>
            </w:pPr>
            <w:r>
              <w:rPr>
                <w:rFonts w:ascii="Arial" w:hAnsi="Arial" w:eastAsia="等线" w:cs="Arial"/>
                <w:sz w:val="22"/>
              </w:rPr>
              <w:t>Hybrid REITs</w:t>
            </w:r>
          </w:p>
        </w:tc>
        <w:tc>
          <w:tcPr>
            <w:tcW w:w="1665" w:type="dxa"/>
            <w:tcMar>
              <w:top w:w="60" w:type="dxa"/>
              <w:left w:w="120" w:type="dxa"/>
              <w:bottom w:w="30" w:type="dxa"/>
              <w:right w:w="120" w:type="dxa"/>
            </w:tcMar>
          </w:tcPr>
          <w:p w14:paraId="1A593591">
            <w:pPr>
              <w:spacing w:before="120" w:after="120" w:line="288" w:lineRule="auto"/>
              <w:ind w:left="0"/>
              <w:jc w:val="left"/>
            </w:pPr>
            <w:r>
              <w:rPr>
                <w:rFonts w:ascii="Arial" w:hAnsi="Arial" w:eastAsia="等线" w:cs="Arial"/>
                <w:sz w:val="22"/>
              </w:rPr>
              <w:t>混合型房地产投资信托</w:t>
            </w:r>
          </w:p>
        </w:tc>
        <w:tc>
          <w:tcPr>
            <w:tcW w:w="4845" w:type="dxa"/>
            <w:tcMar>
              <w:top w:w="60" w:type="dxa"/>
              <w:left w:w="120" w:type="dxa"/>
              <w:bottom w:w="30" w:type="dxa"/>
              <w:right w:w="120" w:type="dxa"/>
            </w:tcMar>
          </w:tcPr>
          <w:p w14:paraId="553935C6">
            <w:pPr>
              <w:spacing w:before="120" w:after="120" w:line="288" w:lineRule="auto"/>
              <w:ind w:left="0"/>
              <w:jc w:val="left"/>
            </w:pPr>
            <w:r>
              <w:rPr>
                <w:rFonts w:ascii="Arial" w:hAnsi="Arial" w:eastAsia="等线" w:cs="Arial"/>
                <w:sz w:val="22"/>
              </w:rPr>
              <w:t>同时具备权益型和抵押型 REITs 的特征，既持有物业获取租金，也开展抵押贷款业务，平衡收益与风险</w:t>
            </w:r>
          </w:p>
        </w:tc>
      </w:tr>
      <w:tr w14:paraId="408761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1546B61">
            <w:pPr>
              <w:spacing w:before="120" w:after="120" w:line="288" w:lineRule="auto"/>
              <w:ind w:left="0"/>
              <w:jc w:val="left"/>
            </w:pPr>
            <w:r>
              <w:rPr>
                <w:rFonts w:ascii="Arial" w:hAnsi="Arial" w:eastAsia="等线" w:cs="Arial"/>
                <w:sz w:val="22"/>
              </w:rPr>
              <w:t>Net Asset Value (NAV)</w:t>
            </w:r>
          </w:p>
        </w:tc>
        <w:tc>
          <w:tcPr>
            <w:tcW w:w="1665" w:type="dxa"/>
            <w:tcMar>
              <w:top w:w="60" w:type="dxa"/>
              <w:left w:w="120" w:type="dxa"/>
              <w:bottom w:w="30" w:type="dxa"/>
              <w:right w:w="120" w:type="dxa"/>
            </w:tcMar>
          </w:tcPr>
          <w:p w14:paraId="5DA74DDA">
            <w:pPr>
              <w:spacing w:before="120" w:after="120" w:line="288" w:lineRule="auto"/>
              <w:ind w:left="0"/>
              <w:jc w:val="left"/>
            </w:pPr>
            <w:r>
              <w:rPr>
                <w:rFonts w:ascii="Arial" w:hAnsi="Arial" w:eastAsia="等线" w:cs="Arial"/>
                <w:sz w:val="22"/>
              </w:rPr>
              <w:t>净资产价值</w:t>
            </w:r>
          </w:p>
        </w:tc>
        <w:tc>
          <w:tcPr>
            <w:tcW w:w="4845" w:type="dxa"/>
            <w:tcMar>
              <w:top w:w="60" w:type="dxa"/>
              <w:left w:w="120" w:type="dxa"/>
              <w:bottom w:w="30" w:type="dxa"/>
              <w:right w:w="120" w:type="dxa"/>
            </w:tcMar>
          </w:tcPr>
          <w:p w14:paraId="245F3BCF">
            <w:pPr>
              <w:spacing w:before="120" w:after="120" w:line="288" w:lineRule="auto"/>
              <w:ind w:left="0"/>
              <w:jc w:val="left"/>
            </w:pPr>
            <w:r>
              <w:rPr>
                <w:rFonts w:ascii="Arial" w:hAnsi="Arial" w:eastAsia="等线" w:cs="Arial"/>
                <w:sz w:val="22"/>
              </w:rPr>
              <w:t>衡量 REITs 资产价值的核心指标，计算公式为 “（总资产 - 总负债）/ 发行份额总数”，是判断 REITs 市场价格是否合理的重要参考。</w:t>
            </w:r>
          </w:p>
        </w:tc>
      </w:tr>
      <w:tr w14:paraId="41C4A4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F3CEFAC">
            <w:pPr>
              <w:spacing w:before="120" w:after="120" w:line="288" w:lineRule="auto"/>
              <w:ind w:left="0"/>
              <w:jc w:val="left"/>
            </w:pPr>
            <w:r>
              <w:rPr>
                <w:rFonts w:ascii="Arial" w:hAnsi="Arial" w:eastAsia="等线" w:cs="Arial"/>
                <w:sz w:val="22"/>
              </w:rPr>
              <w:t>Mandatory Dividend Distribution</w:t>
            </w:r>
          </w:p>
        </w:tc>
        <w:tc>
          <w:tcPr>
            <w:tcW w:w="1665" w:type="dxa"/>
            <w:tcMar>
              <w:top w:w="60" w:type="dxa"/>
              <w:left w:w="120" w:type="dxa"/>
              <w:bottom w:w="30" w:type="dxa"/>
              <w:right w:w="120" w:type="dxa"/>
            </w:tcMar>
          </w:tcPr>
          <w:p w14:paraId="7B3BB52D">
            <w:pPr>
              <w:spacing w:before="120" w:after="120" w:line="288" w:lineRule="auto"/>
              <w:ind w:left="0"/>
              <w:jc w:val="left"/>
            </w:pPr>
            <w:r>
              <w:rPr>
                <w:rFonts w:ascii="Arial" w:hAnsi="Arial" w:eastAsia="等线" w:cs="Arial"/>
                <w:sz w:val="22"/>
              </w:rPr>
              <w:t>强制股息分配</w:t>
            </w:r>
          </w:p>
        </w:tc>
        <w:tc>
          <w:tcPr>
            <w:tcW w:w="4845" w:type="dxa"/>
            <w:tcMar>
              <w:top w:w="60" w:type="dxa"/>
              <w:left w:w="120" w:type="dxa"/>
              <w:bottom w:w="30" w:type="dxa"/>
              <w:right w:w="120" w:type="dxa"/>
            </w:tcMar>
          </w:tcPr>
          <w:p w14:paraId="5F78189F">
            <w:pPr>
              <w:spacing w:before="120" w:after="120" w:line="288" w:lineRule="auto"/>
              <w:ind w:left="0"/>
              <w:jc w:val="left"/>
            </w:pPr>
            <w:r>
              <w:rPr>
                <w:rFonts w:ascii="Arial" w:hAnsi="Arial" w:eastAsia="等线" w:cs="Arial"/>
                <w:sz w:val="22"/>
              </w:rPr>
              <w:t>REITs 的核心规则之一，多数国家 / 地区要求 REITs 将至少 90% 的年度应纳税收入以现金股息形式分配给投资者，以享受税收优惠。</w:t>
            </w:r>
          </w:p>
        </w:tc>
      </w:tr>
    </w:tbl>
    <w:p w14:paraId="52784B65">
      <w:pPr>
        <w:spacing w:before="320" w:after="120" w:line="288" w:lineRule="auto"/>
        <w:ind w:left="0"/>
        <w:jc w:val="left"/>
        <w:outlineLvl w:val="1"/>
      </w:pPr>
      <w:bookmarkStart w:id="29" w:name="heading_29"/>
      <w:r>
        <w:rPr>
          <w:rFonts w:ascii="Arial" w:hAnsi="Arial" w:eastAsia="等线" w:cs="Arial"/>
          <w:color w:val="3370FF"/>
          <w:sz w:val="32"/>
        </w:rPr>
        <w:t xml:space="preserve">4.4 </w:t>
      </w:r>
      <w:r>
        <w:rPr>
          <w:rFonts w:ascii="Arial" w:hAnsi="Arial" w:eastAsia="等线" w:cs="Arial"/>
          <w:b/>
          <w:sz w:val="32"/>
        </w:rPr>
        <w:t>参与主体与权责类</w:t>
      </w:r>
      <w:bookmarkEnd w:id="2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665"/>
        <w:gridCol w:w="4845"/>
      </w:tblGrid>
      <w:tr w14:paraId="21D6C8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BCD5C8B">
            <w:pPr>
              <w:spacing w:before="120" w:after="120" w:line="288" w:lineRule="auto"/>
              <w:ind w:left="0"/>
              <w:jc w:val="left"/>
            </w:pPr>
            <w:r>
              <w:rPr>
                <w:rFonts w:ascii="Arial" w:hAnsi="Arial" w:eastAsia="等线" w:cs="Arial"/>
                <w:b/>
                <w:sz w:val="22"/>
              </w:rPr>
              <w:t>英文词汇</w:t>
            </w:r>
          </w:p>
        </w:tc>
        <w:tc>
          <w:tcPr>
            <w:tcW w:w="1665" w:type="dxa"/>
            <w:tcMar>
              <w:top w:w="60" w:type="dxa"/>
              <w:left w:w="120" w:type="dxa"/>
              <w:bottom w:w="30" w:type="dxa"/>
              <w:right w:w="120" w:type="dxa"/>
            </w:tcMar>
          </w:tcPr>
          <w:p w14:paraId="6FABD08E">
            <w:pPr>
              <w:spacing w:before="120" w:after="120" w:line="288" w:lineRule="auto"/>
              <w:ind w:left="0"/>
              <w:jc w:val="left"/>
            </w:pPr>
            <w:r>
              <w:rPr>
                <w:rFonts w:ascii="Arial" w:hAnsi="Arial" w:eastAsia="等线" w:cs="Arial"/>
                <w:b/>
                <w:sz w:val="22"/>
              </w:rPr>
              <w:t>中文释义</w:t>
            </w:r>
          </w:p>
        </w:tc>
        <w:tc>
          <w:tcPr>
            <w:tcW w:w="4845" w:type="dxa"/>
            <w:tcMar>
              <w:top w:w="60" w:type="dxa"/>
              <w:left w:w="120" w:type="dxa"/>
              <w:bottom w:w="30" w:type="dxa"/>
              <w:right w:w="120" w:type="dxa"/>
            </w:tcMar>
          </w:tcPr>
          <w:p w14:paraId="64DDC09E">
            <w:pPr>
              <w:spacing w:before="120" w:after="120" w:line="288" w:lineRule="auto"/>
              <w:ind w:left="0"/>
              <w:jc w:val="left"/>
            </w:pPr>
            <w:r>
              <w:rPr>
                <w:rFonts w:ascii="Arial" w:hAnsi="Arial" w:eastAsia="等线" w:cs="Arial"/>
                <w:b/>
                <w:sz w:val="22"/>
              </w:rPr>
              <w:t>补充说明</w:t>
            </w:r>
          </w:p>
        </w:tc>
      </w:tr>
      <w:tr w14:paraId="28A080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284703A">
            <w:pPr>
              <w:spacing w:before="120" w:after="120" w:line="288" w:lineRule="auto"/>
              <w:ind w:left="0"/>
              <w:jc w:val="left"/>
            </w:pPr>
            <w:r>
              <w:rPr>
                <w:rFonts w:ascii="Arial" w:hAnsi="Arial" w:eastAsia="等线" w:cs="Arial"/>
                <w:sz w:val="22"/>
              </w:rPr>
              <w:t>General Partner (GP)</w:t>
            </w:r>
          </w:p>
        </w:tc>
        <w:tc>
          <w:tcPr>
            <w:tcW w:w="1665" w:type="dxa"/>
            <w:tcMar>
              <w:top w:w="60" w:type="dxa"/>
              <w:left w:w="120" w:type="dxa"/>
              <w:bottom w:w="30" w:type="dxa"/>
              <w:right w:w="120" w:type="dxa"/>
            </w:tcMar>
          </w:tcPr>
          <w:p w14:paraId="219B3997">
            <w:pPr>
              <w:spacing w:before="120" w:after="120" w:line="288" w:lineRule="auto"/>
              <w:ind w:left="0"/>
              <w:jc w:val="left"/>
            </w:pPr>
            <w:r>
              <w:rPr>
                <w:rFonts w:ascii="Arial" w:hAnsi="Arial" w:eastAsia="等线" w:cs="Arial"/>
                <w:sz w:val="22"/>
              </w:rPr>
              <w:t>普通合伙人</w:t>
            </w:r>
          </w:p>
        </w:tc>
        <w:tc>
          <w:tcPr>
            <w:tcW w:w="4845" w:type="dxa"/>
            <w:tcMar>
              <w:top w:w="60" w:type="dxa"/>
              <w:left w:w="120" w:type="dxa"/>
              <w:bottom w:w="30" w:type="dxa"/>
              <w:right w:w="120" w:type="dxa"/>
            </w:tcMar>
          </w:tcPr>
          <w:p w14:paraId="1D2D8D4A">
            <w:pPr>
              <w:spacing w:before="120" w:after="120" w:line="288" w:lineRule="auto"/>
              <w:ind w:left="0"/>
              <w:jc w:val="left"/>
            </w:pPr>
            <w:r>
              <w:rPr>
                <w:rFonts w:ascii="Arial" w:hAnsi="Arial" w:eastAsia="等线" w:cs="Arial"/>
                <w:sz w:val="22"/>
              </w:rPr>
              <w:t>有限合伙企业（如 RELPs、部分 DPPs）中的管理方，负责项目决策、日常运营，承担无限连带责任，通常出资比例低（1%-5%）但掌握决策权</w:t>
            </w:r>
          </w:p>
        </w:tc>
      </w:tr>
      <w:tr w14:paraId="2E6FA3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6D6C198">
            <w:pPr>
              <w:spacing w:before="120" w:after="120" w:line="288" w:lineRule="auto"/>
              <w:ind w:left="0"/>
              <w:jc w:val="left"/>
            </w:pPr>
            <w:r>
              <w:rPr>
                <w:rFonts w:ascii="Arial" w:hAnsi="Arial" w:eastAsia="等线" w:cs="Arial"/>
                <w:sz w:val="22"/>
              </w:rPr>
              <w:t>Limited Partner (LP)</w:t>
            </w:r>
          </w:p>
        </w:tc>
        <w:tc>
          <w:tcPr>
            <w:tcW w:w="1665" w:type="dxa"/>
            <w:tcMar>
              <w:top w:w="60" w:type="dxa"/>
              <w:left w:w="120" w:type="dxa"/>
              <w:bottom w:w="30" w:type="dxa"/>
              <w:right w:w="120" w:type="dxa"/>
            </w:tcMar>
          </w:tcPr>
          <w:p w14:paraId="317C6862">
            <w:pPr>
              <w:spacing w:before="120" w:after="120" w:line="288" w:lineRule="auto"/>
              <w:ind w:left="0"/>
              <w:jc w:val="left"/>
            </w:pPr>
            <w:r>
              <w:rPr>
                <w:rFonts w:ascii="Arial" w:hAnsi="Arial" w:eastAsia="等线" w:cs="Arial"/>
                <w:sz w:val="22"/>
              </w:rPr>
              <w:t>有限合伙人</w:t>
            </w:r>
          </w:p>
        </w:tc>
        <w:tc>
          <w:tcPr>
            <w:tcW w:w="4845" w:type="dxa"/>
            <w:tcMar>
              <w:top w:w="60" w:type="dxa"/>
              <w:left w:w="120" w:type="dxa"/>
              <w:bottom w:w="30" w:type="dxa"/>
              <w:right w:w="120" w:type="dxa"/>
            </w:tcMar>
          </w:tcPr>
          <w:p w14:paraId="47022CE1">
            <w:pPr>
              <w:spacing w:before="120" w:after="120" w:line="288" w:lineRule="auto"/>
              <w:ind w:left="0"/>
              <w:jc w:val="left"/>
            </w:pPr>
            <w:r>
              <w:rPr>
                <w:rFonts w:ascii="Arial" w:hAnsi="Arial" w:eastAsia="等线" w:cs="Arial"/>
                <w:sz w:val="22"/>
              </w:rPr>
              <w:t>有限合伙企业中的资金提供方，仅以出资额为限承担责任，不参与经营管理，仅享有收益分配权和知情权（如查阅财务账簿）</w:t>
            </w:r>
          </w:p>
        </w:tc>
      </w:tr>
      <w:tr w14:paraId="0F1B71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A5F662E">
            <w:pPr>
              <w:spacing w:before="120" w:after="120" w:line="288" w:lineRule="auto"/>
              <w:ind w:left="0"/>
              <w:jc w:val="left"/>
            </w:pPr>
            <w:r>
              <w:rPr>
                <w:rFonts w:ascii="Arial" w:hAnsi="Arial" w:eastAsia="等线" w:cs="Arial"/>
                <w:sz w:val="22"/>
              </w:rPr>
              <w:t>REIT Manager / DPP Manager</w:t>
            </w:r>
          </w:p>
        </w:tc>
        <w:tc>
          <w:tcPr>
            <w:tcW w:w="1665" w:type="dxa"/>
            <w:tcMar>
              <w:top w:w="60" w:type="dxa"/>
              <w:left w:w="120" w:type="dxa"/>
              <w:bottom w:w="30" w:type="dxa"/>
              <w:right w:w="120" w:type="dxa"/>
            </w:tcMar>
          </w:tcPr>
          <w:p w14:paraId="725FDB26">
            <w:pPr>
              <w:spacing w:before="120" w:after="120" w:line="288" w:lineRule="auto"/>
              <w:ind w:left="0"/>
              <w:jc w:val="left"/>
            </w:pPr>
            <w:r>
              <w:rPr>
                <w:rFonts w:ascii="Arial" w:hAnsi="Arial" w:eastAsia="等线" w:cs="Arial"/>
                <w:sz w:val="22"/>
              </w:rPr>
              <w:t>REIT 管理人 / DPP 管理人</w:t>
            </w:r>
          </w:p>
        </w:tc>
        <w:tc>
          <w:tcPr>
            <w:tcW w:w="4845" w:type="dxa"/>
            <w:tcMar>
              <w:top w:w="60" w:type="dxa"/>
              <w:left w:w="120" w:type="dxa"/>
              <w:bottom w:w="30" w:type="dxa"/>
              <w:right w:w="120" w:type="dxa"/>
            </w:tcMar>
          </w:tcPr>
          <w:p w14:paraId="184C3B65">
            <w:pPr>
              <w:spacing w:before="120" w:after="120" w:line="288" w:lineRule="auto"/>
              <w:ind w:left="0"/>
              <w:jc w:val="left"/>
            </w:pPr>
            <w:r>
              <w:rPr>
                <w:rFonts w:ascii="Arial" w:hAnsi="Arial" w:eastAsia="等线" w:cs="Arial"/>
                <w:sz w:val="22"/>
              </w:rPr>
              <w:t>负责 REITs/DPPs 资产投资、项目运营的专业机构（如基金公司、资产管理公司），需具备合规资质，对投资者收益负责</w:t>
            </w:r>
          </w:p>
        </w:tc>
      </w:tr>
      <w:tr w14:paraId="26159F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FA1C709">
            <w:pPr>
              <w:spacing w:before="120" w:after="120" w:line="288" w:lineRule="auto"/>
              <w:ind w:left="0"/>
              <w:jc w:val="left"/>
            </w:pPr>
            <w:r>
              <w:rPr>
                <w:rFonts w:ascii="Arial" w:hAnsi="Arial" w:eastAsia="等线" w:cs="Arial"/>
                <w:sz w:val="22"/>
              </w:rPr>
              <w:t>Qualified Investors</w:t>
            </w:r>
          </w:p>
        </w:tc>
        <w:tc>
          <w:tcPr>
            <w:tcW w:w="1665" w:type="dxa"/>
            <w:tcMar>
              <w:top w:w="60" w:type="dxa"/>
              <w:left w:w="120" w:type="dxa"/>
              <w:bottom w:w="30" w:type="dxa"/>
              <w:right w:w="120" w:type="dxa"/>
            </w:tcMar>
          </w:tcPr>
          <w:p w14:paraId="605F27DC">
            <w:pPr>
              <w:spacing w:before="120" w:after="120" w:line="288" w:lineRule="auto"/>
              <w:ind w:left="0"/>
              <w:jc w:val="left"/>
            </w:pPr>
            <w:r>
              <w:rPr>
                <w:rFonts w:ascii="Arial" w:hAnsi="Arial" w:eastAsia="等线" w:cs="Arial"/>
                <w:sz w:val="22"/>
              </w:rPr>
              <w:t>合格投资者</w:t>
            </w:r>
          </w:p>
        </w:tc>
        <w:tc>
          <w:tcPr>
            <w:tcW w:w="4845" w:type="dxa"/>
            <w:tcMar>
              <w:top w:w="60" w:type="dxa"/>
              <w:left w:w="120" w:type="dxa"/>
              <w:bottom w:w="30" w:type="dxa"/>
              <w:right w:w="120" w:type="dxa"/>
            </w:tcMar>
          </w:tcPr>
          <w:p w14:paraId="676D46AB">
            <w:pPr>
              <w:spacing w:before="120" w:after="120" w:line="288" w:lineRule="auto"/>
              <w:ind w:left="0"/>
              <w:jc w:val="left"/>
            </w:pPr>
            <w:r>
              <w:rPr>
                <w:rFonts w:ascii="Arial" w:hAnsi="Arial" w:eastAsia="等线" w:cs="Arial"/>
                <w:sz w:val="22"/>
              </w:rPr>
              <w:t>参与私募 DPPs、部分非上市 REITs 的特定投资者，需满足净资产、年收入等门槛（如 “金融资产不低于 500 万元”），具备风险承受能力</w:t>
            </w:r>
          </w:p>
        </w:tc>
      </w:tr>
    </w:tbl>
    <w:p w14:paraId="7AB182F0">
      <w:pPr>
        <w:spacing w:before="320" w:after="120" w:line="288" w:lineRule="auto"/>
        <w:ind w:left="0"/>
        <w:jc w:val="left"/>
        <w:outlineLvl w:val="1"/>
      </w:pPr>
      <w:bookmarkStart w:id="30" w:name="heading_30"/>
      <w:r>
        <w:rPr>
          <w:rFonts w:ascii="Arial" w:hAnsi="Arial" w:eastAsia="等线" w:cs="Arial"/>
          <w:color w:val="3370FF"/>
          <w:sz w:val="32"/>
        </w:rPr>
        <w:t xml:space="preserve">4.5 </w:t>
      </w:r>
      <w:r>
        <w:rPr>
          <w:rFonts w:ascii="Arial" w:hAnsi="Arial" w:eastAsia="等线" w:cs="Arial"/>
          <w:b/>
          <w:sz w:val="32"/>
        </w:rPr>
        <w:t>风险与收益类</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665"/>
        <w:gridCol w:w="4845"/>
      </w:tblGrid>
      <w:tr w14:paraId="11E75D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6FBDA10">
            <w:pPr>
              <w:spacing w:before="120" w:after="120" w:line="288" w:lineRule="auto"/>
              <w:ind w:left="0"/>
              <w:jc w:val="left"/>
            </w:pPr>
            <w:r>
              <w:rPr>
                <w:rFonts w:ascii="Arial" w:hAnsi="Arial" w:eastAsia="等线" w:cs="Arial"/>
                <w:b/>
                <w:sz w:val="22"/>
              </w:rPr>
              <w:t>英文词汇</w:t>
            </w:r>
          </w:p>
        </w:tc>
        <w:tc>
          <w:tcPr>
            <w:tcW w:w="1665" w:type="dxa"/>
            <w:tcMar>
              <w:top w:w="60" w:type="dxa"/>
              <w:left w:w="120" w:type="dxa"/>
              <w:bottom w:w="30" w:type="dxa"/>
              <w:right w:w="120" w:type="dxa"/>
            </w:tcMar>
          </w:tcPr>
          <w:p w14:paraId="152D18C4">
            <w:pPr>
              <w:spacing w:before="120" w:after="120" w:line="288" w:lineRule="auto"/>
              <w:ind w:left="0"/>
              <w:jc w:val="left"/>
            </w:pPr>
            <w:r>
              <w:rPr>
                <w:rFonts w:ascii="Arial" w:hAnsi="Arial" w:eastAsia="等线" w:cs="Arial"/>
                <w:b/>
                <w:sz w:val="22"/>
              </w:rPr>
              <w:t>中文释义</w:t>
            </w:r>
          </w:p>
        </w:tc>
        <w:tc>
          <w:tcPr>
            <w:tcW w:w="4845" w:type="dxa"/>
            <w:tcMar>
              <w:top w:w="60" w:type="dxa"/>
              <w:left w:w="120" w:type="dxa"/>
              <w:bottom w:w="30" w:type="dxa"/>
              <w:right w:w="120" w:type="dxa"/>
            </w:tcMar>
          </w:tcPr>
          <w:p w14:paraId="4EEEB946">
            <w:pPr>
              <w:spacing w:before="120" w:after="120" w:line="288" w:lineRule="auto"/>
              <w:ind w:left="0"/>
              <w:jc w:val="left"/>
            </w:pPr>
            <w:r>
              <w:rPr>
                <w:rFonts w:ascii="Arial" w:hAnsi="Arial" w:eastAsia="等线" w:cs="Arial"/>
                <w:b/>
                <w:sz w:val="22"/>
              </w:rPr>
              <w:t>补充说明</w:t>
            </w:r>
          </w:p>
        </w:tc>
      </w:tr>
      <w:tr w14:paraId="588B63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6D0827F">
            <w:pPr>
              <w:spacing w:before="120" w:after="120" w:line="288" w:lineRule="auto"/>
              <w:ind w:left="0"/>
              <w:jc w:val="left"/>
            </w:pPr>
            <w:r>
              <w:rPr>
                <w:rFonts w:ascii="Arial" w:hAnsi="Arial" w:eastAsia="等线" w:cs="Arial"/>
                <w:sz w:val="22"/>
              </w:rPr>
              <w:t>Illiquidity Risk</w:t>
            </w:r>
          </w:p>
        </w:tc>
        <w:tc>
          <w:tcPr>
            <w:tcW w:w="1665" w:type="dxa"/>
            <w:tcMar>
              <w:top w:w="60" w:type="dxa"/>
              <w:left w:w="120" w:type="dxa"/>
              <w:bottom w:w="30" w:type="dxa"/>
              <w:right w:w="120" w:type="dxa"/>
            </w:tcMar>
          </w:tcPr>
          <w:p w14:paraId="1978008E">
            <w:pPr>
              <w:spacing w:before="120" w:after="120" w:line="288" w:lineRule="auto"/>
              <w:ind w:left="0"/>
              <w:jc w:val="left"/>
            </w:pPr>
            <w:r>
              <w:rPr>
                <w:rFonts w:ascii="Arial" w:hAnsi="Arial" w:eastAsia="等线" w:cs="Arial"/>
                <w:sz w:val="22"/>
              </w:rPr>
              <w:t>流动性风险</w:t>
            </w:r>
          </w:p>
        </w:tc>
        <w:tc>
          <w:tcPr>
            <w:tcW w:w="4845" w:type="dxa"/>
            <w:tcMar>
              <w:top w:w="60" w:type="dxa"/>
              <w:left w:w="120" w:type="dxa"/>
              <w:bottom w:w="30" w:type="dxa"/>
              <w:right w:w="120" w:type="dxa"/>
            </w:tcMar>
          </w:tcPr>
          <w:p w14:paraId="5E1101BC">
            <w:pPr>
              <w:spacing w:before="120" w:after="120" w:line="288" w:lineRule="auto"/>
              <w:ind w:left="0"/>
              <w:jc w:val="left"/>
            </w:pPr>
            <w:r>
              <w:rPr>
                <w:rFonts w:ascii="Arial" w:hAnsi="Arial" w:eastAsia="等线" w:cs="Arial"/>
                <w:sz w:val="22"/>
              </w:rPr>
              <w:t>DPPs 和非上市 REITs 的核心风险，因无公开交易市场，投资者难以快速转让权益，资金锁定期长（通常 5-10 年）</w:t>
            </w:r>
          </w:p>
        </w:tc>
      </w:tr>
      <w:tr w14:paraId="0B0F2D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1D9D14F1">
            <w:pPr>
              <w:spacing w:before="120" w:after="120" w:line="288" w:lineRule="auto"/>
              <w:ind w:left="0"/>
              <w:jc w:val="left"/>
            </w:pPr>
            <w:r>
              <w:rPr>
                <w:rFonts w:ascii="Arial" w:hAnsi="Arial" w:eastAsia="等线" w:cs="Arial"/>
                <w:sz w:val="22"/>
              </w:rPr>
              <w:t>Market Risk</w:t>
            </w:r>
          </w:p>
        </w:tc>
        <w:tc>
          <w:tcPr>
            <w:tcW w:w="1665" w:type="dxa"/>
            <w:tcMar>
              <w:top w:w="60" w:type="dxa"/>
              <w:left w:w="120" w:type="dxa"/>
              <w:bottom w:w="30" w:type="dxa"/>
              <w:right w:w="120" w:type="dxa"/>
            </w:tcMar>
          </w:tcPr>
          <w:p w14:paraId="4EFDC0B4">
            <w:pPr>
              <w:spacing w:before="120" w:after="120" w:line="288" w:lineRule="auto"/>
              <w:ind w:left="0"/>
              <w:jc w:val="left"/>
            </w:pPr>
            <w:r>
              <w:rPr>
                <w:rFonts w:ascii="Arial" w:hAnsi="Arial" w:eastAsia="等线" w:cs="Arial"/>
                <w:sz w:val="22"/>
              </w:rPr>
              <w:t>市场风险</w:t>
            </w:r>
          </w:p>
        </w:tc>
        <w:tc>
          <w:tcPr>
            <w:tcW w:w="4845" w:type="dxa"/>
            <w:tcMar>
              <w:top w:w="60" w:type="dxa"/>
              <w:left w:w="120" w:type="dxa"/>
              <w:bottom w:w="30" w:type="dxa"/>
              <w:right w:w="120" w:type="dxa"/>
            </w:tcMar>
          </w:tcPr>
          <w:p w14:paraId="2FBD081D">
            <w:pPr>
              <w:spacing w:before="120" w:after="120" w:line="288" w:lineRule="auto"/>
              <w:ind w:left="0"/>
              <w:jc w:val="left"/>
            </w:pPr>
            <w:r>
              <w:rPr>
                <w:rFonts w:ascii="Arial" w:hAnsi="Arial" w:eastAsia="等线" w:cs="Arial"/>
                <w:sz w:val="22"/>
              </w:rPr>
              <w:t>受宏观经济、行业周期影响的风险，如房地产市场低迷导致物业空置率上升、油价下跌导致石油 DPP 收益下滑</w:t>
            </w:r>
          </w:p>
        </w:tc>
      </w:tr>
      <w:tr w14:paraId="304902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44C5DF1">
            <w:pPr>
              <w:spacing w:before="120" w:after="120" w:line="288" w:lineRule="auto"/>
              <w:ind w:left="0"/>
              <w:jc w:val="left"/>
            </w:pPr>
            <w:r>
              <w:rPr>
                <w:rFonts w:ascii="Arial" w:hAnsi="Arial" w:eastAsia="等线" w:cs="Arial"/>
                <w:sz w:val="22"/>
              </w:rPr>
              <w:t>Interest Rate Risk</w:t>
            </w:r>
          </w:p>
        </w:tc>
        <w:tc>
          <w:tcPr>
            <w:tcW w:w="1665" w:type="dxa"/>
            <w:tcMar>
              <w:top w:w="60" w:type="dxa"/>
              <w:left w:w="120" w:type="dxa"/>
              <w:bottom w:w="30" w:type="dxa"/>
              <w:right w:w="120" w:type="dxa"/>
            </w:tcMar>
          </w:tcPr>
          <w:p w14:paraId="35FD33B2">
            <w:pPr>
              <w:spacing w:before="120" w:after="120" w:line="288" w:lineRule="auto"/>
              <w:ind w:left="0"/>
              <w:jc w:val="left"/>
            </w:pPr>
            <w:r>
              <w:rPr>
                <w:rFonts w:ascii="Arial" w:hAnsi="Arial" w:eastAsia="等线" w:cs="Arial"/>
                <w:sz w:val="22"/>
              </w:rPr>
              <w:t>利率风险</w:t>
            </w:r>
          </w:p>
        </w:tc>
        <w:tc>
          <w:tcPr>
            <w:tcW w:w="4845" w:type="dxa"/>
            <w:tcMar>
              <w:top w:w="60" w:type="dxa"/>
              <w:left w:w="120" w:type="dxa"/>
              <w:bottom w:w="30" w:type="dxa"/>
              <w:right w:w="120" w:type="dxa"/>
            </w:tcMar>
          </w:tcPr>
          <w:p w14:paraId="25E32B27">
            <w:pPr>
              <w:spacing w:before="120" w:after="120" w:line="288" w:lineRule="auto"/>
              <w:ind w:left="0"/>
              <w:jc w:val="left"/>
            </w:pPr>
            <w:r>
              <w:rPr>
                <w:rFonts w:ascii="Arial" w:hAnsi="Arial" w:eastAsia="等线" w:cs="Arial"/>
                <w:sz w:val="22"/>
              </w:rPr>
              <w:t>对 REITs（尤其抵押型 REITs）影响显著，利率上升会增加融资成本、降低 REITs 估值，同时使投资者转向固定收益产品</w:t>
            </w:r>
          </w:p>
        </w:tc>
      </w:tr>
      <w:tr w14:paraId="2C1BC8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66EE8DF7">
            <w:pPr>
              <w:spacing w:before="120" w:after="120" w:line="288" w:lineRule="auto"/>
              <w:ind w:left="0"/>
              <w:jc w:val="left"/>
            </w:pPr>
            <w:r>
              <w:rPr>
                <w:rFonts w:ascii="Arial" w:hAnsi="Arial" w:eastAsia="等线" w:cs="Arial"/>
                <w:sz w:val="22"/>
              </w:rPr>
              <w:t>Operational Risk</w:t>
            </w:r>
          </w:p>
        </w:tc>
        <w:tc>
          <w:tcPr>
            <w:tcW w:w="1665" w:type="dxa"/>
            <w:tcMar>
              <w:top w:w="60" w:type="dxa"/>
              <w:left w:w="120" w:type="dxa"/>
              <w:bottom w:w="30" w:type="dxa"/>
              <w:right w:w="120" w:type="dxa"/>
            </w:tcMar>
          </w:tcPr>
          <w:p w14:paraId="261D5727">
            <w:pPr>
              <w:spacing w:before="120" w:after="120" w:line="288" w:lineRule="auto"/>
              <w:ind w:left="0"/>
              <w:jc w:val="left"/>
            </w:pPr>
            <w:r>
              <w:rPr>
                <w:rFonts w:ascii="Arial" w:hAnsi="Arial" w:eastAsia="等线" w:cs="Arial"/>
                <w:sz w:val="22"/>
              </w:rPr>
              <w:t>运营风险</w:t>
            </w:r>
          </w:p>
        </w:tc>
        <w:tc>
          <w:tcPr>
            <w:tcW w:w="4845" w:type="dxa"/>
            <w:tcMar>
              <w:top w:w="60" w:type="dxa"/>
              <w:left w:w="120" w:type="dxa"/>
              <w:bottom w:w="30" w:type="dxa"/>
              <w:right w:w="120" w:type="dxa"/>
            </w:tcMar>
          </w:tcPr>
          <w:p w14:paraId="04E1B4B7">
            <w:pPr>
              <w:spacing w:before="120" w:after="120" w:line="288" w:lineRule="auto"/>
              <w:ind w:left="0"/>
              <w:jc w:val="left"/>
            </w:pPr>
            <w:r>
              <w:rPr>
                <w:rFonts w:ascii="Arial" w:hAnsi="Arial" w:eastAsia="等线" w:cs="Arial"/>
                <w:sz w:val="22"/>
              </w:rPr>
              <w:t>因管理方能力不足或决策失误导致的风险，如 GP 选错房地产项目、REIT 管理人物业运营效率低，导致收益不及预期</w:t>
            </w:r>
          </w:p>
        </w:tc>
      </w:tr>
      <w:tr w14:paraId="5FAABB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DC0D3E9">
            <w:pPr>
              <w:spacing w:before="120" w:after="120" w:line="288" w:lineRule="auto"/>
              <w:ind w:left="0"/>
              <w:jc w:val="left"/>
            </w:pPr>
            <w:r>
              <w:rPr>
                <w:rFonts w:ascii="Arial" w:hAnsi="Arial" w:eastAsia="等线" w:cs="Arial"/>
                <w:sz w:val="22"/>
              </w:rPr>
              <w:t>Capital Appreciation</w:t>
            </w:r>
          </w:p>
        </w:tc>
        <w:tc>
          <w:tcPr>
            <w:tcW w:w="1665" w:type="dxa"/>
            <w:tcMar>
              <w:top w:w="60" w:type="dxa"/>
              <w:left w:w="120" w:type="dxa"/>
              <w:bottom w:w="30" w:type="dxa"/>
              <w:right w:w="120" w:type="dxa"/>
            </w:tcMar>
          </w:tcPr>
          <w:p w14:paraId="78B3D29F">
            <w:pPr>
              <w:spacing w:before="120" w:after="120" w:line="288" w:lineRule="auto"/>
              <w:ind w:left="0"/>
              <w:jc w:val="left"/>
            </w:pPr>
            <w:r>
              <w:rPr>
                <w:rFonts w:ascii="Arial" w:hAnsi="Arial" w:eastAsia="等线" w:cs="Arial"/>
                <w:sz w:val="22"/>
              </w:rPr>
              <w:t>资本增值</w:t>
            </w:r>
          </w:p>
        </w:tc>
        <w:tc>
          <w:tcPr>
            <w:tcW w:w="4845" w:type="dxa"/>
            <w:tcMar>
              <w:top w:w="60" w:type="dxa"/>
              <w:left w:w="120" w:type="dxa"/>
              <w:bottom w:w="30" w:type="dxa"/>
              <w:right w:w="120" w:type="dxa"/>
            </w:tcMar>
          </w:tcPr>
          <w:p w14:paraId="5976768B">
            <w:pPr>
              <w:spacing w:before="120" w:after="120" w:line="288" w:lineRule="auto"/>
              <w:ind w:left="0"/>
              <w:jc w:val="left"/>
            </w:pPr>
            <w:r>
              <w:rPr>
                <w:rFonts w:ascii="Arial" w:hAnsi="Arial" w:eastAsia="等线" w:cs="Arial"/>
                <w:sz w:val="22"/>
              </w:rPr>
              <w:t>DPPs/REITs 的收益来源之一，指项目资产（如物业、油井）价值上涨带来的收益，勘探型 DPP 和权益型 REITs 的资本增值潜力较高</w:t>
            </w:r>
          </w:p>
        </w:tc>
      </w:tr>
      <w:tr w14:paraId="0CF070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412412DE">
            <w:pPr>
              <w:spacing w:before="120" w:after="120" w:line="288" w:lineRule="auto"/>
              <w:ind w:left="0"/>
              <w:jc w:val="left"/>
            </w:pPr>
            <w:r>
              <w:rPr>
                <w:rFonts w:ascii="Arial" w:hAnsi="Arial" w:eastAsia="等线" w:cs="Arial"/>
                <w:sz w:val="22"/>
              </w:rPr>
              <w:t>Cash Flow Distribution</w:t>
            </w:r>
          </w:p>
        </w:tc>
        <w:tc>
          <w:tcPr>
            <w:tcW w:w="1665" w:type="dxa"/>
            <w:tcMar>
              <w:top w:w="60" w:type="dxa"/>
              <w:left w:w="120" w:type="dxa"/>
              <w:bottom w:w="30" w:type="dxa"/>
              <w:right w:w="120" w:type="dxa"/>
            </w:tcMar>
          </w:tcPr>
          <w:p w14:paraId="50ED89E1">
            <w:pPr>
              <w:spacing w:before="120" w:after="120" w:line="288" w:lineRule="auto"/>
              <w:ind w:left="0"/>
              <w:jc w:val="left"/>
            </w:pPr>
            <w:r>
              <w:rPr>
                <w:rFonts w:ascii="Arial" w:hAnsi="Arial" w:eastAsia="等线" w:cs="Arial"/>
                <w:sz w:val="22"/>
              </w:rPr>
              <w:t>现金流分配</w:t>
            </w:r>
          </w:p>
        </w:tc>
        <w:tc>
          <w:tcPr>
            <w:tcW w:w="4845" w:type="dxa"/>
            <w:tcMar>
              <w:top w:w="60" w:type="dxa"/>
              <w:left w:w="120" w:type="dxa"/>
              <w:bottom w:w="30" w:type="dxa"/>
              <w:right w:w="120" w:type="dxa"/>
            </w:tcMar>
          </w:tcPr>
          <w:p w14:paraId="62B7C519">
            <w:pPr>
              <w:spacing w:before="120" w:after="120" w:line="288" w:lineRule="auto"/>
              <w:ind w:left="0"/>
              <w:jc w:val="left"/>
            </w:pPr>
            <w:r>
              <w:rPr>
                <w:rFonts w:ascii="Arial" w:hAnsi="Arial" w:eastAsia="等线" w:cs="Arial"/>
                <w:sz w:val="22"/>
              </w:rPr>
              <w:t>DPPs/REITs 向投资者分配的日常收益，如 REITs 的租金股息、收入型 DPP 的油井生产收益，是投资者获取稳定回报的主要方式</w:t>
            </w:r>
          </w:p>
        </w:tc>
      </w:tr>
    </w:tbl>
    <w:p w14:paraId="09DBD201">
      <w:pPr>
        <w:spacing w:before="320" w:after="120" w:line="288" w:lineRule="auto"/>
        <w:ind w:left="0"/>
        <w:jc w:val="left"/>
        <w:outlineLvl w:val="1"/>
      </w:pPr>
      <w:bookmarkStart w:id="31" w:name="heading_31"/>
      <w:r>
        <w:rPr>
          <w:rFonts w:ascii="Arial" w:hAnsi="Arial" w:eastAsia="等线" w:cs="Arial"/>
          <w:color w:val="3370FF"/>
          <w:sz w:val="32"/>
        </w:rPr>
        <w:t xml:space="preserve">4.6 </w:t>
      </w:r>
      <w:r>
        <w:rPr>
          <w:rFonts w:ascii="Arial" w:hAnsi="Arial" w:eastAsia="等线" w:cs="Arial"/>
          <w:b/>
          <w:sz w:val="32"/>
        </w:rPr>
        <w:t>法律与税收类</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665"/>
        <w:gridCol w:w="4845"/>
      </w:tblGrid>
      <w:tr w14:paraId="5DA117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8FF65EA">
            <w:pPr>
              <w:spacing w:before="120" w:after="120" w:line="288" w:lineRule="auto"/>
              <w:ind w:left="0"/>
              <w:jc w:val="left"/>
            </w:pPr>
            <w:r>
              <w:rPr>
                <w:rFonts w:ascii="Arial" w:hAnsi="Arial" w:eastAsia="等线" w:cs="Arial"/>
                <w:b/>
                <w:sz w:val="22"/>
              </w:rPr>
              <w:t>英文词汇</w:t>
            </w:r>
          </w:p>
        </w:tc>
        <w:tc>
          <w:tcPr>
            <w:tcW w:w="1665" w:type="dxa"/>
            <w:tcMar>
              <w:top w:w="60" w:type="dxa"/>
              <w:left w:w="120" w:type="dxa"/>
              <w:bottom w:w="30" w:type="dxa"/>
              <w:right w:w="120" w:type="dxa"/>
            </w:tcMar>
          </w:tcPr>
          <w:p w14:paraId="484B3EB4">
            <w:pPr>
              <w:spacing w:before="120" w:after="120" w:line="288" w:lineRule="auto"/>
              <w:ind w:left="0"/>
              <w:jc w:val="left"/>
            </w:pPr>
            <w:r>
              <w:rPr>
                <w:rFonts w:ascii="Arial" w:hAnsi="Arial" w:eastAsia="等线" w:cs="Arial"/>
                <w:b/>
                <w:sz w:val="22"/>
              </w:rPr>
              <w:t>中文释义</w:t>
            </w:r>
          </w:p>
        </w:tc>
        <w:tc>
          <w:tcPr>
            <w:tcW w:w="4845" w:type="dxa"/>
            <w:tcMar>
              <w:top w:w="60" w:type="dxa"/>
              <w:left w:w="120" w:type="dxa"/>
              <w:bottom w:w="30" w:type="dxa"/>
              <w:right w:w="120" w:type="dxa"/>
            </w:tcMar>
          </w:tcPr>
          <w:p w14:paraId="1240501C">
            <w:pPr>
              <w:spacing w:before="120" w:after="120" w:line="288" w:lineRule="auto"/>
              <w:ind w:left="0"/>
              <w:jc w:val="left"/>
            </w:pPr>
            <w:r>
              <w:rPr>
                <w:rFonts w:ascii="Arial" w:hAnsi="Arial" w:eastAsia="等线" w:cs="Arial"/>
                <w:b/>
                <w:sz w:val="22"/>
              </w:rPr>
              <w:t>补充说明</w:t>
            </w:r>
          </w:p>
        </w:tc>
      </w:tr>
      <w:tr w14:paraId="5FF908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5FC55E05">
            <w:pPr>
              <w:spacing w:before="120" w:after="120" w:line="288" w:lineRule="auto"/>
              <w:ind w:left="0"/>
              <w:jc w:val="left"/>
            </w:pPr>
            <w:r>
              <w:rPr>
                <w:rFonts w:ascii="Arial" w:hAnsi="Arial" w:eastAsia="等线" w:cs="Arial"/>
                <w:sz w:val="22"/>
              </w:rPr>
              <w:t>Pass-Through Taxation</w:t>
            </w:r>
          </w:p>
        </w:tc>
        <w:tc>
          <w:tcPr>
            <w:tcW w:w="1665" w:type="dxa"/>
            <w:tcMar>
              <w:top w:w="60" w:type="dxa"/>
              <w:left w:w="120" w:type="dxa"/>
              <w:bottom w:w="30" w:type="dxa"/>
              <w:right w:w="120" w:type="dxa"/>
            </w:tcMar>
          </w:tcPr>
          <w:p w14:paraId="3C1C17F3">
            <w:pPr>
              <w:spacing w:before="120" w:after="120" w:line="288" w:lineRule="auto"/>
              <w:ind w:left="0"/>
              <w:jc w:val="left"/>
            </w:pPr>
            <w:r>
              <w:rPr>
                <w:rFonts w:ascii="Arial" w:hAnsi="Arial" w:eastAsia="等线" w:cs="Arial"/>
                <w:sz w:val="22"/>
              </w:rPr>
              <w:t>穿透式征税</w:t>
            </w:r>
          </w:p>
        </w:tc>
        <w:tc>
          <w:tcPr>
            <w:tcW w:w="4845" w:type="dxa"/>
            <w:tcMar>
              <w:top w:w="60" w:type="dxa"/>
              <w:left w:w="120" w:type="dxa"/>
              <w:bottom w:w="30" w:type="dxa"/>
              <w:right w:w="120" w:type="dxa"/>
            </w:tcMar>
          </w:tcPr>
          <w:p w14:paraId="752375C8">
            <w:pPr>
              <w:spacing w:before="120" w:after="120" w:line="288" w:lineRule="auto"/>
              <w:ind w:left="0"/>
              <w:jc w:val="left"/>
            </w:pPr>
            <w:r>
              <w:rPr>
                <w:rFonts w:ascii="Arial" w:hAnsi="Arial" w:eastAsia="等线" w:cs="Arial"/>
                <w:sz w:val="22"/>
              </w:rPr>
              <w:t>DPPs 和 REITs 的核心税收特征，实体本身不缴纳企业所得税，收益直接 “穿透” 至投资者层面，由投资者按个人 / 企业税率缴税，避免双重征税</w:t>
            </w:r>
          </w:p>
        </w:tc>
      </w:tr>
      <w:tr w14:paraId="276A42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321155C9">
            <w:pPr>
              <w:spacing w:before="120" w:after="120" w:line="288" w:lineRule="auto"/>
              <w:ind w:left="0"/>
              <w:jc w:val="left"/>
            </w:pPr>
            <w:r>
              <w:rPr>
                <w:rFonts w:ascii="Arial" w:hAnsi="Arial" w:eastAsia="等线" w:cs="Arial"/>
                <w:sz w:val="22"/>
              </w:rPr>
              <w:t>Partnership Agreement</w:t>
            </w:r>
          </w:p>
        </w:tc>
        <w:tc>
          <w:tcPr>
            <w:tcW w:w="1665" w:type="dxa"/>
            <w:tcMar>
              <w:top w:w="60" w:type="dxa"/>
              <w:left w:w="120" w:type="dxa"/>
              <w:bottom w:w="30" w:type="dxa"/>
              <w:right w:w="120" w:type="dxa"/>
            </w:tcMar>
          </w:tcPr>
          <w:p w14:paraId="564994BA">
            <w:pPr>
              <w:spacing w:before="120" w:after="120" w:line="288" w:lineRule="auto"/>
              <w:ind w:left="0"/>
              <w:jc w:val="left"/>
            </w:pPr>
            <w:r>
              <w:rPr>
                <w:rFonts w:ascii="Arial" w:hAnsi="Arial" w:eastAsia="等线" w:cs="Arial"/>
                <w:sz w:val="22"/>
              </w:rPr>
              <w:t>合伙协议</w:t>
            </w:r>
          </w:p>
        </w:tc>
        <w:tc>
          <w:tcPr>
            <w:tcW w:w="4845" w:type="dxa"/>
            <w:tcMar>
              <w:top w:w="60" w:type="dxa"/>
              <w:left w:w="120" w:type="dxa"/>
              <w:bottom w:w="30" w:type="dxa"/>
              <w:right w:w="120" w:type="dxa"/>
            </w:tcMar>
          </w:tcPr>
          <w:p w14:paraId="1AFBF326">
            <w:pPr>
              <w:spacing w:before="120" w:after="120" w:line="288" w:lineRule="auto"/>
              <w:ind w:left="0"/>
              <w:jc w:val="left"/>
            </w:pPr>
            <w:r>
              <w:rPr>
                <w:rFonts w:ascii="Arial" w:hAnsi="Arial" w:eastAsia="等线" w:cs="Arial"/>
                <w:sz w:val="22"/>
              </w:rPr>
              <w:t>有限合伙企业（如 RELPs）的核心法律文件，约定 GP 与 LP 的权责、收益分配比例、项目退出机制、资金锁定期等关键条款</w:t>
            </w:r>
          </w:p>
        </w:tc>
      </w:tr>
      <w:tr w14:paraId="04C05F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37E2A12">
            <w:pPr>
              <w:spacing w:before="120" w:after="120" w:line="288" w:lineRule="auto"/>
              <w:ind w:left="0"/>
              <w:jc w:val="left"/>
            </w:pPr>
            <w:r>
              <w:rPr>
                <w:rFonts w:ascii="Arial" w:hAnsi="Arial" w:eastAsia="等线" w:cs="Arial"/>
                <w:sz w:val="22"/>
              </w:rPr>
              <w:t>Private Placement</w:t>
            </w:r>
          </w:p>
        </w:tc>
        <w:tc>
          <w:tcPr>
            <w:tcW w:w="1665" w:type="dxa"/>
            <w:tcMar>
              <w:top w:w="60" w:type="dxa"/>
              <w:left w:w="120" w:type="dxa"/>
              <w:bottom w:w="30" w:type="dxa"/>
              <w:right w:w="120" w:type="dxa"/>
            </w:tcMar>
          </w:tcPr>
          <w:p w14:paraId="2C78CB3C">
            <w:pPr>
              <w:spacing w:before="120" w:after="120" w:line="288" w:lineRule="auto"/>
              <w:ind w:left="0"/>
              <w:jc w:val="left"/>
            </w:pPr>
            <w:r>
              <w:rPr>
                <w:rFonts w:ascii="Arial" w:hAnsi="Arial" w:eastAsia="等线" w:cs="Arial"/>
                <w:sz w:val="22"/>
              </w:rPr>
              <w:t>私募发行</w:t>
            </w:r>
          </w:p>
        </w:tc>
        <w:tc>
          <w:tcPr>
            <w:tcW w:w="4845" w:type="dxa"/>
            <w:tcMar>
              <w:top w:w="60" w:type="dxa"/>
              <w:left w:w="120" w:type="dxa"/>
              <w:bottom w:w="30" w:type="dxa"/>
              <w:right w:w="120" w:type="dxa"/>
            </w:tcMar>
          </w:tcPr>
          <w:p w14:paraId="6E516D62">
            <w:pPr>
              <w:spacing w:before="120" w:after="120" w:line="288" w:lineRule="auto"/>
              <w:ind w:left="0"/>
              <w:jc w:val="left"/>
            </w:pPr>
            <w:r>
              <w:rPr>
                <w:rFonts w:ascii="Arial" w:hAnsi="Arial" w:eastAsia="等线" w:cs="Arial"/>
                <w:sz w:val="22"/>
              </w:rPr>
              <w:t>DPPs 的主要募集方式，仅向合格投资者定向募集资金，不公开面向普通公众，无需在证券交易所注册，信息披露要求较低</w:t>
            </w:r>
          </w:p>
        </w:tc>
      </w:tr>
      <w:tr w14:paraId="537654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CD24ED5">
            <w:pPr>
              <w:spacing w:before="120" w:after="120" w:line="288" w:lineRule="auto"/>
              <w:ind w:left="0"/>
              <w:jc w:val="left"/>
            </w:pPr>
            <w:r>
              <w:rPr>
                <w:rFonts w:ascii="Arial" w:hAnsi="Arial" w:eastAsia="等线" w:cs="Arial"/>
                <w:sz w:val="22"/>
              </w:rPr>
              <w:t>Public Offering</w:t>
            </w:r>
          </w:p>
        </w:tc>
        <w:tc>
          <w:tcPr>
            <w:tcW w:w="1665" w:type="dxa"/>
            <w:tcMar>
              <w:top w:w="60" w:type="dxa"/>
              <w:left w:w="120" w:type="dxa"/>
              <w:bottom w:w="30" w:type="dxa"/>
              <w:right w:w="120" w:type="dxa"/>
            </w:tcMar>
          </w:tcPr>
          <w:p w14:paraId="764CAF77">
            <w:pPr>
              <w:spacing w:before="120" w:after="120" w:line="288" w:lineRule="auto"/>
              <w:ind w:left="0"/>
              <w:jc w:val="left"/>
            </w:pPr>
            <w:r>
              <w:rPr>
                <w:rFonts w:ascii="Arial" w:hAnsi="Arial" w:eastAsia="等线" w:cs="Arial"/>
                <w:sz w:val="22"/>
              </w:rPr>
              <w:t>公开发行</w:t>
            </w:r>
          </w:p>
        </w:tc>
        <w:tc>
          <w:tcPr>
            <w:tcW w:w="4845" w:type="dxa"/>
            <w:tcMar>
              <w:top w:w="60" w:type="dxa"/>
              <w:left w:w="120" w:type="dxa"/>
              <w:bottom w:w="30" w:type="dxa"/>
              <w:right w:w="120" w:type="dxa"/>
            </w:tcMar>
          </w:tcPr>
          <w:p w14:paraId="54DA36E9">
            <w:pPr>
              <w:spacing w:before="120" w:after="120" w:line="288" w:lineRule="auto"/>
              <w:ind w:left="0"/>
              <w:jc w:val="left"/>
            </w:pPr>
            <w:r>
              <w:rPr>
                <w:rFonts w:ascii="Arial" w:hAnsi="Arial" w:eastAsia="等线" w:cs="Arial"/>
                <w:sz w:val="22"/>
              </w:rPr>
              <w:t>上市 REITs 的募集方式，通过证券交易所向全体投资者发行份额，需满足严格的信息披露要求，投资门槛低（如数百元起投）</w:t>
            </w:r>
          </w:p>
        </w:tc>
      </w:tr>
    </w:tbl>
    <w:p w14:paraId="1A802FB0">
      <w:pPr>
        <w:spacing w:before="380" w:after="140" w:line="288" w:lineRule="auto"/>
        <w:ind w:left="0"/>
        <w:jc w:val="left"/>
        <w:outlineLvl w:val="0"/>
      </w:pPr>
      <w:bookmarkStart w:id="32" w:name="heading_32"/>
      <w:r>
        <w:rPr>
          <w:rFonts w:ascii="Arial" w:hAnsi="Arial" w:eastAsia="等线" w:cs="Arial"/>
          <w:color w:val="3370FF"/>
          <w:sz w:val="36"/>
        </w:rPr>
        <w:t xml:space="preserve">5. </w:t>
      </w:r>
      <w:r>
        <w:rPr>
          <w:rFonts w:ascii="Arial" w:hAnsi="Arial" w:eastAsia="等线" w:cs="Arial"/>
          <w:b/>
          <w:sz w:val="36"/>
        </w:rPr>
        <w:t>例题答案</w:t>
      </w:r>
      <w:bookmarkEnd w:id="32"/>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093FF1C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shd w:val="clear" w:color="auto" w:fill="F0FBEF"/>
            <w:tcMar>
              <w:top w:w="60" w:type="dxa"/>
              <w:left w:w="120" w:type="dxa"/>
              <w:bottom w:w="30" w:type="dxa"/>
              <w:right w:w="120" w:type="dxa"/>
            </w:tcMar>
          </w:tcPr>
          <w:p w14:paraId="7E9C66E2">
            <w:pPr>
              <w:spacing w:before="120" w:after="120" w:line="288" w:lineRule="auto"/>
              <w:ind w:left="0"/>
              <w:jc w:val="left"/>
            </w:pPr>
            <w:r>
              <w:rPr>
                <w:rFonts w:ascii="Arial" w:hAnsi="Arial" w:eastAsia="等线" w:cs="Arial"/>
                <w:b/>
                <w:sz w:val="22"/>
              </w:rPr>
              <w:t>1.B</w:t>
            </w:r>
          </w:p>
          <w:p w14:paraId="431E19AC">
            <w:pPr>
              <w:spacing w:before="120" w:after="120" w:line="288" w:lineRule="auto"/>
              <w:ind w:left="0"/>
              <w:jc w:val="left"/>
            </w:pPr>
            <w:r>
              <w:rPr>
                <w:rFonts w:ascii="Arial" w:hAnsi="Arial" w:eastAsia="等线" w:cs="Arial"/>
                <w:sz w:val="22"/>
              </w:rPr>
              <w:t>For a partnership to not be taxed as a corporation, it must avoid at least two corporate</w:t>
            </w:r>
          </w:p>
          <w:p w14:paraId="68EF6937">
            <w:pPr>
              <w:spacing w:before="120" w:after="120" w:line="288" w:lineRule="auto"/>
              <w:ind w:left="0"/>
              <w:jc w:val="left"/>
            </w:pPr>
            <w:r>
              <w:rPr>
                <w:rFonts w:ascii="Arial" w:hAnsi="Arial" w:eastAsia="等线" w:cs="Arial"/>
                <w:sz w:val="22"/>
              </w:rPr>
              <w:t>characteristics. The easiest corporate characteristics for a partnership to avoid are having a</w:t>
            </w:r>
          </w:p>
          <w:p w14:paraId="147004FD">
            <w:pPr>
              <w:spacing w:before="120" w:after="120" w:line="288" w:lineRule="auto"/>
              <w:ind w:left="0"/>
              <w:jc w:val="left"/>
            </w:pPr>
            <w:r>
              <w:rPr>
                <w:rFonts w:ascii="Arial" w:hAnsi="Arial" w:eastAsia="等线" w:cs="Arial"/>
                <w:sz w:val="22"/>
              </w:rPr>
              <w:t>perpetual life (partnerships are set up for a finite period of time) and having free transfer-</w:t>
            </w:r>
          </w:p>
          <w:p w14:paraId="3F61B5D9">
            <w:pPr>
              <w:spacing w:before="120" w:after="120" w:line="288" w:lineRule="auto"/>
              <w:ind w:left="0"/>
              <w:jc w:val="left"/>
            </w:pPr>
            <w:r>
              <w:rPr>
                <w:rFonts w:ascii="Arial" w:hAnsi="Arial" w:eastAsia="等线" w:cs="Arial"/>
                <w:sz w:val="22"/>
              </w:rPr>
              <w:t>ability to partnership interest. Because of the approval process, limited partnerships are</w:t>
            </w:r>
          </w:p>
          <w:p w14:paraId="42B7352B">
            <w:pPr>
              <w:spacing w:before="120" w:after="120" w:line="288" w:lineRule="auto"/>
              <w:ind w:left="0"/>
              <w:jc w:val="left"/>
            </w:pPr>
            <w:r>
              <w:rPr>
                <w:rFonts w:ascii="Arial" w:hAnsi="Arial" w:eastAsia="等线" w:cs="Arial"/>
                <w:sz w:val="22"/>
              </w:rPr>
              <w:t>some of the most difficult investments to get into and out of.</w:t>
            </w:r>
          </w:p>
          <w:p w14:paraId="66F31A64">
            <w:pPr>
              <w:spacing w:before="120" w:after="120" w:line="288" w:lineRule="auto"/>
              <w:ind w:left="0"/>
              <w:jc w:val="left"/>
            </w:pPr>
            <w:r>
              <w:rPr>
                <w:rFonts w:ascii="Arial" w:hAnsi="Arial" w:eastAsia="等线" w:cs="Arial"/>
                <w:sz w:val="22"/>
              </w:rPr>
              <w:t>若合伙企业不想被作为公司征税，就必须避免至少两项公司特征。合伙企业最容易避免的公司特征是拥有永久存续期（合伙企业的设立有固定期限）和合伙企业权益的自由转让性。由于存在审批流程，有限合伙企业是最难进入和退出的投资类型之一。</w:t>
            </w:r>
          </w:p>
          <w:p w14:paraId="2FF49194">
            <w:pPr>
              <w:spacing w:before="120" w:after="120" w:line="288" w:lineRule="auto"/>
              <w:ind w:left="0"/>
              <w:jc w:val="left"/>
            </w:pPr>
          </w:p>
          <w:p w14:paraId="5C21BAAA">
            <w:pPr>
              <w:spacing w:before="120" w:after="120" w:line="288" w:lineRule="auto"/>
              <w:ind w:left="0"/>
              <w:jc w:val="left"/>
            </w:pPr>
            <w:r>
              <w:rPr>
                <w:rFonts w:ascii="Arial" w:hAnsi="Arial" w:eastAsia="等线" w:cs="Arial"/>
                <w:b/>
                <w:sz w:val="22"/>
              </w:rPr>
              <w:t>2.C</w:t>
            </w:r>
          </w:p>
          <w:p w14:paraId="2D03AE00">
            <w:pPr>
              <w:spacing w:before="120" w:after="120" w:line="288" w:lineRule="auto"/>
              <w:ind w:left="0"/>
              <w:jc w:val="left"/>
            </w:pPr>
            <w:r>
              <w:rPr>
                <w:rFonts w:ascii="Arial" w:hAnsi="Arial" w:eastAsia="等线" w:cs="Arial"/>
                <w:sz w:val="22"/>
              </w:rPr>
              <w:t>The partnership agreement lays out the rights and responsibilities of the limited and general partner(s).</w:t>
            </w:r>
          </w:p>
          <w:p w14:paraId="14DAA485">
            <w:pPr>
              <w:spacing w:before="120" w:after="120" w:line="288" w:lineRule="auto"/>
              <w:ind w:left="0"/>
              <w:jc w:val="left"/>
            </w:pPr>
            <w:r>
              <w:rPr>
                <w:rFonts w:ascii="Arial" w:hAnsi="Arial" w:eastAsia="等线" w:cs="Arial"/>
                <w:sz w:val="22"/>
              </w:rPr>
              <w:t>合伙协议规定了有限合伙人与普通合伙人的权利和责任。</w:t>
            </w:r>
          </w:p>
          <w:p w14:paraId="747CB1A4">
            <w:pPr>
              <w:spacing w:before="120" w:after="120" w:line="288" w:lineRule="auto"/>
              <w:ind w:left="0"/>
              <w:jc w:val="left"/>
            </w:pPr>
          </w:p>
          <w:p w14:paraId="518A3524">
            <w:pPr>
              <w:spacing w:before="120" w:after="120" w:line="288" w:lineRule="auto"/>
              <w:ind w:left="0"/>
              <w:jc w:val="left"/>
            </w:pPr>
            <w:r>
              <w:rPr>
                <w:rFonts w:ascii="Arial" w:hAnsi="Arial" w:eastAsia="等线" w:cs="Arial"/>
                <w:b/>
                <w:sz w:val="22"/>
              </w:rPr>
              <w:t>3.A</w:t>
            </w:r>
          </w:p>
          <w:p w14:paraId="5FFD65E0">
            <w:pPr>
              <w:spacing w:before="120" w:after="120" w:line="288" w:lineRule="auto"/>
              <w:ind w:left="0"/>
              <w:jc w:val="left"/>
            </w:pPr>
            <w:r>
              <w:rPr>
                <w:rFonts w:ascii="Arial" w:hAnsi="Arial" w:eastAsia="等线" w:cs="Arial"/>
                <w:sz w:val="22"/>
              </w:rPr>
              <w:t>A limited partnership must file a certificate of limited partnership with the SEC before</w:t>
            </w:r>
          </w:p>
          <w:p w14:paraId="1F4D357A">
            <w:pPr>
              <w:spacing w:before="120" w:after="120" w:line="288" w:lineRule="auto"/>
              <w:ind w:left="0"/>
              <w:jc w:val="left"/>
            </w:pPr>
            <w:r>
              <w:rPr>
                <w:rFonts w:ascii="Arial" w:hAnsi="Arial" w:eastAsia="等线" w:cs="Arial"/>
                <w:sz w:val="22"/>
              </w:rPr>
              <w:t>making a public offering.</w:t>
            </w:r>
          </w:p>
          <w:p w14:paraId="6C5689BC">
            <w:pPr>
              <w:spacing w:before="120" w:after="120" w:line="288" w:lineRule="auto"/>
              <w:ind w:left="0"/>
              <w:jc w:val="left"/>
            </w:pPr>
            <w:r>
              <w:rPr>
                <w:rFonts w:ascii="Arial" w:hAnsi="Arial" w:eastAsia="等线" w:cs="Arial"/>
                <w:sz w:val="22"/>
              </w:rPr>
              <w:t>有限合伙企业在进行公开发行前，必须向美国证券交易委员会（SEC）提交有限合伙企业证书。</w:t>
            </w:r>
          </w:p>
          <w:p w14:paraId="28A681CF">
            <w:pPr>
              <w:spacing w:before="120" w:after="120" w:line="288" w:lineRule="auto"/>
              <w:ind w:left="0"/>
              <w:jc w:val="left"/>
            </w:pPr>
          </w:p>
          <w:p w14:paraId="20BB7F3E">
            <w:pPr>
              <w:spacing w:before="120" w:after="120" w:line="288" w:lineRule="auto"/>
              <w:ind w:left="0"/>
              <w:jc w:val="left"/>
            </w:pPr>
            <w:r>
              <w:rPr>
                <w:rFonts w:ascii="Arial" w:hAnsi="Arial" w:eastAsia="等线" w:cs="Arial"/>
                <w:b/>
                <w:sz w:val="22"/>
              </w:rPr>
              <w:t>4.D</w:t>
            </w:r>
          </w:p>
          <w:p w14:paraId="06CF2399">
            <w:pPr>
              <w:spacing w:before="120" w:after="120" w:line="288" w:lineRule="auto"/>
              <w:ind w:left="0"/>
              <w:jc w:val="left"/>
            </w:pPr>
            <w:r>
              <w:rPr>
                <w:rFonts w:ascii="Arial" w:hAnsi="Arial" w:eastAsia="等线" w:cs="Arial"/>
                <w:sz w:val="22"/>
              </w:rPr>
              <w:t>To officially accept a new limited partner to the partnership, a general partner must sign</w:t>
            </w:r>
          </w:p>
          <w:p w14:paraId="7828FB0A">
            <w:pPr>
              <w:spacing w:before="120" w:after="120" w:line="288" w:lineRule="auto"/>
              <w:ind w:left="0"/>
              <w:jc w:val="left"/>
            </w:pPr>
            <w:r>
              <w:rPr>
                <w:rFonts w:ascii="Arial" w:hAnsi="Arial" w:eastAsia="等线" w:cs="Arial"/>
                <w:sz w:val="22"/>
              </w:rPr>
              <w:t>the subscription agreement.</w:t>
            </w:r>
          </w:p>
          <w:p w14:paraId="1F49746D">
            <w:pPr>
              <w:spacing w:before="120" w:after="120" w:line="288" w:lineRule="auto"/>
              <w:ind w:left="0"/>
              <w:jc w:val="left"/>
            </w:pPr>
            <w:r>
              <w:rPr>
                <w:rFonts w:ascii="Arial" w:hAnsi="Arial" w:eastAsia="等线" w:cs="Arial"/>
                <w:sz w:val="22"/>
              </w:rPr>
              <w:t>要正式接纳新的有限合伙人加入合伙企业，普通合伙人必须签署认购协议。</w:t>
            </w:r>
          </w:p>
          <w:p w14:paraId="7FB9FEC1">
            <w:pPr>
              <w:spacing w:before="120" w:after="120" w:line="288" w:lineRule="auto"/>
              <w:ind w:left="0"/>
              <w:jc w:val="left"/>
            </w:pPr>
          </w:p>
          <w:p w14:paraId="3B1AEE7A">
            <w:pPr>
              <w:spacing w:before="120" w:after="120" w:line="288" w:lineRule="auto"/>
              <w:ind w:left="0"/>
              <w:jc w:val="left"/>
            </w:pPr>
            <w:r>
              <w:rPr>
                <w:rFonts w:ascii="Arial" w:hAnsi="Arial" w:eastAsia="等线" w:cs="Arial"/>
                <w:b/>
                <w:sz w:val="22"/>
              </w:rPr>
              <w:t>5.A</w:t>
            </w:r>
          </w:p>
          <w:p w14:paraId="0184C385">
            <w:pPr>
              <w:spacing w:before="120" w:after="120" w:line="288" w:lineRule="auto"/>
              <w:ind w:left="0"/>
              <w:jc w:val="left"/>
            </w:pPr>
            <w:r>
              <w:rPr>
                <w:rFonts w:ascii="Arial" w:hAnsi="Arial" w:eastAsia="等线" w:cs="Arial"/>
                <w:sz w:val="22"/>
              </w:rPr>
              <w:t>Exploratory programs are the riskiest because the partnership is drilling in unproven areas trying to find oil. As with other investments, typically, the more risk investors take, the more potential reward. For this type of program, the risks are greatest, but if the partnership finds oil, the rewards should be much higher than those of other oil and gas programs.</w:t>
            </w:r>
          </w:p>
          <w:p w14:paraId="30FC8D9F">
            <w:pPr>
              <w:spacing w:before="120" w:after="120" w:line="288" w:lineRule="auto"/>
              <w:ind w:left="0"/>
              <w:jc w:val="left"/>
            </w:pPr>
            <w:r>
              <w:rPr>
                <w:rFonts w:ascii="Arial" w:hAnsi="Arial" w:eastAsia="等线" w:cs="Arial"/>
                <w:sz w:val="22"/>
              </w:rPr>
              <w:t>勘探项目风险最高，因为合作方是在未经证实的区域钻探以寻找石油。与其他投资一样，通常情况下，投资者承担的风险越大，潜在回报就越高。对于这类项目，风险最大，但如果合作方找到石油，其回报应该会远高于其他油气项目。</w:t>
            </w:r>
          </w:p>
          <w:p w14:paraId="11B2F53C">
            <w:pPr>
              <w:spacing w:before="120" w:after="120" w:line="288" w:lineRule="auto"/>
              <w:ind w:left="0"/>
              <w:jc w:val="left"/>
            </w:pPr>
          </w:p>
          <w:p w14:paraId="1FE5C36F">
            <w:pPr>
              <w:spacing w:before="120" w:after="120" w:line="288" w:lineRule="auto"/>
              <w:ind w:left="0"/>
              <w:jc w:val="left"/>
            </w:pPr>
            <w:r>
              <w:rPr>
                <w:rFonts w:ascii="Arial" w:hAnsi="Arial" w:eastAsia="等线" w:cs="Arial"/>
                <w:b/>
                <w:sz w:val="22"/>
              </w:rPr>
              <w:t>6.A</w:t>
            </w:r>
          </w:p>
          <w:p w14:paraId="3E573C01">
            <w:pPr>
              <w:spacing w:before="120" w:after="120" w:line="288" w:lineRule="auto"/>
              <w:ind w:left="0"/>
              <w:jc w:val="left"/>
            </w:pPr>
            <w:r>
              <w:rPr>
                <w:rFonts w:ascii="Arial" w:hAnsi="Arial" w:eastAsia="等线" w:cs="Arial"/>
                <w:sz w:val="22"/>
              </w:rPr>
              <w:t>Oil and gas exploratory programs spend a lot of money attempting to find and drill for oil. These programs have high IDCs, which are fully tax-deductible when the drilling occurs. Therefore, the oil and gas exploratory programs have the largest write-offs in the early years, which could help Ayla offset some or all of their passive income from the other limited partnership.</w:t>
            </w:r>
          </w:p>
          <w:p w14:paraId="524442D7">
            <w:pPr>
              <w:spacing w:before="120" w:after="120" w:line="288" w:lineRule="auto"/>
              <w:ind w:left="0"/>
              <w:jc w:val="left"/>
            </w:pPr>
            <w:r>
              <w:rPr>
                <w:rFonts w:ascii="Arial" w:hAnsi="Arial" w:eastAsia="等线" w:cs="Arial"/>
                <w:sz w:val="22"/>
              </w:rPr>
              <w:t>油气勘探项目花费大量资金试图寻找和钻探石油。这些项目有高额的无形钻井成本（IDCs），在钻井发生时可全额抵扣税款。因此，油气勘探项目在最初几年有最大的注销额，这可能有助于艾拉抵消其从其他有限合伙企业获得的部分或全部被动收入。</w:t>
            </w:r>
          </w:p>
          <w:p w14:paraId="6AD1445B">
            <w:pPr>
              <w:spacing w:before="120" w:after="120" w:line="288" w:lineRule="auto"/>
              <w:ind w:left="0"/>
              <w:jc w:val="left"/>
            </w:pPr>
          </w:p>
          <w:p w14:paraId="4230CE14">
            <w:pPr>
              <w:spacing w:before="120" w:after="120" w:line="288" w:lineRule="auto"/>
              <w:ind w:left="0"/>
              <w:jc w:val="left"/>
            </w:pPr>
            <w:r>
              <w:rPr>
                <w:rFonts w:ascii="Arial" w:hAnsi="Arial" w:eastAsia="等线" w:cs="Arial"/>
                <w:b/>
                <w:sz w:val="22"/>
              </w:rPr>
              <w:t>7.D</w:t>
            </w:r>
          </w:p>
          <w:p w14:paraId="5FFFA1C0">
            <w:pPr>
              <w:spacing w:before="120" w:after="120" w:line="288" w:lineRule="auto"/>
              <w:ind w:left="0"/>
              <w:jc w:val="left"/>
            </w:pPr>
            <w:r>
              <w:rPr>
                <w:rFonts w:ascii="Arial" w:hAnsi="Arial" w:eastAsia="等线" w:cs="Arial"/>
                <w:sz w:val="22"/>
              </w:rPr>
              <w:t>To claim depletion deductions, the partnership has to be depleting a natural resource. Of the choices given, only oil and gas programs deal with a natural resource. Exploratory programs (ones that are looking for oil) don’t have depletion deductions until they actually hit oil and start pulling it from the ground, like income programs.</w:t>
            </w:r>
          </w:p>
          <w:p w14:paraId="19FF9254">
            <w:pPr>
              <w:spacing w:before="120" w:after="120" w:line="288" w:lineRule="auto"/>
              <w:ind w:left="0"/>
              <w:jc w:val="left"/>
            </w:pPr>
            <w:r>
              <w:rPr>
                <w:rFonts w:ascii="Arial" w:hAnsi="Arial" w:eastAsia="等线" w:cs="Arial"/>
                <w:sz w:val="22"/>
              </w:rPr>
              <w:t>要申请损耗扣除，合伙企业必须正在开采一种自然资源。在给出的选项中，只有石油和天然气项目涉及自然资源。勘探项目（即寻找石油的项目）在实际开采到石油并开始从地下抽取之前，不能享受损耗扣除，收益项目也是如此。</w:t>
            </w:r>
          </w:p>
          <w:p w14:paraId="5D3512C7">
            <w:pPr>
              <w:spacing w:before="120" w:after="120" w:line="288" w:lineRule="auto"/>
              <w:ind w:left="0"/>
              <w:jc w:val="left"/>
            </w:pPr>
          </w:p>
          <w:p w14:paraId="1282819B">
            <w:pPr>
              <w:spacing w:before="120" w:after="120" w:line="288" w:lineRule="auto"/>
              <w:ind w:left="0"/>
              <w:jc w:val="left"/>
            </w:pPr>
            <w:r>
              <w:rPr>
                <w:rFonts w:ascii="Arial" w:hAnsi="Arial" w:eastAsia="等线" w:cs="Arial"/>
                <w:b/>
                <w:sz w:val="22"/>
              </w:rPr>
              <w:t>8.A</w:t>
            </w:r>
          </w:p>
          <w:p w14:paraId="2C7BEA08">
            <w:pPr>
              <w:spacing w:before="120" w:after="120" w:line="288" w:lineRule="auto"/>
              <w:ind w:left="0"/>
              <w:jc w:val="left"/>
            </w:pPr>
            <w:r>
              <w:rPr>
                <w:rFonts w:ascii="Arial" w:hAnsi="Arial" w:eastAsia="等线" w:cs="Arial"/>
                <w:sz w:val="22"/>
              </w:rPr>
              <w:t>Passive income is income received from a limited partnership. Passive income can be written off against passive losses but not capital losses.</w:t>
            </w:r>
          </w:p>
          <w:p w14:paraId="035C7806">
            <w:pPr>
              <w:spacing w:before="120" w:after="120" w:line="288" w:lineRule="auto"/>
              <w:ind w:left="0"/>
              <w:jc w:val="left"/>
            </w:pPr>
            <w:r>
              <w:rPr>
                <w:rFonts w:ascii="Arial" w:hAnsi="Arial" w:eastAsia="等线" w:cs="Arial"/>
                <w:sz w:val="22"/>
              </w:rPr>
              <w:t>被动收入是从有限合伙企业获得的收入。被动收入可以用被动损失冲销，但不能用资本损失冲销。</w:t>
            </w:r>
          </w:p>
          <w:p w14:paraId="00F1B2F4">
            <w:pPr>
              <w:spacing w:before="120" w:after="120" w:line="288" w:lineRule="auto"/>
              <w:ind w:left="0"/>
              <w:jc w:val="left"/>
            </w:pPr>
          </w:p>
          <w:p w14:paraId="67B083D9">
            <w:pPr>
              <w:spacing w:before="120" w:after="120" w:line="288" w:lineRule="auto"/>
              <w:ind w:left="0"/>
              <w:jc w:val="left"/>
            </w:pPr>
            <w:r>
              <w:rPr>
                <w:rFonts w:ascii="Arial" w:hAnsi="Arial" w:eastAsia="等线" w:cs="Arial"/>
                <w:b/>
                <w:sz w:val="22"/>
              </w:rPr>
              <w:t>9.D</w:t>
            </w:r>
          </w:p>
          <w:p w14:paraId="7E8512C2">
            <w:pPr>
              <w:spacing w:before="120" w:after="120" w:line="288" w:lineRule="auto"/>
              <w:ind w:left="0"/>
              <w:jc w:val="left"/>
            </w:pPr>
            <w:r>
              <w:rPr>
                <w:rFonts w:ascii="Arial" w:hAnsi="Arial" w:eastAsia="等线" w:cs="Arial"/>
                <w:sz w:val="22"/>
              </w:rPr>
              <w:t>All the choices listed are benefits of investing in a limited partnership. Investors are certainly getting (or hoping for) professional management by way of a general partner. Also, because a partnership isn’t taxed as a corporation, the gains and losses are passed through to investors. In addition, limited partners’ losses are limited to the amount invested plus any recourse loans (for real-estate DPPs only).</w:t>
            </w:r>
          </w:p>
          <w:p w14:paraId="55E7D882">
            <w:pPr>
              <w:spacing w:before="120" w:after="120" w:line="288" w:lineRule="auto"/>
              <w:ind w:left="0"/>
              <w:jc w:val="left"/>
            </w:pPr>
            <w:r>
              <w:rPr>
                <w:rFonts w:ascii="Arial" w:hAnsi="Arial" w:eastAsia="等线" w:cs="Arial"/>
                <w:sz w:val="22"/>
              </w:rPr>
              <w:t>所有的选项都是投资于有限合伙企业的好处。投资者当然会通过普通合伙人的方式得到（或希望得到）专业的管理。此外，由于合伙企业不像公司那样纳税，因此收益和损失都会转嫁给投资者。此外，有限合伙人的损失仅限于投资金额加上任何追索权贷款（仅适用于房地产dpp）。</w:t>
            </w:r>
          </w:p>
          <w:p w14:paraId="2A9E52CC">
            <w:pPr>
              <w:spacing w:before="120" w:after="120" w:line="288" w:lineRule="auto"/>
              <w:ind w:left="0"/>
              <w:jc w:val="left"/>
            </w:pPr>
          </w:p>
          <w:p w14:paraId="0F9C16CE">
            <w:pPr>
              <w:spacing w:before="120" w:after="120" w:line="288" w:lineRule="auto"/>
              <w:ind w:left="0"/>
              <w:jc w:val="left"/>
            </w:pPr>
            <w:r>
              <w:rPr>
                <w:rFonts w:ascii="Arial" w:hAnsi="Arial" w:eastAsia="等线" w:cs="Arial"/>
                <w:b/>
                <w:sz w:val="22"/>
              </w:rPr>
              <w:t>10.C</w:t>
            </w:r>
          </w:p>
          <w:p w14:paraId="730E5F37">
            <w:pPr>
              <w:spacing w:before="120" w:after="120" w:line="288" w:lineRule="auto"/>
              <w:ind w:left="0"/>
              <w:jc w:val="left"/>
            </w:pPr>
            <w:r>
              <w:rPr>
                <w:rFonts w:ascii="Arial" w:hAnsi="Arial" w:eastAsia="等线" w:cs="Arial"/>
                <w:sz w:val="22"/>
              </w:rPr>
              <w:t>REITs are a one-time offering of securities, and after the IPO, they must be purchased and sold in the market. They’re not redeemed with the issuer, like mutual funds.</w:t>
            </w:r>
          </w:p>
          <w:p w14:paraId="2AABBE2A">
            <w:pPr>
              <w:spacing w:before="120" w:after="120" w:line="288" w:lineRule="auto"/>
              <w:ind w:left="0"/>
              <w:jc w:val="left"/>
            </w:pPr>
            <w:r>
              <w:rPr>
                <w:rFonts w:ascii="Arial" w:hAnsi="Arial" w:eastAsia="等线" w:cs="Arial"/>
                <w:sz w:val="22"/>
              </w:rPr>
              <w:t>房地产投资信托基金（REITs）是一次性发行的证券，首次公开募股后，必须在市场上进行买卖。它们不像共同基金那样可以向发行人赎回。</w:t>
            </w:r>
          </w:p>
          <w:p w14:paraId="58F46B9F">
            <w:pPr>
              <w:spacing w:before="120" w:after="120" w:line="288" w:lineRule="auto"/>
              <w:ind w:left="0"/>
              <w:jc w:val="left"/>
            </w:pPr>
          </w:p>
          <w:p w14:paraId="478A2F07">
            <w:pPr>
              <w:spacing w:before="120" w:after="120" w:line="288" w:lineRule="auto"/>
              <w:ind w:left="0"/>
              <w:jc w:val="left"/>
            </w:pPr>
            <w:r>
              <w:rPr>
                <w:rFonts w:ascii="Arial" w:hAnsi="Arial" w:eastAsia="等线" w:cs="Arial"/>
                <w:b/>
                <w:sz w:val="22"/>
              </w:rPr>
              <w:t>11.A</w:t>
            </w:r>
          </w:p>
          <w:p w14:paraId="5AA2ED93">
            <w:pPr>
              <w:spacing w:before="120" w:after="120" w:line="288" w:lineRule="auto"/>
              <w:ind w:left="0"/>
              <w:jc w:val="left"/>
            </w:pPr>
            <w:r>
              <w:rPr>
                <w:rFonts w:ascii="Arial" w:hAnsi="Arial" w:eastAsia="等线" w:cs="Arial"/>
                <w:sz w:val="22"/>
              </w:rPr>
              <w:t>Both equity REITs and hybrid REITs, which are a combination of equity and mortgage REITs, derive part of their income from rent collected from property that is owned.</w:t>
            </w:r>
          </w:p>
          <w:p w14:paraId="5554D476">
            <w:pPr>
              <w:spacing w:before="120" w:after="120" w:line="288" w:lineRule="auto"/>
              <w:ind w:left="0"/>
              <w:jc w:val="left"/>
            </w:pPr>
            <w:r>
              <w:rPr>
                <w:rFonts w:ascii="Arial" w:hAnsi="Arial" w:eastAsia="等线" w:cs="Arial"/>
                <w:sz w:val="22"/>
              </w:rPr>
              <w:t>权益型房地产投资信托基金（REITs）和混合型房地产投资信托基金（由权益型和抵押型房地产投资信托基金组合而成），其部分收入都来自于所拥有物业的租金收入。</w:t>
            </w:r>
          </w:p>
        </w:tc>
      </w:tr>
    </w:tbl>
    <w:p w14:paraId="27295B50">
      <w:pPr>
        <w:spacing w:before="120" w:after="120" w:line="288" w:lineRule="auto"/>
        <w:ind w:left="0"/>
        <w:jc w:val="left"/>
      </w:pPr>
      <w:bookmarkStart w:id="33" w:name="_GoBack"/>
      <w:bookmarkEnd w:id="33"/>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166E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DD9CC">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3"/>
      <w:numFmt w:val="decimal"/>
      <w:lvlText w:val="%1."/>
      <w:lvlJc w:val="left"/>
      <w:rPr>
        <w:color w:val="3370FF"/>
      </w:rPr>
    </w:lvl>
  </w:abstractNum>
  <w:abstractNum w:abstractNumId="1">
    <w:nsid w:val="813A4B87"/>
    <w:multiLevelType w:val="singleLevel"/>
    <w:tmpl w:val="813A4B87"/>
    <w:lvl w:ilvl="0" w:tentative="0">
      <w:start w:val="2"/>
      <w:numFmt w:val="decimal"/>
      <w:lvlText w:val="%1."/>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0"/>
      <w:numFmt w:val="bullet"/>
      <w:lvlText w:val="•"/>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0"/>
      <w:numFmt w:val="bullet"/>
      <w:lvlText w:val="•"/>
      <w:lvlJc w:val="left"/>
      <w:rPr>
        <w:color w:val="3370FF"/>
      </w:rPr>
    </w:lvl>
  </w:abstractNum>
  <w:abstractNum w:abstractNumId="7">
    <w:nsid w:val="9239341B"/>
    <w:multiLevelType w:val="singleLevel"/>
    <w:tmpl w:val="9239341B"/>
    <w:lvl w:ilvl="0" w:tentative="0">
      <w:start w:val="0"/>
      <w:numFmt w:val="bullet"/>
      <w:lvlText w:val="•"/>
      <w:lvlJc w:val="left"/>
      <w:rPr>
        <w:color w:val="3370FF"/>
      </w:rPr>
    </w:lvl>
  </w:abstractNum>
  <w:abstractNum w:abstractNumId="8">
    <w:nsid w:val="9288B902"/>
    <w:multiLevelType w:val="singleLevel"/>
    <w:tmpl w:val="9288B902"/>
    <w:lvl w:ilvl="0" w:tentative="0">
      <w:start w:val="2"/>
      <w:numFmt w:val="decimal"/>
      <w:lvlText w:val="%1."/>
      <w:lvlJc w:val="left"/>
      <w:rPr>
        <w:color w:val="3370FF"/>
      </w:rPr>
    </w:lvl>
  </w:abstractNum>
  <w:abstractNum w:abstractNumId="9">
    <w:nsid w:val="9377BC45"/>
    <w:multiLevelType w:val="singleLevel"/>
    <w:tmpl w:val="9377BC45"/>
    <w:lvl w:ilvl="0" w:tentative="0">
      <w:start w:val="11"/>
      <w:numFmt w:val="decimal"/>
      <w:lvlText w:val="%1."/>
      <w:lvlJc w:val="left"/>
      <w:rPr>
        <w:color w:val="3370FF"/>
      </w:rPr>
    </w:lvl>
  </w:abstractNum>
  <w:abstractNum w:abstractNumId="10">
    <w:nsid w:val="9ACF65A0"/>
    <w:multiLevelType w:val="singleLevel"/>
    <w:tmpl w:val="9ACF65A0"/>
    <w:lvl w:ilvl="0" w:tentative="0">
      <w:start w:val="10"/>
      <w:numFmt w:val="decimal"/>
      <w:lvlText w:val="%1."/>
      <w:lvlJc w:val="left"/>
      <w:rPr>
        <w:color w:val="3370FF"/>
      </w:rPr>
    </w:lvl>
  </w:abstractNum>
  <w:abstractNum w:abstractNumId="11">
    <w:nsid w:val="9C11E984"/>
    <w:multiLevelType w:val="singleLevel"/>
    <w:tmpl w:val="9C11E984"/>
    <w:lvl w:ilvl="0" w:tentative="0">
      <w:start w:val="4"/>
      <w:numFmt w:val="decimal"/>
      <w:lvlText w:val="%1."/>
      <w:lvlJc w:val="left"/>
      <w:rPr>
        <w:color w:val="3370FF"/>
      </w:rPr>
    </w:lvl>
  </w:abstractNum>
  <w:abstractNum w:abstractNumId="12">
    <w:nsid w:val="9C8AC8EF"/>
    <w:multiLevelType w:val="singleLevel"/>
    <w:tmpl w:val="9C8AC8EF"/>
    <w:lvl w:ilvl="0" w:tentative="0">
      <w:start w:val="2"/>
      <w:numFmt w:val="decimal"/>
      <w:lvlText w:val="%1."/>
      <w:lvlJc w:val="left"/>
      <w:rPr>
        <w:color w:val="3370FF"/>
      </w:rPr>
    </w:lvl>
  </w:abstractNum>
  <w:abstractNum w:abstractNumId="13">
    <w:nsid w:val="9D5D7490"/>
    <w:multiLevelType w:val="singleLevel"/>
    <w:tmpl w:val="9D5D7490"/>
    <w:lvl w:ilvl="0" w:tentative="0">
      <w:start w:val="0"/>
      <w:numFmt w:val="bullet"/>
      <w:lvlText w:val="•"/>
      <w:lvlJc w:val="left"/>
      <w:rPr>
        <w:color w:val="3370FF"/>
      </w:rPr>
    </w:lvl>
  </w:abstractNum>
  <w:abstractNum w:abstractNumId="14">
    <w:nsid w:val="A0C93552"/>
    <w:multiLevelType w:val="singleLevel"/>
    <w:tmpl w:val="A0C93552"/>
    <w:lvl w:ilvl="0" w:tentative="0">
      <w:start w:val="1"/>
      <w:numFmt w:val="decimal"/>
      <w:lvlText w:val="%1."/>
      <w:lvlJc w:val="left"/>
      <w:rPr>
        <w:color w:val="3370FF"/>
      </w:rPr>
    </w:lvl>
  </w:abstractNum>
  <w:abstractNum w:abstractNumId="15">
    <w:nsid w:val="A0F05207"/>
    <w:multiLevelType w:val="singleLevel"/>
    <w:tmpl w:val="A0F05207"/>
    <w:lvl w:ilvl="0" w:tentative="0">
      <w:start w:val="0"/>
      <w:numFmt w:val="bullet"/>
      <w:lvlText w:val="•"/>
      <w:lvlJc w:val="left"/>
      <w:rPr>
        <w:color w:val="3370FF"/>
      </w:rPr>
    </w:lvl>
  </w:abstractNum>
  <w:abstractNum w:abstractNumId="16">
    <w:nsid w:val="AAF3F3FA"/>
    <w:multiLevelType w:val="singleLevel"/>
    <w:tmpl w:val="AAF3F3FA"/>
    <w:lvl w:ilvl="0" w:tentative="0">
      <w:start w:val="0"/>
      <w:numFmt w:val="bullet"/>
      <w:lvlText w:val="•"/>
      <w:lvlJc w:val="left"/>
      <w:rPr>
        <w:color w:val="3370FF"/>
      </w:rPr>
    </w:lvl>
  </w:abstractNum>
  <w:abstractNum w:abstractNumId="17">
    <w:nsid w:val="B0ED9BEA"/>
    <w:multiLevelType w:val="singleLevel"/>
    <w:tmpl w:val="B0ED9BEA"/>
    <w:lvl w:ilvl="0" w:tentative="0">
      <w:start w:val="0"/>
      <w:numFmt w:val="bullet"/>
      <w:lvlText w:val="•"/>
      <w:lvlJc w:val="left"/>
      <w:rPr>
        <w:color w:val="3370FF"/>
      </w:rPr>
    </w:lvl>
  </w:abstractNum>
  <w:abstractNum w:abstractNumId="18">
    <w:nsid w:val="B0F1ACD9"/>
    <w:multiLevelType w:val="singleLevel"/>
    <w:tmpl w:val="B0F1ACD9"/>
    <w:lvl w:ilvl="0" w:tentative="0">
      <w:start w:val="3"/>
      <w:numFmt w:val="decimal"/>
      <w:lvlText w:val="%1."/>
      <w:lvlJc w:val="left"/>
      <w:rPr>
        <w:color w:val="3370FF"/>
      </w:rPr>
    </w:lvl>
  </w:abstractNum>
  <w:abstractNum w:abstractNumId="19">
    <w:nsid w:val="B23A94A9"/>
    <w:multiLevelType w:val="singleLevel"/>
    <w:tmpl w:val="B23A94A9"/>
    <w:lvl w:ilvl="0" w:tentative="0">
      <w:start w:val="0"/>
      <w:numFmt w:val="bullet"/>
      <w:lvlText w:val="•"/>
      <w:lvlJc w:val="left"/>
      <w:rPr>
        <w:color w:val="3370FF"/>
      </w:rPr>
    </w:lvl>
  </w:abstractNum>
  <w:abstractNum w:abstractNumId="20">
    <w:nsid w:val="B53F3350"/>
    <w:multiLevelType w:val="singleLevel"/>
    <w:tmpl w:val="B53F3350"/>
    <w:lvl w:ilvl="0" w:tentative="0">
      <w:start w:val="0"/>
      <w:numFmt w:val="bullet"/>
      <w:lvlText w:val="•"/>
      <w:lvlJc w:val="left"/>
      <w:rPr>
        <w:color w:val="3370FF"/>
      </w:rPr>
    </w:lvl>
  </w:abstractNum>
  <w:abstractNum w:abstractNumId="21">
    <w:nsid w:val="B5E306ED"/>
    <w:multiLevelType w:val="singleLevel"/>
    <w:tmpl w:val="B5E306ED"/>
    <w:lvl w:ilvl="0" w:tentative="0">
      <w:start w:val="0"/>
      <w:numFmt w:val="bullet"/>
      <w:lvlText w:val="•"/>
      <w:lvlJc w:val="left"/>
      <w:rPr>
        <w:color w:val="3370FF"/>
      </w:rPr>
    </w:lvl>
  </w:abstractNum>
  <w:abstractNum w:abstractNumId="22">
    <w:nsid w:val="B88D21A8"/>
    <w:multiLevelType w:val="singleLevel"/>
    <w:tmpl w:val="B88D21A8"/>
    <w:lvl w:ilvl="0" w:tentative="0">
      <w:start w:val="4"/>
      <w:numFmt w:val="decimal"/>
      <w:lvlText w:val="%1."/>
      <w:lvlJc w:val="left"/>
      <w:rPr>
        <w:color w:val="3370FF"/>
      </w:rPr>
    </w:lvl>
  </w:abstractNum>
  <w:abstractNum w:abstractNumId="23">
    <w:nsid w:val="B8CEF35B"/>
    <w:multiLevelType w:val="singleLevel"/>
    <w:tmpl w:val="B8CEF35B"/>
    <w:lvl w:ilvl="0" w:tentative="0">
      <w:start w:val="3"/>
      <w:numFmt w:val="decimal"/>
      <w:lvlText w:val="%1."/>
      <w:lvlJc w:val="left"/>
      <w:rPr>
        <w:color w:val="3370FF"/>
      </w:rPr>
    </w:lvl>
  </w:abstractNum>
  <w:abstractNum w:abstractNumId="24">
    <w:nsid w:val="BB64CFA9"/>
    <w:multiLevelType w:val="singleLevel"/>
    <w:tmpl w:val="BB64CFA9"/>
    <w:lvl w:ilvl="0" w:tentative="0">
      <w:start w:val="0"/>
      <w:numFmt w:val="bullet"/>
      <w:lvlText w:val="•"/>
      <w:lvlJc w:val="left"/>
      <w:rPr>
        <w:color w:val="3370FF"/>
      </w:rPr>
    </w:lvl>
  </w:abstractNum>
  <w:abstractNum w:abstractNumId="25">
    <w:nsid w:val="BCECA0B4"/>
    <w:multiLevelType w:val="singleLevel"/>
    <w:tmpl w:val="BCECA0B4"/>
    <w:lvl w:ilvl="0" w:tentative="0">
      <w:start w:val="4"/>
      <w:numFmt w:val="decimal"/>
      <w:lvlText w:val="%1."/>
      <w:lvlJc w:val="left"/>
      <w:rPr>
        <w:color w:val="3370FF"/>
      </w:rPr>
    </w:lvl>
  </w:abstractNum>
  <w:abstractNum w:abstractNumId="26">
    <w:nsid w:val="BDA1395C"/>
    <w:multiLevelType w:val="singleLevel"/>
    <w:tmpl w:val="BDA1395C"/>
    <w:lvl w:ilvl="0" w:tentative="0">
      <w:start w:val="0"/>
      <w:numFmt w:val="bullet"/>
      <w:lvlText w:val="•"/>
      <w:lvlJc w:val="left"/>
      <w:rPr>
        <w:color w:val="3370FF"/>
      </w:rPr>
    </w:lvl>
  </w:abstractNum>
  <w:abstractNum w:abstractNumId="27">
    <w:nsid w:val="BE8A4F4C"/>
    <w:multiLevelType w:val="singleLevel"/>
    <w:tmpl w:val="BE8A4F4C"/>
    <w:lvl w:ilvl="0" w:tentative="0">
      <w:start w:val="0"/>
      <w:numFmt w:val="bullet"/>
      <w:lvlText w:val="•"/>
      <w:lvlJc w:val="left"/>
      <w:rPr>
        <w:color w:val="3370FF"/>
      </w:rPr>
    </w:lvl>
  </w:abstractNum>
  <w:abstractNum w:abstractNumId="28">
    <w:nsid w:val="BE923771"/>
    <w:multiLevelType w:val="singleLevel"/>
    <w:tmpl w:val="BE923771"/>
    <w:lvl w:ilvl="0" w:tentative="0">
      <w:start w:val="3"/>
      <w:numFmt w:val="decimal"/>
      <w:lvlText w:val="%1."/>
      <w:lvlJc w:val="left"/>
      <w:rPr>
        <w:color w:val="3370FF"/>
      </w:rPr>
    </w:lvl>
  </w:abstractNum>
  <w:abstractNum w:abstractNumId="29">
    <w:nsid w:val="BF205925"/>
    <w:multiLevelType w:val="singleLevel"/>
    <w:tmpl w:val="BF205925"/>
    <w:lvl w:ilvl="0" w:tentative="0">
      <w:start w:val="0"/>
      <w:numFmt w:val="bullet"/>
      <w:lvlText w:val="•"/>
      <w:lvlJc w:val="left"/>
      <w:rPr>
        <w:color w:val="3370FF"/>
      </w:rPr>
    </w:lvl>
  </w:abstractNum>
  <w:abstractNum w:abstractNumId="30">
    <w:nsid w:val="C0915F4F"/>
    <w:multiLevelType w:val="singleLevel"/>
    <w:tmpl w:val="C0915F4F"/>
    <w:lvl w:ilvl="0" w:tentative="0">
      <w:start w:val="7"/>
      <w:numFmt w:val="decimal"/>
      <w:lvlText w:val="%1."/>
      <w:lvlJc w:val="left"/>
      <w:rPr>
        <w:color w:val="3370FF"/>
      </w:rPr>
    </w:lvl>
  </w:abstractNum>
  <w:abstractNum w:abstractNumId="31">
    <w:nsid w:val="C4E0D24A"/>
    <w:multiLevelType w:val="singleLevel"/>
    <w:tmpl w:val="C4E0D24A"/>
    <w:lvl w:ilvl="0" w:tentative="0">
      <w:start w:val="6"/>
      <w:numFmt w:val="decimal"/>
      <w:lvlText w:val="%1."/>
      <w:lvlJc w:val="left"/>
      <w:rPr>
        <w:color w:val="3370FF"/>
      </w:rPr>
    </w:lvl>
  </w:abstractNum>
  <w:abstractNum w:abstractNumId="32">
    <w:nsid w:val="C8879AEF"/>
    <w:multiLevelType w:val="singleLevel"/>
    <w:tmpl w:val="C8879AEF"/>
    <w:lvl w:ilvl="0" w:tentative="0">
      <w:start w:val="0"/>
      <w:numFmt w:val="bullet"/>
      <w:lvlText w:val="￮"/>
      <w:lvlJc w:val="left"/>
      <w:rPr>
        <w:color w:val="3370FF"/>
      </w:rPr>
    </w:lvl>
  </w:abstractNum>
  <w:abstractNum w:abstractNumId="33">
    <w:nsid w:val="CF092B84"/>
    <w:multiLevelType w:val="singleLevel"/>
    <w:tmpl w:val="CF092B84"/>
    <w:lvl w:ilvl="0" w:tentative="0">
      <w:start w:val="0"/>
      <w:numFmt w:val="bullet"/>
      <w:lvlText w:val="•"/>
      <w:lvlJc w:val="left"/>
      <w:rPr>
        <w:color w:val="3370FF"/>
      </w:rPr>
    </w:lvl>
  </w:abstractNum>
  <w:abstractNum w:abstractNumId="34">
    <w:nsid w:val="D1EB1714"/>
    <w:multiLevelType w:val="singleLevel"/>
    <w:tmpl w:val="D1EB1714"/>
    <w:lvl w:ilvl="0" w:tentative="0">
      <w:start w:val="1"/>
      <w:numFmt w:val="decimal"/>
      <w:lvlText w:val="%1."/>
      <w:lvlJc w:val="left"/>
      <w:rPr>
        <w:color w:val="3370FF"/>
      </w:rPr>
    </w:lvl>
  </w:abstractNum>
  <w:abstractNum w:abstractNumId="35">
    <w:nsid w:val="D7D140E4"/>
    <w:multiLevelType w:val="singleLevel"/>
    <w:tmpl w:val="D7D140E4"/>
    <w:lvl w:ilvl="0" w:tentative="0">
      <w:start w:val="0"/>
      <w:numFmt w:val="bullet"/>
      <w:lvlText w:val="•"/>
      <w:lvlJc w:val="left"/>
      <w:rPr>
        <w:color w:val="3370FF"/>
      </w:rPr>
    </w:lvl>
  </w:abstractNum>
  <w:abstractNum w:abstractNumId="36">
    <w:nsid w:val="D7F9FE59"/>
    <w:multiLevelType w:val="singleLevel"/>
    <w:tmpl w:val="D7F9FE59"/>
    <w:lvl w:ilvl="0" w:tentative="0">
      <w:start w:val="1"/>
      <w:numFmt w:val="decimal"/>
      <w:lvlText w:val="%1."/>
      <w:lvlJc w:val="left"/>
      <w:rPr>
        <w:color w:val="3370FF"/>
      </w:rPr>
    </w:lvl>
  </w:abstractNum>
  <w:abstractNum w:abstractNumId="37">
    <w:nsid w:val="DAD3A854"/>
    <w:multiLevelType w:val="singleLevel"/>
    <w:tmpl w:val="DAD3A854"/>
    <w:lvl w:ilvl="0" w:tentative="0">
      <w:start w:val="3"/>
      <w:numFmt w:val="decimal"/>
      <w:lvlText w:val="%1."/>
      <w:lvlJc w:val="left"/>
      <w:rPr>
        <w:color w:val="3370FF"/>
      </w:rPr>
    </w:lvl>
  </w:abstractNum>
  <w:abstractNum w:abstractNumId="38">
    <w:nsid w:val="DCBA6B53"/>
    <w:multiLevelType w:val="singleLevel"/>
    <w:tmpl w:val="DCBA6B53"/>
    <w:lvl w:ilvl="0" w:tentative="0">
      <w:start w:val="0"/>
      <w:numFmt w:val="bullet"/>
      <w:lvlText w:val="￮"/>
      <w:lvlJc w:val="left"/>
      <w:rPr>
        <w:color w:val="3370FF"/>
      </w:rPr>
    </w:lvl>
  </w:abstractNum>
  <w:abstractNum w:abstractNumId="39">
    <w:nsid w:val="E0294EC7"/>
    <w:multiLevelType w:val="singleLevel"/>
    <w:tmpl w:val="E0294EC7"/>
    <w:lvl w:ilvl="0" w:tentative="0">
      <w:start w:val="5"/>
      <w:numFmt w:val="decimal"/>
      <w:lvlText w:val="%1."/>
      <w:lvlJc w:val="left"/>
      <w:rPr>
        <w:color w:val="3370FF"/>
      </w:rPr>
    </w:lvl>
  </w:abstractNum>
  <w:abstractNum w:abstractNumId="40">
    <w:nsid w:val="E093A4B0"/>
    <w:multiLevelType w:val="singleLevel"/>
    <w:tmpl w:val="E093A4B0"/>
    <w:lvl w:ilvl="0" w:tentative="0">
      <w:start w:val="0"/>
      <w:numFmt w:val="bullet"/>
      <w:lvlText w:val="•"/>
      <w:lvlJc w:val="left"/>
      <w:rPr>
        <w:color w:val="3370FF"/>
      </w:rPr>
    </w:lvl>
  </w:abstractNum>
  <w:abstractNum w:abstractNumId="41">
    <w:nsid w:val="E504947C"/>
    <w:multiLevelType w:val="singleLevel"/>
    <w:tmpl w:val="E504947C"/>
    <w:lvl w:ilvl="0" w:tentative="0">
      <w:start w:val="5"/>
      <w:numFmt w:val="decimal"/>
      <w:lvlText w:val="%1."/>
      <w:lvlJc w:val="left"/>
      <w:rPr>
        <w:color w:val="3370FF"/>
      </w:rPr>
    </w:lvl>
  </w:abstractNum>
  <w:abstractNum w:abstractNumId="42">
    <w:nsid w:val="E7B27C5B"/>
    <w:multiLevelType w:val="singleLevel"/>
    <w:tmpl w:val="E7B27C5B"/>
    <w:lvl w:ilvl="0" w:tentative="0">
      <w:start w:val="9"/>
      <w:numFmt w:val="decimal"/>
      <w:lvlText w:val="%1."/>
      <w:lvlJc w:val="left"/>
      <w:rPr>
        <w:color w:val="3370FF"/>
      </w:rPr>
    </w:lvl>
  </w:abstractNum>
  <w:abstractNum w:abstractNumId="43">
    <w:nsid w:val="F0E89278"/>
    <w:multiLevelType w:val="singleLevel"/>
    <w:tmpl w:val="F0E89278"/>
    <w:lvl w:ilvl="0" w:tentative="0">
      <w:start w:val="0"/>
      <w:numFmt w:val="bullet"/>
      <w:lvlText w:val="•"/>
      <w:lvlJc w:val="left"/>
      <w:rPr>
        <w:color w:val="3370FF"/>
      </w:rPr>
    </w:lvl>
  </w:abstractNum>
  <w:abstractNum w:abstractNumId="44">
    <w:nsid w:val="F4B5D9F5"/>
    <w:multiLevelType w:val="singleLevel"/>
    <w:tmpl w:val="F4B5D9F5"/>
    <w:lvl w:ilvl="0" w:tentative="0">
      <w:start w:val="0"/>
      <w:numFmt w:val="bullet"/>
      <w:lvlText w:val="￮"/>
      <w:lvlJc w:val="left"/>
      <w:rPr>
        <w:color w:val="3370FF"/>
      </w:rPr>
    </w:lvl>
  </w:abstractNum>
  <w:abstractNum w:abstractNumId="45">
    <w:nsid w:val="F585BF25"/>
    <w:multiLevelType w:val="singleLevel"/>
    <w:tmpl w:val="F585BF25"/>
    <w:lvl w:ilvl="0" w:tentative="0">
      <w:start w:val="1"/>
      <w:numFmt w:val="decimal"/>
      <w:lvlText w:val="%1."/>
      <w:lvlJc w:val="left"/>
      <w:rPr>
        <w:color w:val="3370FF"/>
      </w:rPr>
    </w:lvl>
  </w:abstractNum>
  <w:abstractNum w:abstractNumId="46">
    <w:nsid w:val="F689643B"/>
    <w:multiLevelType w:val="singleLevel"/>
    <w:tmpl w:val="F689643B"/>
    <w:lvl w:ilvl="0" w:tentative="0">
      <w:start w:val="0"/>
      <w:numFmt w:val="bullet"/>
      <w:lvlText w:val="•"/>
      <w:lvlJc w:val="left"/>
      <w:rPr>
        <w:color w:val="3370FF"/>
      </w:rPr>
    </w:lvl>
  </w:abstractNum>
  <w:abstractNum w:abstractNumId="47">
    <w:nsid w:val="F7735DC9"/>
    <w:multiLevelType w:val="singleLevel"/>
    <w:tmpl w:val="F7735DC9"/>
    <w:lvl w:ilvl="0" w:tentative="0">
      <w:start w:val="0"/>
      <w:numFmt w:val="bullet"/>
      <w:lvlText w:val="•"/>
      <w:lvlJc w:val="left"/>
      <w:rPr>
        <w:color w:val="3370FF"/>
      </w:rPr>
    </w:lvl>
  </w:abstractNum>
  <w:abstractNum w:abstractNumId="48">
    <w:nsid w:val="FEC2EA36"/>
    <w:multiLevelType w:val="singleLevel"/>
    <w:tmpl w:val="FEC2EA36"/>
    <w:lvl w:ilvl="0" w:tentative="0">
      <w:start w:val="2"/>
      <w:numFmt w:val="decimal"/>
      <w:lvlText w:val="%1."/>
      <w:lvlJc w:val="left"/>
      <w:rPr>
        <w:color w:val="3370FF"/>
      </w:rPr>
    </w:lvl>
  </w:abstractNum>
  <w:abstractNum w:abstractNumId="49">
    <w:nsid w:val="0053208E"/>
    <w:multiLevelType w:val="singleLevel"/>
    <w:tmpl w:val="0053208E"/>
    <w:lvl w:ilvl="0" w:tentative="0">
      <w:start w:val="0"/>
      <w:numFmt w:val="bullet"/>
      <w:lvlText w:val="•"/>
      <w:lvlJc w:val="left"/>
      <w:rPr>
        <w:color w:val="3370FF"/>
      </w:rPr>
    </w:lvl>
  </w:abstractNum>
  <w:abstractNum w:abstractNumId="50">
    <w:nsid w:val="0248C179"/>
    <w:multiLevelType w:val="singleLevel"/>
    <w:tmpl w:val="0248C179"/>
    <w:lvl w:ilvl="0" w:tentative="0">
      <w:start w:val="1"/>
      <w:numFmt w:val="decimal"/>
      <w:lvlText w:val="%1."/>
      <w:lvlJc w:val="left"/>
      <w:rPr>
        <w:color w:val="3370FF"/>
      </w:rPr>
    </w:lvl>
  </w:abstractNum>
  <w:abstractNum w:abstractNumId="51">
    <w:nsid w:val="03A63A41"/>
    <w:multiLevelType w:val="singleLevel"/>
    <w:tmpl w:val="03A63A41"/>
    <w:lvl w:ilvl="0" w:tentative="0">
      <w:start w:val="6"/>
      <w:numFmt w:val="decimal"/>
      <w:lvlText w:val="%1."/>
      <w:lvlJc w:val="left"/>
      <w:rPr>
        <w:color w:val="3370FF"/>
      </w:rPr>
    </w:lvl>
  </w:abstractNum>
  <w:abstractNum w:abstractNumId="52">
    <w:nsid w:val="03D62ECE"/>
    <w:multiLevelType w:val="singleLevel"/>
    <w:tmpl w:val="03D62ECE"/>
    <w:lvl w:ilvl="0" w:tentative="0">
      <w:start w:val="0"/>
      <w:numFmt w:val="bullet"/>
      <w:lvlText w:val="•"/>
      <w:lvlJc w:val="left"/>
      <w:rPr>
        <w:color w:val="3370FF"/>
      </w:rPr>
    </w:lvl>
  </w:abstractNum>
  <w:abstractNum w:abstractNumId="53">
    <w:nsid w:val="0709FD3E"/>
    <w:multiLevelType w:val="singleLevel"/>
    <w:tmpl w:val="0709FD3E"/>
    <w:lvl w:ilvl="0" w:tentative="0">
      <w:start w:val="0"/>
      <w:numFmt w:val="bullet"/>
      <w:lvlText w:val="•"/>
      <w:lvlJc w:val="left"/>
      <w:rPr>
        <w:color w:val="3370FF"/>
      </w:rPr>
    </w:lvl>
  </w:abstractNum>
  <w:abstractNum w:abstractNumId="54">
    <w:nsid w:val="0CEF100B"/>
    <w:multiLevelType w:val="singleLevel"/>
    <w:tmpl w:val="0CEF100B"/>
    <w:lvl w:ilvl="0" w:tentative="0">
      <w:start w:val="0"/>
      <w:numFmt w:val="bullet"/>
      <w:lvlText w:val="•"/>
      <w:lvlJc w:val="left"/>
      <w:rPr>
        <w:color w:val="3370FF"/>
      </w:rPr>
    </w:lvl>
  </w:abstractNum>
  <w:abstractNum w:abstractNumId="55">
    <w:nsid w:val="0E640482"/>
    <w:multiLevelType w:val="singleLevel"/>
    <w:tmpl w:val="0E640482"/>
    <w:lvl w:ilvl="0" w:tentative="0">
      <w:start w:val="1"/>
      <w:numFmt w:val="decimal"/>
      <w:lvlText w:val="%1."/>
      <w:lvlJc w:val="left"/>
      <w:rPr>
        <w:color w:val="3370FF"/>
      </w:rPr>
    </w:lvl>
  </w:abstractNum>
  <w:abstractNum w:abstractNumId="56">
    <w:nsid w:val="0F9F9CCA"/>
    <w:multiLevelType w:val="singleLevel"/>
    <w:tmpl w:val="0F9F9CCA"/>
    <w:lvl w:ilvl="0" w:tentative="0">
      <w:start w:val="2"/>
      <w:numFmt w:val="decimal"/>
      <w:lvlText w:val="%1."/>
      <w:lvlJc w:val="left"/>
      <w:rPr>
        <w:color w:val="3370FF"/>
      </w:rPr>
    </w:lvl>
  </w:abstractNum>
  <w:abstractNum w:abstractNumId="57">
    <w:nsid w:val="10D591E5"/>
    <w:multiLevelType w:val="singleLevel"/>
    <w:tmpl w:val="10D591E5"/>
    <w:lvl w:ilvl="0" w:tentative="0">
      <w:start w:val="3"/>
      <w:numFmt w:val="decimal"/>
      <w:lvlText w:val="%1."/>
      <w:lvlJc w:val="left"/>
      <w:rPr>
        <w:color w:val="3370FF"/>
      </w:rPr>
    </w:lvl>
  </w:abstractNum>
  <w:abstractNum w:abstractNumId="58">
    <w:nsid w:val="12EADF99"/>
    <w:multiLevelType w:val="singleLevel"/>
    <w:tmpl w:val="12EADF99"/>
    <w:lvl w:ilvl="0" w:tentative="0">
      <w:start w:val="8"/>
      <w:numFmt w:val="decimal"/>
      <w:lvlText w:val="%1."/>
      <w:lvlJc w:val="left"/>
      <w:rPr>
        <w:color w:val="3370FF"/>
      </w:rPr>
    </w:lvl>
  </w:abstractNum>
  <w:abstractNum w:abstractNumId="59">
    <w:nsid w:val="1450273B"/>
    <w:multiLevelType w:val="singleLevel"/>
    <w:tmpl w:val="1450273B"/>
    <w:lvl w:ilvl="0" w:tentative="0">
      <w:start w:val="0"/>
      <w:numFmt w:val="bullet"/>
      <w:lvlText w:val="•"/>
      <w:lvlJc w:val="left"/>
      <w:rPr>
        <w:color w:val="3370FF"/>
      </w:rPr>
    </w:lvl>
  </w:abstractNum>
  <w:abstractNum w:abstractNumId="60">
    <w:nsid w:val="18F74015"/>
    <w:multiLevelType w:val="singleLevel"/>
    <w:tmpl w:val="18F74015"/>
    <w:lvl w:ilvl="0" w:tentative="0">
      <w:start w:val="3"/>
      <w:numFmt w:val="decimal"/>
      <w:lvlText w:val="%1."/>
      <w:lvlJc w:val="left"/>
      <w:rPr>
        <w:color w:val="3370FF"/>
      </w:rPr>
    </w:lvl>
  </w:abstractNum>
  <w:abstractNum w:abstractNumId="61">
    <w:nsid w:val="1ACDE60F"/>
    <w:multiLevelType w:val="singleLevel"/>
    <w:tmpl w:val="1ACDE60F"/>
    <w:lvl w:ilvl="0" w:tentative="0">
      <w:start w:val="0"/>
      <w:numFmt w:val="bullet"/>
      <w:lvlText w:val="•"/>
      <w:lvlJc w:val="left"/>
      <w:rPr>
        <w:color w:val="3370FF"/>
      </w:rPr>
    </w:lvl>
  </w:abstractNum>
  <w:abstractNum w:abstractNumId="62">
    <w:nsid w:val="1BCBBCF0"/>
    <w:multiLevelType w:val="singleLevel"/>
    <w:tmpl w:val="1BCBBCF0"/>
    <w:lvl w:ilvl="0" w:tentative="0">
      <w:start w:val="0"/>
      <w:numFmt w:val="bullet"/>
      <w:lvlText w:val="•"/>
      <w:lvlJc w:val="left"/>
      <w:rPr>
        <w:color w:val="3370FF"/>
      </w:rPr>
    </w:lvl>
  </w:abstractNum>
  <w:abstractNum w:abstractNumId="63">
    <w:nsid w:val="1C257C7B"/>
    <w:multiLevelType w:val="singleLevel"/>
    <w:tmpl w:val="1C257C7B"/>
    <w:lvl w:ilvl="0" w:tentative="0">
      <w:start w:val="0"/>
      <w:numFmt w:val="bullet"/>
      <w:lvlText w:val="•"/>
      <w:lvlJc w:val="left"/>
      <w:rPr>
        <w:color w:val="3370FF"/>
      </w:rPr>
    </w:lvl>
  </w:abstractNum>
  <w:abstractNum w:abstractNumId="64">
    <w:nsid w:val="23E97754"/>
    <w:multiLevelType w:val="singleLevel"/>
    <w:tmpl w:val="23E97754"/>
    <w:lvl w:ilvl="0" w:tentative="0">
      <w:start w:val="0"/>
      <w:numFmt w:val="bullet"/>
      <w:lvlText w:val="•"/>
      <w:lvlJc w:val="left"/>
      <w:rPr>
        <w:color w:val="3370FF"/>
      </w:rPr>
    </w:lvl>
  </w:abstractNum>
  <w:abstractNum w:abstractNumId="65">
    <w:nsid w:val="243FCF68"/>
    <w:multiLevelType w:val="singleLevel"/>
    <w:tmpl w:val="243FCF68"/>
    <w:lvl w:ilvl="0" w:tentative="0">
      <w:start w:val="0"/>
      <w:numFmt w:val="bullet"/>
      <w:lvlText w:val="•"/>
      <w:lvlJc w:val="left"/>
      <w:rPr>
        <w:color w:val="3370FF"/>
      </w:rPr>
    </w:lvl>
  </w:abstractNum>
  <w:abstractNum w:abstractNumId="66">
    <w:nsid w:val="2470EC97"/>
    <w:multiLevelType w:val="singleLevel"/>
    <w:tmpl w:val="2470EC97"/>
    <w:lvl w:ilvl="0" w:tentative="0">
      <w:start w:val="0"/>
      <w:numFmt w:val="bullet"/>
      <w:lvlText w:val="￮"/>
      <w:lvlJc w:val="left"/>
      <w:rPr>
        <w:color w:val="3370FF"/>
      </w:rPr>
    </w:lvl>
  </w:abstractNum>
  <w:abstractNum w:abstractNumId="67">
    <w:nsid w:val="25B654F3"/>
    <w:multiLevelType w:val="singleLevel"/>
    <w:tmpl w:val="25B654F3"/>
    <w:lvl w:ilvl="0" w:tentative="0">
      <w:start w:val="0"/>
      <w:numFmt w:val="bullet"/>
      <w:lvlText w:val="•"/>
      <w:lvlJc w:val="left"/>
      <w:rPr>
        <w:color w:val="3370FF"/>
      </w:rPr>
    </w:lvl>
  </w:abstractNum>
  <w:abstractNum w:abstractNumId="68">
    <w:nsid w:val="2A8F537B"/>
    <w:multiLevelType w:val="singleLevel"/>
    <w:tmpl w:val="2A8F537B"/>
    <w:lvl w:ilvl="0" w:tentative="0">
      <w:start w:val="0"/>
      <w:numFmt w:val="bullet"/>
      <w:lvlText w:val="￮"/>
      <w:lvlJc w:val="left"/>
      <w:rPr>
        <w:color w:val="3370FF"/>
      </w:rPr>
    </w:lvl>
  </w:abstractNum>
  <w:abstractNum w:abstractNumId="69">
    <w:nsid w:val="2F2D79CE"/>
    <w:multiLevelType w:val="singleLevel"/>
    <w:tmpl w:val="2F2D79CE"/>
    <w:lvl w:ilvl="0" w:tentative="0">
      <w:start w:val="5"/>
      <w:numFmt w:val="decimal"/>
      <w:lvlText w:val="%1."/>
      <w:lvlJc w:val="left"/>
      <w:rPr>
        <w:color w:val="3370FF"/>
      </w:rPr>
    </w:lvl>
  </w:abstractNum>
  <w:abstractNum w:abstractNumId="70">
    <w:nsid w:val="30A0AC00"/>
    <w:multiLevelType w:val="singleLevel"/>
    <w:tmpl w:val="30A0AC00"/>
    <w:lvl w:ilvl="0" w:tentative="0">
      <w:start w:val="1"/>
      <w:numFmt w:val="decimal"/>
      <w:lvlText w:val="%1."/>
      <w:lvlJc w:val="left"/>
      <w:rPr>
        <w:color w:val="3370FF"/>
      </w:rPr>
    </w:lvl>
  </w:abstractNum>
  <w:abstractNum w:abstractNumId="71">
    <w:nsid w:val="30FC5B15"/>
    <w:multiLevelType w:val="singleLevel"/>
    <w:tmpl w:val="30FC5B15"/>
    <w:lvl w:ilvl="0" w:tentative="0">
      <w:start w:val="0"/>
      <w:numFmt w:val="bullet"/>
      <w:lvlText w:val="•"/>
      <w:lvlJc w:val="left"/>
      <w:rPr>
        <w:color w:val="3370FF"/>
      </w:rPr>
    </w:lvl>
  </w:abstractNum>
  <w:abstractNum w:abstractNumId="72">
    <w:nsid w:val="322D85CA"/>
    <w:multiLevelType w:val="singleLevel"/>
    <w:tmpl w:val="322D85CA"/>
    <w:lvl w:ilvl="0" w:tentative="0">
      <w:start w:val="0"/>
      <w:numFmt w:val="bullet"/>
      <w:lvlText w:val="•"/>
      <w:lvlJc w:val="left"/>
      <w:rPr>
        <w:color w:val="3370FF"/>
      </w:rPr>
    </w:lvl>
  </w:abstractNum>
  <w:abstractNum w:abstractNumId="73">
    <w:nsid w:val="32A7AF2D"/>
    <w:multiLevelType w:val="singleLevel"/>
    <w:tmpl w:val="32A7AF2D"/>
    <w:lvl w:ilvl="0" w:tentative="0">
      <w:start w:val="0"/>
      <w:numFmt w:val="bullet"/>
      <w:lvlText w:val="•"/>
      <w:lvlJc w:val="left"/>
      <w:rPr>
        <w:color w:val="3370FF"/>
      </w:rPr>
    </w:lvl>
  </w:abstractNum>
  <w:abstractNum w:abstractNumId="74">
    <w:nsid w:val="35E83B33"/>
    <w:multiLevelType w:val="singleLevel"/>
    <w:tmpl w:val="35E83B33"/>
    <w:lvl w:ilvl="0" w:tentative="0">
      <w:start w:val="5"/>
      <w:numFmt w:val="decimal"/>
      <w:lvlText w:val="%1."/>
      <w:lvlJc w:val="left"/>
      <w:rPr>
        <w:color w:val="3370FF"/>
      </w:rPr>
    </w:lvl>
  </w:abstractNum>
  <w:abstractNum w:abstractNumId="75">
    <w:nsid w:val="39A0D9AC"/>
    <w:multiLevelType w:val="singleLevel"/>
    <w:tmpl w:val="39A0D9AC"/>
    <w:lvl w:ilvl="0" w:tentative="0">
      <w:start w:val="0"/>
      <w:numFmt w:val="bullet"/>
      <w:lvlText w:val="•"/>
      <w:lvlJc w:val="left"/>
      <w:rPr>
        <w:color w:val="3370FF"/>
      </w:rPr>
    </w:lvl>
  </w:abstractNum>
  <w:abstractNum w:abstractNumId="76">
    <w:nsid w:val="3B8127DF"/>
    <w:multiLevelType w:val="singleLevel"/>
    <w:tmpl w:val="3B8127DF"/>
    <w:lvl w:ilvl="0" w:tentative="0">
      <w:start w:val="0"/>
      <w:numFmt w:val="bullet"/>
      <w:lvlText w:val="•"/>
      <w:lvlJc w:val="left"/>
      <w:rPr>
        <w:color w:val="3370FF"/>
      </w:rPr>
    </w:lvl>
  </w:abstractNum>
  <w:abstractNum w:abstractNumId="77">
    <w:nsid w:val="40B249F9"/>
    <w:multiLevelType w:val="singleLevel"/>
    <w:tmpl w:val="40B249F9"/>
    <w:lvl w:ilvl="0" w:tentative="0">
      <w:start w:val="1"/>
      <w:numFmt w:val="decimal"/>
      <w:lvlText w:val="%1."/>
      <w:lvlJc w:val="left"/>
      <w:rPr>
        <w:color w:val="3370FF"/>
      </w:rPr>
    </w:lvl>
  </w:abstractNum>
  <w:abstractNum w:abstractNumId="78">
    <w:nsid w:val="46A08BB8"/>
    <w:multiLevelType w:val="singleLevel"/>
    <w:tmpl w:val="46A08BB8"/>
    <w:lvl w:ilvl="0" w:tentative="0">
      <w:start w:val="2"/>
      <w:numFmt w:val="decimal"/>
      <w:lvlText w:val="%1."/>
      <w:lvlJc w:val="left"/>
      <w:rPr>
        <w:color w:val="3370FF"/>
      </w:rPr>
    </w:lvl>
  </w:abstractNum>
  <w:abstractNum w:abstractNumId="79">
    <w:nsid w:val="4C1BAE26"/>
    <w:multiLevelType w:val="singleLevel"/>
    <w:tmpl w:val="4C1BAE26"/>
    <w:lvl w:ilvl="0" w:tentative="0">
      <w:start w:val="1"/>
      <w:numFmt w:val="decimal"/>
      <w:lvlText w:val="%1."/>
      <w:lvlJc w:val="left"/>
      <w:rPr>
        <w:color w:val="3370FF"/>
      </w:rPr>
    </w:lvl>
  </w:abstractNum>
  <w:abstractNum w:abstractNumId="80">
    <w:nsid w:val="4C3D7A74"/>
    <w:multiLevelType w:val="singleLevel"/>
    <w:tmpl w:val="4C3D7A74"/>
    <w:lvl w:ilvl="0" w:tentative="0">
      <w:start w:val="0"/>
      <w:numFmt w:val="bullet"/>
      <w:lvlText w:val="•"/>
      <w:lvlJc w:val="left"/>
      <w:rPr>
        <w:color w:val="3370FF"/>
      </w:rPr>
    </w:lvl>
  </w:abstractNum>
  <w:abstractNum w:abstractNumId="81">
    <w:nsid w:val="4CD1E351"/>
    <w:multiLevelType w:val="singleLevel"/>
    <w:tmpl w:val="4CD1E351"/>
    <w:lvl w:ilvl="0" w:tentative="0">
      <w:start w:val="2"/>
      <w:numFmt w:val="decimal"/>
      <w:lvlText w:val="%1."/>
      <w:lvlJc w:val="left"/>
      <w:rPr>
        <w:color w:val="3370FF"/>
      </w:rPr>
    </w:lvl>
  </w:abstractNum>
  <w:abstractNum w:abstractNumId="82">
    <w:nsid w:val="4D4DC07F"/>
    <w:multiLevelType w:val="singleLevel"/>
    <w:tmpl w:val="4D4DC07F"/>
    <w:lvl w:ilvl="0" w:tentative="0">
      <w:start w:val="0"/>
      <w:numFmt w:val="bullet"/>
      <w:lvlText w:val="•"/>
      <w:lvlJc w:val="left"/>
      <w:rPr>
        <w:color w:val="3370FF"/>
      </w:rPr>
    </w:lvl>
  </w:abstractNum>
  <w:abstractNum w:abstractNumId="83">
    <w:nsid w:val="4D94DA66"/>
    <w:multiLevelType w:val="singleLevel"/>
    <w:tmpl w:val="4D94DA66"/>
    <w:lvl w:ilvl="0" w:tentative="0">
      <w:start w:val="0"/>
      <w:numFmt w:val="bullet"/>
      <w:lvlText w:val="•"/>
      <w:lvlJc w:val="left"/>
      <w:rPr>
        <w:color w:val="3370FF"/>
      </w:rPr>
    </w:lvl>
  </w:abstractNum>
  <w:abstractNum w:abstractNumId="84">
    <w:nsid w:val="58765686"/>
    <w:multiLevelType w:val="singleLevel"/>
    <w:tmpl w:val="58765686"/>
    <w:lvl w:ilvl="0" w:tentative="0">
      <w:start w:val="0"/>
      <w:numFmt w:val="bullet"/>
      <w:lvlText w:val="•"/>
      <w:lvlJc w:val="left"/>
      <w:rPr>
        <w:color w:val="3370FF"/>
      </w:rPr>
    </w:lvl>
  </w:abstractNum>
  <w:abstractNum w:abstractNumId="85">
    <w:nsid w:val="59ADCABA"/>
    <w:multiLevelType w:val="singleLevel"/>
    <w:tmpl w:val="59ADCABA"/>
    <w:lvl w:ilvl="0" w:tentative="0">
      <w:start w:val="0"/>
      <w:numFmt w:val="bullet"/>
      <w:lvlText w:val="•"/>
      <w:lvlJc w:val="left"/>
      <w:rPr>
        <w:color w:val="3370FF"/>
      </w:rPr>
    </w:lvl>
  </w:abstractNum>
  <w:abstractNum w:abstractNumId="86">
    <w:nsid w:val="59EEFD2A"/>
    <w:multiLevelType w:val="singleLevel"/>
    <w:tmpl w:val="59EEFD2A"/>
    <w:lvl w:ilvl="0" w:tentative="0">
      <w:start w:val="0"/>
      <w:numFmt w:val="bullet"/>
      <w:lvlText w:val="•"/>
      <w:lvlJc w:val="left"/>
      <w:rPr>
        <w:color w:val="3370FF"/>
      </w:rPr>
    </w:lvl>
  </w:abstractNum>
  <w:abstractNum w:abstractNumId="87">
    <w:nsid w:val="5A241D34"/>
    <w:multiLevelType w:val="singleLevel"/>
    <w:tmpl w:val="5A241D34"/>
    <w:lvl w:ilvl="0" w:tentative="0">
      <w:start w:val="0"/>
      <w:numFmt w:val="bullet"/>
      <w:lvlText w:val="￮"/>
      <w:lvlJc w:val="left"/>
      <w:rPr>
        <w:color w:val="3370FF"/>
      </w:rPr>
    </w:lvl>
  </w:abstractNum>
  <w:abstractNum w:abstractNumId="88">
    <w:nsid w:val="5E29AB5A"/>
    <w:multiLevelType w:val="singleLevel"/>
    <w:tmpl w:val="5E29AB5A"/>
    <w:lvl w:ilvl="0" w:tentative="0">
      <w:start w:val="0"/>
      <w:numFmt w:val="bullet"/>
      <w:lvlText w:val="•"/>
      <w:lvlJc w:val="left"/>
      <w:rPr>
        <w:color w:val="3370FF"/>
      </w:rPr>
    </w:lvl>
  </w:abstractNum>
  <w:abstractNum w:abstractNumId="89">
    <w:nsid w:val="5FFFB1A7"/>
    <w:multiLevelType w:val="singleLevel"/>
    <w:tmpl w:val="5FFFB1A7"/>
    <w:lvl w:ilvl="0" w:tentative="0">
      <w:start w:val="4"/>
      <w:numFmt w:val="decimal"/>
      <w:lvlText w:val="%1."/>
      <w:lvlJc w:val="left"/>
      <w:rPr>
        <w:color w:val="3370FF"/>
      </w:rPr>
    </w:lvl>
  </w:abstractNum>
  <w:abstractNum w:abstractNumId="90">
    <w:nsid w:val="60382F6E"/>
    <w:multiLevelType w:val="singleLevel"/>
    <w:tmpl w:val="60382F6E"/>
    <w:lvl w:ilvl="0" w:tentative="0">
      <w:start w:val="2"/>
      <w:numFmt w:val="decimal"/>
      <w:lvlText w:val="%1."/>
      <w:lvlJc w:val="left"/>
      <w:rPr>
        <w:color w:val="3370FF"/>
      </w:rPr>
    </w:lvl>
  </w:abstractNum>
  <w:abstractNum w:abstractNumId="91">
    <w:nsid w:val="629F7852"/>
    <w:multiLevelType w:val="singleLevel"/>
    <w:tmpl w:val="629F7852"/>
    <w:lvl w:ilvl="0" w:tentative="0">
      <w:start w:val="1"/>
      <w:numFmt w:val="decimal"/>
      <w:lvlText w:val="%1."/>
      <w:lvlJc w:val="left"/>
      <w:rPr>
        <w:color w:val="3370FF"/>
      </w:rPr>
    </w:lvl>
  </w:abstractNum>
  <w:abstractNum w:abstractNumId="92">
    <w:nsid w:val="65CD0074"/>
    <w:multiLevelType w:val="singleLevel"/>
    <w:tmpl w:val="65CD0074"/>
    <w:lvl w:ilvl="0" w:tentative="0">
      <w:start w:val="0"/>
      <w:numFmt w:val="bullet"/>
      <w:lvlText w:val="•"/>
      <w:lvlJc w:val="left"/>
      <w:rPr>
        <w:color w:val="3370FF"/>
      </w:rPr>
    </w:lvl>
  </w:abstractNum>
  <w:abstractNum w:abstractNumId="93">
    <w:nsid w:val="68B298F7"/>
    <w:multiLevelType w:val="singleLevel"/>
    <w:tmpl w:val="68B298F7"/>
    <w:lvl w:ilvl="0" w:tentative="0">
      <w:start w:val="2"/>
      <w:numFmt w:val="decimal"/>
      <w:lvlText w:val="%1."/>
      <w:lvlJc w:val="left"/>
      <w:rPr>
        <w:color w:val="3370FF"/>
      </w:rPr>
    </w:lvl>
  </w:abstractNum>
  <w:abstractNum w:abstractNumId="94">
    <w:nsid w:val="700FDCEF"/>
    <w:multiLevelType w:val="singleLevel"/>
    <w:tmpl w:val="700FDCEF"/>
    <w:lvl w:ilvl="0" w:tentative="0">
      <w:start w:val="4"/>
      <w:numFmt w:val="decimal"/>
      <w:lvlText w:val="%1."/>
      <w:lvlJc w:val="left"/>
      <w:rPr>
        <w:color w:val="3370FF"/>
      </w:rPr>
    </w:lvl>
  </w:abstractNum>
  <w:abstractNum w:abstractNumId="95">
    <w:nsid w:val="72183CF9"/>
    <w:multiLevelType w:val="singleLevel"/>
    <w:tmpl w:val="72183CF9"/>
    <w:lvl w:ilvl="0" w:tentative="0">
      <w:start w:val="0"/>
      <w:numFmt w:val="bullet"/>
      <w:lvlText w:val="•"/>
      <w:lvlJc w:val="left"/>
      <w:rPr>
        <w:color w:val="3370FF"/>
      </w:rPr>
    </w:lvl>
  </w:abstractNum>
  <w:abstractNum w:abstractNumId="96">
    <w:nsid w:val="74C28B35"/>
    <w:multiLevelType w:val="singleLevel"/>
    <w:tmpl w:val="74C28B35"/>
    <w:lvl w:ilvl="0" w:tentative="0">
      <w:start w:val="0"/>
      <w:numFmt w:val="bullet"/>
      <w:lvlText w:val="•"/>
      <w:lvlJc w:val="left"/>
      <w:rPr>
        <w:color w:val="3370FF"/>
      </w:rPr>
    </w:lvl>
  </w:abstractNum>
  <w:abstractNum w:abstractNumId="97">
    <w:nsid w:val="77633216"/>
    <w:multiLevelType w:val="singleLevel"/>
    <w:tmpl w:val="77633216"/>
    <w:lvl w:ilvl="0" w:tentative="0">
      <w:start w:val="2"/>
      <w:numFmt w:val="decimal"/>
      <w:lvlText w:val="%1."/>
      <w:lvlJc w:val="left"/>
      <w:rPr>
        <w:color w:val="3370FF"/>
      </w:rPr>
    </w:lvl>
  </w:abstractNum>
  <w:abstractNum w:abstractNumId="98">
    <w:nsid w:val="77ECEA79"/>
    <w:multiLevelType w:val="singleLevel"/>
    <w:tmpl w:val="77ECEA79"/>
    <w:lvl w:ilvl="0" w:tentative="0">
      <w:start w:val="2"/>
      <w:numFmt w:val="decimal"/>
      <w:lvlText w:val="%1."/>
      <w:lvlJc w:val="left"/>
      <w:rPr>
        <w:color w:val="3370FF"/>
      </w:rPr>
    </w:lvl>
  </w:abstractNum>
  <w:abstractNum w:abstractNumId="99">
    <w:nsid w:val="79AA4FA4"/>
    <w:multiLevelType w:val="singleLevel"/>
    <w:tmpl w:val="79AA4FA4"/>
    <w:lvl w:ilvl="0" w:tentative="0">
      <w:start w:val="0"/>
      <w:numFmt w:val="bullet"/>
      <w:lvlText w:val="•"/>
      <w:lvlJc w:val="left"/>
      <w:rPr>
        <w:color w:val="3370FF"/>
      </w:rPr>
    </w:lvl>
  </w:abstractNum>
  <w:abstractNum w:abstractNumId="100">
    <w:nsid w:val="7C246926"/>
    <w:multiLevelType w:val="singleLevel"/>
    <w:tmpl w:val="7C246926"/>
    <w:lvl w:ilvl="0" w:tentative="0">
      <w:start w:val="1"/>
      <w:numFmt w:val="decimal"/>
      <w:lvlText w:val="%1."/>
      <w:lvlJc w:val="left"/>
      <w:rPr>
        <w:color w:val="3370FF"/>
      </w:rPr>
    </w:lvl>
  </w:abstractNum>
  <w:abstractNum w:abstractNumId="101">
    <w:nsid w:val="7DEC2089"/>
    <w:multiLevelType w:val="singleLevel"/>
    <w:tmpl w:val="7DEC2089"/>
    <w:lvl w:ilvl="0" w:tentative="0">
      <w:start w:val="0"/>
      <w:numFmt w:val="bullet"/>
      <w:lvlText w:val="•"/>
      <w:lvlJc w:val="left"/>
      <w:rPr>
        <w:color w:val="3370FF"/>
      </w:rPr>
    </w:lvl>
  </w:abstractNum>
  <w:num w:numId="1">
    <w:abstractNumId w:val="49"/>
  </w:num>
  <w:num w:numId="2">
    <w:abstractNumId w:val="33"/>
  </w:num>
  <w:num w:numId="3">
    <w:abstractNumId w:val="85"/>
  </w:num>
  <w:num w:numId="4">
    <w:abstractNumId w:val="29"/>
  </w:num>
  <w:num w:numId="5">
    <w:abstractNumId w:val="21"/>
  </w:num>
  <w:num w:numId="6">
    <w:abstractNumId w:val="52"/>
  </w:num>
  <w:num w:numId="7">
    <w:abstractNumId w:val="67"/>
  </w:num>
  <w:num w:numId="8">
    <w:abstractNumId w:val="95"/>
  </w:num>
  <w:num w:numId="9">
    <w:abstractNumId w:val="50"/>
  </w:num>
  <w:num w:numId="10">
    <w:abstractNumId w:val="7"/>
  </w:num>
  <w:num w:numId="11">
    <w:abstractNumId w:val="68"/>
  </w:num>
  <w:num w:numId="12">
    <w:abstractNumId w:val="87"/>
  </w:num>
  <w:num w:numId="13">
    <w:abstractNumId w:val="32"/>
  </w:num>
  <w:num w:numId="14">
    <w:abstractNumId w:val="82"/>
  </w:num>
  <w:num w:numId="15">
    <w:abstractNumId w:val="44"/>
  </w:num>
  <w:num w:numId="16">
    <w:abstractNumId w:val="66"/>
  </w:num>
  <w:num w:numId="17">
    <w:abstractNumId w:val="38"/>
  </w:num>
  <w:num w:numId="18">
    <w:abstractNumId w:val="36"/>
  </w:num>
  <w:num w:numId="19">
    <w:abstractNumId w:val="12"/>
  </w:num>
  <w:num w:numId="20">
    <w:abstractNumId w:val="79"/>
  </w:num>
  <w:num w:numId="21">
    <w:abstractNumId w:val="90"/>
  </w:num>
  <w:num w:numId="22">
    <w:abstractNumId w:val="55"/>
  </w:num>
  <w:num w:numId="23">
    <w:abstractNumId w:val="78"/>
  </w:num>
  <w:num w:numId="24">
    <w:abstractNumId w:val="18"/>
  </w:num>
  <w:num w:numId="25">
    <w:abstractNumId w:val="100"/>
  </w:num>
  <w:num w:numId="26">
    <w:abstractNumId w:val="98"/>
  </w:num>
  <w:num w:numId="27">
    <w:abstractNumId w:val="28"/>
  </w:num>
  <w:num w:numId="28">
    <w:abstractNumId w:val="91"/>
  </w:num>
  <w:num w:numId="29">
    <w:abstractNumId w:val="8"/>
  </w:num>
  <w:num w:numId="30">
    <w:abstractNumId w:val="75"/>
  </w:num>
  <w:num w:numId="31">
    <w:abstractNumId w:val="3"/>
  </w:num>
  <w:num w:numId="32">
    <w:abstractNumId w:val="84"/>
  </w:num>
  <w:num w:numId="33">
    <w:abstractNumId w:val="101"/>
  </w:num>
  <w:num w:numId="34">
    <w:abstractNumId w:val="1"/>
  </w:num>
  <w:num w:numId="35">
    <w:abstractNumId w:val="65"/>
  </w:num>
  <w:num w:numId="36">
    <w:abstractNumId w:val="83"/>
  </w:num>
  <w:num w:numId="37">
    <w:abstractNumId w:val="47"/>
  </w:num>
  <w:num w:numId="38">
    <w:abstractNumId w:val="40"/>
  </w:num>
  <w:num w:numId="39">
    <w:abstractNumId w:val="71"/>
  </w:num>
  <w:num w:numId="40">
    <w:abstractNumId w:val="99"/>
  </w:num>
  <w:num w:numId="41">
    <w:abstractNumId w:val="24"/>
  </w:num>
  <w:num w:numId="42">
    <w:abstractNumId w:val="5"/>
  </w:num>
  <w:num w:numId="43">
    <w:abstractNumId w:val="23"/>
  </w:num>
  <w:num w:numId="44">
    <w:abstractNumId w:val="88"/>
  </w:num>
  <w:num w:numId="45">
    <w:abstractNumId w:val="2"/>
  </w:num>
  <w:num w:numId="46">
    <w:abstractNumId w:val="61"/>
  </w:num>
  <w:num w:numId="47">
    <w:abstractNumId w:val="4"/>
  </w:num>
  <w:num w:numId="48">
    <w:abstractNumId w:val="89"/>
  </w:num>
  <w:num w:numId="49">
    <w:abstractNumId w:val="96"/>
  </w:num>
  <w:num w:numId="50">
    <w:abstractNumId w:val="80"/>
  </w:num>
  <w:num w:numId="51">
    <w:abstractNumId w:val="72"/>
  </w:num>
  <w:num w:numId="52">
    <w:abstractNumId w:val="92"/>
  </w:num>
  <w:num w:numId="53">
    <w:abstractNumId w:val="53"/>
  </w:num>
  <w:num w:numId="54">
    <w:abstractNumId w:val="54"/>
  </w:num>
  <w:num w:numId="55">
    <w:abstractNumId w:val="35"/>
  </w:num>
  <w:num w:numId="56">
    <w:abstractNumId w:val="73"/>
  </w:num>
  <w:num w:numId="57">
    <w:abstractNumId w:val="63"/>
  </w:num>
  <w:num w:numId="58">
    <w:abstractNumId w:val="43"/>
  </w:num>
  <w:num w:numId="59">
    <w:abstractNumId w:val="64"/>
  </w:num>
  <w:num w:numId="60">
    <w:abstractNumId w:val="20"/>
  </w:num>
  <w:num w:numId="61">
    <w:abstractNumId w:val="77"/>
  </w:num>
  <w:num w:numId="62">
    <w:abstractNumId w:val="56"/>
  </w:num>
  <w:num w:numId="63">
    <w:abstractNumId w:val="74"/>
  </w:num>
  <w:num w:numId="64">
    <w:abstractNumId w:val="51"/>
  </w:num>
  <w:num w:numId="65">
    <w:abstractNumId w:val="30"/>
  </w:num>
  <w:num w:numId="66">
    <w:abstractNumId w:val="58"/>
  </w:num>
  <w:num w:numId="67">
    <w:abstractNumId w:val="19"/>
  </w:num>
  <w:num w:numId="68">
    <w:abstractNumId w:val="76"/>
  </w:num>
  <w:num w:numId="69">
    <w:abstractNumId w:val="15"/>
  </w:num>
  <w:num w:numId="70">
    <w:abstractNumId w:val="46"/>
  </w:num>
  <w:num w:numId="71">
    <w:abstractNumId w:val="70"/>
  </w:num>
  <w:num w:numId="72">
    <w:abstractNumId w:val="48"/>
  </w:num>
  <w:num w:numId="73">
    <w:abstractNumId w:val="60"/>
  </w:num>
  <w:num w:numId="74">
    <w:abstractNumId w:val="94"/>
  </w:num>
  <w:num w:numId="75">
    <w:abstractNumId w:val="41"/>
  </w:num>
  <w:num w:numId="76">
    <w:abstractNumId w:val="31"/>
  </w:num>
  <w:num w:numId="77">
    <w:abstractNumId w:val="14"/>
  </w:num>
  <w:num w:numId="78">
    <w:abstractNumId w:val="97"/>
  </w:num>
  <w:num w:numId="79">
    <w:abstractNumId w:val="37"/>
  </w:num>
  <w:num w:numId="80">
    <w:abstractNumId w:val="22"/>
  </w:num>
  <w:num w:numId="81">
    <w:abstractNumId w:val="69"/>
  </w:num>
  <w:num w:numId="82">
    <w:abstractNumId w:val="42"/>
  </w:num>
  <w:num w:numId="83">
    <w:abstractNumId w:val="10"/>
  </w:num>
  <w:num w:numId="84">
    <w:abstractNumId w:val="86"/>
  </w:num>
  <w:num w:numId="85">
    <w:abstractNumId w:val="26"/>
  </w:num>
  <w:num w:numId="86">
    <w:abstractNumId w:val="17"/>
  </w:num>
  <w:num w:numId="87">
    <w:abstractNumId w:val="9"/>
  </w:num>
  <w:num w:numId="88">
    <w:abstractNumId w:val="13"/>
  </w:num>
  <w:num w:numId="89">
    <w:abstractNumId w:val="16"/>
  </w:num>
  <w:num w:numId="90">
    <w:abstractNumId w:val="6"/>
  </w:num>
  <w:num w:numId="91">
    <w:abstractNumId w:val="62"/>
  </w:num>
  <w:num w:numId="92">
    <w:abstractNumId w:val="27"/>
  </w:num>
  <w:num w:numId="93">
    <w:abstractNumId w:val="59"/>
  </w:num>
  <w:num w:numId="94">
    <w:abstractNumId w:val="34"/>
  </w:num>
  <w:num w:numId="95">
    <w:abstractNumId w:val="93"/>
  </w:num>
  <w:num w:numId="96">
    <w:abstractNumId w:val="0"/>
  </w:num>
  <w:num w:numId="97">
    <w:abstractNumId w:val="25"/>
  </w:num>
  <w:num w:numId="98">
    <w:abstractNumId w:val="45"/>
  </w:num>
  <w:num w:numId="99">
    <w:abstractNumId w:val="81"/>
  </w:num>
  <w:num w:numId="100">
    <w:abstractNumId w:val="57"/>
  </w:num>
  <w:num w:numId="101">
    <w:abstractNumId w:val="11"/>
  </w:num>
  <w:num w:numId="1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3FB431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11598</Words>
  <Characters>17638</Characters>
  <TotalTime>0</TotalTime>
  <ScaleCrop>false</ScaleCrop>
  <LinksUpToDate>false</LinksUpToDate>
  <CharactersWithSpaces>18893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2025-12-28T11:51:00Z</dcterms:created>
  <dc:creator>Apache POI</dc:creator>
  <cp:lastModifiedBy>一缕清风</cp:lastModifiedBy>
  <dcterms:modified xsi:type="dcterms:W3CDTF">2025-12-28T12:08:59Z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eyJoZGlkIjoiNjlhODQ4MjBkOGYwOTMwZGRjODFlOTQwYzQ3M2JiOWEiLCJ1c2VySWQiOiI1NzUzNjA1NDEifQ==</vt:lpwstr>
  </property>
  <property fmtid="{D5CDD505-2E9C-101B-9397-08002B2CF9AE}" pid="3" name="KSOProductBuildVer">
    <vt:lpwstr>2052-12.1.0.24034</vt:lpwstr>
  </property>
  <property fmtid="{D5CDD505-2E9C-101B-9397-08002B2CF9AE}" pid="4" name="ICV">
    <vt:lpwstr>AE1D9C616B7F414AB5BE149B4DCE26C6_12</vt:lpwstr>
  </property>
</Properties>
</file>