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535BC">
      <w:pPr>
        <w:spacing w:before="480" w:after="480" w:line="288" w:lineRule="auto"/>
        <w:ind w:left="0"/>
      </w:pPr>
      <w:r>
        <w:rPr>
          <w:rFonts w:ascii="Arial" w:hAnsi="Arial" w:eastAsia="等线" w:cs="Arial"/>
          <w:b/>
          <w:sz w:val="52"/>
        </w:rPr>
        <w:t>Chapter 11 Options: Understanding the Basics of Puts and Calls</w:t>
      </w:r>
    </w:p>
    <w:p w14:paraId="6E7B3700">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3D16C431">
      <w:pPr>
        <w:spacing w:before="120" w:after="120" w:line="288" w:lineRule="auto"/>
        <w:ind w:left="0"/>
        <w:jc w:val="left"/>
      </w:pPr>
      <w:r>
        <w:rPr>
          <w:rFonts w:ascii="Arial" w:hAnsi="Arial" w:eastAsia="等线" w:cs="Arial"/>
          <w:sz w:val="22"/>
        </w:rPr>
        <w:t>期权是 SIE 考试中的重点和难点，通常会占据相当比例的题目。考生必须透彻理解其基本概念、盈亏计算和策略应用。</w:t>
      </w:r>
    </w:p>
    <w:p w14:paraId="3E5790E6">
      <w:pPr>
        <w:spacing w:before="120" w:after="120" w:line="288" w:lineRule="auto"/>
        <w:ind w:left="0"/>
        <w:jc w:val="left"/>
      </w:pPr>
    </w:p>
    <w:p w14:paraId="3D8BD21D">
      <w:pPr>
        <w:spacing w:before="120" w:after="120" w:line="288" w:lineRule="auto"/>
        <w:ind w:left="0"/>
        <w:jc w:val="left"/>
      </w:pPr>
      <w:r>
        <w:rPr>
          <w:rFonts w:ascii="Arial" w:hAnsi="Arial" w:eastAsia="等线" w:cs="Arial"/>
          <w:sz w:val="22"/>
        </w:rPr>
        <w:t>期权存在许多复杂的组合策略——跨式期权、价差期权、日历期权等等。但在 SIE 考试中，你无需计算其中任何一种。不过，如果你计划在这次考试后参加 Series 7 考试，就要做好准备了。</w:t>
      </w:r>
    </w:p>
    <w:p w14:paraId="5B1A6B12">
      <w:pPr>
        <w:spacing w:before="120" w:after="120" w:line="288" w:lineRule="auto"/>
        <w:ind w:left="0"/>
        <w:jc w:val="left"/>
      </w:pPr>
    </w:p>
    <w:p w14:paraId="56315902">
      <w:pPr>
        <w:spacing w:before="120" w:after="120" w:line="288" w:lineRule="auto"/>
        <w:ind w:left="0"/>
        <w:jc w:val="left"/>
      </w:pPr>
      <w:r>
        <w:rPr>
          <w:rFonts w:ascii="Arial" w:hAnsi="Arial" w:eastAsia="等线" w:cs="Arial"/>
          <w:sz w:val="22"/>
        </w:rPr>
        <w:t>所有期权策略，无论是简单还是复杂，归根结底都是由简单的看涨期权和/或看跌期权构成。在了解基础的看涨和看跌期权之后，复杂期权就不难理解了。</w:t>
      </w:r>
    </w:p>
    <w:p w14:paraId="209D5ED3">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5C6E12FF">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期权基础定义</w:t>
      </w:r>
      <w:bookmarkEnd w:id="2"/>
    </w:p>
    <w:p w14:paraId="48C0CB97">
      <w:pPr>
        <w:spacing w:before="120" w:after="120" w:line="288" w:lineRule="auto"/>
        <w:ind w:left="0"/>
        <w:jc w:val="left"/>
      </w:pPr>
      <w:r>
        <w:rPr>
          <w:rFonts w:ascii="Arial" w:hAnsi="Arial" w:eastAsia="等线" w:cs="Arial"/>
          <w:sz w:val="22"/>
        </w:rPr>
        <w:t>期权是指赋予持有人权利而非义务，在合约到期日或以前，以行权价格买入或卖出一定数量标的资产的合约。</w:t>
      </w:r>
    </w:p>
    <w:p w14:paraId="04FAE927">
      <w:pPr>
        <w:spacing w:before="120" w:after="120" w:line="288" w:lineRule="auto"/>
        <w:ind w:left="0"/>
        <w:jc w:val="left"/>
      </w:pPr>
    </w:p>
    <w:p w14:paraId="6615ED5D">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期权核心要素</w:t>
      </w:r>
      <w:bookmarkEnd w:id="3"/>
    </w:p>
    <w:p w14:paraId="1B7A3D25">
      <w:pPr>
        <w:numPr>
          <w:ilvl w:val="0"/>
          <w:numId w:val="1"/>
        </w:numPr>
        <w:spacing w:before="120" w:after="120" w:line="288" w:lineRule="auto"/>
        <w:ind w:left="0"/>
        <w:jc w:val="left"/>
      </w:pPr>
      <w:r>
        <w:rPr>
          <w:rFonts w:ascii="Arial" w:hAnsi="Arial" w:eastAsia="等线" w:cs="Arial"/>
          <w:sz w:val="22"/>
        </w:rPr>
        <w:t>标的资产（Underlying Asset）: 期权所依赖的标的资产，如股票、指数、ETF、货币（外汇）和商品等。</w:t>
      </w:r>
    </w:p>
    <w:p w14:paraId="1727F6E8">
      <w:pPr>
        <w:numPr>
          <w:ilvl w:val="0"/>
          <w:numId w:val="2"/>
        </w:numPr>
        <w:spacing w:before="120" w:after="120" w:line="288" w:lineRule="auto"/>
        <w:ind w:left="0"/>
        <w:jc w:val="left"/>
      </w:pPr>
      <w:r>
        <w:rPr>
          <w:rFonts w:ascii="Arial" w:hAnsi="Arial" w:eastAsia="等线" w:cs="Arial"/>
          <w:sz w:val="22"/>
        </w:rPr>
        <w:t>行权价（Strike Price）: 期权行权时买卖标的资产的价格。</w:t>
      </w:r>
    </w:p>
    <w:p w14:paraId="3C5BA3E3">
      <w:pPr>
        <w:numPr>
          <w:ilvl w:val="0"/>
          <w:numId w:val="3"/>
        </w:numPr>
        <w:spacing w:before="120" w:after="120" w:line="288" w:lineRule="auto"/>
        <w:ind w:left="0"/>
        <w:jc w:val="left"/>
      </w:pPr>
      <w:r>
        <w:rPr>
          <w:rFonts w:ascii="Arial" w:hAnsi="Arial" w:eastAsia="等线" w:cs="Arial"/>
          <w:sz w:val="22"/>
        </w:rPr>
        <w:t>到期日（Maturity Date）: 期权有效的最后日期。过了此日，期权作废。美式期权可在到期前任何时间行权，欧式期权只能在到期日行权。（SIE 考试中知道此区别即可，通常默认美式）。</w:t>
      </w:r>
    </w:p>
    <w:p w14:paraId="4635CE89">
      <w:pPr>
        <w:numPr>
          <w:ilvl w:val="0"/>
          <w:numId w:val="4"/>
        </w:numPr>
        <w:spacing w:before="120" w:after="120" w:line="288" w:lineRule="auto"/>
        <w:ind w:left="0"/>
        <w:jc w:val="left"/>
      </w:pPr>
      <w:r>
        <w:rPr>
          <w:rFonts w:ascii="Arial" w:hAnsi="Arial" w:eastAsia="等线" w:cs="Arial"/>
          <w:sz w:val="22"/>
        </w:rPr>
        <w:t>权利金/期权费（Premium）：购买期权时支付的费用，是买方的最大损失和卖方的最大收益。</w:t>
      </w:r>
    </w:p>
    <w:p w14:paraId="13B881B1">
      <w:pPr>
        <w:numPr>
          <w:ilvl w:val="0"/>
          <w:numId w:val="5"/>
        </w:numPr>
        <w:spacing w:before="120" w:after="120" w:line="288" w:lineRule="auto"/>
        <w:ind w:left="0"/>
        <w:jc w:val="left"/>
      </w:pPr>
      <w:r>
        <w:rPr>
          <w:rFonts w:ascii="Arial" w:hAnsi="Arial" w:eastAsia="等线" w:cs="Arial"/>
          <w:sz w:val="22"/>
        </w:rPr>
        <w:t>合约乘数（Contract Multiplier）：单张合约对应标的数量，股票期权一般为 100，即一张合约代表 100 股。</w:t>
      </w:r>
    </w:p>
    <w:p w14:paraId="10A2C48E">
      <w:pPr>
        <w:spacing w:before="120" w:after="120" w:line="288" w:lineRule="auto"/>
        <w:ind w:left="0"/>
        <w:jc w:val="left"/>
      </w:pPr>
    </w:p>
    <w:p w14:paraId="44C1CC34">
      <w:pPr>
        <w:spacing w:before="300" w:after="120" w:line="288" w:lineRule="auto"/>
        <w:ind w:left="0"/>
        <w:jc w:val="left"/>
        <w:outlineLvl w:val="2"/>
      </w:pPr>
      <w:bookmarkStart w:id="4" w:name="heading_4"/>
      <w:r>
        <w:rPr>
          <w:rFonts w:ascii="Arial" w:hAnsi="Arial" w:eastAsia="等线" w:cs="Arial"/>
          <w:color w:val="3370FF"/>
          <w:sz w:val="30"/>
        </w:rPr>
        <w:t xml:space="preserve">2.1.2 </w:t>
      </w:r>
      <w:r>
        <w:rPr>
          <w:rFonts w:ascii="Arial" w:hAnsi="Arial" w:eastAsia="等线" w:cs="Arial"/>
          <w:b/>
          <w:sz w:val="30"/>
        </w:rPr>
        <w:t>期权两大类型</w:t>
      </w:r>
      <w:bookmarkEnd w:id="4"/>
    </w:p>
    <w:p w14:paraId="7DFEED7A">
      <w:pPr>
        <w:spacing w:before="120" w:after="120" w:line="288" w:lineRule="auto"/>
        <w:ind w:left="0"/>
        <w:jc w:val="left"/>
      </w:pPr>
      <w:r>
        <w:rPr>
          <w:rFonts w:ascii="Arial" w:hAnsi="Arial" w:eastAsia="等线" w:cs="Arial"/>
          <w:sz w:val="22"/>
        </w:rPr>
        <w:t>期权最根本的分类就是两大类型：看涨期权（Call）和看跌期权（Put）。</w:t>
      </w:r>
    </w:p>
    <w:p w14:paraId="725762EA">
      <w:pPr>
        <w:spacing w:before="120" w:after="120" w:line="288" w:lineRule="auto"/>
        <w:ind w:left="0"/>
      </w:pPr>
      <w:r>
        <w:object>
          <v:shape id="_x0000_i1025" o:spt="75" type="#_x0000_t75" style="height:126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3AFC9D6">
      <w:pPr>
        <w:spacing w:after="120"/>
        <w:ind w:left="0"/>
        <w:jc w:val="center"/>
      </w:pPr>
      <w:r>
        <w:rPr>
          <w:rFonts w:ascii="Arial" w:hAnsi="Arial" w:eastAsia="等线" w:cs="Arial"/>
          <w:b/>
          <w:sz w:val="22"/>
        </w:rPr>
        <w:t>点击图片可查看完整电子表格</w:t>
      </w:r>
    </w:p>
    <w:p w14:paraId="0F18FCE8">
      <w:pPr>
        <w:spacing w:before="320" w:after="120" w:line="288" w:lineRule="auto"/>
        <w:ind w:left="0"/>
        <w:jc w:val="left"/>
        <w:outlineLvl w:val="1"/>
      </w:pPr>
      <w:bookmarkStart w:id="5" w:name="heading_5"/>
      <w:r>
        <w:rPr>
          <w:rFonts w:ascii="Arial" w:hAnsi="Arial" w:eastAsia="等线" w:cs="Arial"/>
          <w:color w:val="3370FF"/>
          <w:sz w:val="32"/>
        </w:rPr>
        <w:t xml:space="preserve">2.2 </w:t>
      </w:r>
      <w:r>
        <w:rPr>
          <w:rFonts w:ascii="Arial" w:hAnsi="Arial" w:eastAsia="等线" w:cs="Arial"/>
          <w:b/>
          <w:sz w:val="32"/>
        </w:rPr>
        <w:t>解读期权</w:t>
      </w:r>
      <w:bookmarkEnd w:id="5"/>
    </w:p>
    <w:p w14:paraId="4A7EF57F">
      <w:pPr>
        <w:spacing w:before="120" w:after="120" w:line="288" w:lineRule="auto"/>
        <w:ind w:left="0"/>
        <w:jc w:val="left"/>
      </w:pPr>
      <w:r>
        <w:rPr>
          <w:rFonts w:ascii="Arial" w:hAnsi="Arial" w:eastAsia="等线" w:cs="Arial"/>
          <w:sz w:val="22"/>
        </w:rPr>
        <w:t>要回答与期权相关的SIE问题，你必须能够读懂期权。</w:t>
      </w:r>
    </w:p>
    <w:p w14:paraId="4D360712">
      <w:pPr>
        <w:spacing w:before="120" w:after="120" w:line="288" w:lineRule="auto"/>
        <w:ind w:left="0"/>
        <w:jc w:val="left"/>
      </w:pPr>
    </w:p>
    <w:p w14:paraId="5AF4B7E2">
      <w:pPr>
        <w:spacing w:before="120" w:after="120" w:line="288" w:lineRule="auto"/>
        <w:ind w:left="0"/>
        <w:jc w:val="left"/>
      </w:pPr>
      <w:r>
        <w:rPr>
          <w:rFonts w:ascii="Arial" w:hAnsi="Arial" w:eastAsia="等线" w:cs="Arial"/>
          <w:sz w:val="22"/>
        </w:rPr>
        <w:t>以下示例将向你展示期权在实际考试中可能出现的形式：</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48ED2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5F458C7">
            <w:pPr>
              <w:spacing w:before="120" w:after="120" w:line="288" w:lineRule="auto"/>
              <w:ind w:left="0"/>
              <w:jc w:val="left"/>
            </w:pPr>
            <w:r>
              <w:rPr>
                <w:rFonts w:ascii="Arial" w:hAnsi="Arial" w:eastAsia="等线" w:cs="Arial"/>
                <w:sz w:val="22"/>
              </w:rPr>
              <w:t>Buy 1 XYZ Apr 60 call at 5</w:t>
            </w:r>
          </w:p>
        </w:tc>
      </w:tr>
    </w:tbl>
    <w:p w14:paraId="5C33D8A8">
      <w:pPr>
        <w:spacing w:before="120" w:after="120" w:line="288" w:lineRule="auto"/>
        <w:ind w:left="0"/>
        <w:jc w:val="left"/>
      </w:pPr>
      <w:r>
        <w:rPr>
          <w:rFonts w:ascii="Arial" w:hAnsi="Arial" w:eastAsia="等线" w:cs="Arial"/>
          <w:sz w:val="22"/>
        </w:rPr>
        <w:t>上面期权订单凭证可以看到七个要素：</w:t>
      </w:r>
    </w:p>
    <w:p w14:paraId="07937143">
      <w:pPr>
        <w:numPr>
          <w:ilvl w:val="0"/>
          <w:numId w:val="6"/>
        </w:numPr>
        <w:spacing w:before="120" w:after="120" w:line="288" w:lineRule="auto"/>
        <w:ind w:left="0"/>
        <w:jc w:val="left"/>
      </w:pPr>
      <w:r>
        <w:rPr>
          <w:rFonts w:ascii="Arial" w:hAnsi="Arial" w:eastAsia="等线" w:cs="Arial"/>
          <w:b/>
          <w:sz w:val="22"/>
        </w:rPr>
        <w:t>投资者是买入还是卖出期权</w:t>
      </w:r>
    </w:p>
    <w:p w14:paraId="15881A5E">
      <w:pPr>
        <w:spacing w:before="120" w:after="120" w:line="288" w:lineRule="auto"/>
        <w:ind w:left="0"/>
        <w:jc w:val="left"/>
      </w:pPr>
      <w:r>
        <w:rPr>
          <w:rFonts w:ascii="Arial" w:hAnsi="Arial" w:eastAsia="等线" w:cs="Arial"/>
          <w:sz w:val="22"/>
        </w:rPr>
        <w:t>当投资者买入（或做多、持有、拥有）一份期权时，他们处于有权地位；该投资者控制着期权，并决定是否以及何时行权。如果投资者卖出（做空或签发）一份期权，他们有义务履行合同条款，并且如果期权持有者行权，他们必须买入或卖出标的股票。</w:t>
      </w:r>
    </w:p>
    <w:p w14:paraId="14CB7990">
      <w:pPr>
        <w:numPr>
          <w:ilvl w:val="0"/>
          <w:numId w:val="7"/>
        </w:numPr>
        <w:spacing w:before="120" w:after="120" w:line="288" w:lineRule="auto"/>
        <w:ind w:left="0"/>
        <w:jc w:val="left"/>
      </w:pPr>
      <w:r>
        <w:rPr>
          <w:rFonts w:ascii="Arial" w:hAnsi="Arial" w:eastAsia="等线" w:cs="Arial"/>
          <w:b/>
          <w:sz w:val="22"/>
        </w:rPr>
        <w:t>合约规模：1</w:t>
      </w:r>
    </w:p>
    <w:p w14:paraId="558B0CB3">
      <w:pPr>
        <w:spacing w:before="120" w:after="120" w:line="288" w:lineRule="auto"/>
        <w:ind w:left="0"/>
        <w:jc w:val="left"/>
      </w:pPr>
      <w:r>
        <w:rPr>
          <w:rFonts w:ascii="Arial" w:hAnsi="Arial" w:eastAsia="等线" w:cs="Arial"/>
          <w:sz w:val="22"/>
        </w:rPr>
        <w:t>这里买入的期权合约数量是 1 张。一般情况下，一张期权合约代表 100 股底层股票。</w:t>
      </w:r>
    </w:p>
    <w:p w14:paraId="2A99F1B4">
      <w:pPr>
        <w:numPr>
          <w:ilvl w:val="0"/>
          <w:numId w:val="8"/>
        </w:numPr>
        <w:spacing w:before="120" w:after="120" w:line="288" w:lineRule="auto"/>
        <w:ind w:left="0"/>
        <w:jc w:val="left"/>
      </w:pPr>
      <w:r>
        <w:rPr>
          <w:rFonts w:ascii="Arial" w:hAnsi="Arial" w:eastAsia="等线" w:cs="Arial"/>
          <w:b/>
          <w:sz w:val="22"/>
        </w:rPr>
        <w:t>股票名称：XYZ</w:t>
      </w:r>
    </w:p>
    <w:p w14:paraId="52B436F4">
      <w:pPr>
        <w:spacing w:before="120" w:after="120" w:line="288" w:lineRule="auto"/>
        <w:ind w:left="0"/>
        <w:jc w:val="left"/>
      </w:pPr>
      <w:r>
        <w:rPr>
          <w:rFonts w:ascii="Arial" w:hAnsi="Arial" w:eastAsia="等线" w:cs="Arial"/>
          <w:sz w:val="22"/>
        </w:rPr>
        <w:t>在这种情况下，XYZ 是投资者有权以固定价格购买的标的股票。</w:t>
      </w:r>
    </w:p>
    <w:p w14:paraId="139C7BCA">
      <w:pPr>
        <w:numPr>
          <w:ilvl w:val="0"/>
          <w:numId w:val="9"/>
        </w:numPr>
        <w:spacing w:before="120" w:after="120" w:line="288" w:lineRule="auto"/>
        <w:ind w:left="0"/>
        <w:jc w:val="left"/>
      </w:pPr>
      <w:r>
        <w:rPr>
          <w:rFonts w:ascii="Arial" w:hAnsi="Arial" w:eastAsia="等线" w:cs="Arial"/>
          <w:b/>
          <w:sz w:val="22"/>
        </w:rPr>
        <w:t>期权的到期月份：4月</w:t>
      </w:r>
    </w:p>
    <w:p w14:paraId="0A6C9B09">
      <w:pPr>
        <w:spacing w:before="120" w:after="120" w:line="288" w:lineRule="auto"/>
        <w:ind w:left="0"/>
        <w:jc w:val="left"/>
      </w:pPr>
      <w:r>
        <w:rPr>
          <w:rFonts w:ascii="Arial" w:hAnsi="Arial" w:eastAsia="等线" w:cs="Arial"/>
          <w:sz w:val="22"/>
        </w:rPr>
        <w:t>所有期权都有固定的持有期限。过去，新期权的到期时间为自发行日起9个月。现在，投资者还可以购买每周和每季度到期的期权，以及长期期权（long-term equity anticipation securities，亲切地称为LEAPS）。在前面的例子中，该期权将在4月到期——更具体地说，是在4月第三个周五的美国东部时间下午4点（美国中部时间下午3点）。（所有期权都在到期月份的第三个周五到期。）</w:t>
      </w:r>
    </w:p>
    <w:p w14:paraId="3999DC4B">
      <w:pPr>
        <w:spacing w:before="120" w:after="120" w:line="288" w:lineRule="auto"/>
        <w:ind w:left="0"/>
        <w:jc w:val="left"/>
      </w:pPr>
    </w:p>
    <w:p w14:paraId="57196197">
      <w:pPr>
        <w:spacing w:before="120" w:after="120" w:line="288" w:lineRule="auto"/>
        <w:ind w:left="0"/>
        <w:jc w:val="left"/>
      </w:pPr>
      <w:r>
        <w:rPr>
          <w:rFonts w:ascii="Arial" w:hAnsi="Arial" w:eastAsia="等线" w:cs="Arial"/>
          <w:sz w:val="22"/>
        </w:rPr>
        <w:t>EST (东部标准时间) 通常比CST (中部标准时间) 更容易记住，也更常被考到。</w:t>
      </w:r>
    </w:p>
    <w:p w14:paraId="46B7206E">
      <w:pPr>
        <w:spacing w:before="120" w:after="120" w:line="288" w:lineRule="auto"/>
        <w:ind w:left="0"/>
        <w:jc w:val="left"/>
      </w:pPr>
    </w:p>
    <w:p w14:paraId="5CB62167">
      <w:pPr>
        <w:numPr>
          <w:ilvl w:val="0"/>
          <w:numId w:val="10"/>
        </w:numPr>
        <w:spacing w:before="120" w:after="120" w:line="288" w:lineRule="auto"/>
        <w:ind w:left="0"/>
        <w:jc w:val="left"/>
      </w:pPr>
      <w:r>
        <w:rPr>
          <w:rFonts w:ascii="Arial" w:hAnsi="Arial" w:eastAsia="等线" w:cs="Arial"/>
          <w:b/>
          <w:sz w:val="22"/>
        </w:rPr>
        <w:t>期权行权价为 60</w:t>
      </w:r>
    </w:p>
    <w:p w14:paraId="12D521F6">
      <w:pPr>
        <w:spacing w:before="120" w:after="120" w:line="288" w:lineRule="auto"/>
        <w:ind w:left="0"/>
        <w:jc w:val="left"/>
      </w:pPr>
      <w:r>
        <w:rPr>
          <w:rFonts w:ascii="Arial" w:hAnsi="Arial" w:eastAsia="等线" w:cs="Arial"/>
          <w:sz w:val="22"/>
        </w:rPr>
        <w:t>当期权买方行使期权时，他们会利用期权合约让期权卖方以行权价买入或卖出标的股票。在这种情况下，如果持有者行使期权，该期权持有者将能够以每股60美元的价格购买100股XYZ股票。</w:t>
      </w:r>
    </w:p>
    <w:p w14:paraId="7F974FCB">
      <w:pPr>
        <w:spacing w:before="120" w:after="120" w:line="288" w:lineRule="auto"/>
        <w:ind w:left="0"/>
        <w:jc w:val="left"/>
      </w:pPr>
    </w:p>
    <w:p w14:paraId="60E16AB2">
      <w:pPr>
        <w:numPr>
          <w:ilvl w:val="0"/>
          <w:numId w:val="11"/>
        </w:numPr>
        <w:spacing w:before="120" w:after="120" w:line="288" w:lineRule="auto"/>
        <w:ind w:left="0"/>
        <w:jc w:val="left"/>
      </w:pPr>
      <w:r>
        <w:rPr>
          <w:rFonts w:ascii="Arial" w:hAnsi="Arial" w:eastAsia="等线" w:cs="Arial"/>
          <w:b/>
          <w:sz w:val="22"/>
        </w:rPr>
        <w:t>期权类型是 Call</w:t>
      </w:r>
    </w:p>
    <w:p w14:paraId="6594B9DB">
      <w:pPr>
        <w:spacing w:before="120" w:after="120" w:line="288" w:lineRule="auto"/>
        <w:ind w:left="0"/>
        <w:jc w:val="left"/>
      </w:pPr>
      <w:r>
        <w:rPr>
          <w:rFonts w:ascii="Arial" w:hAnsi="Arial" w:eastAsia="等线" w:cs="Arial"/>
          <w:sz w:val="22"/>
        </w:rPr>
        <w:t>投资者可以买入或卖出看涨期权（Call），也可以买入或卖出看跌期权（Put）。Call 赋予持有者以约定价格买入标的证券的权利，而 Put 则赋予持有者卖出标的证券的权利。因此，在上面的示例中，持有者有权以之前步骤中规定的价格购买标的证券。</w:t>
      </w:r>
    </w:p>
    <w:p w14:paraId="4FF47A30">
      <w:pPr>
        <w:spacing w:before="120" w:after="120" w:line="288" w:lineRule="auto"/>
        <w:ind w:left="0"/>
        <w:jc w:val="left"/>
      </w:pPr>
    </w:p>
    <w:p w14:paraId="65466822">
      <w:pPr>
        <w:numPr>
          <w:ilvl w:val="0"/>
          <w:numId w:val="12"/>
        </w:numPr>
        <w:spacing w:before="120" w:after="120" w:line="288" w:lineRule="auto"/>
        <w:ind w:left="0"/>
        <w:jc w:val="left"/>
      </w:pPr>
      <w:r>
        <w:rPr>
          <w:rFonts w:ascii="Arial" w:hAnsi="Arial" w:eastAsia="等线" w:cs="Arial"/>
          <w:b/>
          <w:sz w:val="22"/>
        </w:rPr>
        <w:t>期权费：5</w:t>
      </w:r>
    </w:p>
    <w:p w14:paraId="71F2090D">
      <w:pPr>
        <w:spacing w:before="120" w:after="120" w:line="288" w:lineRule="auto"/>
        <w:ind w:left="0"/>
        <w:jc w:val="left"/>
      </w:pPr>
      <w:r>
        <w:rPr>
          <w:rFonts w:ascii="Arial" w:hAnsi="Arial" w:eastAsia="等线" w:cs="Arial"/>
          <w:sz w:val="22"/>
        </w:rPr>
        <w:t>当然，期权投资者不会白白获得期权。投资者需要以期权费购买期权。这个例子期权费为5，因此购买者需要支付500美元（5乘以每份期权对应的100股）。</w:t>
      </w:r>
    </w:p>
    <w:p w14:paraId="05986E18">
      <w:pPr>
        <w:spacing w:before="320" w:after="120" w:line="288" w:lineRule="auto"/>
        <w:ind w:left="0"/>
        <w:jc w:val="left"/>
        <w:outlineLvl w:val="1"/>
      </w:pPr>
      <w:bookmarkStart w:id="6" w:name="heading_6"/>
      <w:r>
        <w:rPr>
          <w:rFonts w:ascii="Arial" w:hAnsi="Arial" w:eastAsia="等线" w:cs="Arial"/>
          <w:color w:val="3370FF"/>
          <w:sz w:val="32"/>
        </w:rPr>
        <w:t xml:space="preserve">2.3 </w:t>
      </w:r>
      <w:r>
        <w:rPr>
          <w:rFonts w:ascii="Arial" w:hAnsi="Arial" w:eastAsia="等线" w:cs="Arial"/>
          <w:b/>
          <w:sz w:val="32"/>
        </w:rPr>
        <w:t>看涨与看跌期权</w:t>
      </w:r>
      <w:bookmarkEnd w:id="6"/>
    </w:p>
    <w:p w14:paraId="3D290A35">
      <w:pPr>
        <w:spacing w:before="300" w:after="120" w:line="288" w:lineRule="auto"/>
        <w:ind w:left="0"/>
        <w:jc w:val="left"/>
        <w:outlineLvl w:val="2"/>
      </w:pPr>
      <w:bookmarkStart w:id="7" w:name="heading_7"/>
      <w:r>
        <w:rPr>
          <w:rFonts w:ascii="Arial" w:hAnsi="Arial" w:eastAsia="等线" w:cs="Arial"/>
          <w:color w:val="3370FF"/>
          <w:sz w:val="30"/>
        </w:rPr>
        <w:t xml:space="preserve">2.3.1 </w:t>
      </w:r>
      <w:r>
        <w:rPr>
          <w:rFonts w:ascii="Arial" w:hAnsi="Arial" w:eastAsia="等线" w:cs="Arial"/>
          <w:b/>
          <w:sz w:val="30"/>
        </w:rPr>
        <w:t>看涨期权：买入的权利</w:t>
      </w:r>
      <w:bookmarkEnd w:id="7"/>
    </w:p>
    <w:p w14:paraId="1457BC01">
      <w:pPr>
        <w:spacing w:before="120" w:after="120" w:line="288" w:lineRule="auto"/>
        <w:ind w:left="0"/>
        <w:jc w:val="left"/>
      </w:pPr>
      <w:r>
        <w:rPr>
          <w:rFonts w:ascii="Arial" w:hAnsi="Arial" w:eastAsia="等线" w:cs="Arial"/>
          <w:sz w:val="22"/>
        </w:rPr>
        <w:t>看涨期权赋予持有者（买方）以固定价格购买100股证券的权利，但并非义务，而卖方则有义务以该固定价格出售股票。（如果卖方不持有100股标的证券，他们就必须在市场上买入这些股票，才能履行其义务。）</w:t>
      </w:r>
    </w:p>
    <w:p w14:paraId="50344202">
      <w:pPr>
        <w:spacing w:before="120" w:after="120" w:line="288" w:lineRule="auto"/>
        <w:ind w:left="0"/>
        <w:jc w:val="left"/>
      </w:pPr>
    </w:p>
    <w:p w14:paraId="6587C905">
      <w:pPr>
        <w:spacing w:before="120" w:after="120" w:line="288" w:lineRule="auto"/>
        <w:ind w:left="0"/>
        <w:jc w:val="left"/>
      </w:pPr>
      <w:r>
        <w:rPr>
          <w:rFonts w:ascii="Arial" w:hAnsi="Arial" w:eastAsia="等线" w:cs="Arial"/>
          <w:sz w:val="22"/>
        </w:rPr>
        <w:t>看涨期权的持有者是看涨的（可以想象一头公牛向前冲），因为投资者希望股票价格上涨。如果股票价格涨到行权价之上，持有者可以选择行权（以合适的价格买入股票），或者卖出期权获利。相比之下，看涨期权的卖方是中性或看跌的（想象一头熊在冬天冬眠），因为他们希望股票价格要么保持不变，要么下跌。</w:t>
      </w:r>
    </w:p>
    <w:p w14:paraId="332BE305">
      <w:pPr>
        <w:spacing w:before="120" w:after="120" w:line="288" w:lineRule="auto"/>
        <w:ind w:left="0"/>
        <w:jc w:val="left"/>
      </w:pPr>
    </w:p>
    <w:p w14:paraId="023789CA">
      <w:pPr>
        <w:spacing w:before="120" w:after="120" w:line="288" w:lineRule="auto"/>
        <w:ind w:left="0"/>
        <w:jc w:val="left"/>
      </w:pPr>
      <w:r>
        <w:rPr>
          <w:rFonts w:ascii="Arial" w:hAnsi="Arial" w:eastAsia="等线" w:cs="Arial"/>
          <w:sz w:val="22"/>
        </w:rPr>
        <w:t>举个例子。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F122A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BA30778">
            <w:pPr>
              <w:spacing w:before="120" w:after="120" w:line="288" w:lineRule="auto"/>
              <w:ind w:left="0"/>
              <w:jc w:val="left"/>
            </w:pPr>
            <w:r>
              <w:rPr>
                <w:rFonts w:ascii="Arial" w:hAnsi="Arial" w:eastAsia="等线" w:cs="Arial"/>
                <w:color w:val="646A73"/>
                <w:sz w:val="22"/>
              </w:rPr>
              <w:t>假设史密斯女士购买了1份DEF公司10月到期、执行价格为40的看涨期权。史密斯女士获得了以40的价格购买100股DEF股票的权利。如果DEF的股价上涨至超过$40 per share, this option becomes very valuable to Ms. Smith because she can purchase the stock at $40每股，她可以按市价卖出股票，或者以更高的价格卖出该期权。</w:t>
            </w:r>
          </w:p>
          <w:p w14:paraId="66693EFE">
            <w:pPr>
              <w:spacing w:before="120" w:after="120" w:line="288" w:lineRule="auto"/>
              <w:ind w:left="0"/>
              <w:jc w:val="left"/>
            </w:pPr>
          </w:p>
          <w:p w14:paraId="6C518EE4">
            <w:pPr>
              <w:spacing w:before="120" w:after="120" w:line="288" w:lineRule="auto"/>
              <w:ind w:left="0"/>
              <w:jc w:val="left"/>
            </w:pPr>
            <w:r>
              <w:rPr>
                <w:rFonts w:ascii="Arial" w:hAnsi="Arial" w:eastAsia="等线" w:cs="Arial"/>
                <w:color w:val="646A73"/>
                <w:sz w:val="22"/>
              </w:rPr>
              <w:t>如果DEF的股价从未超过40美元的行权价，那么这份期权对可怜的史密斯女士来说就没有价值，她也不会行权。不过，这对期权卖方来说是有利的，因为卖方通过出售期权获得了权利金，并且可以将这笔权利金收入囊中。</w:t>
            </w:r>
          </w:p>
        </w:tc>
      </w:tr>
    </w:tbl>
    <w:p w14:paraId="5C0EFC65">
      <w:pPr>
        <w:spacing w:before="120" w:after="120" w:line="288" w:lineRule="auto"/>
        <w:ind w:left="0"/>
        <w:jc w:val="left"/>
      </w:pPr>
    </w:p>
    <w:p w14:paraId="1EB14F39">
      <w:pPr>
        <w:spacing w:before="300" w:after="120" w:line="288" w:lineRule="auto"/>
        <w:ind w:left="0"/>
        <w:jc w:val="left"/>
        <w:outlineLvl w:val="2"/>
      </w:pPr>
      <w:bookmarkStart w:id="8" w:name="heading_8"/>
      <w:r>
        <w:rPr>
          <w:rFonts w:ascii="Arial" w:hAnsi="Arial" w:eastAsia="等线" w:cs="Arial"/>
          <w:color w:val="3370FF"/>
          <w:sz w:val="30"/>
        </w:rPr>
        <w:t xml:space="preserve">2.3.2 </w:t>
      </w:r>
      <w:r>
        <w:rPr>
          <w:rFonts w:ascii="Arial" w:hAnsi="Arial" w:eastAsia="等线" w:cs="Arial"/>
          <w:b/>
          <w:sz w:val="30"/>
        </w:rPr>
        <w:t>看跌期权：卖出的权利</w:t>
      </w:r>
      <w:bookmarkEnd w:id="8"/>
    </w:p>
    <w:p w14:paraId="28CA413D">
      <w:pPr>
        <w:spacing w:before="120" w:after="120" w:line="288" w:lineRule="auto"/>
        <w:ind w:left="0"/>
        <w:jc w:val="left"/>
      </w:pPr>
      <w:r>
        <w:rPr>
          <w:rFonts w:ascii="Arial" w:hAnsi="Arial" w:eastAsia="等线" w:cs="Arial"/>
          <w:sz w:val="22"/>
        </w:rPr>
        <w:t>你可以把看跌期权看作是看涨期权的对立面。看跌期权的持有者有权以固定价格出售100股证券，而看跌期权的卖方在期权被行权时有义务买入该股票。</w:t>
      </w:r>
    </w:p>
    <w:p w14:paraId="12950BD8">
      <w:pPr>
        <w:spacing w:before="120" w:after="120" w:line="288" w:lineRule="auto"/>
        <w:ind w:left="0"/>
        <w:jc w:val="left"/>
      </w:pPr>
    </w:p>
    <w:p w14:paraId="5D1BB7AA">
      <w:pPr>
        <w:spacing w:before="120" w:after="120" w:line="288" w:lineRule="auto"/>
        <w:ind w:left="0"/>
        <w:jc w:val="left"/>
      </w:pPr>
      <w:r>
        <w:rPr>
          <w:rFonts w:ascii="Arial" w:hAnsi="Arial" w:eastAsia="等线" w:cs="Arial"/>
          <w:sz w:val="22"/>
        </w:rPr>
        <w:t>看跌期权的持有者是看空的，因为投资者希望股票价格下跌（这样他们就可以以市场价格买入股票，然后立即以更高的行权价格卖出，或者以更高的溢价卖出他们的期权）。然而，看跌期权的卖方是看涨的（他们希望股票价格上涨），因为这会防止期权变成实值期权，并让他们保留所收到的权利金。</w:t>
      </w:r>
    </w:p>
    <w:p w14:paraId="2DE95198">
      <w:pPr>
        <w:spacing w:before="120" w:after="120" w:line="288" w:lineRule="auto"/>
        <w:ind w:left="0"/>
        <w:jc w:val="left"/>
      </w:pPr>
    </w:p>
    <w:p w14:paraId="11270E6B">
      <w:pPr>
        <w:spacing w:before="120" w:after="120" w:line="288" w:lineRule="auto"/>
        <w:ind w:left="0"/>
        <w:jc w:val="left"/>
      </w:pPr>
      <w:r>
        <w:rPr>
          <w:rFonts w:ascii="Arial" w:hAnsi="Arial" w:eastAsia="等线" w:cs="Arial"/>
          <w:sz w:val="22"/>
        </w:rPr>
        <w:t>举个例子。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454A8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5FAD60D">
            <w:pPr>
              <w:spacing w:before="120" w:after="120" w:line="288" w:lineRule="auto"/>
              <w:ind w:left="0"/>
              <w:jc w:val="left"/>
            </w:pPr>
            <w:r>
              <w:rPr>
                <w:rFonts w:ascii="Arial" w:hAnsi="Arial" w:eastAsia="等线" w:cs="Arial"/>
                <w:color w:val="646A73"/>
                <w:sz w:val="22"/>
              </w:rPr>
              <w:t>假设琼斯先生购买了1份ABC公司10月到期的60美元看跌期权。琼斯先生获得了以60美元的价格出售100股ABC股票的权利。如果ABC股票的价格降至每股低于$60, 这个期权对琼斯先生很有价值。如果ABC降到50美元，琼斯可以在市场上买入该股票，并行使期权以每股60美元的价格卖出，赚取差价。</w:t>
            </w:r>
          </w:p>
          <w:p w14:paraId="61FE679C">
            <w:pPr>
              <w:spacing w:before="120" w:after="120" w:line="288" w:lineRule="auto"/>
              <w:ind w:left="0"/>
              <w:jc w:val="left"/>
            </w:pPr>
          </w:p>
          <w:p w14:paraId="58965709">
            <w:pPr>
              <w:spacing w:before="120" w:after="120" w:line="288" w:lineRule="auto"/>
              <w:ind w:left="0"/>
              <w:jc w:val="left"/>
            </w:pPr>
            <w:r>
              <w:rPr>
                <w:rFonts w:ascii="Arial" w:hAnsi="Arial" w:eastAsia="等线" w:cs="Arial"/>
                <w:color w:val="646A73"/>
                <w:sz w:val="22"/>
              </w:rPr>
              <w:t>如果ABC的价格从未低于60美元的行权价，那么这份期权对琼斯先生来说就没有价值，他不会行权。不过，这对期权卖方来说是有利的，因为卖方通过出售期权获得了权利金，并且可以保留这笔钱。</w:t>
            </w:r>
          </w:p>
        </w:tc>
      </w:tr>
    </w:tbl>
    <w:p w14:paraId="0EF5B8CC">
      <w:pPr>
        <w:spacing w:before="120" w:after="120" w:line="288" w:lineRule="auto"/>
        <w:ind w:left="0"/>
        <w:jc w:val="left"/>
      </w:pPr>
    </w:p>
    <w:p w14:paraId="73BAD17F">
      <w:pPr>
        <w:spacing w:before="320" w:after="120" w:line="288" w:lineRule="auto"/>
        <w:ind w:left="0"/>
        <w:jc w:val="left"/>
        <w:outlineLvl w:val="1"/>
      </w:pPr>
      <w:bookmarkStart w:id="9" w:name="heading_9"/>
      <w:r>
        <w:rPr>
          <w:rFonts w:ascii="Arial" w:hAnsi="Arial" w:eastAsia="等线" w:cs="Arial"/>
          <w:color w:val="3370FF"/>
          <w:sz w:val="32"/>
        </w:rPr>
        <w:t xml:space="preserve">2.4 </w:t>
      </w:r>
      <w:r>
        <w:rPr>
          <w:rFonts w:ascii="Arial" w:hAnsi="Arial" w:eastAsia="等线" w:cs="Arial"/>
          <w:b/>
          <w:sz w:val="32"/>
        </w:rPr>
        <w:t>收回资金：期权的实值、平值与虚值状态</w:t>
      </w:r>
      <w:bookmarkEnd w:id="9"/>
    </w:p>
    <w:p w14:paraId="221393E5">
      <w:pPr>
        <w:spacing w:before="120" w:after="120" w:line="288" w:lineRule="auto"/>
        <w:ind w:left="0"/>
        <w:jc w:val="left"/>
      </w:pPr>
      <w:r>
        <w:rPr>
          <w:rFonts w:ascii="Arial" w:hAnsi="Arial" w:eastAsia="等线" w:cs="Arial"/>
          <w:sz w:val="22"/>
        </w:rPr>
        <w:t>要判断一项期权是实值还是虚值，你需要弄清楚如果该期权被行权，投资者是否能够收回部分权利金。</w:t>
      </w:r>
    </w:p>
    <w:p w14:paraId="11C4469B">
      <w:pPr>
        <w:spacing w:before="120" w:after="120" w:line="288" w:lineRule="auto"/>
        <w:ind w:left="0"/>
        <w:jc w:val="left"/>
      </w:pPr>
    </w:p>
    <w:p w14:paraId="7E447E75">
      <w:pPr>
        <w:spacing w:before="120" w:after="120" w:line="288" w:lineRule="auto"/>
        <w:ind w:left="0"/>
        <w:jc w:val="left"/>
      </w:pPr>
      <w:r>
        <w:rPr>
          <w:rFonts w:ascii="Arial" w:hAnsi="Arial" w:eastAsia="等线" w:cs="Arial"/>
          <w:sz w:val="22"/>
        </w:rPr>
        <w:t>可以通过计算市场价格与行权价之间的差额，来确定期权是实值多少还是虚值多少。以下是判断期权实值程度的方法：</w:t>
      </w:r>
    </w:p>
    <w:p w14:paraId="61A542C6">
      <w:pPr>
        <w:spacing w:before="120" w:after="120" w:line="288" w:lineRule="auto"/>
        <w:ind w:left="0"/>
      </w:pPr>
      <w:r>
        <w:object>
          <v:shape id="_x0000_i1026" o:spt="75" type="#_x0000_t75" style="height:85pt;width:414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33F37EE4">
      <w:pPr>
        <w:spacing w:after="120"/>
        <w:ind w:left="0"/>
        <w:jc w:val="center"/>
      </w:pPr>
      <w:r>
        <w:rPr>
          <w:rFonts w:ascii="Arial" w:hAnsi="Arial" w:eastAsia="等线" w:cs="Arial"/>
          <w:b/>
          <w:sz w:val="22"/>
        </w:rPr>
        <w:t>点击图片可查看完整电子表格</w:t>
      </w:r>
    </w:p>
    <w:p w14:paraId="4F7EAE4D">
      <w:pPr>
        <w:spacing w:before="120" w:after="120" w:line="288" w:lineRule="auto"/>
        <w:ind w:left="0"/>
        <w:jc w:val="left"/>
      </w:pPr>
      <w:r>
        <w:rPr>
          <w:rFonts w:ascii="Arial" w:hAnsi="Arial" w:eastAsia="等线" w:cs="Arial"/>
          <w:sz w:val="22"/>
        </w:rPr>
        <w:t xml:space="preserve">记忆技巧: </w:t>
      </w:r>
      <w:r>
        <w:rPr>
          <w:rFonts w:ascii="Arial" w:hAnsi="Arial" w:eastAsia="等线" w:cs="Arial"/>
          <w:b/>
          <w:sz w:val="22"/>
        </w:rPr>
        <w:t>实值期权有内在价值，虚值和平值期权只有时间价值</w:t>
      </w:r>
      <w:r>
        <w:rPr>
          <w:rFonts w:ascii="Arial" w:hAnsi="Arial" w:eastAsia="等线" w:cs="Arial"/>
          <w:sz w:val="22"/>
        </w:rPr>
        <w:t>。</w:t>
      </w:r>
    </w:p>
    <w:p w14:paraId="19BD90B8">
      <w:pPr>
        <w:spacing w:before="120" w:after="120" w:line="288" w:lineRule="auto"/>
        <w:ind w:left="0"/>
        <w:jc w:val="left"/>
      </w:pPr>
    </w:p>
    <w:p w14:paraId="289035DD">
      <w:pPr>
        <w:spacing w:before="120" w:after="120" w:line="288" w:lineRule="auto"/>
        <w:ind w:left="0"/>
        <w:jc w:val="left"/>
      </w:pPr>
      <w:r>
        <w:rPr>
          <w:rFonts w:ascii="Arial" w:hAnsi="Arial" w:eastAsia="等线" w:cs="Arial"/>
          <w:sz w:val="22"/>
        </w:rPr>
        <w:t>当期权处于虚值状态时，行权意味着投资者无法获得最优价格；他们将不得不以高于市场价值的价格买入证券，或以低于市场价值的价格卖出证券。显然，持有虚值期权的人不会行权。</w:t>
      </w:r>
    </w:p>
    <w:p w14:paraId="36F46B19">
      <w:pPr>
        <w:spacing w:before="120" w:after="120" w:line="288" w:lineRule="auto"/>
        <w:ind w:left="0"/>
        <w:jc w:val="left"/>
      </w:pPr>
    </w:p>
    <w:p w14:paraId="4D81ACAB">
      <w:pPr>
        <w:spacing w:before="120" w:after="120" w:line="288" w:lineRule="auto"/>
        <w:ind w:left="0"/>
        <w:jc w:val="left"/>
      </w:pPr>
      <w:r>
        <w:rPr>
          <w:rFonts w:ascii="Arial" w:hAnsi="Arial" w:eastAsia="等线" w:cs="Arial"/>
          <w:sz w:val="22"/>
        </w:rPr>
        <w:t>当行权价格与市场价格相同时，该期权为平价期权；无论该期权是看涨期权还是看跌期权，情况都是如此。</w:t>
      </w:r>
    </w:p>
    <w:p w14:paraId="095E9610">
      <w:pPr>
        <w:spacing w:before="120" w:after="120" w:line="288" w:lineRule="auto"/>
        <w:ind w:left="0"/>
        <w:jc w:val="left"/>
      </w:pPr>
    </w:p>
    <w:p w14:paraId="374790EE">
      <w:pPr>
        <w:spacing w:before="120" w:after="120" w:line="288" w:lineRule="auto"/>
        <w:ind w:left="0"/>
        <w:jc w:val="left"/>
      </w:pPr>
      <w:r>
        <w:rPr>
          <w:rFonts w:ascii="Arial" w:hAnsi="Arial" w:eastAsia="等线" w:cs="Arial"/>
          <w:sz w:val="22"/>
        </w:rPr>
        <w:t>当期权处于实值状态时，行权可以让投资者以高于当前市值的价格卖出证券，或以低于当前市值的价格买入证券——这是一笔相当划算的交易。</w:t>
      </w:r>
    </w:p>
    <w:p w14:paraId="1EDD038D">
      <w:pPr>
        <w:spacing w:before="120" w:after="120" w:line="288" w:lineRule="auto"/>
        <w:ind w:left="0"/>
        <w:jc w:val="left"/>
      </w:pPr>
    </w:p>
    <w:p w14:paraId="3381C495">
      <w:pPr>
        <w:spacing w:before="120" w:after="120" w:line="288" w:lineRule="auto"/>
        <w:ind w:left="0"/>
        <w:jc w:val="left"/>
      </w:pPr>
      <w:r>
        <w:rPr>
          <w:rFonts w:ascii="Arial" w:hAnsi="Arial" w:eastAsia="等线" w:cs="Arial"/>
          <w:sz w:val="22"/>
        </w:rPr>
        <w:t>期权的内在价值是指期权处于实值状态的金额；</w:t>
      </w:r>
      <w:r>
        <w:rPr>
          <w:rFonts w:ascii="Arial" w:hAnsi="Arial" w:eastAsia="等线" w:cs="Arial"/>
          <w:b/>
          <w:sz w:val="22"/>
        </w:rPr>
        <w:t>如果期权处于虚值或平值状态，其内在价值为零</w:t>
      </w:r>
      <w:r>
        <w:rPr>
          <w:rFonts w:ascii="Arial" w:hAnsi="Arial" w:eastAsia="等线" w:cs="Arial"/>
          <w:sz w:val="22"/>
        </w:rPr>
        <w:t>。</w:t>
      </w:r>
    </w:p>
    <w:p w14:paraId="7F190044">
      <w:pPr>
        <w:spacing w:before="120" w:after="120" w:line="288" w:lineRule="auto"/>
        <w:ind w:left="0"/>
        <w:jc w:val="left"/>
      </w:pPr>
    </w:p>
    <w:p w14:paraId="78F78D08">
      <w:pPr>
        <w:spacing w:before="120" w:after="120" w:line="288" w:lineRule="auto"/>
        <w:ind w:left="0"/>
        <w:jc w:val="left"/>
      </w:pPr>
      <w:r>
        <w:rPr>
          <w:rFonts w:ascii="Arial" w:hAnsi="Arial" w:eastAsia="等线" w:cs="Arial"/>
          <w:sz w:val="22"/>
        </w:rPr>
        <w:t>举个例子。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5EEC1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D11C6C9">
            <w:pPr>
              <w:spacing w:before="120" w:after="120" w:line="288" w:lineRule="auto"/>
              <w:ind w:left="0"/>
              <w:jc w:val="left"/>
            </w:pPr>
            <w:r>
              <w:rPr>
                <w:rFonts w:ascii="Arial" w:hAnsi="Arial" w:eastAsia="等线" w:cs="Arial"/>
                <w:color w:val="646A73"/>
                <w:sz w:val="22"/>
              </w:rPr>
              <w:t>看涨期权——即买入的权利——当股票价格高于行权价格时处于实值状态。假设一位投资者购买了DEF公司的60美元看涨期权，而此时DEF的股价为62美元。在这种情况下，该期权将有2个点的实值（即期权的内在价值）。如果同一位投资者在DEF股价为55美元时购买该60美元看涨期权，那么该期权将有5个点的虚值（内在价值为零）。</w:t>
            </w:r>
          </w:p>
          <w:p w14:paraId="24E2DF53">
            <w:pPr>
              <w:spacing w:before="120" w:after="120" w:line="288" w:lineRule="auto"/>
              <w:ind w:left="0"/>
              <w:jc w:val="left"/>
            </w:pPr>
          </w:p>
          <w:p w14:paraId="060ECB83">
            <w:pPr>
              <w:spacing w:before="120" w:after="120" w:line="288" w:lineRule="auto"/>
              <w:ind w:left="0"/>
              <w:jc w:val="left"/>
            </w:pPr>
            <w:r>
              <w:rPr>
                <w:rFonts w:ascii="Arial" w:hAnsi="Arial" w:eastAsia="等线" w:cs="Arial"/>
                <w:color w:val="646A73"/>
                <w:sz w:val="22"/>
              </w:rPr>
              <w:t>看跌期权——即卖出的权利——当股票价格跌至行权价以下时处于实值状态。例如，当TUV的股价跌至80以下时，TUV 80看跌期权就处于实值状态。反之亦然：如果看跌期权在股票价格低于行权价时为实值，那么当股票价格高于行权价时，它必然为虚值。</w:t>
            </w:r>
          </w:p>
        </w:tc>
      </w:tr>
    </w:tbl>
    <w:p w14:paraId="186F5637">
      <w:pPr>
        <w:spacing w:before="120" w:after="120" w:line="288" w:lineRule="auto"/>
        <w:ind w:left="0"/>
        <w:jc w:val="left"/>
      </w:pPr>
    </w:p>
    <w:p w14:paraId="480714F2">
      <w:pPr>
        <w:spacing w:before="120" w:after="120" w:line="288" w:lineRule="auto"/>
        <w:ind w:left="0"/>
        <w:jc w:val="left"/>
      </w:pPr>
      <w:r>
        <w:rPr>
          <w:rFonts w:ascii="Arial" w:hAnsi="Arial" w:eastAsia="等线" w:cs="Arial"/>
          <w:b/>
          <w:sz w:val="22"/>
        </w:rPr>
        <w:t>注意：</w:t>
      </w:r>
      <w:r>
        <w:rPr>
          <w:rFonts w:ascii="Arial" w:hAnsi="Arial" w:eastAsia="等线" w:cs="Arial"/>
          <w:sz w:val="22"/>
        </w:rPr>
        <w:t>在判断期权是实值还是虚值时，不要考虑期权的成本（权利金）。拥有实值期权并不等同于获利，因为内加价值可能低于支付的权利金。</w:t>
      </w:r>
    </w:p>
    <w:p w14:paraId="728B60CA">
      <w:pPr>
        <w:spacing w:before="320" w:after="120" w:line="288" w:lineRule="auto"/>
        <w:ind w:left="0"/>
        <w:jc w:val="left"/>
        <w:outlineLvl w:val="1"/>
      </w:pPr>
      <w:bookmarkStart w:id="10" w:name="heading_10"/>
      <w:r>
        <w:rPr>
          <w:rFonts w:ascii="Arial" w:hAnsi="Arial" w:eastAsia="等线" w:cs="Arial"/>
          <w:color w:val="3370FF"/>
          <w:sz w:val="32"/>
        </w:rPr>
        <w:t xml:space="preserve">2.5 </w:t>
      </w:r>
      <w:r>
        <w:rPr>
          <w:rFonts w:ascii="Arial" w:hAnsi="Arial" w:eastAsia="等线" w:cs="Arial"/>
          <w:b/>
          <w:sz w:val="32"/>
        </w:rPr>
        <w:t>内在价值与时间价值</w:t>
      </w:r>
      <w:bookmarkEnd w:id="10"/>
    </w:p>
    <w:p w14:paraId="6A27A17E">
      <w:pPr>
        <w:numPr>
          <w:ilvl w:val="0"/>
          <w:numId w:val="13"/>
        </w:numPr>
        <w:spacing w:before="120" w:after="120" w:line="288" w:lineRule="auto"/>
        <w:ind w:left="0"/>
        <w:jc w:val="left"/>
      </w:pPr>
      <w:r>
        <w:rPr>
          <w:rFonts w:ascii="Arial" w:hAnsi="Arial" w:eastAsia="等线" w:cs="Arial"/>
          <w:sz w:val="22"/>
        </w:rPr>
        <w:t>内在价值: 期权立即行权可以获得的利润。</w:t>
      </w:r>
    </w:p>
    <w:p w14:paraId="1EA8579B">
      <w:pPr>
        <w:numPr>
          <w:ilvl w:val="0"/>
          <w:numId w:val="14"/>
        </w:numPr>
        <w:spacing w:before="120" w:after="120" w:line="288" w:lineRule="auto"/>
        <w:ind w:left="453"/>
        <w:jc w:val="left"/>
      </w:pPr>
      <w:r>
        <w:rPr>
          <w:rFonts w:ascii="Arial" w:hAnsi="Arial" w:eastAsia="等线" w:cs="Arial"/>
          <w:sz w:val="22"/>
        </w:rPr>
        <w:t>看涨期权内在价值 = 标的市价 - 行权价 （如果为正，否则为0）</w:t>
      </w:r>
    </w:p>
    <w:p w14:paraId="7B3093B9">
      <w:pPr>
        <w:numPr>
          <w:ilvl w:val="0"/>
          <w:numId w:val="15"/>
        </w:numPr>
        <w:spacing w:before="120" w:after="120" w:line="288" w:lineRule="auto"/>
        <w:ind w:left="453"/>
        <w:jc w:val="left"/>
      </w:pPr>
      <w:r>
        <w:rPr>
          <w:rFonts w:ascii="Arial" w:hAnsi="Arial" w:eastAsia="等线" w:cs="Arial"/>
          <w:sz w:val="22"/>
        </w:rPr>
        <w:t>看跌期权内在价值 = 行权价 - 标的市价 （如果为正，否则为0）</w:t>
      </w:r>
    </w:p>
    <w:p w14:paraId="3626B546">
      <w:pPr>
        <w:numPr>
          <w:ilvl w:val="0"/>
          <w:numId w:val="16"/>
        </w:numPr>
        <w:spacing w:before="120" w:after="120" w:line="288" w:lineRule="auto"/>
        <w:ind w:left="0"/>
        <w:jc w:val="left"/>
      </w:pPr>
      <w:r>
        <w:rPr>
          <w:rFonts w:ascii="Arial" w:hAnsi="Arial" w:eastAsia="等线" w:cs="Arial"/>
          <w:sz w:val="22"/>
        </w:rPr>
        <w:t>时间价值: 期权费中超出内在价值的部分。代表了标的资产价格在到期前向有利方向变动的可能性。时间会衰减，越临近到期，时间价值衰减越快。</w:t>
      </w:r>
    </w:p>
    <w:p w14:paraId="3549CEC7">
      <w:pPr>
        <w:spacing w:before="320" w:after="120" w:line="288" w:lineRule="auto"/>
        <w:ind w:left="0"/>
        <w:jc w:val="left"/>
        <w:outlineLvl w:val="1"/>
      </w:pPr>
      <w:bookmarkStart w:id="11" w:name="heading_11"/>
      <w:r>
        <w:rPr>
          <w:rFonts w:ascii="Arial" w:hAnsi="Arial" w:eastAsia="等线" w:cs="Arial"/>
          <w:color w:val="3370FF"/>
          <w:sz w:val="32"/>
        </w:rPr>
        <w:t xml:space="preserve">2.6 </w:t>
      </w:r>
      <w:r>
        <w:rPr>
          <w:rFonts w:ascii="Arial" w:hAnsi="Arial" w:eastAsia="等线" w:cs="Arial"/>
          <w:b/>
          <w:sz w:val="32"/>
        </w:rPr>
        <w:t>支付权利金：期权的成本</w:t>
      </w:r>
      <w:bookmarkEnd w:id="11"/>
    </w:p>
    <w:p w14:paraId="4FAD0CBA">
      <w:pPr>
        <w:spacing w:before="120" w:after="120" w:line="288" w:lineRule="auto"/>
        <w:ind w:left="0"/>
        <w:jc w:val="left"/>
      </w:pPr>
      <w:r>
        <w:rPr>
          <w:rFonts w:ascii="Arial" w:hAnsi="Arial" w:eastAsia="等线" w:cs="Arial"/>
          <w:sz w:val="22"/>
        </w:rPr>
        <w:t>期权费是期权购买者为期权支付的金额。</w:t>
      </w:r>
    </w:p>
    <w:p w14:paraId="1516CA7D">
      <w:pPr>
        <w:spacing w:before="120" w:after="120" w:line="288" w:lineRule="auto"/>
        <w:ind w:left="0"/>
        <w:jc w:val="left"/>
      </w:pPr>
    </w:p>
    <w:p w14:paraId="0EA00B80">
      <w:pPr>
        <w:spacing w:before="120" w:after="120" w:line="288" w:lineRule="auto"/>
        <w:ind w:left="0"/>
        <w:jc w:val="left"/>
      </w:pPr>
      <w:r>
        <w:rPr>
          <w:rFonts w:ascii="Arial" w:hAnsi="Arial" w:eastAsia="等线" w:cs="Arial"/>
          <w:sz w:val="22"/>
        </w:rPr>
        <w:t>期权费可能会根据期权是实值还是虚值、是否接近到期日等情况而增加或减少。期权费由许多不同的因素构成，包括：</w:t>
      </w:r>
    </w:p>
    <w:p w14:paraId="272D179F">
      <w:pPr>
        <w:numPr>
          <w:ilvl w:val="0"/>
          <w:numId w:val="17"/>
        </w:numPr>
        <w:spacing w:before="120" w:after="120" w:line="288" w:lineRule="auto"/>
        <w:ind w:left="0"/>
        <w:jc w:val="left"/>
      </w:pPr>
      <w:r>
        <w:rPr>
          <w:rFonts w:ascii="Arial" w:hAnsi="Arial" w:eastAsia="等线" w:cs="Arial"/>
          <w:sz w:val="22"/>
        </w:rPr>
        <w:t>期权行权价与市价关系：即实值、平值、虚值的状态。</w:t>
      </w:r>
    </w:p>
    <w:p w14:paraId="5B9AD5CF">
      <w:pPr>
        <w:numPr>
          <w:ilvl w:val="0"/>
          <w:numId w:val="18"/>
        </w:numPr>
        <w:spacing w:before="120" w:after="120" w:line="288" w:lineRule="auto"/>
        <w:ind w:left="0"/>
        <w:jc w:val="left"/>
      </w:pPr>
      <w:r>
        <w:rPr>
          <w:rFonts w:ascii="Arial" w:hAnsi="Arial" w:eastAsia="等线" w:cs="Arial"/>
          <w:sz w:val="22"/>
        </w:rPr>
        <w:t>投资者行使该期权的时间期限。时间越长，期权费越高（时间价值更大）</w:t>
      </w:r>
    </w:p>
    <w:p w14:paraId="73305ECD">
      <w:pPr>
        <w:numPr>
          <w:ilvl w:val="0"/>
          <w:numId w:val="19"/>
        </w:numPr>
        <w:spacing w:before="120" w:after="120" w:line="288" w:lineRule="auto"/>
        <w:ind w:left="0"/>
        <w:jc w:val="left"/>
      </w:pPr>
      <w:r>
        <w:rPr>
          <w:rFonts w:ascii="Arial" w:hAnsi="Arial" w:eastAsia="等线" w:cs="Arial"/>
          <w:sz w:val="22"/>
        </w:rPr>
        <w:t>标的证券的波动性（Volatility）。波动率越大，期权费越高。</w:t>
      </w:r>
    </w:p>
    <w:p w14:paraId="4E67513D">
      <w:pPr>
        <w:numPr>
          <w:ilvl w:val="0"/>
          <w:numId w:val="20"/>
        </w:numPr>
        <w:spacing w:before="120" w:after="120" w:line="288" w:lineRule="auto"/>
        <w:ind w:left="0"/>
        <w:jc w:val="left"/>
      </w:pPr>
      <w:r>
        <w:rPr>
          <w:rFonts w:ascii="Arial" w:hAnsi="Arial" w:eastAsia="等线" w:cs="Arial"/>
          <w:sz w:val="22"/>
        </w:rPr>
        <w:t>股息（Dividend）: 公司派发高股息，看涨期权费下降，看跌期权费上升。（因为除息后股价会下跌）</w:t>
      </w:r>
    </w:p>
    <w:p w14:paraId="63F92D14">
      <w:pPr>
        <w:numPr>
          <w:ilvl w:val="0"/>
          <w:numId w:val="21"/>
        </w:numPr>
        <w:spacing w:before="120" w:after="120" w:line="288" w:lineRule="auto"/>
        <w:ind w:left="0"/>
        <w:jc w:val="left"/>
      </w:pPr>
      <w:r>
        <w:rPr>
          <w:rFonts w:ascii="Arial" w:hAnsi="Arial" w:eastAsia="等线" w:cs="Arial"/>
          <w:sz w:val="22"/>
        </w:rPr>
        <w:t>投资者情绪（例如，现在买入ABC股票的看涨期权是不是一件很酷的事情）。</w:t>
      </w:r>
    </w:p>
    <w:p w14:paraId="6D6C20AF">
      <w:pPr>
        <w:spacing w:before="120" w:after="120" w:line="288" w:lineRule="auto"/>
        <w:ind w:left="0"/>
        <w:jc w:val="left"/>
      </w:pPr>
    </w:p>
    <w:p w14:paraId="4410D700">
      <w:pPr>
        <w:spacing w:before="120" w:after="120" w:line="288" w:lineRule="auto"/>
        <w:ind w:left="0"/>
        <w:jc w:val="left"/>
      </w:pPr>
      <w:r>
        <w:rPr>
          <w:rFonts w:ascii="Arial" w:hAnsi="Arial" w:eastAsia="等线" w:cs="Arial"/>
          <w:sz w:val="22"/>
        </w:rPr>
        <w:t>以下公式构成期权权利金：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62F03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E3B1F1C">
            <w:pPr>
              <w:spacing w:before="120" w:after="120" w:line="288" w:lineRule="auto"/>
              <w:ind w:left="0"/>
              <w:jc w:val="left"/>
            </w:pPr>
            <w:r>
              <w:rPr>
                <w:rFonts w:ascii="Arial" w:hAnsi="Arial" w:eastAsia="等线" w:cs="Arial"/>
                <w:color w:val="646A73"/>
                <w:sz w:val="22"/>
              </w:rPr>
              <w:t>P = I + T</w:t>
            </w:r>
          </w:p>
        </w:tc>
      </w:tr>
    </w:tbl>
    <w:p w14:paraId="3D96D65B">
      <w:pPr>
        <w:spacing w:before="120" w:after="120" w:line="288" w:lineRule="auto"/>
        <w:ind w:left="0"/>
        <w:jc w:val="left"/>
      </w:pPr>
      <w:r>
        <w:rPr>
          <w:rFonts w:ascii="Arial" w:hAnsi="Arial" w:eastAsia="等线" w:cs="Arial"/>
          <w:sz w:val="22"/>
        </w:rPr>
        <w:t>在这个公式中，P 是期权的权利金或成本，I 是期权的内在价值（期权的实值金额），T 是期权的时间价值。</w:t>
      </w:r>
    </w:p>
    <w:p w14:paraId="068E9009">
      <w:pPr>
        <w:spacing w:before="120" w:after="120" w:line="288" w:lineRule="auto"/>
        <w:ind w:left="0"/>
        <w:jc w:val="left"/>
      </w:pPr>
    </w:p>
    <w:p w14:paraId="58BBA7C6">
      <w:pPr>
        <w:spacing w:before="320" w:after="120" w:line="288" w:lineRule="auto"/>
        <w:ind w:left="0"/>
        <w:jc w:val="left"/>
        <w:outlineLvl w:val="1"/>
      </w:pPr>
      <w:bookmarkStart w:id="12" w:name="heading_12"/>
      <w:r>
        <w:rPr>
          <w:rFonts w:ascii="Arial" w:hAnsi="Arial" w:eastAsia="等线" w:cs="Arial"/>
          <w:color w:val="3370FF"/>
          <w:sz w:val="32"/>
        </w:rPr>
        <w:t xml:space="preserve">2.7 </w:t>
      </w:r>
      <w:r>
        <w:rPr>
          <w:rFonts w:ascii="Arial" w:hAnsi="Arial" w:eastAsia="等线" w:cs="Arial"/>
          <w:b/>
          <w:sz w:val="32"/>
        </w:rPr>
        <w:t>四种基本头寸及其损益</w:t>
      </w:r>
      <w:bookmarkEnd w:id="12"/>
    </w:p>
    <w:p w14:paraId="2DC50123">
      <w:pPr>
        <w:spacing w:before="120" w:after="120" w:line="288" w:lineRule="auto"/>
        <w:ind w:left="0"/>
        <w:jc w:val="left"/>
      </w:pPr>
      <w:r>
        <w:rPr>
          <w:rFonts w:ascii="Arial" w:hAnsi="Arial" w:eastAsia="等线" w:cs="Arial"/>
          <w:sz w:val="22"/>
        </w:rPr>
        <w:t>这是分析所有策略的基石。</w:t>
      </w:r>
    </w:p>
    <w:p w14:paraId="1F9C5301">
      <w:pPr>
        <w:spacing w:before="120" w:after="120" w:line="288" w:lineRule="auto"/>
        <w:ind w:left="0"/>
        <w:jc w:val="left"/>
      </w:pPr>
    </w:p>
    <w:p w14:paraId="3ABDAB1B">
      <w:pPr>
        <w:spacing w:before="120" w:after="120" w:line="288" w:lineRule="auto"/>
        <w:ind w:left="0"/>
        <w:jc w:val="left"/>
      </w:pPr>
      <w:r>
        <w:rPr>
          <w:rFonts w:ascii="Arial" w:hAnsi="Arial" w:eastAsia="等线" w:cs="Arial"/>
          <w:sz w:val="22"/>
        </w:rPr>
        <w:t>期权按照标的资产涨跌方向（看涨/看跌）和买卖方向（买入/卖出），共有四种基本头寸（Basic Option Positions）。</w:t>
      </w:r>
    </w:p>
    <w:p w14:paraId="2E25EAA2">
      <w:pPr>
        <w:spacing w:before="120" w:after="120" w:line="288" w:lineRule="auto"/>
        <w:ind w:left="0"/>
        <w:jc w:val="left"/>
      </w:pPr>
    </w:p>
    <w:p w14:paraId="29263EEE">
      <w:pPr>
        <w:numPr>
          <w:ilvl w:val="0"/>
          <w:numId w:val="22"/>
        </w:numPr>
        <w:spacing w:before="120" w:after="120" w:line="288" w:lineRule="auto"/>
        <w:ind w:left="0"/>
        <w:jc w:val="left"/>
      </w:pPr>
      <w:r>
        <w:rPr>
          <w:rFonts w:ascii="Arial" w:hAnsi="Arial" w:eastAsia="等线" w:cs="Arial"/>
          <w:sz w:val="22"/>
        </w:rPr>
        <w:t>买入看涨期权: 看涨。潜在利润无限，最大损失为支付的期权费。</w:t>
      </w:r>
    </w:p>
    <w:p w14:paraId="56B27CFC">
      <w:pPr>
        <w:spacing w:before="120" w:after="120" w:line="288" w:lineRule="auto"/>
        <w:ind w:left="0"/>
        <w:jc w:val="center"/>
      </w:pPr>
      <w:r>
        <w:drawing>
          <wp:inline distT="0" distB="0" distL="0" distR="0">
            <wp:extent cx="4610100" cy="303847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10"/>
                    <a:stretch>
                      <a:fillRect/>
                    </a:stretch>
                  </pic:blipFill>
                  <pic:spPr>
                    <a:xfrm>
                      <a:off x="0" y="0"/>
                      <a:ext cx="4610100" cy="3038475"/>
                    </a:xfrm>
                    <a:prstGeom prst="rect">
                      <a:avLst/>
                    </a:prstGeom>
                  </pic:spPr>
                </pic:pic>
              </a:graphicData>
            </a:graphic>
          </wp:inline>
        </w:drawing>
      </w:r>
    </w:p>
    <w:p w14:paraId="1DD1FDF7">
      <w:pPr>
        <w:numPr>
          <w:ilvl w:val="0"/>
          <w:numId w:val="23"/>
        </w:numPr>
        <w:spacing w:before="120" w:after="120" w:line="288" w:lineRule="auto"/>
        <w:ind w:left="0"/>
        <w:jc w:val="left"/>
      </w:pPr>
      <w:r>
        <w:rPr>
          <w:rFonts w:ascii="Arial" w:hAnsi="Arial" w:eastAsia="等线" w:cs="Arial"/>
          <w:sz w:val="22"/>
        </w:rPr>
        <w:t>卖出看涨期权: 看跌或中性。最大利润为收到的期权费，潜在损失无限。</w:t>
      </w:r>
    </w:p>
    <w:p w14:paraId="06605FF4">
      <w:pPr>
        <w:spacing w:before="120" w:after="120" w:line="288" w:lineRule="auto"/>
        <w:ind w:left="0"/>
        <w:jc w:val="center"/>
      </w:pPr>
      <w:r>
        <w:drawing>
          <wp:inline distT="0" distB="0" distL="0" distR="0">
            <wp:extent cx="4667250" cy="307657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11"/>
                    <a:stretch>
                      <a:fillRect/>
                    </a:stretch>
                  </pic:blipFill>
                  <pic:spPr>
                    <a:xfrm>
                      <a:off x="0" y="0"/>
                      <a:ext cx="4667250" cy="3076575"/>
                    </a:xfrm>
                    <a:prstGeom prst="rect">
                      <a:avLst/>
                    </a:prstGeom>
                  </pic:spPr>
                </pic:pic>
              </a:graphicData>
            </a:graphic>
          </wp:inline>
        </w:drawing>
      </w:r>
    </w:p>
    <w:p w14:paraId="76864665">
      <w:pPr>
        <w:spacing w:before="120" w:after="120" w:line="288" w:lineRule="auto"/>
        <w:ind w:left="0"/>
        <w:jc w:val="left"/>
      </w:pPr>
    </w:p>
    <w:p w14:paraId="37C882C3">
      <w:pPr>
        <w:numPr>
          <w:ilvl w:val="0"/>
          <w:numId w:val="24"/>
        </w:numPr>
        <w:spacing w:before="120" w:after="120" w:line="288" w:lineRule="auto"/>
        <w:ind w:left="0"/>
        <w:jc w:val="left"/>
      </w:pPr>
      <w:r>
        <w:rPr>
          <w:rFonts w:ascii="Arial" w:hAnsi="Arial" w:eastAsia="等线" w:cs="Arial"/>
          <w:sz w:val="22"/>
        </w:rPr>
        <w:t>买入看跌期权: 看跌。最大损失为支付的期权费，潜在利润很高（标的资产价格最多跌到 0）。</w:t>
      </w:r>
    </w:p>
    <w:p w14:paraId="4EB1D8F6">
      <w:pPr>
        <w:spacing w:before="120" w:after="120" w:line="288" w:lineRule="auto"/>
        <w:ind w:left="0"/>
        <w:jc w:val="center"/>
      </w:pPr>
      <w:r>
        <w:drawing>
          <wp:inline distT="0" distB="0" distL="0" distR="0">
            <wp:extent cx="4838700" cy="3190875"/>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2"/>
                    <a:stretch>
                      <a:fillRect/>
                    </a:stretch>
                  </pic:blipFill>
                  <pic:spPr>
                    <a:xfrm>
                      <a:off x="0" y="0"/>
                      <a:ext cx="4838700" cy="3190875"/>
                    </a:xfrm>
                    <a:prstGeom prst="rect">
                      <a:avLst/>
                    </a:prstGeom>
                  </pic:spPr>
                </pic:pic>
              </a:graphicData>
            </a:graphic>
          </wp:inline>
        </w:drawing>
      </w:r>
    </w:p>
    <w:p w14:paraId="6C55A487">
      <w:pPr>
        <w:spacing w:before="120" w:after="120" w:line="288" w:lineRule="auto"/>
        <w:ind w:left="0"/>
        <w:jc w:val="left"/>
      </w:pPr>
    </w:p>
    <w:p w14:paraId="41DDEF5D">
      <w:pPr>
        <w:numPr>
          <w:ilvl w:val="0"/>
          <w:numId w:val="25"/>
        </w:numPr>
        <w:spacing w:before="120" w:after="120" w:line="288" w:lineRule="auto"/>
        <w:ind w:left="0"/>
        <w:jc w:val="left"/>
      </w:pPr>
      <w:r>
        <w:rPr>
          <w:rFonts w:ascii="Arial" w:hAnsi="Arial" w:eastAsia="等线" w:cs="Arial"/>
          <w:sz w:val="22"/>
        </w:rPr>
        <w:t>卖出看跌期权: 看涨或中性。最大利润为收到的期权费，潜在损失很高（标的资产价格最多跌到 0）。</w:t>
      </w:r>
    </w:p>
    <w:p w14:paraId="6DF27F85">
      <w:pPr>
        <w:spacing w:before="120" w:after="120" w:line="288" w:lineRule="auto"/>
        <w:ind w:left="0"/>
        <w:jc w:val="center"/>
      </w:pPr>
      <w:r>
        <w:drawing>
          <wp:inline distT="0" distB="0" distL="0" distR="0">
            <wp:extent cx="4743450" cy="3133725"/>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3"/>
                    <a:stretch>
                      <a:fillRect/>
                    </a:stretch>
                  </pic:blipFill>
                  <pic:spPr>
                    <a:xfrm>
                      <a:off x="0" y="0"/>
                      <a:ext cx="4743450" cy="3133725"/>
                    </a:xfrm>
                    <a:prstGeom prst="rect">
                      <a:avLst/>
                    </a:prstGeom>
                  </pic:spPr>
                </pic:pic>
              </a:graphicData>
            </a:graphic>
          </wp:inline>
        </w:drawing>
      </w:r>
    </w:p>
    <w:p w14:paraId="42F33077">
      <w:pPr>
        <w:spacing w:before="120" w:after="120" w:line="288" w:lineRule="auto"/>
        <w:ind w:left="0"/>
        <w:jc w:val="left"/>
      </w:pPr>
    </w:p>
    <w:p w14:paraId="2573B323">
      <w:pPr>
        <w:spacing w:before="120" w:after="120" w:line="288" w:lineRule="auto"/>
        <w:ind w:left="0"/>
        <w:jc w:val="left"/>
      </w:pPr>
      <w:r>
        <w:rPr>
          <w:rFonts w:ascii="Arial" w:hAnsi="Arial" w:eastAsia="等线" w:cs="Arial"/>
          <w:sz w:val="22"/>
        </w:rPr>
        <w:t>重要概念：行权与指派</w:t>
      </w:r>
    </w:p>
    <w:p w14:paraId="4605134F">
      <w:pPr>
        <w:numPr>
          <w:ilvl w:val="0"/>
          <w:numId w:val="26"/>
        </w:numPr>
        <w:spacing w:before="120" w:after="120" w:line="288" w:lineRule="auto"/>
        <w:ind w:left="0"/>
        <w:jc w:val="left"/>
      </w:pPr>
      <w:r>
        <w:rPr>
          <w:rFonts w:ascii="Arial" w:hAnsi="Arial" w:eastAsia="等线" w:cs="Arial"/>
          <w:sz w:val="22"/>
        </w:rPr>
        <w:t>行权: 期权买方行使权利。</w:t>
      </w:r>
    </w:p>
    <w:p w14:paraId="28D476DF">
      <w:pPr>
        <w:numPr>
          <w:ilvl w:val="0"/>
          <w:numId w:val="27"/>
        </w:numPr>
        <w:spacing w:before="120" w:after="120" w:line="288" w:lineRule="auto"/>
        <w:ind w:left="0"/>
        <w:jc w:val="left"/>
      </w:pPr>
      <w:r>
        <w:rPr>
          <w:rFonts w:ascii="Arial" w:hAnsi="Arial" w:eastAsia="等线" w:cs="Arial"/>
          <w:sz w:val="22"/>
        </w:rPr>
        <w:t>指派: 当买方行权时，期权卖方被随机选中履行义务。</w:t>
      </w:r>
    </w:p>
    <w:p w14:paraId="516FD834">
      <w:pPr>
        <w:spacing w:before="120" w:after="120" w:line="288" w:lineRule="auto"/>
        <w:ind w:left="0"/>
        <w:jc w:val="left"/>
      </w:pPr>
    </w:p>
    <w:p w14:paraId="44A7E5AD">
      <w:pPr>
        <w:spacing w:before="320" w:after="120" w:line="288" w:lineRule="auto"/>
        <w:ind w:left="0"/>
        <w:jc w:val="left"/>
        <w:outlineLvl w:val="1"/>
      </w:pPr>
      <w:bookmarkStart w:id="13" w:name="heading_13"/>
      <w:r>
        <w:rPr>
          <w:rFonts w:ascii="Arial" w:hAnsi="Arial" w:eastAsia="等线" w:cs="Arial"/>
          <w:color w:val="3370FF"/>
          <w:sz w:val="32"/>
        </w:rPr>
        <w:t xml:space="preserve">2.8 </w:t>
      </w:r>
      <w:r>
        <w:rPr>
          <w:rFonts w:ascii="Arial" w:hAnsi="Arial" w:eastAsia="等线" w:cs="Arial"/>
          <w:b/>
          <w:sz w:val="32"/>
        </w:rPr>
        <w:t>期权交易：开仓和平仓交易</w:t>
      </w:r>
      <w:bookmarkEnd w:id="13"/>
    </w:p>
    <w:p w14:paraId="23EB8B0E">
      <w:pPr>
        <w:spacing w:before="120" w:after="120" w:line="288" w:lineRule="auto"/>
        <w:ind w:left="0"/>
        <w:jc w:val="left"/>
      </w:pPr>
      <w:r>
        <w:rPr>
          <w:rFonts w:ascii="Arial" w:hAnsi="Arial" w:eastAsia="等线" w:cs="Arial"/>
          <w:sz w:val="22"/>
        </w:rPr>
        <w:t>虽然有些投资者持有期权的时间足够长，长到可以实际行权，但更常见的是，投资者像交易其他投资品一样交易期权，并不会持有到行权日。在SIE考试中，你不仅需要了解开仓交易和平仓交易之间的区别，还必须能够计算投资者交易期权的利润或亏损。</w:t>
      </w:r>
    </w:p>
    <w:p w14:paraId="7BDAA6EF">
      <w:pPr>
        <w:spacing w:before="120" w:after="120" w:line="288" w:lineRule="auto"/>
        <w:ind w:left="0"/>
        <w:jc w:val="left"/>
      </w:pPr>
    </w:p>
    <w:p w14:paraId="6E1ACD6F">
      <w:pPr>
        <w:spacing w:before="300" w:after="120" w:line="288" w:lineRule="auto"/>
        <w:ind w:left="0"/>
        <w:jc w:val="left"/>
        <w:outlineLvl w:val="2"/>
      </w:pPr>
      <w:bookmarkStart w:id="14" w:name="heading_14"/>
      <w:r>
        <w:rPr>
          <w:rFonts w:ascii="Arial" w:hAnsi="Arial" w:eastAsia="等线" w:cs="Arial"/>
          <w:color w:val="3370FF"/>
          <w:sz w:val="30"/>
        </w:rPr>
        <w:t xml:space="preserve">2.8.1 </w:t>
      </w:r>
      <w:r>
        <w:rPr>
          <w:rFonts w:ascii="Arial" w:hAnsi="Arial" w:eastAsia="等线" w:cs="Arial"/>
          <w:b/>
          <w:sz w:val="30"/>
        </w:rPr>
        <w:t>物归原处：进行反向交易</w:t>
      </w:r>
      <w:bookmarkEnd w:id="14"/>
    </w:p>
    <w:p w14:paraId="5DF1CE8D">
      <w:pPr>
        <w:spacing w:before="120" w:after="120" w:line="288" w:lineRule="auto"/>
        <w:ind w:left="0"/>
        <w:jc w:val="left"/>
      </w:pPr>
      <w:r>
        <w:rPr>
          <w:rFonts w:ascii="Arial" w:hAnsi="Arial" w:eastAsia="等线" w:cs="Arial"/>
          <w:sz w:val="22"/>
        </w:rPr>
        <w:t>在区分开仓和平仓交易时，关键在于了解这笔交易是投资者首次还是第二次买卖期权：首次为开仓，第二次为平仓。</w:t>
      </w:r>
    </w:p>
    <w:p w14:paraId="156E7966">
      <w:pPr>
        <w:spacing w:before="120" w:after="120" w:line="288" w:lineRule="auto"/>
        <w:ind w:left="0"/>
        <w:jc w:val="left"/>
      </w:pPr>
    </w:p>
    <w:p w14:paraId="728331C2">
      <w:pPr>
        <w:spacing w:before="120" w:after="120" w:line="288" w:lineRule="auto"/>
        <w:ind w:left="0"/>
        <w:jc w:val="left"/>
      </w:pPr>
      <w:r>
        <w:rPr>
          <w:rFonts w:ascii="Arial" w:hAnsi="Arial" w:eastAsia="等线" w:cs="Arial"/>
          <w:sz w:val="22"/>
        </w:rPr>
        <w:t>以下是您的开仓交易：</w:t>
      </w:r>
    </w:p>
    <w:p w14:paraId="2500F305">
      <w:pPr>
        <w:numPr>
          <w:ilvl w:val="0"/>
          <w:numId w:val="28"/>
        </w:numPr>
        <w:spacing w:before="120" w:after="120" w:line="288" w:lineRule="auto"/>
        <w:ind w:left="0"/>
        <w:jc w:val="left"/>
      </w:pPr>
      <w:r>
        <w:rPr>
          <w:rFonts w:ascii="Arial" w:hAnsi="Arial" w:eastAsia="等线" w:cs="Arial"/>
          <w:sz w:val="22"/>
        </w:rPr>
        <w:t>初始买入：当投资者首次买入看涨期权或看跌期权时，就会发生初始买入。</w:t>
      </w:r>
    </w:p>
    <w:p w14:paraId="5378297A">
      <w:pPr>
        <w:numPr>
          <w:ilvl w:val="0"/>
          <w:numId w:val="29"/>
        </w:numPr>
        <w:spacing w:before="120" w:after="120" w:line="288" w:lineRule="auto"/>
        <w:ind w:left="0"/>
        <w:jc w:val="left"/>
      </w:pPr>
      <w:r>
        <w:rPr>
          <w:rFonts w:ascii="Arial" w:hAnsi="Arial" w:eastAsia="等线" w:cs="Arial"/>
          <w:sz w:val="22"/>
        </w:rPr>
        <w:t>初始卖出：初始卖出是指投资者首次卖出看涨期权或看跌期权。</w:t>
      </w:r>
    </w:p>
    <w:p w14:paraId="4B61B59C">
      <w:pPr>
        <w:spacing w:before="120" w:after="120" w:line="288" w:lineRule="auto"/>
        <w:ind w:left="0"/>
        <w:jc w:val="left"/>
      </w:pPr>
    </w:p>
    <w:p w14:paraId="3CB19D19">
      <w:pPr>
        <w:spacing w:before="120" w:after="120" w:line="288" w:lineRule="auto"/>
        <w:ind w:left="0"/>
        <w:jc w:val="left"/>
      </w:pPr>
      <w:r>
        <w:rPr>
          <w:rFonts w:ascii="Arial" w:hAnsi="Arial" w:eastAsia="等线" w:cs="Arial"/>
          <w:sz w:val="22"/>
        </w:rPr>
        <w:t>如果投资者已持有期权头寸，则必须通过相反的操作——即平仓交易来了结该头寸。如果投资者最初买入了期权，就必须通过卖出进行平仓。相反，如果他们最初卖出了期权，就必须通过买入进行平仓。</w:t>
      </w:r>
    </w:p>
    <w:p w14:paraId="2F28F566">
      <w:pPr>
        <w:spacing w:before="120" w:after="120" w:line="288" w:lineRule="auto"/>
        <w:ind w:left="0"/>
        <w:jc w:val="left"/>
      </w:pPr>
    </w:p>
    <w:p w14:paraId="5C2623A5">
      <w:pPr>
        <w:spacing w:before="120" w:after="120" w:line="288" w:lineRule="auto"/>
        <w:ind w:left="0"/>
        <w:jc w:val="left"/>
      </w:pPr>
      <w:r>
        <w:rPr>
          <w:rFonts w:ascii="Arial" w:hAnsi="Arial" w:eastAsia="等线" w:cs="Arial"/>
          <w:sz w:val="22"/>
        </w:rPr>
        <w:t>以下是两种平仓交易类型：</w:t>
      </w:r>
    </w:p>
    <w:p w14:paraId="3B61A69F">
      <w:pPr>
        <w:numPr>
          <w:ilvl w:val="0"/>
          <w:numId w:val="30"/>
        </w:numPr>
        <w:spacing w:before="120" w:after="120" w:line="288" w:lineRule="auto"/>
        <w:ind w:left="0"/>
        <w:jc w:val="left"/>
      </w:pPr>
      <w:r>
        <w:rPr>
          <w:rFonts w:ascii="Arial" w:hAnsi="Arial" w:eastAsia="等线" w:cs="Arial"/>
          <w:sz w:val="22"/>
        </w:rPr>
        <w:t>平仓买入：平仓买入是指投资者通过买入操作了结先前卖出的期权头寸。例如，如果投资者卖出了一份XYZ公司10月40日到期的看涨期权（开仓卖出），他们就必须买入一份XYZ公司10月40日到期的看涨期权来平仓。这第二次交易就是平仓买入。</w:t>
      </w:r>
    </w:p>
    <w:p w14:paraId="6F1FB241">
      <w:pPr>
        <w:numPr>
          <w:ilvl w:val="0"/>
          <w:numId w:val="31"/>
        </w:numPr>
        <w:spacing w:before="120" w:after="120" w:line="288" w:lineRule="auto"/>
        <w:ind w:left="0"/>
        <w:jc w:val="left"/>
      </w:pPr>
      <w:r>
        <w:rPr>
          <w:rFonts w:ascii="Arial" w:hAnsi="Arial" w:eastAsia="等线" w:cs="Arial"/>
          <w:sz w:val="22"/>
        </w:rPr>
        <w:t>平仓卖出：平仓卖出是指投资者将自己之前买入的期权头寸卖出。例如，如果投资者买入了一份ABC公司9月60美元的看跌期权（开仓买入），他们就必须卖出一份ABC公司9月60美元的看跌期权来平仓。这第二笔交易就是平仓卖出。</w:t>
      </w:r>
    </w:p>
    <w:p w14:paraId="62394E45">
      <w:pPr>
        <w:spacing w:before="300" w:after="120" w:line="288" w:lineRule="auto"/>
        <w:ind w:left="0"/>
        <w:jc w:val="left"/>
        <w:outlineLvl w:val="2"/>
      </w:pPr>
      <w:bookmarkStart w:id="15" w:name="heading_15"/>
      <w:r>
        <w:rPr>
          <w:rFonts w:ascii="Arial" w:hAnsi="Arial" w:eastAsia="等线" w:cs="Arial"/>
          <w:color w:val="3370FF"/>
          <w:sz w:val="30"/>
        </w:rPr>
        <w:t xml:space="preserve">2.8.2 </w:t>
      </w:r>
      <w:r>
        <w:rPr>
          <w:rFonts w:ascii="Arial" w:hAnsi="Arial" w:eastAsia="等线" w:cs="Arial"/>
          <w:b/>
          <w:sz w:val="30"/>
        </w:rPr>
        <w:t>期权交易技巧：计算盈亏</w:t>
      </w:r>
      <w:bookmarkEnd w:id="15"/>
    </w:p>
    <w:p w14:paraId="4BB91C4F">
      <w:pPr>
        <w:spacing w:before="120" w:after="120" w:line="288" w:lineRule="auto"/>
        <w:ind w:left="0"/>
        <w:jc w:val="left"/>
      </w:pPr>
      <w:r>
        <w:rPr>
          <w:rFonts w:ascii="Arial" w:hAnsi="Arial" w:eastAsia="等线" w:cs="Arial"/>
          <w:sz w:val="22"/>
        </w:rPr>
        <w:t>除了要知道如何标记订单票据外，你还必须能够计算投资者在进行期权交易时的收益或亏损。掌握了期权图表后，这项任务就不难了。需要记住的关键是，当投资者平仓时，他们所做的操作与之前相反。</w:t>
      </w:r>
    </w:p>
    <w:p w14:paraId="6962DAD8">
      <w:pPr>
        <w:spacing w:before="120" w:after="120" w:line="288" w:lineRule="auto"/>
        <w:ind w:left="0"/>
        <w:jc w:val="left"/>
      </w:pPr>
    </w:p>
    <w:p w14:paraId="7A495FF3">
      <w:pPr>
        <w:spacing w:before="320" w:after="120" w:line="288" w:lineRule="auto"/>
        <w:ind w:left="0"/>
        <w:jc w:val="left"/>
        <w:outlineLvl w:val="1"/>
      </w:pPr>
      <w:bookmarkStart w:id="16" w:name="heading_16"/>
      <w:r>
        <w:rPr>
          <w:rFonts w:ascii="Arial" w:hAnsi="Arial" w:eastAsia="等线" w:cs="Arial"/>
          <w:color w:val="3370FF"/>
          <w:sz w:val="32"/>
        </w:rPr>
        <w:t xml:space="preserve">2.9 </w:t>
      </w:r>
      <w:r>
        <w:rPr>
          <w:rFonts w:ascii="Arial" w:hAnsi="Arial" w:eastAsia="等线" w:cs="Arial"/>
          <w:b/>
          <w:sz w:val="32"/>
        </w:rPr>
        <w:t>备兑看涨期权（Covered Call）</w:t>
      </w:r>
      <w:bookmarkEnd w:id="16"/>
    </w:p>
    <w:p w14:paraId="2089FEB9">
      <w:pPr>
        <w:spacing w:before="120" w:after="120" w:line="288" w:lineRule="auto"/>
        <w:ind w:left="0"/>
        <w:jc w:val="left"/>
      </w:pPr>
      <w:r>
        <w:rPr>
          <w:rFonts w:ascii="Arial" w:hAnsi="Arial" w:eastAsia="等线" w:cs="Arial"/>
          <w:sz w:val="22"/>
        </w:rPr>
        <w:t>当投资者对其实际持有的证券购买或出售期权合约时，他们是在选择一种很好的方式来防范（对冲）损失，或是为其账户注入额外资金，而这只是一种部分对冲。最常见的形式是投资者出售有担保的看涨期权（Covered Call）。</w:t>
      </w:r>
    </w:p>
    <w:p w14:paraId="29E366BC">
      <w:pPr>
        <w:spacing w:before="120" w:after="120" w:line="288" w:lineRule="auto"/>
        <w:ind w:left="0"/>
        <w:jc w:val="left"/>
      </w:pPr>
    </w:p>
    <w:p w14:paraId="5512CAC3">
      <w:pPr>
        <w:spacing w:before="120" w:after="120" w:line="288" w:lineRule="auto"/>
        <w:ind w:left="0"/>
        <w:jc w:val="left"/>
      </w:pPr>
      <w:r>
        <w:rPr>
          <w:rFonts w:ascii="Arial" w:hAnsi="Arial" w:eastAsia="等线" w:cs="Arial"/>
          <w:sz w:val="22"/>
        </w:rPr>
        <w:t>如果投资者卖出一份针对其持有证券的看涨期权，该投资者被视为进行了备兑操作。之所以称为备兑，是因为如果期权被行权，他们有股票可以交付。</w:t>
      </w:r>
    </w:p>
    <w:p w14:paraId="750CBC14">
      <w:pPr>
        <w:spacing w:before="120" w:after="120" w:line="288" w:lineRule="auto"/>
        <w:ind w:left="0"/>
        <w:jc w:val="left"/>
      </w:pPr>
    </w:p>
    <w:p w14:paraId="1BD18D78">
      <w:pPr>
        <w:spacing w:before="120" w:after="120" w:line="288" w:lineRule="auto"/>
        <w:ind w:left="0"/>
        <w:jc w:val="left"/>
      </w:pPr>
      <w:r>
        <w:rPr>
          <w:rFonts w:ascii="Arial" w:hAnsi="Arial" w:eastAsia="等线" w:cs="Arial"/>
          <w:sz w:val="22"/>
        </w:rPr>
        <w:t>以以下头寸为例：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3B4C5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8B7E048">
            <w:pPr>
              <w:spacing w:before="120" w:after="120" w:line="288" w:lineRule="auto"/>
              <w:ind w:left="0"/>
              <w:jc w:val="left"/>
            </w:pPr>
            <w:r>
              <w:rPr>
                <w:rFonts w:ascii="Arial" w:hAnsi="Arial" w:eastAsia="等线" w:cs="Arial"/>
                <w:color w:val="646A73"/>
                <w:sz w:val="22"/>
              </w:rPr>
              <w:t>Buy 100 shares of QRS at $47 per share</w:t>
            </w:r>
          </w:p>
          <w:p w14:paraId="36F3A7DE">
            <w:pPr>
              <w:spacing w:before="120" w:after="120" w:line="288" w:lineRule="auto"/>
              <w:ind w:left="0"/>
              <w:jc w:val="left"/>
            </w:pPr>
            <w:r>
              <w:rPr>
                <w:rFonts w:ascii="Arial" w:hAnsi="Arial" w:eastAsia="等线" w:cs="Arial"/>
                <w:color w:val="646A73"/>
                <w:sz w:val="22"/>
              </w:rPr>
              <w:t>Sell 1 QRS Dec 55 call at 4</w:t>
            </w:r>
          </w:p>
        </w:tc>
      </w:tr>
    </w:tbl>
    <w:p w14:paraId="045C42CC">
      <w:pPr>
        <w:spacing w:before="120" w:after="120" w:line="288" w:lineRule="auto"/>
        <w:ind w:left="0"/>
        <w:jc w:val="left"/>
      </w:pPr>
    </w:p>
    <w:p w14:paraId="3E7AC0E9">
      <w:pPr>
        <w:spacing w:before="120" w:after="120" w:line="288" w:lineRule="auto"/>
        <w:ind w:left="0"/>
        <w:jc w:val="left"/>
      </w:pPr>
      <w:r>
        <w:rPr>
          <w:rFonts w:ascii="Arial" w:hAnsi="Arial" w:eastAsia="等线" w:cs="Arial"/>
          <w:b/>
          <w:sz w:val="22"/>
        </w:rPr>
        <w:t>最大潜在损失：</w:t>
      </w:r>
    </w:p>
    <w:p w14:paraId="06D73807">
      <w:pPr>
        <w:spacing w:before="120" w:after="120" w:line="288" w:lineRule="auto"/>
        <w:ind w:left="0"/>
        <w:jc w:val="left"/>
      </w:pPr>
      <w:r>
        <w:rPr>
          <w:rFonts w:ascii="Arial" w:hAnsi="Arial" w:eastAsia="等线" w:cs="Arial"/>
          <w:sz w:val="22"/>
        </w:rPr>
        <w:t>这位投资者以4700美元的价格购买了100股QRS股票。这是支出的资金。而出售该股票的 Call 期权获得了 400 美元。</w:t>
      </w:r>
    </w:p>
    <w:p w14:paraId="493ABF0C">
      <w:pPr>
        <w:spacing w:before="120" w:after="120" w:line="288" w:lineRule="auto"/>
        <w:ind w:left="0"/>
        <w:jc w:val="left"/>
      </w:pPr>
    </w:p>
    <w:p w14:paraId="3517945D">
      <w:pPr>
        <w:spacing w:before="120" w:after="120" w:line="288" w:lineRule="auto"/>
        <w:ind w:left="0"/>
        <w:jc w:val="left"/>
      </w:pPr>
      <w:r>
        <w:rPr>
          <w:rFonts w:ascii="Arial" w:hAnsi="Arial" w:eastAsia="等线" w:cs="Arial"/>
          <w:sz w:val="22"/>
        </w:rPr>
        <w:t>这位投资者的资金流出大于资金流入，当股价归零时，因此该投资者的最大潜在损失为 $4,300 ($4,700减去400美元）。</w:t>
      </w:r>
    </w:p>
    <w:p w14:paraId="30399E59">
      <w:pPr>
        <w:spacing w:before="120" w:after="120" w:line="288" w:lineRule="auto"/>
        <w:ind w:left="0"/>
        <w:jc w:val="left"/>
      </w:pPr>
    </w:p>
    <w:p w14:paraId="6CC91CA8">
      <w:pPr>
        <w:spacing w:before="120" w:after="120" w:line="288" w:lineRule="auto"/>
        <w:ind w:left="0"/>
        <w:jc w:val="left"/>
      </w:pPr>
      <w:r>
        <w:rPr>
          <w:rFonts w:ascii="Arial" w:hAnsi="Arial" w:eastAsia="等线" w:cs="Arial"/>
          <w:b/>
          <w:sz w:val="22"/>
        </w:rPr>
        <w:t>最大潜在收益：</w:t>
      </w:r>
    </w:p>
    <w:p w14:paraId="3B14628E">
      <w:pPr>
        <w:spacing w:before="120" w:after="120" w:line="288" w:lineRule="auto"/>
        <w:ind w:left="0"/>
        <w:jc w:val="left"/>
      </w:pPr>
      <w:r>
        <w:rPr>
          <w:rFonts w:ascii="Arial" w:hAnsi="Arial" w:eastAsia="等线" w:cs="Arial"/>
          <w:sz w:val="22"/>
        </w:rPr>
        <w:t>当股价上涨至行权价 55 时，投资者不得不履行期权义务，将手中的股票以 55 卖出。此时股票赚取 (55-47) * 100 = 800，再加上收取的权利金 400，收益共计 1200 美元。</w:t>
      </w:r>
    </w:p>
    <w:p w14:paraId="7F740D72">
      <w:pPr>
        <w:spacing w:before="120" w:after="120" w:line="288" w:lineRule="auto"/>
        <w:ind w:left="0"/>
        <w:jc w:val="left"/>
      </w:pPr>
    </w:p>
    <w:p w14:paraId="49605C17">
      <w:pPr>
        <w:spacing w:before="120" w:after="120" w:line="288" w:lineRule="auto"/>
        <w:ind w:left="0"/>
        <w:jc w:val="left"/>
      </w:pPr>
      <w:r>
        <w:rPr>
          <w:rFonts w:ascii="Arial" w:hAnsi="Arial" w:eastAsia="等线" w:cs="Arial"/>
          <w:sz w:val="22"/>
        </w:rPr>
        <w:t>以下是如何找到股票和期权的盈亏平衡点：</w:t>
      </w:r>
    </w:p>
    <w:p w14:paraId="497A7FE0">
      <w:pPr>
        <w:numPr>
          <w:ilvl w:val="0"/>
          <w:numId w:val="32"/>
        </w:numPr>
        <w:spacing w:before="120" w:after="120" w:line="288" w:lineRule="auto"/>
        <w:ind w:left="0"/>
        <w:jc w:val="left"/>
      </w:pPr>
      <w:r>
        <w:rPr>
          <w:rFonts w:ascii="Arial" w:hAnsi="Arial" w:eastAsia="等线" w:cs="Arial"/>
          <w:sz w:val="22"/>
        </w:rPr>
        <w:t>如果投资者进行了两次购买：买入股票并买入保护性看跌期权。此为保护性看跌期权（Protective Put），则将股票价格与期权费相加。</w:t>
      </w:r>
    </w:p>
    <w:p w14:paraId="68DA2767">
      <w:pPr>
        <w:numPr>
          <w:ilvl w:val="0"/>
          <w:numId w:val="33"/>
        </w:numPr>
        <w:spacing w:before="120" w:after="120" w:line="288" w:lineRule="auto"/>
        <w:ind w:left="0"/>
        <w:jc w:val="left"/>
      </w:pPr>
      <w:r>
        <w:rPr>
          <w:rFonts w:ascii="Arial" w:hAnsi="Arial" w:eastAsia="等线" w:cs="Arial"/>
          <w:sz w:val="22"/>
        </w:rPr>
        <w:t>如果投资者卖出了两次：卖空股票并卖出期权。此为备兑看跌期权（Covered Put），则将股票价格和期权费相加。</w:t>
      </w:r>
    </w:p>
    <w:p w14:paraId="2F38E793">
      <w:pPr>
        <w:numPr>
          <w:ilvl w:val="0"/>
          <w:numId w:val="34"/>
        </w:numPr>
        <w:spacing w:before="120" w:after="120" w:line="288" w:lineRule="auto"/>
        <w:ind w:left="0"/>
        <w:jc w:val="left"/>
      </w:pPr>
      <w:r>
        <w:rPr>
          <w:rFonts w:ascii="Arial" w:hAnsi="Arial" w:eastAsia="等线" w:cs="Arial"/>
          <w:sz w:val="22"/>
        </w:rPr>
        <w:t>如果投资者有一次买入和一次卖出，买入股票并卖出 Call 期权。此为备兑看涨期权（Covered Call），盈亏平衡点为股票价格中减去权利金。</w:t>
      </w:r>
    </w:p>
    <w:p w14:paraId="4E36F69E">
      <w:pPr>
        <w:numPr>
          <w:ilvl w:val="0"/>
          <w:numId w:val="35"/>
        </w:numPr>
        <w:spacing w:before="120" w:after="120" w:line="288" w:lineRule="auto"/>
        <w:ind w:left="0"/>
        <w:jc w:val="left"/>
      </w:pPr>
      <w:r>
        <w:rPr>
          <w:rFonts w:ascii="Arial" w:hAnsi="Arial" w:eastAsia="等线" w:cs="Arial"/>
          <w:sz w:val="22"/>
        </w:rPr>
        <w:t>如果投资者有一次买入和一次卖出，卖空股票并买入看涨期权，此为保护性看涨期权（Protective Call），盈亏平衡点为从股票价格减去权利金。</w:t>
      </w:r>
    </w:p>
    <w:p w14:paraId="59F51BC8">
      <w:pPr>
        <w:spacing w:before="320" w:after="120" w:line="288" w:lineRule="auto"/>
        <w:ind w:left="0"/>
        <w:jc w:val="left"/>
        <w:outlineLvl w:val="1"/>
      </w:pPr>
      <w:bookmarkStart w:id="17" w:name="heading_17"/>
      <w:r>
        <w:rPr>
          <w:rFonts w:ascii="Arial" w:hAnsi="Arial" w:eastAsia="等线" w:cs="Arial"/>
          <w:color w:val="3370FF"/>
          <w:sz w:val="32"/>
        </w:rPr>
        <w:t xml:space="preserve">2.10 </w:t>
      </w:r>
      <w:r>
        <w:rPr>
          <w:rFonts w:ascii="Arial" w:hAnsi="Arial" w:eastAsia="等线" w:cs="Arial"/>
          <w:b/>
          <w:sz w:val="32"/>
        </w:rPr>
        <w:t>指数期权</w:t>
      </w:r>
      <w:bookmarkEnd w:id="17"/>
    </w:p>
    <w:p w14:paraId="57BD8AD2">
      <w:pPr>
        <w:spacing w:before="120" w:after="120" w:line="288" w:lineRule="auto"/>
        <w:ind w:left="0"/>
        <w:jc w:val="left"/>
      </w:pPr>
      <w:r>
        <w:rPr>
          <w:rFonts w:ascii="Arial" w:hAnsi="Arial" w:eastAsia="等线" w:cs="Arial"/>
          <w:sz w:val="22"/>
        </w:rPr>
        <w:t>除了买卖单个股票的期权外，你还可以买卖指数期权。</w:t>
      </w:r>
    </w:p>
    <w:p w14:paraId="702F0CAF">
      <w:pPr>
        <w:spacing w:before="120" w:after="120" w:line="288" w:lineRule="auto"/>
        <w:ind w:left="0"/>
        <w:jc w:val="left"/>
      </w:pPr>
    </w:p>
    <w:p w14:paraId="44AB801B">
      <w:pPr>
        <w:spacing w:before="120" w:after="120" w:line="288" w:lineRule="auto"/>
        <w:ind w:left="0"/>
        <w:jc w:val="left"/>
      </w:pPr>
      <w:r>
        <w:rPr>
          <w:rFonts w:ascii="Arial" w:hAnsi="Arial" w:eastAsia="等线" w:cs="Arial"/>
          <w:sz w:val="22"/>
        </w:rPr>
        <w:t>指数期权允许投资者对市场的价格变动进行投机（或对冲），或者市场的各个板块。与指数本身一样，指数期权可以是广泛基础的或狭窄基础的。主要的广泛基础指数期权包括标准普尔500指数期权（SPX）、标准普尔500波动率市场指数（VIX）和标准普尔100指数期权（OEX）。狭窄基础指数期权包括能源板块期权（IXE）、金融板块期权（IXM）、医疗保健板块期权（IXV）、科技板块期权（IXU）等等。</w:t>
      </w:r>
    </w:p>
    <w:p w14:paraId="18D00420">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C3516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D762055">
            <w:pPr>
              <w:spacing w:before="120" w:after="120" w:line="288" w:lineRule="auto"/>
              <w:ind w:left="0"/>
              <w:jc w:val="left"/>
            </w:pPr>
            <w:r>
              <w:rPr>
                <w:rFonts w:ascii="Arial" w:hAnsi="Arial" w:eastAsia="等线" w:cs="Arial"/>
                <w:color w:val="646A73"/>
                <w:sz w:val="22"/>
              </w:rPr>
              <w:t>注：芝加哥期权交易所（CBOE）的波动率指数是衡量投资者认为标准普尔500指数在未来30天内波动程度的指标。通常，波动性预期越高，波动率指数溢价就越高。</w:t>
            </w:r>
          </w:p>
        </w:tc>
      </w:tr>
    </w:tbl>
    <w:p w14:paraId="5F591F60">
      <w:pPr>
        <w:spacing w:before="120" w:after="120" w:line="288" w:lineRule="auto"/>
        <w:ind w:left="0"/>
        <w:jc w:val="left"/>
      </w:pPr>
    </w:p>
    <w:p w14:paraId="07F8B18D">
      <w:pPr>
        <w:spacing w:before="120" w:after="120" w:line="288" w:lineRule="auto"/>
        <w:ind w:left="0"/>
        <w:jc w:val="left"/>
      </w:pPr>
      <w:r>
        <w:rPr>
          <w:rFonts w:ascii="Arial" w:hAnsi="Arial" w:eastAsia="等线" w:cs="Arial"/>
          <w:b/>
          <w:sz w:val="22"/>
        </w:rPr>
        <w:t>指数期权的权利金：</w:t>
      </w:r>
    </w:p>
    <w:p w14:paraId="4B1211D8">
      <w:pPr>
        <w:spacing w:before="120" w:after="120" w:line="288" w:lineRule="auto"/>
        <w:ind w:left="0"/>
        <w:jc w:val="left"/>
      </w:pPr>
      <w:r>
        <w:rPr>
          <w:rFonts w:ascii="Arial" w:hAnsi="Arial" w:eastAsia="等线" w:cs="Arial"/>
          <w:sz w:val="22"/>
        </w:rPr>
        <w:t>与标准股票期权一样，指数期权的定价单位为100。这意味着，和标准股票期权相同，你需要将期权费乘以100来得到实际成本。</w:t>
      </w:r>
    </w:p>
    <w:p w14:paraId="3FA61F78">
      <w:pPr>
        <w:spacing w:before="120" w:after="120" w:line="288" w:lineRule="auto"/>
        <w:ind w:left="0"/>
        <w:jc w:val="left"/>
      </w:pPr>
    </w:p>
    <w:p w14:paraId="37138191">
      <w:pPr>
        <w:spacing w:before="120" w:after="120" w:line="288" w:lineRule="auto"/>
        <w:ind w:left="0"/>
        <w:jc w:val="left"/>
      </w:pPr>
      <w:r>
        <w:rPr>
          <w:rFonts w:ascii="Arial" w:hAnsi="Arial" w:eastAsia="等线" w:cs="Arial"/>
          <w:b/>
          <w:sz w:val="22"/>
        </w:rPr>
        <w:t>现金行权：</w:t>
      </w:r>
    </w:p>
    <w:p w14:paraId="75BACEE8">
      <w:pPr>
        <w:spacing w:before="120" w:after="120" w:line="288" w:lineRule="auto"/>
        <w:ind w:left="0"/>
        <w:jc w:val="left"/>
      </w:pPr>
      <w:r>
        <w:rPr>
          <w:rFonts w:ascii="Arial" w:hAnsi="Arial" w:eastAsia="等线" w:cs="Arial"/>
          <w:sz w:val="22"/>
        </w:rPr>
        <w:t>与常规股票期权不同，在常规股票期权中，当期权被行权时，必须交付标的证券，而指数期权则以现金结算。这是合理的，因为投资者要购买并交付指数所涵盖的所有证券是非常困难的。如果指数看涨期权的持有者行权，他们将获得根据交易日结束时的收盘价计算的实值金额乘以100，而非行权时的当前价值。</w:t>
      </w:r>
    </w:p>
    <w:p w14:paraId="77B72B46">
      <w:pPr>
        <w:spacing w:before="120" w:after="120" w:line="288" w:lineRule="auto"/>
        <w:ind w:left="0"/>
        <w:jc w:val="left"/>
      </w:pPr>
    </w:p>
    <w:p w14:paraId="04CCE13D">
      <w:pPr>
        <w:spacing w:before="120" w:after="120" w:line="288" w:lineRule="auto"/>
        <w:ind w:left="0"/>
        <w:jc w:val="left"/>
      </w:pPr>
      <w:r>
        <w:rPr>
          <w:rFonts w:ascii="Arial" w:hAnsi="Arial" w:eastAsia="等线" w:cs="Arial"/>
          <w:b/>
          <w:sz w:val="22"/>
        </w:rPr>
        <w:t>交易时间、结算和到期日：</w:t>
      </w:r>
      <w:r>
        <w:rPr>
          <w:rFonts w:ascii="Arial" w:hAnsi="Arial" w:eastAsia="等线" w:cs="Arial"/>
          <w:sz w:val="22"/>
        </w:rPr>
        <w:br w:type="textWrapping"/>
      </w:r>
      <w:r>
        <w:rPr>
          <w:rFonts w:ascii="Arial" w:hAnsi="Arial" w:eastAsia="等线" w:cs="Arial"/>
          <w:sz w:val="22"/>
        </w:rPr>
        <w:t>窄基指数期权的交易时间为美国东部时间下午4:00，宽基指数期权的交易时间为美国东部时间下午4:15。与股票期权一样，指数期权的结算日为下一个工作日。</w:t>
      </w:r>
    </w:p>
    <w:p w14:paraId="4F15A52C">
      <w:pPr>
        <w:spacing w:before="120" w:after="120" w:line="288" w:lineRule="auto"/>
        <w:ind w:left="0"/>
        <w:jc w:val="left"/>
      </w:pPr>
    </w:p>
    <w:p w14:paraId="6DD7E254">
      <w:pPr>
        <w:spacing w:before="120" w:after="120" w:line="288" w:lineRule="auto"/>
        <w:ind w:left="0"/>
        <w:jc w:val="left"/>
      </w:pPr>
      <w:r>
        <w:rPr>
          <w:rFonts w:ascii="Arial" w:hAnsi="Arial" w:eastAsia="等线" w:cs="Arial"/>
          <w:sz w:val="22"/>
        </w:rPr>
        <w:t>记住：指数期权分为宽基指数期权和窄基指数期权。因此，人们可能会根据自己对整体市场表现（宽基）或仅对某一市场板块表现（窄基）的判断来买入或卖出指数期权。在这种情况下，看涨时买入看涨期权、卖出看跌期权，看跌时买入看跌期权、卖出看涨期权的相同策略仍然适用。不过，投资者也可以利用指数期权来对冲（保护）投资组合，以应对市场下跌。如果投资者拥有多元化的证券投资组合，他们可能会决定购买OEX或SPX看跌期权，以在市场下跌时保护自己。此外，持有大量医疗板块股票组合的投资者，可能会购买IXV看跌期权，以在医疗类股票失宠时保护自己。甚至还有仅持续一周的指数期权（周度期权），这让投资者能够根据可能对市场或某一市场板块产生突然影响的经济新闻或收益报告来交易指数期权。</w:t>
      </w:r>
    </w:p>
    <w:p w14:paraId="1BDBB1B4">
      <w:pPr>
        <w:spacing w:before="120" w:after="120" w:line="288" w:lineRule="auto"/>
        <w:ind w:left="0"/>
        <w:jc w:val="left"/>
      </w:pPr>
    </w:p>
    <w:p w14:paraId="1AF3D471">
      <w:pPr>
        <w:spacing w:before="120" w:after="120" w:line="288" w:lineRule="auto"/>
        <w:ind w:left="0"/>
        <w:jc w:val="left"/>
      </w:pPr>
      <w:r>
        <w:rPr>
          <w:rFonts w:ascii="Arial" w:hAnsi="Arial" w:eastAsia="等线" w:cs="Arial"/>
          <w:sz w:val="22"/>
        </w:rPr>
        <w:t>你会发现，指数期权的买方和卖方可以采用与股票期权的买方和卖方几乎相同的大多数策略。这些策略包括备兑开仓、对冲、保护性看跌期权、跨式期权与组合期权，以及裸卖看涨期权或看跌期权。</w:t>
      </w:r>
    </w:p>
    <w:p w14:paraId="4384312B">
      <w:pPr>
        <w:spacing w:before="120" w:after="120" w:line="288" w:lineRule="auto"/>
        <w:ind w:left="0"/>
        <w:jc w:val="left"/>
      </w:pPr>
    </w:p>
    <w:p w14:paraId="06F24A12">
      <w:pPr>
        <w:spacing w:before="320" w:after="120" w:line="288" w:lineRule="auto"/>
        <w:ind w:left="0"/>
        <w:jc w:val="left"/>
        <w:outlineLvl w:val="1"/>
      </w:pPr>
      <w:bookmarkStart w:id="18" w:name="heading_18"/>
      <w:r>
        <w:rPr>
          <w:rFonts w:ascii="Arial" w:hAnsi="Arial" w:eastAsia="等线" w:cs="Arial"/>
          <w:color w:val="3370FF"/>
          <w:sz w:val="32"/>
        </w:rPr>
        <w:t xml:space="preserve">2.11 </w:t>
      </w:r>
      <w:r>
        <w:rPr>
          <w:rFonts w:ascii="Arial" w:hAnsi="Arial" w:eastAsia="等线" w:cs="Arial"/>
          <w:b/>
          <w:sz w:val="32"/>
        </w:rPr>
        <w:t>获取额外的期权洞察</w:t>
      </w:r>
      <w:bookmarkEnd w:id="18"/>
    </w:p>
    <w:p w14:paraId="578758E5">
      <w:pPr>
        <w:spacing w:before="120" w:after="120" w:line="288" w:lineRule="auto"/>
        <w:ind w:left="0"/>
        <w:jc w:val="left"/>
      </w:pPr>
      <w:r>
        <w:rPr>
          <w:rFonts w:ascii="Arial" w:hAnsi="Arial" w:eastAsia="等线" w:cs="Arial"/>
          <w:sz w:val="22"/>
        </w:rPr>
        <w:t>为了帮助你更深入地理解期权，你需要了解一些在实际的SIE考试中肯定会遇到的额外知识。其中包括期权的发行方、什么是ROP、什么是风险披露文件等等。</w:t>
      </w:r>
    </w:p>
    <w:p w14:paraId="0456EF5B">
      <w:pPr>
        <w:spacing w:before="120" w:after="120" w:line="288" w:lineRule="auto"/>
        <w:ind w:left="0"/>
        <w:jc w:val="left"/>
      </w:pPr>
    </w:p>
    <w:p w14:paraId="2B6BD9B3">
      <w:pPr>
        <w:spacing w:before="300" w:after="120" w:line="288" w:lineRule="auto"/>
        <w:ind w:left="0"/>
        <w:jc w:val="left"/>
        <w:outlineLvl w:val="2"/>
      </w:pPr>
      <w:bookmarkStart w:id="19" w:name="heading_19"/>
      <w:r>
        <w:rPr>
          <w:rFonts w:ascii="Arial" w:hAnsi="Arial" w:eastAsia="等线" w:cs="Arial"/>
          <w:color w:val="3370FF"/>
          <w:sz w:val="30"/>
        </w:rPr>
        <w:t xml:space="preserve">2.11.1 </w:t>
      </w:r>
      <w:r>
        <w:rPr>
          <w:rFonts w:ascii="Arial" w:hAnsi="Arial" w:eastAsia="等线" w:cs="Arial"/>
          <w:b/>
          <w:sz w:val="30"/>
        </w:rPr>
        <w:t>通过期权清算公司清算</w:t>
      </w:r>
      <w:bookmarkEnd w:id="19"/>
    </w:p>
    <w:p w14:paraId="18ED784D">
      <w:pPr>
        <w:spacing w:before="120" w:after="120" w:line="288" w:lineRule="auto"/>
        <w:ind w:left="0"/>
        <w:jc w:val="left"/>
      </w:pPr>
      <w:r>
        <w:rPr>
          <w:rFonts w:ascii="Arial" w:hAnsi="Arial" w:eastAsia="等线" w:cs="Arial"/>
          <w:sz w:val="22"/>
        </w:rPr>
        <w:t>期权清算公司（OCC，Options Clearing Corporation）是所有上市期权的发行方和担保人。</w:t>
      </w:r>
    </w:p>
    <w:p w14:paraId="0A3EFF6C">
      <w:pPr>
        <w:spacing w:before="120" w:after="120" w:line="288" w:lineRule="auto"/>
        <w:ind w:left="0"/>
        <w:jc w:val="left"/>
      </w:pPr>
    </w:p>
    <w:p w14:paraId="5A600DCF">
      <w:pPr>
        <w:spacing w:before="120" w:after="120" w:line="288" w:lineRule="auto"/>
        <w:ind w:left="0"/>
        <w:jc w:val="left"/>
      </w:pPr>
      <w:r>
        <w:rPr>
          <w:rFonts w:ascii="Arial" w:hAnsi="Arial" w:eastAsia="等线" w:cs="Arial"/>
          <w:sz w:val="22"/>
        </w:rPr>
        <w:t>OCC 决定哪些期权可以交易以及它们的行权价格。此外，当投资者决定行使其期权时，由 OCC 随机决定另一端的哪家公司负责履行期权条款。</w:t>
      </w:r>
    </w:p>
    <w:p w14:paraId="6C305C01">
      <w:pPr>
        <w:spacing w:before="120" w:after="120" w:line="288" w:lineRule="auto"/>
        <w:ind w:left="0"/>
        <w:jc w:val="left"/>
      </w:pPr>
    </w:p>
    <w:p w14:paraId="0ED16DC5">
      <w:pPr>
        <w:spacing w:before="120" w:after="120" w:line="288" w:lineRule="auto"/>
        <w:ind w:left="0"/>
        <w:jc w:val="left"/>
      </w:pPr>
      <w:r>
        <w:rPr>
          <w:rFonts w:ascii="Arial" w:hAnsi="Arial" w:eastAsia="等线" w:cs="Arial"/>
          <w:sz w:val="22"/>
        </w:rPr>
        <w:t>注意：OCC 不决定期权价格，期权价格由投资者根据供求关系、期权的内在价值（即根据行权价格和标的证券价格计算的实值程度或虚值程度）以及期权到期前的剩余时间来确定。</w:t>
      </w:r>
    </w:p>
    <w:p w14:paraId="2120BA29">
      <w:pPr>
        <w:spacing w:before="120" w:after="120" w:line="288" w:lineRule="auto"/>
        <w:ind w:left="0"/>
        <w:jc w:val="left"/>
      </w:pPr>
    </w:p>
    <w:p w14:paraId="1B325083">
      <w:pPr>
        <w:spacing w:before="300" w:after="120" w:line="288" w:lineRule="auto"/>
        <w:ind w:left="0"/>
        <w:jc w:val="left"/>
        <w:outlineLvl w:val="2"/>
      </w:pPr>
      <w:bookmarkStart w:id="20" w:name="heading_20"/>
      <w:r>
        <w:rPr>
          <w:rFonts w:ascii="Arial" w:hAnsi="Arial" w:eastAsia="等线" w:cs="Arial"/>
          <w:color w:val="3370FF"/>
          <w:sz w:val="30"/>
        </w:rPr>
        <w:t xml:space="preserve">2.11.2 </w:t>
      </w:r>
      <w:r>
        <w:rPr>
          <w:rFonts w:ascii="Arial" w:hAnsi="Arial" w:eastAsia="等线" w:cs="Arial"/>
          <w:b/>
          <w:sz w:val="30"/>
        </w:rPr>
        <w:t>期权风险披露文件</w:t>
      </w:r>
      <w:bookmarkEnd w:id="20"/>
    </w:p>
    <w:p w14:paraId="0C1EDCCC">
      <w:pPr>
        <w:spacing w:before="120" w:after="120" w:line="288" w:lineRule="auto"/>
        <w:ind w:left="0"/>
        <w:jc w:val="left"/>
      </w:pPr>
      <w:r>
        <w:rPr>
          <w:rFonts w:ascii="Arial" w:hAnsi="Arial" w:eastAsia="等线" w:cs="Arial"/>
          <w:sz w:val="22"/>
        </w:rPr>
        <w:t>ODD（Options Disclosure Document）是核心前置文件，用于向客户充分披露期权交易的潜在风险（如杠杆风险、到期失效风险等）。</w:t>
      </w:r>
    </w:p>
    <w:p w14:paraId="7346CF8F">
      <w:pPr>
        <w:spacing w:before="120" w:after="120" w:line="288" w:lineRule="auto"/>
        <w:ind w:left="0"/>
        <w:jc w:val="left"/>
      </w:pPr>
    </w:p>
    <w:p w14:paraId="7ED79B07">
      <w:pPr>
        <w:spacing w:before="120" w:after="120" w:line="288" w:lineRule="auto"/>
        <w:ind w:left="0"/>
        <w:jc w:val="left"/>
      </w:pPr>
      <w:r>
        <w:rPr>
          <w:rFonts w:ascii="Arial" w:hAnsi="Arial" w:eastAsia="等线" w:cs="Arial"/>
          <w:sz w:val="22"/>
        </w:rPr>
        <w:t>这份 ODD 向投资者解释了期权术语和策略，以及投资期权所涉及的潜在收益和风险，例如可能损失所有投资资金，或者在卖出看涨期权时，可能面临无限的最大损失。除了这些风险外，ODD 还必须解释与期权相关的税收规则、交易成本、保证金要求、针对无担保期权卖方的特别声明等等。</w:t>
      </w:r>
    </w:p>
    <w:p w14:paraId="17C8BC2F">
      <w:pPr>
        <w:spacing w:before="120" w:after="120" w:line="288" w:lineRule="auto"/>
        <w:ind w:left="0"/>
        <w:jc w:val="left"/>
      </w:pPr>
    </w:p>
    <w:p w14:paraId="73DD21F2">
      <w:pPr>
        <w:spacing w:before="300" w:after="120" w:line="288" w:lineRule="auto"/>
        <w:ind w:left="0"/>
        <w:jc w:val="left"/>
        <w:outlineLvl w:val="2"/>
      </w:pPr>
      <w:bookmarkStart w:id="21" w:name="heading_21"/>
      <w:r>
        <w:rPr>
          <w:rFonts w:ascii="Arial" w:hAnsi="Arial" w:eastAsia="等线" w:cs="Arial"/>
          <w:color w:val="3370FF"/>
          <w:sz w:val="30"/>
        </w:rPr>
        <w:t xml:space="preserve">2.11.3 </w:t>
      </w:r>
      <w:r>
        <w:rPr>
          <w:rFonts w:ascii="Arial" w:hAnsi="Arial" w:eastAsia="等线" w:cs="Arial"/>
          <w:b/>
          <w:sz w:val="30"/>
        </w:rPr>
        <w:t>获得批准：注册期权负责人</w:t>
      </w:r>
      <w:bookmarkEnd w:id="21"/>
    </w:p>
    <w:p w14:paraId="13CC5731">
      <w:pPr>
        <w:spacing w:before="120" w:after="120" w:line="288" w:lineRule="auto"/>
        <w:ind w:left="0"/>
        <w:jc w:val="left"/>
      </w:pPr>
      <w:r>
        <w:rPr>
          <w:rFonts w:ascii="Arial" w:hAnsi="Arial" w:eastAsia="等线" w:cs="Arial"/>
          <w:sz w:val="22"/>
        </w:rPr>
        <w:t>由于投资期权存在额外风险，所有新账户和期权订单都必须经过注册期权负责人（ROP，Registered Options Principal）的批准和签字——换句话说，也就是持有 Series 4 许可证的经理。</w:t>
      </w:r>
    </w:p>
    <w:p w14:paraId="271288D7">
      <w:pPr>
        <w:spacing w:before="120" w:after="120" w:line="288" w:lineRule="auto"/>
        <w:ind w:left="0"/>
        <w:jc w:val="left"/>
      </w:pPr>
    </w:p>
    <w:p w14:paraId="4BD0CE23">
      <w:pPr>
        <w:spacing w:before="120" w:after="120" w:line="288" w:lineRule="auto"/>
        <w:ind w:left="0"/>
        <w:jc w:val="left"/>
      </w:pPr>
      <w:r>
        <w:rPr>
          <w:rFonts w:ascii="Arial" w:hAnsi="Arial" w:eastAsia="等线" w:cs="Arial"/>
          <w:sz w:val="22"/>
        </w:rPr>
        <w:t>注册期权负责人会确定每位投资者可以承担的风险额度。当然，资金雄厚的成熟投资者比资金有限的新期权投资者更能承受风险。</w:t>
      </w:r>
    </w:p>
    <w:p w14:paraId="79488B94">
      <w:pPr>
        <w:spacing w:before="120" w:after="120" w:line="288" w:lineRule="auto"/>
        <w:ind w:left="0"/>
        <w:jc w:val="left"/>
      </w:pPr>
    </w:p>
    <w:p w14:paraId="1F41F2C7">
      <w:pPr>
        <w:spacing w:before="300" w:after="120" w:line="288" w:lineRule="auto"/>
        <w:ind w:left="0"/>
        <w:jc w:val="left"/>
        <w:outlineLvl w:val="2"/>
      </w:pPr>
      <w:bookmarkStart w:id="22" w:name="heading_22"/>
      <w:r>
        <w:rPr>
          <w:rFonts w:ascii="Arial" w:hAnsi="Arial" w:eastAsia="等线" w:cs="Arial"/>
          <w:color w:val="3370FF"/>
          <w:sz w:val="30"/>
        </w:rPr>
        <w:t xml:space="preserve">2.11.4 </w:t>
      </w:r>
      <w:r>
        <w:rPr>
          <w:rFonts w:ascii="Arial" w:hAnsi="Arial" w:eastAsia="等线" w:cs="Arial"/>
          <w:b/>
          <w:sz w:val="30"/>
        </w:rPr>
        <w:t>期权账户协议（OAA）</w:t>
      </w:r>
      <w:bookmarkEnd w:id="22"/>
    </w:p>
    <w:p w14:paraId="012B1B79">
      <w:pPr>
        <w:numPr>
          <w:ilvl w:val="0"/>
          <w:numId w:val="36"/>
        </w:numPr>
        <w:spacing w:before="120" w:after="120" w:line="288" w:lineRule="auto"/>
        <w:ind w:left="0"/>
        <w:jc w:val="left"/>
      </w:pPr>
      <w:r>
        <w:rPr>
          <w:rFonts w:ascii="Arial" w:hAnsi="Arial" w:eastAsia="等线" w:cs="Arial"/>
          <w:sz w:val="22"/>
        </w:rPr>
        <w:t>在账戶获得 ROP 批准后的15个自然日（calendar days）内，客戶必须签署并交回期权账户协议（OAA，Options Account Agreement），有时也简称为期权协议。</w:t>
      </w:r>
    </w:p>
    <w:p w14:paraId="53909AB4">
      <w:pPr>
        <w:numPr>
          <w:ilvl w:val="0"/>
          <w:numId w:val="37"/>
        </w:numPr>
        <w:spacing w:before="120" w:after="120" w:line="288" w:lineRule="auto"/>
        <w:ind w:left="0"/>
        <w:jc w:val="left"/>
      </w:pPr>
      <w:r>
        <w:rPr>
          <w:rFonts w:ascii="Arial" w:hAnsi="Arial" w:eastAsia="等线" w:cs="Arial"/>
          <w:sz w:val="22"/>
        </w:rPr>
        <w:t>如果未在15天内签署返回 OAA，客戶不能开立新的期权头寸（new options positions）。</w:t>
      </w:r>
    </w:p>
    <w:p w14:paraId="7805CD00">
      <w:pPr>
        <w:spacing w:before="120" w:after="120" w:line="288" w:lineRule="auto"/>
        <w:ind w:left="0"/>
        <w:jc w:val="left"/>
      </w:pPr>
    </w:p>
    <w:p w14:paraId="4563836A">
      <w:pPr>
        <w:spacing w:before="120" w:after="120" w:line="288" w:lineRule="auto"/>
        <w:ind w:left="0"/>
        <w:jc w:val="left"/>
      </w:pPr>
      <w:r>
        <w:rPr>
          <w:rFonts w:ascii="Arial" w:hAnsi="Arial" w:eastAsia="等线" w:cs="Arial"/>
          <w:sz w:val="22"/>
        </w:rPr>
        <w:t>基本上，该协议只是声明客户已阅读期权风险披露文件（ODD），了解与期权交易相关的风险，并将遵守有关期权交易的规章制度。若有任何情况发生变化（例如客户的投资目标、财务状况等），客户同意通知公司。</w:t>
      </w:r>
    </w:p>
    <w:p w14:paraId="4DA2030A">
      <w:pPr>
        <w:spacing w:before="120" w:after="120" w:line="288" w:lineRule="auto"/>
        <w:ind w:left="0"/>
        <w:jc w:val="left"/>
      </w:pPr>
    </w:p>
    <w:p w14:paraId="44C0A3D2">
      <w:pPr>
        <w:spacing w:before="300" w:after="120" w:line="288" w:lineRule="auto"/>
        <w:ind w:left="0"/>
        <w:jc w:val="left"/>
        <w:outlineLvl w:val="2"/>
      </w:pPr>
      <w:bookmarkStart w:id="23" w:name="heading_23"/>
      <w:r>
        <w:rPr>
          <w:rFonts w:ascii="Arial" w:hAnsi="Arial" w:eastAsia="等线" w:cs="Arial"/>
          <w:color w:val="3370FF"/>
          <w:sz w:val="30"/>
        </w:rPr>
        <w:t xml:space="preserve">2.11.5 </w:t>
      </w:r>
      <w:r>
        <w:rPr>
          <w:rFonts w:ascii="Arial" w:hAnsi="Arial" w:eastAsia="等线" w:cs="Arial"/>
          <w:b/>
          <w:sz w:val="30"/>
        </w:rPr>
        <w:t>订单票据（Order Ticket）</w:t>
      </w:r>
      <w:bookmarkEnd w:id="23"/>
    </w:p>
    <w:p w14:paraId="360964F0">
      <w:pPr>
        <w:spacing w:before="120" w:after="120" w:line="288" w:lineRule="auto"/>
        <w:ind w:left="0"/>
        <w:jc w:val="left"/>
      </w:pPr>
      <w:r>
        <w:rPr>
          <w:rFonts w:ascii="Arial" w:hAnsi="Arial" w:eastAsia="等线" w:cs="Arial"/>
          <w:sz w:val="22"/>
        </w:rPr>
        <w:t>你可以在第16章中了解到订单票据上的更多要求。然而，订单票据上有一些针对期权的独特要求。除了要注明所买卖的期权外，还必须注明：</w:t>
      </w:r>
    </w:p>
    <w:p w14:paraId="46A56F94">
      <w:pPr>
        <w:numPr>
          <w:ilvl w:val="0"/>
          <w:numId w:val="38"/>
        </w:numPr>
        <w:spacing w:before="120" w:after="120" w:line="288" w:lineRule="auto"/>
        <w:ind w:left="0"/>
        <w:jc w:val="left"/>
      </w:pPr>
      <w:r>
        <w:rPr>
          <w:rFonts w:ascii="Arial" w:hAnsi="Arial" w:eastAsia="等线" w:cs="Arial"/>
          <w:sz w:val="22"/>
        </w:rPr>
        <w:t>建立头寸方向 Long（买入）或 Short（卖出）；</w:t>
      </w:r>
    </w:p>
    <w:p w14:paraId="20334E48">
      <w:pPr>
        <w:numPr>
          <w:ilvl w:val="0"/>
          <w:numId w:val="39"/>
        </w:numPr>
        <w:spacing w:before="120" w:after="120" w:line="288" w:lineRule="auto"/>
        <w:ind w:left="0"/>
        <w:jc w:val="left"/>
      </w:pPr>
      <w:r>
        <w:rPr>
          <w:rFonts w:ascii="Arial" w:hAnsi="Arial" w:eastAsia="等线" w:cs="Arial"/>
          <w:sz w:val="22"/>
        </w:rPr>
        <w:t>卖出方是否有担保 Covered 或 裸卖（Uncovered）。</w:t>
      </w:r>
    </w:p>
    <w:p w14:paraId="19D29EAC">
      <w:pPr>
        <w:spacing w:before="120" w:after="120" w:line="288" w:lineRule="auto"/>
        <w:ind w:left="0"/>
        <w:jc w:val="left"/>
      </w:pPr>
    </w:p>
    <w:p w14:paraId="45D8C96E">
      <w:pPr>
        <w:spacing w:before="300" w:after="120" w:line="288" w:lineRule="auto"/>
        <w:ind w:left="0"/>
        <w:jc w:val="left"/>
        <w:outlineLvl w:val="2"/>
      </w:pPr>
      <w:bookmarkStart w:id="24" w:name="heading_24"/>
      <w:r>
        <w:rPr>
          <w:rFonts w:ascii="Arial" w:hAnsi="Arial" w:eastAsia="等线" w:cs="Arial"/>
          <w:color w:val="3370FF"/>
          <w:sz w:val="30"/>
        </w:rPr>
        <w:t xml:space="preserve">2.11.6 </w:t>
      </w:r>
      <w:r>
        <w:rPr>
          <w:rFonts w:ascii="Arial" w:hAnsi="Arial" w:eastAsia="等线" w:cs="Arial"/>
          <w:b/>
          <w:sz w:val="30"/>
        </w:rPr>
        <w:t>期权的最后交易日、最后行权日和到期日</w:t>
      </w:r>
      <w:bookmarkEnd w:id="24"/>
    </w:p>
    <w:p w14:paraId="1473A8BA">
      <w:pPr>
        <w:spacing w:before="120" w:after="120" w:line="288" w:lineRule="auto"/>
        <w:ind w:left="0"/>
        <w:jc w:val="left"/>
      </w:pPr>
      <w:r>
        <w:rPr>
          <w:rFonts w:ascii="Arial" w:hAnsi="Arial" w:eastAsia="等线" w:cs="Arial"/>
          <w:sz w:val="22"/>
        </w:rPr>
        <w:t>与股票证书不同，期权确实会在特定时间段后到期。此外，投资者在何时可以交易和行使期权方面受到限制。以下是需要记住的时间线：</w:t>
      </w:r>
    </w:p>
    <w:p w14:paraId="309DF0FD">
      <w:pPr>
        <w:numPr>
          <w:ilvl w:val="0"/>
          <w:numId w:val="40"/>
        </w:numPr>
        <w:spacing w:before="120" w:after="120" w:line="288" w:lineRule="auto"/>
        <w:ind w:left="0"/>
        <w:jc w:val="left"/>
      </w:pPr>
      <w:r>
        <w:rPr>
          <w:rFonts w:ascii="Arial" w:hAnsi="Arial" w:eastAsia="等线" w:cs="Arial"/>
          <w:sz w:val="22"/>
        </w:rPr>
        <w:t>最后交易（Last Trade）：投资者能够交易期权的最后时间是到期日工作日的美国东部时间下午4:00。</w:t>
      </w:r>
    </w:p>
    <w:p w14:paraId="6B57A99B">
      <w:pPr>
        <w:numPr>
          <w:ilvl w:val="0"/>
          <w:numId w:val="41"/>
        </w:numPr>
        <w:spacing w:before="120" w:after="120" w:line="288" w:lineRule="auto"/>
        <w:ind w:left="0"/>
        <w:jc w:val="left"/>
      </w:pPr>
      <w:r>
        <w:rPr>
          <w:rFonts w:ascii="Arial" w:hAnsi="Arial" w:eastAsia="等线" w:cs="Arial"/>
          <w:sz w:val="22"/>
        </w:rPr>
        <w:t>最后行权时间（Last Exercise）：投资者最后可以行权的时间是到期日美国东部时间下午5:30。如果期权在到期时处于实值状态且至少有1个点的价值，它将被自动行权。绝大多数期权（所有股票期权和交易所交易基金期权）在到期前的任何时间都可以行权——这被称为美式期权。然而，也有欧式期权，其只能在到期日行权。欧式期权包括上限指数期权和一些外汇期权。尽管欧式期权只能在到期时行权，但它仍可以在任何时间进行交易。</w:t>
      </w:r>
    </w:p>
    <w:p w14:paraId="1F0C8D33">
      <w:pPr>
        <w:numPr>
          <w:ilvl w:val="0"/>
          <w:numId w:val="42"/>
        </w:numPr>
        <w:spacing w:before="120" w:after="120" w:line="288" w:lineRule="auto"/>
        <w:ind w:left="0"/>
        <w:jc w:val="left"/>
      </w:pPr>
      <w:r>
        <w:rPr>
          <w:rFonts w:ascii="Arial" w:hAnsi="Arial" w:eastAsia="等线" w:cs="Arial"/>
          <w:sz w:val="22"/>
        </w:rPr>
        <w:t>期权到期（Option Expiration）：期权在到期月份的第三个星期五美国东部时间晚上 11:59 到期。</w:t>
      </w:r>
    </w:p>
    <w:p w14:paraId="6C338343">
      <w:pPr>
        <w:spacing w:before="120" w:after="120" w:line="288" w:lineRule="auto"/>
        <w:ind w:left="0"/>
        <w:jc w:val="left"/>
      </w:pPr>
    </w:p>
    <w:p w14:paraId="3CC1B30D">
      <w:pPr>
        <w:spacing w:before="300" w:after="120" w:line="288" w:lineRule="auto"/>
        <w:ind w:left="0"/>
        <w:jc w:val="left"/>
        <w:outlineLvl w:val="2"/>
      </w:pPr>
      <w:bookmarkStart w:id="25" w:name="heading_25"/>
      <w:r>
        <w:rPr>
          <w:rFonts w:ascii="Arial" w:hAnsi="Arial" w:eastAsia="等线" w:cs="Arial"/>
          <w:color w:val="3370FF"/>
          <w:sz w:val="30"/>
        </w:rPr>
        <w:t xml:space="preserve">2.11.7 </w:t>
      </w:r>
      <w:r>
        <w:rPr>
          <w:rFonts w:ascii="Arial" w:hAnsi="Arial" w:eastAsia="等线" w:cs="Arial"/>
          <w:b/>
          <w:sz w:val="30"/>
        </w:rPr>
        <w:t>行权与指派（Exercise and Assignment）</w:t>
      </w:r>
      <w:bookmarkEnd w:id="25"/>
    </w:p>
    <w:p w14:paraId="6A51E754">
      <w:pPr>
        <w:spacing w:before="120" w:after="120" w:line="288" w:lineRule="auto"/>
        <w:ind w:left="0"/>
        <w:jc w:val="left"/>
      </w:pPr>
      <w:r>
        <w:rPr>
          <w:rFonts w:ascii="Arial" w:hAnsi="Arial" w:eastAsia="等线" w:cs="Arial"/>
          <w:sz w:val="22"/>
        </w:rPr>
        <w:t>期权通过期权清算公司（OCC）进行清算。</w:t>
      </w:r>
    </w:p>
    <w:p w14:paraId="624EE335">
      <w:pPr>
        <w:spacing w:before="120" w:after="120" w:line="288" w:lineRule="auto"/>
        <w:ind w:left="0"/>
        <w:jc w:val="left"/>
      </w:pPr>
    </w:p>
    <w:p w14:paraId="6C490B5F">
      <w:pPr>
        <w:spacing w:before="120" w:after="120" w:line="288" w:lineRule="auto"/>
        <w:ind w:left="0"/>
        <w:jc w:val="left"/>
      </w:pPr>
      <w:r>
        <w:rPr>
          <w:rFonts w:ascii="Arial" w:hAnsi="Arial" w:eastAsia="等线" w:cs="Arial"/>
          <w:sz w:val="22"/>
        </w:rPr>
        <w:t>以下是期权的行权方式：</w:t>
      </w:r>
    </w:p>
    <w:p w14:paraId="3003ECD4">
      <w:pPr>
        <w:spacing w:before="120" w:after="120" w:line="288" w:lineRule="auto"/>
        <w:ind w:left="0"/>
        <w:jc w:val="left"/>
      </w:pPr>
    </w:p>
    <w:p w14:paraId="5DFCDC05">
      <w:pPr>
        <w:spacing w:before="120" w:after="120" w:line="288" w:lineRule="auto"/>
        <w:ind w:left="0"/>
        <w:jc w:val="left"/>
      </w:pPr>
      <w:r>
        <w:rPr>
          <w:rFonts w:ascii="Arial" w:hAnsi="Arial" w:eastAsia="等线" w:cs="Arial"/>
          <w:sz w:val="22"/>
        </w:rPr>
        <w:t>当客户想要行使其持有的期权时，他们会联系自己的经纪交易商（broker dealer）。经纪交易商会联系期权清算公司（OCC）。在期权清算公司收到通知后的两个工作日内完成交易结算，因为当投资者行使期权时，他们实际上是在进行股票交易。股票交易在两个工作日内结算，因此期权的行使也在两个工作日内结算。不过，期权交易本身在一个工作日内结算。</w:t>
      </w:r>
    </w:p>
    <w:p w14:paraId="663D514F">
      <w:pPr>
        <w:spacing w:before="120" w:after="120" w:line="288" w:lineRule="auto"/>
        <w:ind w:left="0"/>
        <w:jc w:val="left"/>
      </w:pPr>
    </w:p>
    <w:p w14:paraId="03054A6F">
      <w:pPr>
        <w:spacing w:before="120" w:after="120" w:line="288" w:lineRule="auto"/>
        <w:ind w:left="0"/>
        <w:jc w:val="left"/>
      </w:pPr>
      <w:r>
        <w:rPr>
          <w:rFonts w:ascii="Arial" w:hAnsi="Arial" w:eastAsia="等线" w:cs="Arial"/>
          <w:sz w:val="22"/>
        </w:rPr>
        <w:t>涉及的步骤如下：</w:t>
      </w:r>
    </w:p>
    <w:p w14:paraId="2C419818">
      <w:pPr>
        <w:numPr>
          <w:ilvl w:val="0"/>
          <w:numId w:val="43"/>
        </w:numPr>
        <w:spacing w:before="120" w:after="120" w:line="288" w:lineRule="auto"/>
        <w:ind w:left="0"/>
        <w:jc w:val="left"/>
      </w:pPr>
      <w:r>
        <w:rPr>
          <w:rFonts w:ascii="Arial" w:hAnsi="Arial" w:eastAsia="等线" w:cs="Arial"/>
          <w:sz w:val="22"/>
        </w:rPr>
        <w:t>客戶（Client1）通知其券商（BrokerA）行权</w:t>
      </w:r>
    </w:p>
    <w:p w14:paraId="727415A6">
      <w:pPr>
        <w:numPr>
          <w:ilvl w:val="0"/>
          <w:numId w:val="44"/>
        </w:numPr>
        <w:spacing w:before="120" w:after="120" w:line="288" w:lineRule="auto"/>
        <w:ind w:left="0"/>
        <w:jc w:val="left"/>
      </w:pPr>
      <w:r>
        <w:rPr>
          <w:rFonts w:ascii="Arial" w:hAnsi="Arial" w:eastAsia="等线" w:cs="Arial"/>
          <w:sz w:val="22"/>
        </w:rPr>
        <w:t>BrokerA 通知 OCC</w:t>
      </w:r>
    </w:p>
    <w:p w14:paraId="564233DC">
      <w:pPr>
        <w:numPr>
          <w:ilvl w:val="0"/>
          <w:numId w:val="45"/>
        </w:numPr>
        <w:spacing w:before="120" w:after="120" w:line="288" w:lineRule="auto"/>
        <w:ind w:left="0"/>
        <w:jc w:val="left"/>
      </w:pPr>
      <w:r>
        <w:rPr>
          <w:rFonts w:ascii="Arial" w:hAnsi="Arial" w:eastAsia="等线" w:cs="Arial"/>
          <w:sz w:val="22"/>
        </w:rPr>
        <w:t>OCC 随机选择对手券商（BrokerB）</w:t>
      </w:r>
    </w:p>
    <w:p w14:paraId="3FA80C14">
      <w:pPr>
        <w:numPr>
          <w:ilvl w:val="0"/>
          <w:numId w:val="46"/>
        </w:numPr>
        <w:spacing w:before="120" w:after="120" w:line="288" w:lineRule="auto"/>
        <w:ind w:left="0"/>
        <w:jc w:val="left"/>
      </w:pPr>
      <w:r>
        <w:rPr>
          <w:rFonts w:ascii="Arial" w:hAnsi="Arial" w:eastAsia="等线" w:cs="Arial"/>
          <w:sz w:val="22"/>
        </w:rPr>
        <w:t>BrokerB 使用</w:t>
      </w:r>
      <w:r>
        <w:rPr>
          <w:rFonts w:ascii="Arial" w:hAnsi="Arial" w:eastAsia="等线" w:cs="Arial"/>
          <w:sz w:val="22"/>
          <w:shd w:val="clear" w:fill="FFF67A"/>
        </w:rPr>
        <w:t>随机、公平或 FIFO（先进先出）</w:t>
      </w:r>
      <w:r>
        <w:rPr>
          <w:rFonts w:ascii="Arial" w:hAnsi="Arial" w:eastAsia="等线" w:cs="Arial"/>
          <w:sz w:val="22"/>
        </w:rPr>
        <w:t>方式选择其客戶（Client2）履约，不允许以“持仓规模”为分配标准。</w:t>
      </w:r>
    </w:p>
    <w:p w14:paraId="7286F10D">
      <w:pPr>
        <w:numPr>
          <w:ilvl w:val="0"/>
          <w:numId w:val="47"/>
        </w:numPr>
        <w:spacing w:before="120" w:after="120" w:line="288" w:lineRule="auto"/>
        <w:ind w:left="0"/>
        <w:jc w:val="left"/>
      </w:pPr>
      <w:r>
        <w:rPr>
          <w:rFonts w:ascii="Arial" w:hAnsi="Arial" w:eastAsia="等线" w:cs="Arial"/>
          <w:sz w:val="22"/>
        </w:rPr>
        <w:t>Client2 向 BrokerB 提供履约资产（股票或现金）</w:t>
      </w:r>
    </w:p>
    <w:p w14:paraId="337B400E">
      <w:pPr>
        <w:numPr>
          <w:ilvl w:val="0"/>
          <w:numId w:val="48"/>
        </w:numPr>
        <w:spacing w:before="120" w:after="120" w:line="288" w:lineRule="auto"/>
        <w:ind w:left="0"/>
        <w:jc w:val="left"/>
      </w:pPr>
      <w:r>
        <w:rPr>
          <w:rFonts w:ascii="Arial" w:hAnsi="Arial" w:eastAsia="等线" w:cs="Arial"/>
          <w:sz w:val="22"/>
        </w:rPr>
        <w:t>BrokerB 将资产转给 BrokerA，BrokerA 再交给 Client1（OCC不处理现金/股票交割）</w:t>
      </w:r>
    </w:p>
    <w:p w14:paraId="35B7D6EE">
      <w:pPr>
        <w:spacing w:before="120" w:after="120" w:line="288" w:lineRule="auto"/>
        <w:ind w:left="0"/>
        <w:jc w:val="left"/>
      </w:pPr>
    </w:p>
    <w:p w14:paraId="7FE1FA26">
      <w:pPr>
        <w:spacing w:before="120" w:after="120" w:line="288" w:lineRule="auto"/>
        <w:ind w:left="0"/>
        <w:jc w:val="left"/>
      </w:pPr>
      <w:r>
        <w:rPr>
          <w:rFonts w:ascii="Arial" w:hAnsi="Arial" w:eastAsia="等线" w:cs="Arial"/>
          <w:sz w:val="22"/>
        </w:rPr>
        <w:t>那么，如果你要查看一个流程图，它看起来会是这样：</w:t>
      </w:r>
    </w:p>
    <w:p w14:paraId="1B328E83">
      <w:pPr>
        <w:spacing w:before="120" w:after="120" w:line="288" w:lineRule="auto"/>
        <w:ind w:left="0"/>
        <w:jc w:val="center"/>
      </w:pPr>
      <w:r>
        <w:drawing>
          <wp:inline distT="0" distB="0" distL="0" distR="0">
            <wp:extent cx="3067050" cy="1323975"/>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4"/>
                    <a:stretch>
                      <a:fillRect/>
                    </a:stretch>
                  </pic:blipFill>
                  <pic:spPr>
                    <a:xfrm>
                      <a:off x="0" y="0"/>
                      <a:ext cx="3067050" cy="1323975"/>
                    </a:xfrm>
                    <a:prstGeom prst="rect">
                      <a:avLst/>
                    </a:prstGeom>
                  </pic:spPr>
                </pic:pic>
              </a:graphicData>
            </a:graphic>
          </wp:inline>
        </w:drawing>
      </w:r>
    </w:p>
    <w:p w14:paraId="10903794">
      <w:pPr>
        <w:spacing w:before="120" w:after="120" w:line="288" w:lineRule="auto"/>
        <w:ind w:left="0"/>
        <w:jc w:val="left"/>
      </w:pPr>
      <w:r>
        <w:rPr>
          <w:rFonts w:ascii="Arial" w:hAnsi="Arial" w:eastAsia="等线" w:cs="Arial"/>
          <w:sz w:val="22"/>
        </w:rPr>
        <w:t>注意：虽然大多数期权的行权以标的证券的交割方式结算，但也有一些期权以现金交割方式结算。具体而言，指数期权（基于证券指数的期权）和外汇期权始终以现金结算。这是合理的，因为不能期望投资者为指数期权交割整个指数，也不能期望他们为外汇期权交割标的外汇。</w:t>
      </w:r>
    </w:p>
    <w:p w14:paraId="35221105">
      <w:pPr>
        <w:spacing w:before="120" w:after="120" w:line="288" w:lineRule="auto"/>
        <w:ind w:left="0"/>
        <w:jc w:val="left"/>
      </w:pPr>
    </w:p>
    <w:p w14:paraId="14AC83CF">
      <w:pPr>
        <w:spacing w:before="300" w:after="120" w:line="288" w:lineRule="auto"/>
        <w:ind w:left="0"/>
        <w:jc w:val="left"/>
        <w:outlineLvl w:val="2"/>
      </w:pPr>
      <w:bookmarkStart w:id="26" w:name="heading_26"/>
      <w:r>
        <w:rPr>
          <w:rFonts w:ascii="Arial" w:hAnsi="Arial" w:eastAsia="等线" w:cs="Arial"/>
          <w:color w:val="3370FF"/>
          <w:sz w:val="30"/>
        </w:rPr>
        <w:t xml:space="preserve">2.11.8 </w:t>
      </w:r>
      <w:r>
        <w:rPr>
          <w:rFonts w:ascii="Arial" w:hAnsi="Arial" w:eastAsia="等线" w:cs="Arial"/>
          <w:b/>
          <w:sz w:val="30"/>
        </w:rPr>
        <w:t>附加定义</w:t>
      </w:r>
      <w:bookmarkEnd w:id="26"/>
    </w:p>
    <w:p w14:paraId="21DE8538">
      <w:pPr>
        <w:spacing w:before="120" w:after="120" w:line="288" w:lineRule="auto"/>
        <w:ind w:left="0"/>
        <w:jc w:val="left"/>
      </w:pPr>
      <w:r>
        <w:rPr>
          <w:rFonts w:ascii="Arial" w:hAnsi="Arial" w:eastAsia="等线" w:cs="Arial"/>
          <w:sz w:val="22"/>
        </w:rPr>
        <w:t>出于某种原因，SIE 考试的出题者认为你需要了解一些额外的期权特定定义。前面已经涵盖了其中几个，这里再列出其他一些需要了解的概念。</w:t>
      </w:r>
    </w:p>
    <w:p w14:paraId="1871C22D">
      <w:pPr>
        <w:spacing w:before="120" w:after="120" w:line="288" w:lineRule="auto"/>
        <w:ind w:left="0"/>
        <w:jc w:val="left"/>
      </w:pPr>
    </w:p>
    <w:p w14:paraId="57E10013">
      <w:pPr>
        <w:numPr>
          <w:ilvl w:val="0"/>
          <w:numId w:val="49"/>
        </w:numPr>
        <w:spacing w:before="120" w:after="120" w:line="288" w:lineRule="auto"/>
        <w:ind w:left="0"/>
        <w:jc w:val="left"/>
      </w:pPr>
      <w:r>
        <w:rPr>
          <w:rFonts w:ascii="Arial" w:hAnsi="Arial" w:eastAsia="等线" w:cs="Arial"/>
          <w:sz w:val="22"/>
        </w:rPr>
        <w:t>总行权价格（Aggregate Exercise Price）：期权的行权价格乘以期权合约所涵盖的标的证券的单位数量（股票通常为100股）。</w:t>
      </w:r>
    </w:p>
    <w:p w14:paraId="36FE25D2">
      <w:pPr>
        <w:numPr>
          <w:ilvl w:val="0"/>
          <w:numId w:val="50"/>
        </w:numPr>
        <w:spacing w:before="120" w:after="120" w:line="288" w:lineRule="auto"/>
        <w:ind w:left="0"/>
        <w:jc w:val="left"/>
      </w:pPr>
      <w:r>
        <w:rPr>
          <w:rFonts w:ascii="Arial" w:hAnsi="Arial" w:eastAsia="等线" w:cs="Arial"/>
          <w:sz w:val="22"/>
        </w:rPr>
        <w:t>期权类别（Class of Options）：涵盖相同标的证券或指数的同一类型（看跌期权或看涨期权）的所有期权合约。</w:t>
      </w:r>
    </w:p>
    <w:p w14:paraId="641679CF">
      <w:pPr>
        <w:numPr>
          <w:ilvl w:val="0"/>
          <w:numId w:val="51"/>
        </w:numPr>
        <w:spacing w:before="120" w:after="120" w:line="288" w:lineRule="auto"/>
        <w:ind w:left="0"/>
        <w:jc w:val="left"/>
      </w:pPr>
      <w:r>
        <w:rPr>
          <w:rFonts w:ascii="Arial" w:hAnsi="Arial" w:eastAsia="等线" w:cs="Arial"/>
          <w:sz w:val="22"/>
        </w:rPr>
        <w:t>清算会员（Clearing Member）：指已获准加入期权清算公司（OCC）的美国金融业监管局（FINRA）会员。</w:t>
      </w:r>
    </w:p>
    <w:p w14:paraId="18292810">
      <w:pPr>
        <w:numPr>
          <w:ilvl w:val="0"/>
          <w:numId w:val="52"/>
        </w:numPr>
        <w:spacing w:before="120" w:after="120" w:line="288" w:lineRule="auto"/>
        <w:ind w:left="0"/>
        <w:jc w:val="left"/>
      </w:pPr>
      <w:r>
        <w:rPr>
          <w:rFonts w:ascii="Arial" w:hAnsi="Arial" w:eastAsia="等线" w:cs="Arial"/>
          <w:sz w:val="22"/>
        </w:rPr>
        <w:t>平仓交易（Closing Sale Transaction）：卖方希望减少或消除多头头寸的期权交易。为便于讨论，假设某投资者持有1手ABC 10月40日看涨期权的多头（即持有该期权）。要平仓，该投资者需卖空（签发或出售）1手 ABC 10月40日看涨期权。</w:t>
      </w:r>
    </w:p>
    <w:p w14:paraId="7F5B333D">
      <w:pPr>
        <w:numPr>
          <w:ilvl w:val="0"/>
          <w:numId w:val="53"/>
        </w:numPr>
        <w:spacing w:before="120" w:after="120" w:line="288" w:lineRule="auto"/>
        <w:ind w:left="0"/>
        <w:jc w:val="left"/>
      </w:pPr>
      <w:r>
        <w:rPr>
          <w:rFonts w:ascii="Arial" w:hAnsi="Arial" w:eastAsia="等线" w:cs="Arial"/>
          <w:sz w:val="22"/>
        </w:rPr>
        <w:t>传统指数期权（Conventional Index Option）：一种基于一篮子（9种或更多）权益类证券或证券指数的期权，其规定任何一种证券在该篮子或指数中的占比不超过30%。</w:t>
      </w:r>
    </w:p>
    <w:p w14:paraId="408D4CF4">
      <w:pPr>
        <w:numPr>
          <w:ilvl w:val="0"/>
          <w:numId w:val="54"/>
        </w:numPr>
        <w:spacing w:before="120" w:after="120" w:line="288" w:lineRule="auto"/>
        <w:ind w:left="0"/>
        <w:jc w:val="left"/>
      </w:pPr>
      <w:r>
        <w:rPr>
          <w:rFonts w:ascii="Arial" w:hAnsi="Arial" w:eastAsia="等线" w:cs="Arial"/>
          <w:sz w:val="22"/>
        </w:rPr>
        <w:t>传统期权（Conventional Option）：不由期权清算公司发行或不受其发行约束的任何期权合约，或非期权清算公司清算的场外期权。</w:t>
      </w:r>
    </w:p>
    <w:p w14:paraId="503ECD9F">
      <w:pPr>
        <w:numPr>
          <w:ilvl w:val="0"/>
          <w:numId w:val="55"/>
        </w:numPr>
        <w:spacing w:before="120" w:after="120" w:line="288" w:lineRule="auto"/>
        <w:ind w:left="0"/>
        <w:jc w:val="left"/>
      </w:pPr>
      <w:r>
        <w:rPr>
          <w:rFonts w:ascii="Arial" w:hAnsi="Arial" w:eastAsia="等线" w:cs="Arial"/>
          <w:sz w:val="22"/>
        </w:rPr>
        <w:t>Delta 中性：一种已完全对冲的股票期权头寸。例如，持有100股ABC股票并持有ABC股票的平价看跌期权。基本上是相互抵消的多头和空头头寸。</w:t>
      </w:r>
    </w:p>
    <w:p w14:paraId="6EB70BF5">
      <w:pPr>
        <w:numPr>
          <w:ilvl w:val="0"/>
          <w:numId w:val="56"/>
        </w:numPr>
        <w:spacing w:before="120" w:after="120" w:line="288" w:lineRule="auto"/>
        <w:ind w:left="0"/>
        <w:jc w:val="left"/>
      </w:pPr>
      <w:r>
        <w:rPr>
          <w:rFonts w:ascii="Arial" w:hAnsi="Arial" w:eastAsia="等线" w:cs="Arial"/>
          <w:sz w:val="22"/>
        </w:rPr>
        <w:t>净 Delta（Net delta）：为抵消投资者因持有期权头寸而面临的风险所必须维持的股票数量。</w:t>
      </w:r>
    </w:p>
    <w:p w14:paraId="419B6939">
      <w:pPr>
        <w:numPr>
          <w:ilvl w:val="0"/>
          <w:numId w:val="57"/>
        </w:numPr>
        <w:spacing w:before="120" w:after="120" w:line="288" w:lineRule="auto"/>
        <w:ind w:left="0"/>
        <w:jc w:val="left"/>
      </w:pPr>
      <w:r>
        <w:rPr>
          <w:rFonts w:ascii="Arial" w:hAnsi="Arial" w:eastAsia="等线" w:cs="Arial"/>
          <w:sz w:val="22"/>
        </w:rPr>
        <w:t>开仓卖出交易（Opening Sale Transaction）：期权的初始卖出，卖方在该交易中收取所支付的权利金。</w:t>
      </w:r>
    </w:p>
    <w:p w14:paraId="548D92EC">
      <w:pPr>
        <w:numPr>
          <w:ilvl w:val="0"/>
          <w:numId w:val="58"/>
        </w:numPr>
        <w:spacing w:before="120" w:after="120" w:line="288" w:lineRule="auto"/>
        <w:ind w:left="0"/>
        <w:jc w:val="left"/>
      </w:pPr>
      <w:r>
        <w:rPr>
          <w:rFonts w:ascii="Arial" w:hAnsi="Arial" w:eastAsia="等线" w:cs="Arial"/>
          <w:sz w:val="22"/>
        </w:rPr>
        <w:t>未平仓（Outstanding）：指既未平仓也未行权，且尚未到期的期权合约。</w:t>
      </w:r>
    </w:p>
    <w:p w14:paraId="77B4EEA8">
      <w:pPr>
        <w:numPr>
          <w:ilvl w:val="0"/>
          <w:numId w:val="59"/>
        </w:numPr>
        <w:spacing w:before="120" w:after="120" w:line="288" w:lineRule="auto"/>
        <w:ind w:left="0"/>
        <w:jc w:val="left"/>
      </w:pPr>
      <w:r>
        <w:rPr>
          <w:rFonts w:ascii="Arial" w:hAnsi="Arial" w:eastAsia="等线" w:cs="Arial"/>
          <w:sz w:val="22"/>
        </w:rPr>
        <w:t>期权系列（Series of Options）：指属于同一类别、具有相同到期日和行权价格，且涵盖相同数量的标的证券或指数单位的所有期权合约。</w:t>
      </w:r>
    </w:p>
    <w:p w14:paraId="7C7BE4B5">
      <w:pPr>
        <w:numPr>
          <w:ilvl w:val="0"/>
          <w:numId w:val="60"/>
        </w:numPr>
        <w:spacing w:before="120" w:after="120" w:line="288" w:lineRule="auto"/>
        <w:ind w:left="0"/>
        <w:jc w:val="left"/>
      </w:pPr>
      <w:r>
        <w:rPr>
          <w:rFonts w:ascii="Arial" w:hAnsi="Arial" w:eastAsia="等线" w:cs="Arial"/>
          <w:sz w:val="22"/>
        </w:rPr>
        <w:t>期权类型（Type of option）：看涨期权（Call）和看跌期权（Put）。</w:t>
      </w:r>
    </w:p>
    <w:p w14:paraId="0BE80D7F">
      <w:pPr>
        <w:spacing w:before="380" w:after="140" w:line="288" w:lineRule="auto"/>
        <w:ind w:left="0"/>
        <w:jc w:val="left"/>
        <w:outlineLvl w:val="0"/>
      </w:pPr>
      <w:bookmarkStart w:id="27" w:name="heading_27"/>
      <w:r>
        <w:rPr>
          <w:rFonts w:ascii="Arial" w:hAnsi="Arial" w:eastAsia="等线" w:cs="Arial"/>
          <w:color w:val="3370FF"/>
          <w:sz w:val="36"/>
        </w:rPr>
        <w:t xml:space="preserve">3. </w:t>
      </w:r>
      <w:r>
        <w:rPr>
          <w:rFonts w:ascii="Arial" w:hAnsi="Arial" w:eastAsia="等线" w:cs="Arial"/>
          <w:b/>
          <w:sz w:val="36"/>
        </w:rPr>
        <w:t>核心考点</w:t>
      </w:r>
      <w:bookmarkEnd w:id="27"/>
    </w:p>
    <w:p w14:paraId="65A91DD8">
      <w:pPr>
        <w:numPr>
          <w:ilvl w:val="0"/>
          <w:numId w:val="61"/>
        </w:numPr>
        <w:spacing w:before="120" w:after="120" w:line="288" w:lineRule="auto"/>
        <w:ind w:left="0"/>
        <w:jc w:val="left"/>
      </w:pPr>
      <w:r>
        <w:rPr>
          <w:rFonts w:ascii="Arial" w:hAnsi="Arial" w:eastAsia="等线" w:cs="Arial"/>
          <w:sz w:val="22"/>
        </w:rPr>
        <w:t>定义辨析题</w:t>
      </w:r>
    </w:p>
    <w:p w14:paraId="5B63FDA0">
      <w:pPr>
        <w:numPr>
          <w:ilvl w:val="0"/>
          <w:numId w:val="62"/>
        </w:numPr>
        <w:spacing w:before="120" w:after="120" w:line="288" w:lineRule="auto"/>
        <w:ind w:left="453"/>
        <w:jc w:val="left"/>
      </w:pPr>
      <w:r>
        <w:rPr>
          <w:rFonts w:ascii="Arial" w:hAnsi="Arial" w:eastAsia="等线" w:cs="Arial"/>
          <w:sz w:val="22"/>
        </w:rPr>
        <w:t>一定会考“看涨期权”和“看跌期权”的基本定义和权利区别。</w:t>
      </w:r>
    </w:p>
    <w:p w14:paraId="45921690">
      <w:pPr>
        <w:numPr>
          <w:ilvl w:val="0"/>
          <w:numId w:val="63"/>
        </w:numPr>
        <w:spacing w:before="120" w:after="120" w:line="288" w:lineRule="auto"/>
        <w:ind w:left="453"/>
        <w:jc w:val="left"/>
      </w:pPr>
      <w:r>
        <w:rPr>
          <w:rFonts w:ascii="Arial" w:hAnsi="Arial" w:eastAsia="等线" w:cs="Arial"/>
          <w:sz w:val="22"/>
        </w:rPr>
        <w:t>一定会考“买方”和“卖方”的权利、义务、最大盈利和最大亏损。卖方风险无限/很大，收益有限（期权费） 是永恒考点。</w:t>
      </w:r>
    </w:p>
    <w:p w14:paraId="50B26838">
      <w:pPr>
        <w:spacing w:before="120" w:after="120" w:line="288" w:lineRule="auto"/>
        <w:ind w:left="0"/>
        <w:jc w:val="left"/>
      </w:pPr>
    </w:p>
    <w:p w14:paraId="3F2BCC85">
      <w:pPr>
        <w:numPr>
          <w:ilvl w:val="0"/>
          <w:numId w:val="64"/>
        </w:numPr>
        <w:spacing w:before="120" w:after="120" w:line="288" w:lineRule="auto"/>
        <w:ind w:left="0"/>
        <w:jc w:val="left"/>
      </w:pPr>
      <w:r>
        <w:rPr>
          <w:rFonts w:ascii="Arial" w:hAnsi="Arial" w:eastAsia="等线" w:cs="Arial"/>
          <w:sz w:val="22"/>
        </w:rPr>
        <w:t>盈亏计算题</w:t>
      </w:r>
    </w:p>
    <w:p w14:paraId="62504D36">
      <w:pPr>
        <w:numPr>
          <w:ilvl w:val="0"/>
          <w:numId w:val="65"/>
        </w:numPr>
        <w:spacing w:before="120" w:after="120" w:line="288" w:lineRule="auto"/>
        <w:ind w:left="453"/>
        <w:jc w:val="left"/>
      </w:pPr>
      <w:r>
        <w:rPr>
          <w:rFonts w:ascii="Arial" w:hAnsi="Arial" w:eastAsia="等线" w:cs="Arial"/>
          <w:sz w:val="22"/>
        </w:rPr>
        <w:t>给一个 scenario（例如：买入1份XYZ 6月50看涨期权，期权费$3...），问在某个股价下的盈利或亏损。</w:t>
      </w:r>
    </w:p>
    <w:p w14:paraId="0E895E0B">
      <w:pPr>
        <w:numPr>
          <w:ilvl w:val="0"/>
          <w:numId w:val="66"/>
        </w:numPr>
        <w:spacing w:before="120" w:after="120" w:line="288" w:lineRule="auto"/>
        <w:ind w:left="453"/>
        <w:jc w:val="left"/>
      </w:pPr>
      <w:r>
        <w:rPr>
          <w:rFonts w:ascii="Arial" w:hAnsi="Arial" w:eastAsia="等线" w:cs="Arial"/>
          <w:sz w:val="22"/>
        </w:rPr>
        <w:t>关键公式:</w:t>
      </w:r>
    </w:p>
    <w:p w14:paraId="0A10247E">
      <w:pPr>
        <w:numPr>
          <w:ilvl w:val="0"/>
          <w:numId w:val="67"/>
        </w:numPr>
        <w:spacing w:before="120" w:after="120" w:line="288" w:lineRule="auto"/>
        <w:ind w:left="907"/>
        <w:jc w:val="left"/>
      </w:pPr>
      <w:r>
        <w:rPr>
          <w:rFonts w:ascii="Arial" w:hAnsi="Arial" w:eastAsia="等线" w:cs="Arial"/>
          <w:sz w:val="22"/>
        </w:rPr>
        <w:t>看涨买方盈亏 = (市价 - 行权价 - 期权费) x 100股</w:t>
      </w:r>
    </w:p>
    <w:p w14:paraId="1C72235A">
      <w:pPr>
        <w:numPr>
          <w:ilvl w:val="0"/>
          <w:numId w:val="68"/>
        </w:numPr>
        <w:spacing w:before="120" w:after="120" w:line="288" w:lineRule="auto"/>
        <w:ind w:left="907"/>
        <w:jc w:val="left"/>
      </w:pPr>
      <w:r>
        <w:rPr>
          <w:rFonts w:ascii="Arial" w:hAnsi="Arial" w:eastAsia="等线" w:cs="Arial"/>
          <w:sz w:val="22"/>
        </w:rPr>
        <w:t>看涨卖方盈亏 = (期权费 - (市价 - 行权价)) x 100股 （注意结果为负即是亏损）</w:t>
      </w:r>
    </w:p>
    <w:p w14:paraId="1B554707">
      <w:pPr>
        <w:numPr>
          <w:ilvl w:val="0"/>
          <w:numId w:val="69"/>
        </w:numPr>
        <w:spacing w:before="120" w:after="120" w:line="288" w:lineRule="auto"/>
        <w:ind w:left="907"/>
        <w:jc w:val="left"/>
      </w:pPr>
      <w:r>
        <w:rPr>
          <w:rFonts w:ascii="Arial" w:hAnsi="Arial" w:eastAsia="等线" w:cs="Arial"/>
          <w:sz w:val="22"/>
        </w:rPr>
        <w:t>看跌买方盈亏 = (行权价 - 市价 - 期权费) x 100股</w:t>
      </w:r>
    </w:p>
    <w:p w14:paraId="570D12F2">
      <w:pPr>
        <w:numPr>
          <w:ilvl w:val="0"/>
          <w:numId w:val="70"/>
        </w:numPr>
        <w:spacing w:before="120" w:after="120" w:line="288" w:lineRule="auto"/>
        <w:ind w:left="907"/>
        <w:jc w:val="left"/>
      </w:pPr>
      <w:r>
        <w:rPr>
          <w:rFonts w:ascii="Arial" w:hAnsi="Arial" w:eastAsia="等线" w:cs="Arial"/>
          <w:sz w:val="22"/>
        </w:rPr>
        <w:t>看跌卖方盈亏 = (期权费 - (行权价 - 市价)) x 100股</w:t>
      </w:r>
    </w:p>
    <w:p w14:paraId="07F2B530">
      <w:pPr>
        <w:numPr>
          <w:ilvl w:val="0"/>
          <w:numId w:val="71"/>
        </w:numPr>
        <w:spacing w:before="120" w:after="120" w:line="288" w:lineRule="auto"/>
        <w:ind w:left="453"/>
        <w:jc w:val="left"/>
      </w:pPr>
      <w:r>
        <w:rPr>
          <w:rFonts w:ascii="Arial" w:hAnsi="Arial" w:eastAsia="等线" w:cs="Arial"/>
          <w:sz w:val="22"/>
        </w:rPr>
        <w:t>切记: 所有期权合约代表100股标的股票，计算结果要乘以100。</w:t>
      </w:r>
    </w:p>
    <w:p w14:paraId="2D680778">
      <w:pPr>
        <w:spacing w:before="120" w:after="120" w:line="288" w:lineRule="auto"/>
        <w:ind w:left="0"/>
        <w:jc w:val="left"/>
      </w:pPr>
    </w:p>
    <w:p w14:paraId="0C90DAA1">
      <w:pPr>
        <w:numPr>
          <w:ilvl w:val="0"/>
          <w:numId w:val="72"/>
        </w:numPr>
        <w:spacing w:before="120" w:after="120" w:line="288" w:lineRule="auto"/>
        <w:ind w:left="0"/>
        <w:jc w:val="left"/>
      </w:pPr>
      <w:r>
        <w:rPr>
          <w:rFonts w:ascii="Arial" w:hAnsi="Arial" w:eastAsia="等线" w:cs="Arial"/>
          <w:sz w:val="22"/>
        </w:rPr>
        <w:t>实值/虚值/平值判断题</w:t>
      </w:r>
    </w:p>
    <w:p w14:paraId="2572964D">
      <w:pPr>
        <w:numPr>
          <w:ilvl w:val="0"/>
          <w:numId w:val="73"/>
        </w:numPr>
        <w:spacing w:before="120" w:after="120" w:line="288" w:lineRule="auto"/>
        <w:ind w:left="453"/>
        <w:jc w:val="left"/>
      </w:pPr>
      <w:r>
        <w:rPr>
          <w:rFonts w:ascii="Arial" w:hAnsi="Arial" w:eastAsia="等线" w:cs="Arial"/>
          <w:sz w:val="22"/>
        </w:rPr>
        <w:t>直接给出行权价和当前市价，让你判断某个期权是实值、虚值还是平值。</w:t>
      </w:r>
    </w:p>
    <w:p w14:paraId="5D205CAD">
      <w:pPr>
        <w:spacing w:before="120" w:after="120" w:line="288" w:lineRule="auto"/>
        <w:ind w:left="0"/>
        <w:jc w:val="left"/>
      </w:pPr>
    </w:p>
    <w:p w14:paraId="732481B7">
      <w:pPr>
        <w:numPr>
          <w:ilvl w:val="0"/>
          <w:numId w:val="74"/>
        </w:numPr>
        <w:spacing w:before="120" w:after="120" w:line="288" w:lineRule="auto"/>
        <w:ind w:left="0"/>
        <w:jc w:val="left"/>
      </w:pPr>
      <w:r>
        <w:rPr>
          <w:rFonts w:ascii="Arial" w:hAnsi="Arial" w:eastAsia="等线" w:cs="Arial"/>
          <w:sz w:val="22"/>
        </w:rPr>
        <w:t>策略应用题</w:t>
      </w:r>
    </w:p>
    <w:p w14:paraId="56F5759F">
      <w:pPr>
        <w:numPr>
          <w:ilvl w:val="0"/>
          <w:numId w:val="75"/>
        </w:numPr>
        <w:spacing w:before="120" w:after="120" w:line="288" w:lineRule="auto"/>
        <w:ind w:left="453"/>
        <w:jc w:val="left"/>
      </w:pPr>
      <w:r>
        <w:rPr>
          <w:rFonts w:ascii="Arial" w:hAnsi="Arial" w:eastAsia="等线" w:cs="Arial"/>
          <w:sz w:val="22"/>
        </w:rPr>
        <w:t>备兑看涨: 考生需要理解这是一个中性或略微看涨的策略，主要用于产生收入。</w:t>
      </w:r>
    </w:p>
    <w:p w14:paraId="1979E182">
      <w:pPr>
        <w:numPr>
          <w:ilvl w:val="0"/>
          <w:numId w:val="76"/>
        </w:numPr>
        <w:spacing w:before="120" w:after="120" w:line="288" w:lineRule="auto"/>
        <w:ind w:left="453"/>
        <w:jc w:val="left"/>
      </w:pPr>
      <w:r>
        <w:rPr>
          <w:rFonts w:ascii="Arial" w:hAnsi="Arial" w:eastAsia="等线" w:cs="Arial"/>
          <w:sz w:val="22"/>
        </w:rPr>
        <w:t>保护性看跌: 考生需要理解这是一个保险策略，投资者是看涨但担心下行风险。</w:t>
      </w:r>
    </w:p>
    <w:p w14:paraId="464837F8">
      <w:pPr>
        <w:numPr>
          <w:ilvl w:val="0"/>
          <w:numId w:val="77"/>
        </w:numPr>
        <w:spacing w:before="120" w:after="120" w:line="288" w:lineRule="auto"/>
        <w:ind w:left="453"/>
        <w:jc w:val="left"/>
      </w:pPr>
      <w:r>
        <w:rPr>
          <w:rFonts w:ascii="Arial" w:hAnsi="Arial" w:eastAsia="等线" w:cs="Arial"/>
          <w:sz w:val="22"/>
        </w:rPr>
        <w:t>可能会问“哪个策略可以产生收入”或“哪个策略可以对冲风险”。</w:t>
      </w:r>
    </w:p>
    <w:p w14:paraId="633BA6BA">
      <w:pPr>
        <w:spacing w:before="120" w:after="120" w:line="288" w:lineRule="auto"/>
        <w:ind w:left="0"/>
        <w:jc w:val="left"/>
      </w:pPr>
    </w:p>
    <w:p w14:paraId="0567E219">
      <w:pPr>
        <w:numPr>
          <w:ilvl w:val="0"/>
          <w:numId w:val="78"/>
        </w:numPr>
        <w:spacing w:before="120" w:after="120" w:line="288" w:lineRule="auto"/>
        <w:ind w:left="0"/>
        <w:jc w:val="left"/>
      </w:pPr>
      <w:r>
        <w:rPr>
          <w:rFonts w:ascii="Arial" w:hAnsi="Arial" w:eastAsia="等线" w:cs="Arial"/>
          <w:sz w:val="22"/>
        </w:rPr>
        <w:t>概念理解题</w:t>
      </w:r>
    </w:p>
    <w:p w14:paraId="04568374">
      <w:pPr>
        <w:numPr>
          <w:ilvl w:val="0"/>
          <w:numId w:val="79"/>
        </w:numPr>
        <w:spacing w:before="120" w:after="120" w:line="288" w:lineRule="auto"/>
        <w:ind w:left="453"/>
        <w:jc w:val="left"/>
      </w:pPr>
      <w:r>
        <w:rPr>
          <w:rFonts w:ascii="Arial" w:hAnsi="Arial" w:eastAsia="等线" w:cs="Arial"/>
          <w:sz w:val="22"/>
        </w:rPr>
        <w:t>时间衰减: 问“随着期权临近到期，什么价值会减少？”（答案：时间价值）</w:t>
      </w:r>
    </w:p>
    <w:p w14:paraId="473E71B6">
      <w:pPr>
        <w:numPr>
          <w:ilvl w:val="0"/>
          <w:numId w:val="80"/>
        </w:numPr>
        <w:spacing w:before="120" w:after="120" w:line="288" w:lineRule="auto"/>
        <w:ind w:left="453"/>
        <w:jc w:val="left"/>
      </w:pPr>
      <w:r>
        <w:rPr>
          <w:rFonts w:ascii="Arial" w:hAnsi="Arial" w:eastAsia="等线" w:cs="Arial"/>
          <w:sz w:val="22"/>
        </w:rPr>
        <w:t>内在价值: 问“一个 XYZ 50 看涨期权，股价为$55，内在价值是多少？”（答案：$5）</w:t>
      </w:r>
    </w:p>
    <w:p w14:paraId="00C26169">
      <w:pPr>
        <w:numPr>
          <w:ilvl w:val="0"/>
          <w:numId w:val="81"/>
        </w:numPr>
        <w:spacing w:before="120" w:after="120" w:line="288" w:lineRule="auto"/>
        <w:ind w:left="453"/>
        <w:jc w:val="left"/>
      </w:pPr>
      <w:r>
        <w:rPr>
          <w:rFonts w:ascii="Arial" w:hAnsi="Arial" w:eastAsia="等线" w:cs="Arial"/>
          <w:sz w:val="22"/>
        </w:rPr>
        <w:t>波动率影响: 问“当股票波动率增加时，期权费会如何变化？”（答案：增加）</w:t>
      </w:r>
    </w:p>
    <w:p w14:paraId="42475997">
      <w:pPr>
        <w:spacing w:before="120" w:after="120" w:line="288" w:lineRule="auto"/>
        <w:ind w:left="0"/>
        <w:jc w:val="left"/>
      </w:pPr>
    </w:p>
    <w:p w14:paraId="0353FD52">
      <w:pPr>
        <w:spacing w:before="380" w:after="140" w:line="288" w:lineRule="auto"/>
        <w:ind w:left="0"/>
        <w:jc w:val="left"/>
        <w:outlineLvl w:val="0"/>
      </w:pPr>
      <w:bookmarkStart w:id="28" w:name="heading_28"/>
      <w:r>
        <w:rPr>
          <w:rFonts w:ascii="Arial" w:hAnsi="Arial" w:eastAsia="等线" w:cs="Arial"/>
          <w:color w:val="3370FF"/>
          <w:sz w:val="36"/>
        </w:rPr>
        <w:t xml:space="preserve">4. </w:t>
      </w:r>
      <w:r>
        <w:rPr>
          <w:rFonts w:ascii="Arial" w:hAnsi="Arial" w:eastAsia="等线" w:cs="Arial"/>
          <w:b/>
          <w:sz w:val="36"/>
        </w:rPr>
        <w:t>核心词汇表</w:t>
      </w:r>
      <w:bookmarkEnd w:id="28"/>
    </w:p>
    <w:p w14:paraId="01C5976A">
      <w:pPr>
        <w:spacing w:before="320" w:after="120" w:line="288" w:lineRule="auto"/>
        <w:ind w:left="0"/>
        <w:jc w:val="left"/>
        <w:outlineLvl w:val="1"/>
      </w:pPr>
      <w:bookmarkStart w:id="29" w:name="heading_29"/>
      <w:r>
        <w:rPr>
          <w:rFonts w:ascii="Arial" w:hAnsi="Arial" w:eastAsia="等线" w:cs="Arial"/>
          <w:color w:val="3370FF"/>
          <w:sz w:val="32"/>
        </w:rPr>
        <w:t xml:space="preserve">4.1 </w:t>
      </w:r>
      <w:r>
        <w:rPr>
          <w:rFonts w:ascii="Arial" w:hAnsi="Arial" w:eastAsia="等线" w:cs="Arial"/>
          <w:b/>
          <w:sz w:val="32"/>
        </w:rPr>
        <w:t>期权核心类型（Puts &amp; Calls）</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00"/>
        <w:gridCol w:w="2040"/>
        <w:gridCol w:w="5040"/>
      </w:tblGrid>
      <w:tr w14:paraId="48C673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4537E623">
            <w:pPr>
              <w:spacing w:before="120" w:after="120" w:line="288" w:lineRule="auto"/>
              <w:ind w:left="0"/>
              <w:jc w:val="left"/>
            </w:pPr>
            <w:r>
              <w:rPr>
                <w:rFonts w:ascii="Arial" w:hAnsi="Arial" w:eastAsia="等线" w:cs="Arial"/>
                <w:b/>
                <w:sz w:val="22"/>
              </w:rPr>
              <w:t>英文词汇</w:t>
            </w:r>
          </w:p>
        </w:tc>
        <w:tc>
          <w:tcPr>
            <w:tcW w:w="2040" w:type="dxa"/>
            <w:tcMar>
              <w:top w:w="60" w:type="dxa"/>
              <w:left w:w="120" w:type="dxa"/>
              <w:bottom w:w="30" w:type="dxa"/>
              <w:right w:w="120" w:type="dxa"/>
            </w:tcMar>
          </w:tcPr>
          <w:p w14:paraId="7736851C">
            <w:pPr>
              <w:spacing w:before="120" w:after="120" w:line="288" w:lineRule="auto"/>
              <w:ind w:left="0"/>
              <w:jc w:val="left"/>
            </w:pPr>
            <w:r>
              <w:rPr>
                <w:rFonts w:ascii="Arial" w:hAnsi="Arial" w:eastAsia="等线" w:cs="Arial"/>
                <w:b/>
                <w:sz w:val="22"/>
              </w:rPr>
              <w:t>中文释义</w:t>
            </w:r>
          </w:p>
        </w:tc>
        <w:tc>
          <w:tcPr>
            <w:tcW w:w="5040" w:type="dxa"/>
            <w:tcMar>
              <w:top w:w="60" w:type="dxa"/>
              <w:left w:w="120" w:type="dxa"/>
              <w:bottom w:w="30" w:type="dxa"/>
              <w:right w:w="120" w:type="dxa"/>
            </w:tcMar>
          </w:tcPr>
          <w:p w14:paraId="3C0B7B56">
            <w:pPr>
              <w:spacing w:before="120" w:after="120" w:line="288" w:lineRule="auto"/>
              <w:ind w:left="0"/>
              <w:jc w:val="left"/>
            </w:pPr>
            <w:r>
              <w:rPr>
                <w:rFonts w:ascii="Arial" w:hAnsi="Arial" w:eastAsia="等线" w:cs="Arial"/>
                <w:b/>
                <w:sz w:val="22"/>
              </w:rPr>
              <w:t>核心要点</w:t>
            </w:r>
          </w:p>
        </w:tc>
      </w:tr>
      <w:tr w14:paraId="758920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2BC44642">
            <w:pPr>
              <w:spacing w:before="120" w:after="120" w:line="288" w:lineRule="auto"/>
              <w:ind w:left="0"/>
              <w:jc w:val="left"/>
            </w:pPr>
            <w:r>
              <w:rPr>
                <w:rFonts w:ascii="Arial" w:hAnsi="Arial" w:eastAsia="等线" w:cs="Arial"/>
                <w:b/>
                <w:sz w:val="22"/>
              </w:rPr>
              <w:t>Call Option</w:t>
            </w:r>
          </w:p>
        </w:tc>
        <w:tc>
          <w:tcPr>
            <w:tcW w:w="2040" w:type="dxa"/>
            <w:tcMar>
              <w:top w:w="60" w:type="dxa"/>
              <w:left w:w="120" w:type="dxa"/>
              <w:bottom w:w="30" w:type="dxa"/>
              <w:right w:w="120" w:type="dxa"/>
            </w:tcMar>
          </w:tcPr>
          <w:p w14:paraId="05041D16">
            <w:pPr>
              <w:spacing w:before="120" w:after="120" w:line="288" w:lineRule="auto"/>
              <w:ind w:left="0"/>
              <w:jc w:val="left"/>
            </w:pPr>
            <w:r>
              <w:rPr>
                <w:rFonts w:ascii="Arial" w:hAnsi="Arial" w:eastAsia="等线" w:cs="Arial"/>
                <w:sz w:val="22"/>
              </w:rPr>
              <w:t>看涨期权</w:t>
            </w:r>
          </w:p>
        </w:tc>
        <w:tc>
          <w:tcPr>
            <w:tcW w:w="5040" w:type="dxa"/>
            <w:tcMar>
              <w:top w:w="60" w:type="dxa"/>
              <w:left w:w="120" w:type="dxa"/>
              <w:bottom w:w="30" w:type="dxa"/>
              <w:right w:w="120" w:type="dxa"/>
            </w:tcMar>
          </w:tcPr>
          <w:p w14:paraId="3B704830">
            <w:pPr>
              <w:spacing w:before="120" w:after="120" w:line="288" w:lineRule="auto"/>
              <w:ind w:left="0"/>
              <w:jc w:val="left"/>
            </w:pPr>
            <w:r>
              <w:rPr>
                <w:rFonts w:ascii="Arial" w:hAnsi="Arial" w:eastAsia="等线" w:cs="Arial"/>
                <w:sz w:val="22"/>
              </w:rPr>
              <w:t>期权买方有权在约定时间内，以</w:t>
            </w:r>
            <w:r>
              <w:rPr>
                <w:rFonts w:ascii="Arial" w:hAnsi="Arial" w:eastAsia="等线" w:cs="Arial"/>
                <w:b/>
                <w:sz w:val="22"/>
              </w:rPr>
              <w:t>执行价买入</w:t>
            </w:r>
            <w:r>
              <w:rPr>
                <w:rFonts w:ascii="Arial" w:hAnsi="Arial" w:eastAsia="等线" w:cs="Arial"/>
                <w:sz w:val="22"/>
              </w:rPr>
              <w:t>标的资产（如股票、指数），但无义务；买方盈利逻辑：标的资产价格 &gt; 执行价 + 权利金。</w:t>
            </w:r>
          </w:p>
        </w:tc>
      </w:tr>
      <w:tr w14:paraId="28A281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37ADC410">
            <w:pPr>
              <w:spacing w:before="120" w:after="120" w:line="288" w:lineRule="auto"/>
              <w:ind w:left="0"/>
              <w:jc w:val="left"/>
            </w:pPr>
            <w:r>
              <w:rPr>
                <w:rFonts w:ascii="Arial" w:hAnsi="Arial" w:eastAsia="等线" w:cs="Arial"/>
                <w:b/>
                <w:sz w:val="22"/>
              </w:rPr>
              <w:t>Put Option</w:t>
            </w:r>
          </w:p>
        </w:tc>
        <w:tc>
          <w:tcPr>
            <w:tcW w:w="2040" w:type="dxa"/>
            <w:tcMar>
              <w:top w:w="60" w:type="dxa"/>
              <w:left w:w="120" w:type="dxa"/>
              <w:bottom w:w="30" w:type="dxa"/>
              <w:right w:w="120" w:type="dxa"/>
            </w:tcMar>
          </w:tcPr>
          <w:p w14:paraId="0C7147DE">
            <w:pPr>
              <w:spacing w:before="120" w:after="120" w:line="288" w:lineRule="auto"/>
              <w:ind w:left="0"/>
              <w:jc w:val="left"/>
            </w:pPr>
            <w:r>
              <w:rPr>
                <w:rFonts w:ascii="Arial" w:hAnsi="Arial" w:eastAsia="等线" w:cs="Arial"/>
                <w:sz w:val="22"/>
              </w:rPr>
              <w:t>看跌期权</w:t>
            </w:r>
          </w:p>
        </w:tc>
        <w:tc>
          <w:tcPr>
            <w:tcW w:w="5040" w:type="dxa"/>
            <w:tcMar>
              <w:top w:w="60" w:type="dxa"/>
              <w:left w:w="120" w:type="dxa"/>
              <w:bottom w:w="30" w:type="dxa"/>
              <w:right w:w="120" w:type="dxa"/>
            </w:tcMar>
          </w:tcPr>
          <w:p w14:paraId="117EDEE2">
            <w:pPr>
              <w:spacing w:before="120" w:after="120" w:line="288" w:lineRule="auto"/>
              <w:ind w:left="0"/>
              <w:jc w:val="left"/>
            </w:pPr>
            <w:r>
              <w:rPr>
                <w:rFonts w:ascii="Arial" w:hAnsi="Arial" w:eastAsia="等线" w:cs="Arial"/>
                <w:sz w:val="22"/>
              </w:rPr>
              <w:t>期权买方有权在约定时间内，以</w:t>
            </w:r>
            <w:r>
              <w:rPr>
                <w:rFonts w:ascii="Arial" w:hAnsi="Arial" w:eastAsia="等线" w:cs="Arial"/>
                <w:b/>
                <w:sz w:val="22"/>
              </w:rPr>
              <w:t>执行价卖出</w:t>
            </w:r>
            <w:r>
              <w:rPr>
                <w:rFonts w:ascii="Arial" w:hAnsi="Arial" w:eastAsia="等线" w:cs="Arial"/>
                <w:sz w:val="22"/>
              </w:rPr>
              <w:t>标的资产，但无义务；买方盈利逻辑：标的资产价格 &lt; 执行价 - 权利金。</w:t>
            </w:r>
          </w:p>
        </w:tc>
      </w:tr>
      <w:tr w14:paraId="115414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157FE240">
            <w:pPr>
              <w:spacing w:before="120" w:after="120" w:line="288" w:lineRule="auto"/>
              <w:ind w:left="0"/>
              <w:jc w:val="left"/>
            </w:pPr>
            <w:r>
              <w:rPr>
                <w:rFonts w:ascii="Arial" w:hAnsi="Arial" w:eastAsia="等线" w:cs="Arial"/>
                <w:b/>
                <w:sz w:val="22"/>
              </w:rPr>
              <w:t>Long Call</w:t>
            </w:r>
          </w:p>
        </w:tc>
        <w:tc>
          <w:tcPr>
            <w:tcW w:w="2040" w:type="dxa"/>
            <w:tcMar>
              <w:top w:w="60" w:type="dxa"/>
              <w:left w:w="120" w:type="dxa"/>
              <w:bottom w:w="30" w:type="dxa"/>
              <w:right w:w="120" w:type="dxa"/>
            </w:tcMar>
          </w:tcPr>
          <w:p w14:paraId="0F80B9E8">
            <w:pPr>
              <w:spacing w:before="120" w:after="120" w:line="288" w:lineRule="auto"/>
              <w:ind w:left="0"/>
              <w:jc w:val="left"/>
            </w:pPr>
            <w:r>
              <w:rPr>
                <w:rFonts w:ascii="Arial" w:hAnsi="Arial" w:eastAsia="等线" w:cs="Arial"/>
                <w:sz w:val="22"/>
              </w:rPr>
              <w:t>买入看涨期权</w:t>
            </w:r>
          </w:p>
        </w:tc>
        <w:tc>
          <w:tcPr>
            <w:tcW w:w="5040" w:type="dxa"/>
            <w:tcMar>
              <w:top w:w="60" w:type="dxa"/>
              <w:left w:w="120" w:type="dxa"/>
              <w:bottom w:w="30" w:type="dxa"/>
              <w:right w:w="120" w:type="dxa"/>
            </w:tcMar>
          </w:tcPr>
          <w:p w14:paraId="1FD15080">
            <w:pPr>
              <w:spacing w:before="120" w:after="120" w:line="288" w:lineRule="auto"/>
              <w:ind w:left="0"/>
              <w:jc w:val="left"/>
            </w:pPr>
            <w:r>
              <w:rPr>
                <w:rFonts w:ascii="Arial" w:hAnsi="Arial" w:eastAsia="等线" w:cs="Arial"/>
                <w:sz w:val="22"/>
              </w:rPr>
              <w:t>投资者作为看涨期权的 “买方”，支付权利金，获得买入标的的权利；风险有限（仅权利金），收益理论无上限。</w:t>
            </w:r>
          </w:p>
        </w:tc>
      </w:tr>
      <w:tr w14:paraId="20051C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2B6200C5">
            <w:pPr>
              <w:spacing w:before="120" w:after="120" w:line="288" w:lineRule="auto"/>
              <w:ind w:left="0"/>
              <w:jc w:val="left"/>
            </w:pPr>
            <w:r>
              <w:rPr>
                <w:rFonts w:ascii="Arial" w:hAnsi="Arial" w:eastAsia="等线" w:cs="Arial"/>
                <w:b/>
                <w:sz w:val="22"/>
              </w:rPr>
              <w:t>Long Put</w:t>
            </w:r>
          </w:p>
        </w:tc>
        <w:tc>
          <w:tcPr>
            <w:tcW w:w="2040" w:type="dxa"/>
            <w:tcMar>
              <w:top w:w="60" w:type="dxa"/>
              <w:left w:w="120" w:type="dxa"/>
              <w:bottom w:w="30" w:type="dxa"/>
              <w:right w:w="120" w:type="dxa"/>
            </w:tcMar>
          </w:tcPr>
          <w:p w14:paraId="07D851E7">
            <w:pPr>
              <w:spacing w:before="120" w:after="120" w:line="288" w:lineRule="auto"/>
              <w:ind w:left="0"/>
              <w:jc w:val="left"/>
            </w:pPr>
            <w:r>
              <w:rPr>
                <w:rFonts w:ascii="Arial" w:hAnsi="Arial" w:eastAsia="等线" w:cs="Arial"/>
                <w:sz w:val="22"/>
              </w:rPr>
              <w:t>买入看跌期权</w:t>
            </w:r>
          </w:p>
        </w:tc>
        <w:tc>
          <w:tcPr>
            <w:tcW w:w="5040" w:type="dxa"/>
            <w:tcMar>
              <w:top w:w="60" w:type="dxa"/>
              <w:left w:w="120" w:type="dxa"/>
              <w:bottom w:w="30" w:type="dxa"/>
              <w:right w:w="120" w:type="dxa"/>
            </w:tcMar>
          </w:tcPr>
          <w:p w14:paraId="0FA16CF9">
            <w:pPr>
              <w:spacing w:before="120" w:after="120" w:line="288" w:lineRule="auto"/>
              <w:ind w:left="0"/>
              <w:jc w:val="left"/>
            </w:pPr>
            <w:r>
              <w:rPr>
                <w:rFonts w:ascii="Arial" w:hAnsi="Arial" w:eastAsia="等线" w:cs="Arial"/>
                <w:sz w:val="22"/>
              </w:rPr>
              <w:t>投资者作为看跌期权的 “买方”，支付权利金，获得卖出标的的权利；风险有限（仅权利金），收益理论无上限（标的价格跌至 0 为极限）。</w:t>
            </w:r>
          </w:p>
        </w:tc>
      </w:tr>
      <w:tr w14:paraId="6CD5E8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12D976F1">
            <w:pPr>
              <w:spacing w:before="120" w:after="120" w:line="288" w:lineRule="auto"/>
              <w:ind w:left="0"/>
              <w:jc w:val="left"/>
            </w:pPr>
            <w:r>
              <w:rPr>
                <w:rFonts w:ascii="Arial" w:hAnsi="Arial" w:eastAsia="等线" w:cs="Arial"/>
                <w:b/>
                <w:sz w:val="22"/>
              </w:rPr>
              <w:t>Short Call</w:t>
            </w:r>
          </w:p>
        </w:tc>
        <w:tc>
          <w:tcPr>
            <w:tcW w:w="2040" w:type="dxa"/>
            <w:tcMar>
              <w:top w:w="60" w:type="dxa"/>
              <w:left w:w="120" w:type="dxa"/>
              <w:bottom w:w="30" w:type="dxa"/>
              <w:right w:w="120" w:type="dxa"/>
            </w:tcMar>
          </w:tcPr>
          <w:p w14:paraId="25AAA68A">
            <w:pPr>
              <w:spacing w:before="120" w:after="120" w:line="288" w:lineRule="auto"/>
              <w:ind w:left="0"/>
              <w:jc w:val="left"/>
            </w:pPr>
            <w:r>
              <w:rPr>
                <w:rFonts w:ascii="Arial" w:hAnsi="Arial" w:eastAsia="等线" w:cs="Arial"/>
                <w:sz w:val="22"/>
              </w:rPr>
              <w:t>卖出看涨期权</w:t>
            </w:r>
          </w:p>
        </w:tc>
        <w:tc>
          <w:tcPr>
            <w:tcW w:w="5040" w:type="dxa"/>
            <w:tcMar>
              <w:top w:w="60" w:type="dxa"/>
              <w:left w:w="120" w:type="dxa"/>
              <w:bottom w:w="30" w:type="dxa"/>
              <w:right w:w="120" w:type="dxa"/>
            </w:tcMar>
          </w:tcPr>
          <w:p w14:paraId="7F88B108">
            <w:pPr>
              <w:spacing w:before="120" w:after="120" w:line="288" w:lineRule="auto"/>
              <w:ind w:left="0"/>
              <w:jc w:val="left"/>
            </w:pPr>
            <w:r>
              <w:rPr>
                <w:rFonts w:ascii="Arial" w:hAnsi="Arial" w:eastAsia="等线" w:cs="Arial"/>
                <w:sz w:val="22"/>
              </w:rPr>
              <w:t>投资者作为看涨期权的 “卖方”，收取权利金，承担在买方行权时以执行价卖出标的的义务；风险理论无上限（标的价格暴涨时），收益有限（仅权利金）。</w:t>
            </w:r>
          </w:p>
        </w:tc>
      </w:tr>
      <w:tr w14:paraId="25C20B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00" w:type="dxa"/>
            <w:tcMar>
              <w:top w:w="60" w:type="dxa"/>
              <w:left w:w="120" w:type="dxa"/>
              <w:bottom w:w="30" w:type="dxa"/>
              <w:right w:w="120" w:type="dxa"/>
            </w:tcMar>
          </w:tcPr>
          <w:p w14:paraId="41B22324">
            <w:pPr>
              <w:spacing w:before="120" w:after="120" w:line="288" w:lineRule="auto"/>
              <w:ind w:left="0"/>
              <w:jc w:val="left"/>
            </w:pPr>
            <w:r>
              <w:rPr>
                <w:rFonts w:ascii="Arial" w:hAnsi="Arial" w:eastAsia="等线" w:cs="Arial"/>
                <w:b/>
                <w:sz w:val="22"/>
              </w:rPr>
              <w:t>Short Put</w:t>
            </w:r>
          </w:p>
        </w:tc>
        <w:tc>
          <w:tcPr>
            <w:tcW w:w="2040" w:type="dxa"/>
            <w:tcMar>
              <w:top w:w="60" w:type="dxa"/>
              <w:left w:w="120" w:type="dxa"/>
              <w:bottom w:w="30" w:type="dxa"/>
              <w:right w:w="120" w:type="dxa"/>
            </w:tcMar>
          </w:tcPr>
          <w:p w14:paraId="7570C1D4">
            <w:pPr>
              <w:spacing w:before="120" w:after="120" w:line="288" w:lineRule="auto"/>
              <w:ind w:left="0"/>
              <w:jc w:val="left"/>
            </w:pPr>
            <w:r>
              <w:rPr>
                <w:rFonts w:ascii="Arial" w:hAnsi="Arial" w:eastAsia="等线" w:cs="Arial"/>
                <w:sz w:val="22"/>
              </w:rPr>
              <w:t>卖出看跌期权</w:t>
            </w:r>
          </w:p>
        </w:tc>
        <w:tc>
          <w:tcPr>
            <w:tcW w:w="5040" w:type="dxa"/>
            <w:tcMar>
              <w:top w:w="60" w:type="dxa"/>
              <w:left w:w="120" w:type="dxa"/>
              <w:bottom w:w="30" w:type="dxa"/>
              <w:right w:w="120" w:type="dxa"/>
            </w:tcMar>
          </w:tcPr>
          <w:p w14:paraId="01643D8E">
            <w:pPr>
              <w:spacing w:before="120" w:after="120" w:line="288" w:lineRule="auto"/>
              <w:ind w:left="0"/>
              <w:jc w:val="left"/>
            </w:pPr>
            <w:r>
              <w:rPr>
                <w:rFonts w:ascii="Arial" w:hAnsi="Arial" w:eastAsia="等线" w:cs="Arial"/>
                <w:sz w:val="22"/>
              </w:rPr>
              <w:t>投资者作为看跌期权的 “卖方”，收取权利金，承担在买方行权时以执行价买入标的的义务；风险有限（标的价格跌至 0 时，亏损 = 执行价 - 权利金），收益有限（仅权利金）。</w:t>
            </w:r>
          </w:p>
        </w:tc>
      </w:tr>
    </w:tbl>
    <w:p w14:paraId="7C1A33F7">
      <w:pPr>
        <w:spacing w:before="320" w:after="120" w:line="288" w:lineRule="auto"/>
        <w:ind w:left="0"/>
        <w:jc w:val="left"/>
        <w:outlineLvl w:val="1"/>
      </w:pPr>
      <w:bookmarkStart w:id="30" w:name="heading_30"/>
      <w:r>
        <w:rPr>
          <w:rFonts w:ascii="Arial" w:hAnsi="Arial" w:eastAsia="等线" w:cs="Arial"/>
          <w:color w:val="3370FF"/>
          <w:sz w:val="32"/>
        </w:rPr>
        <w:t xml:space="preserve">4.2 </w:t>
      </w:r>
      <w:r>
        <w:rPr>
          <w:rFonts w:ascii="Arial" w:hAnsi="Arial" w:eastAsia="等线" w:cs="Arial"/>
          <w:b/>
          <w:sz w:val="32"/>
        </w:rPr>
        <w:t>期权合约核心要素</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80"/>
        <w:gridCol w:w="1965"/>
        <w:gridCol w:w="4035"/>
      </w:tblGrid>
      <w:tr w14:paraId="784D1D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163A3F99">
            <w:pPr>
              <w:spacing w:before="120" w:after="120" w:line="288" w:lineRule="auto"/>
              <w:ind w:left="0"/>
              <w:jc w:val="left"/>
            </w:pPr>
            <w:r>
              <w:rPr>
                <w:rFonts w:ascii="Arial" w:hAnsi="Arial" w:eastAsia="等线" w:cs="Arial"/>
                <w:b/>
                <w:sz w:val="22"/>
              </w:rPr>
              <w:t>英文词汇</w:t>
            </w:r>
          </w:p>
        </w:tc>
        <w:tc>
          <w:tcPr>
            <w:tcW w:w="1965" w:type="dxa"/>
            <w:tcMar>
              <w:top w:w="60" w:type="dxa"/>
              <w:left w:w="120" w:type="dxa"/>
              <w:bottom w:w="30" w:type="dxa"/>
              <w:right w:w="120" w:type="dxa"/>
            </w:tcMar>
          </w:tcPr>
          <w:p w14:paraId="340F19E6">
            <w:pPr>
              <w:spacing w:before="120" w:after="120" w:line="288" w:lineRule="auto"/>
              <w:ind w:left="0"/>
              <w:jc w:val="left"/>
            </w:pPr>
            <w:r>
              <w:rPr>
                <w:rFonts w:ascii="Arial" w:hAnsi="Arial" w:eastAsia="等线" w:cs="Arial"/>
                <w:b/>
                <w:sz w:val="22"/>
              </w:rPr>
              <w:t>中文释义</w:t>
            </w:r>
          </w:p>
        </w:tc>
        <w:tc>
          <w:tcPr>
            <w:tcW w:w="4035" w:type="dxa"/>
            <w:tcMar>
              <w:top w:w="60" w:type="dxa"/>
              <w:left w:w="120" w:type="dxa"/>
              <w:bottom w:w="30" w:type="dxa"/>
              <w:right w:w="120" w:type="dxa"/>
            </w:tcMar>
          </w:tcPr>
          <w:p w14:paraId="42703CAD">
            <w:pPr>
              <w:spacing w:before="120" w:after="120" w:line="288" w:lineRule="auto"/>
              <w:ind w:left="0"/>
              <w:jc w:val="left"/>
            </w:pPr>
            <w:r>
              <w:rPr>
                <w:rFonts w:ascii="Arial" w:hAnsi="Arial" w:eastAsia="等线" w:cs="Arial"/>
                <w:b/>
                <w:sz w:val="22"/>
              </w:rPr>
              <w:t>核心要点</w:t>
            </w:r>
          </w:p>
        </w:tc>
      </w:tr>
      <w:tr w14:paraId="2D6889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6D82A992">
            <w:pPr>
              <w:spacing w:before="120" w:after="120" w:line="288" w:lineRule="auto"/>
              <w:ind w:left="0"/>
              <w:jc w:val="left"/>
            </w:pPr>
            <w:r>
              <w:rPr>
                <w:rFonts w:ascii="Arial" w:hAnsi="Arial" w:eastAsia="等线" w:cs="Arial"/>
                <w:b/>
                <w:sz w:val="22"/>
              </w:rPr>
              <w:t>Underlying Asset</w:t>
            </w:r>
          </w:p>
        </w:tc>
        <w:tc>
          <w:tcPr>
            <w:tcW w:w="1965" w:type="dxa"/>
            <w:tcMar>
              <w:top w:w="60" w:type="dxa"/>
              <w:left w:w="120" w:type="dxa"/>
              <w:bottom w:w="30" w:type="dxa"/>
              <w:right w:w="120" w:type="dxa"/>
            </w:tcMar>
          </w:tcPr>
          <w:p w14:paraId="3AA70C58">
            <w:pPr>
              <w:spacing w:before="120" w:after="120" w:line="288" w:lineRule="auto"/>
              <w:ind w:left="0"/>
              <w:jc w:val="left"/>
            </w:pPr>
            <w:r>
              <w:rPr>
                <w:rFonts w:ascii="Arial" w:hAnsi="Arial" w:eastAsia="等线" w:cs="Arial"/>
                <w:sz w:val="22"/>
              </w:rPr>
              <w:t>标的资产</w:t>
            </w:r>
          </w:p>
        </w:tc>
        <w:tc>
          <w:tcPr>
            <w:tcW w:w="4035" w:type="dxa"/>
            <w:tcMar>
              <w:top w:w="60" w:type="dxa"/>
              <w:left w:w="120" w:type="dxa"/>
              <w:bottom w:w="30" w:type="dxa"/>
              <w:right w:w="120" w:type="dxa"/>
            </w:tcMar>
          </w:tcPr>
          <w:p w14:paraId="72E3F7B8">
            <w:pPr>
              <w:spacing w:before="120" w:after="120" w:line="288" w:lineRule="auto"/>
              <w:ind w:left="0"/>
              <w:jc w:val="left"/>
            </w:pPr>
            <w:r>
              <w:rPr>
                <w:rFonts w:ascii="Arial" w:hAnsi="Arial" w:eastAsia="等线" w:cs="Arial"/>
                <w:sz w:val="22"/>
              </w:rPr>
              <w:t>期权合约对应的基础资产，如股票（个股期权）、指数（指数期权）、ETF（ETF 期权）；标的资产价格直接决定期权价值。</w:t>
            </w:r>
          </w:p>
        </w:tc>
      </w:tr>
      <w:tr w14:paraId="06BE19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2D8027E8">
            <w:pPr>
              <w:spacing w:before="120" w:after="120" w:line="288" w:lineRule="auto"/>
              <w:ind w:left="0"/>
              <w:jc w:val="left"/>
            </w:pPr>
            <w:r>
              <w:rPr>
                <w:rFonts w:ascii="Arial" w:hAnsi="Arial" w:eastAsia="等线" w:cs="Arial"/>
                <w:b/>
                <w:sz w:val="22"/>
              </w:rPr>
              <w:t>Strike Price (Exercise Price)</w:t>
            </w:r>
          </w:p>
        </w:tc>
        <w:tc>
          <w:tcPr>
            <w:tcW w:w="1965" w:type="dxa"/>
            <w:tcMar>
              <w:top w:w="60" w:type="dxa"/>
              <w:left w:w="120" w:type="dxa"/>
              <w:bottom w:w="30" w:type="dxa"/>
              <w:right w:w="120" w:type="dxa"/>
            </w:tcMar>
          </w:tcPr>
          <w:p w14:paraId="77897FA0">
            <w:pPr>
              <w:spacing w:before="120" w:after="120" w:line="288" w:lineRule="auto"/>
              <w:ind w:left="0"/>
              <w:jc w:val="left"/>
            </w:pPr>
            <w:r>
              <w:rPr>
                <w:rFonts w:ascii="Arial" w:hAnsi="Arial" w:eastAsia="等线" w:cs="Arial"/>
                <w:sz w:val="22"/>
              </w:rPr>
              <w:t>执行价（行权价）</w:t>
            </w:r>
          </w:p>
        </w:tc>
        <w:tc>
          <w:tcPr>
            <w:tcW w:w="4035" w:type="dxa"/>
            <w:tcMar>
              <w:top w:w="60" w:type="dxa"/>
              <w:left w:w="120" w:type="dxa"/>
              <w:bottom w:w="30" w:type="dxa"/>
              <w:right w:w="120" w:type="dxa"/>
            </w:tcMar>
          </w:tcPr>
          <w:p w14:paraId="7BF60E45">
            <w:pPr>
              <w:spacing w:before="120" w:after="120" w:line="288" w:lineRule="auto"/>
              <w:ind w:left="0"/>
              <w:jc w:val="left"/>
            </w:pPr>
            <w:r>
              <w:rPr>
                <w:rFonts w:ascii="Arial" w:hAnsi="Arial" w:eastAsia="等线" w:cs="Arial"/>
                <w:sz w:val="22"/>
              </w:rPr>
              <w:t>期权合约中约定的 “买入 / 卖出标的资产的固定价格”；分为 “实值、平值、虚值” 三类（如标的价 &gt; 执行价，看涨期权为实值）。</w:t>
            </w:r>
          </w:p>
        </w:tc>
      </w:tr>
      <w:tr w14:paraId="4C2672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16F2DC24">
            <w:pPr>
              <w:spacing w:before="120" w:after="120" w:line="288" w:lineRule="auto"/>
              <w:ind w:left="0"/>
              <w:jc w:val="left"/>
            </w:pPr>
            <w:r>
              <w:rPr>
                <w:rFonts w:ascii="Arial" w:hAnsi="Arial" w:eastAsia="等线" w:cs="Arial"/>
                <w:b/>
                <w:sz w:val="22"/>
              </w:rPr>
              <w:t>Expiration Date (Expiry Date)</w:t>
            </w:r>
          </w:p>
        </w:tc>
        <w:tc>
          <w:tcPr>
            <w:tcW w:w="1965" w:type="dxa"/>
            <w:tcMar>
              <w:top w:w="60" w:type="dxa"/>
              <w:left w:w="120" w:type="dxa"/>
              <w:bottom w:w="30" w:type="dxa"/>
              <w:right w:w="120" w:type="dxa"/>
            </w:tcMar>
          </w:tcPr>
          <w:p w14:paraId="2D32F8F7">
            <w:pPr>
              <w:spacing w:before="120" w:after="120" w:line="288" w:lineRule="auto"/>
              <w:ind w:left="0"/>
              <w:jc w:val="left"/>
            </w:pPr>
            <w:r>
              <w:rPr>
                <w:rFonts w:ascii="Arial" w:hAnsi="Arial" w:eastAsia="等线" w:cs="Arial"/>
                <w:sz w:val="22"/>
              </w:rPr>
              <w:t>到期日</w:t>
            </w:r>
          </w:p>
        </w:tc>
        <w:tc>
          <w:tcPr>
            <w:tcW w:w="4035" w:type="dxa"/>
            <w:tcMar>
              <w:top w:w="60" w:type="dxa"/>
              <w:left w:w="120" w:type="dxa"/>
              <w:bottom w:w="30" w:type="dxa"/>
              <w:right w:w="120" w:type="dxa"/>
            </w:tcMar>
          </w:tcPr>
          <w:p w14:paraId="7611018F">
            <w:pPr>
              <w:spacing w:before="120" w:after="120" w:line="288" w:lineRule="auto"/>
              <w:ind w:left="0"/>
              <w:jc w:val="left"/>
            </w:pPr>
            <w:r>
              <w:rPr>
                <w:rFonts w:ascii="Arial" w:hAnsi="Arial" w:eastAsia="等线" w:cs="Arial"/>
                <w:sz w:val="22"/>
              </w:rPr>
              <w:t>期权买方可以行使权利的最后日期；到期未行权的期权将 “自动失效”，买方损失全部权利金（美国期权可在到期前任意时间行权，欧式期权仅到期日可行权）。</w:t>
            </w:r>
          </w:p>
        </w:tc>
      </w:tr>
      <w:tr w14:paraId="495757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1E8CCA81">
            <w:pPr>
              <w:spacing w:before="120" w:after="120" w:line="288" w:lineRule="auto"/>
              <w:ind w:left="0"/>
              <w:jc w:val="left"/>
            </w:pPr>
            <w:r>
              <w:rPr>
                <w:rFonts w:ascii="Arial" w:hAnsi="Arial" w:eastAsia="等线" w:cs="Arial"/>
                <w:b/>
                <w:sz w:val="22"/>
              </w:rPr>
              <w:t>Premium</w:t>
            </w:r>
          </w:p>
        </w:tc>
        <w:tc>
          <w:tcPr>
            <w:tcW w:w="1965" w:type="dxa"/>
            <w:tcMar>
              <w:top w:w="60" w:type="dxa"/>
              <w:left w:w="120" w:type="dxa"/>
              <w:bottom w:w="30" w:type="dxa"/>
              <w:right w:w="120" w:type="dxa"/>
            </w:tcMar>
          </w:tcPr>
          <w:p w14:paraId="33CA61DA">
            <w:pPr>
              <w:spacing w:before="120" w:after="120" w:line="288" w:lineRule="auto"/>
              <w:ind w:left="0"/>
              <w:jc w:val="left"/>
            </w:pPr>
            <w:r>
              <w:rPr>
                <w:rFonts w:ascii="Arial" w:hAnsi="Arial" w:eastAsia="等线" w:cs="Arial"/>
                <w:sz w:val="22"/>
              </w:rPr>
              <w:t>权利金</w:t>
            </w:r>
          </w:p>
          <w:p w14:paraId="1ADF2A5B">
            <w:pPr>
              <w:spacing w:before="120" w:after="120" w:line="288" w:lineRule="auto"/>
              <w:ind w:left="0"/>
              <w:jc w:val="left"/>
            </w:pPr>
          </w:p>
        </w:tc>
        <w:tc>
          <w:tcPr>
            <w:tcW w:w="4035" w:type="dxa"/>
            <w:tcMar>
              <w:top w:w="60" w:type="dxa"/>
              <w:left w:w="120" w:type="dxa"/>
              <w:bottom w:w="30" w:type="dxa"/>
              <w:right w:w="120" w:type="dxa"/>
            </w:tcMar>
          </w:tcPr>
          <w:p w14:paraId="4CB61079">
            <w:pPr>
              <w:spacing w:before="120" w:after="120" w:line="288" w:lineRule="auto"/>
              <w:ind w:left="0"/>
              <w:jc w:val="left"/>
            </w:pPr>
            <w:r>
              <w:rPr>
                <w:rFonts w:ascii="Arial" w:hAnsi="Arial" w:eastAsia="等线" w:cs="Arial"/>
                <w:sz w:val="22"/>
              </w:rPr>
              <w:t>期权买方为获得 “行权权利” 向卖方支付的费用；是期权合约的 “价格”，由内在价值和时间价值组成，受标的价格、波动率、到期时间等影响。</w:t>
            </w:r>
          </w:p>
        </w:tc>
      </w:tr>
      <w:tr w14:paraId="6699B2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6C8AE521">
            <w:pPr>
              <w:spacing w:before="120" w:after="120" w:line="288" w:lineRule="auto"/>
              <w:ind w:left="0"/>
              <w:jc w:val="left"/>
            </w:pPr>
            <w:r>
              <w:rPr>
                <w:rFonts w:ascii="Arial" w:hAnsi="Arial" w:eastAsia="等线" w:cs="Arial"/>
                <w:b/>
                <w:sz w:val="22"/>
              </w:rPr>
              <w:t>In the Money (ITM)</w:t>
            </w:r>
          </w:p>
          <w:p w14:paraId="73B7533D">
            <w:pPr>
              <w:spacing w:before="120" w:after="120" w:line="288" w:lineRule="auto"/>
              <w:ind w:left="0"/>
              <w:jc w:val="left"/>
            </w:pPr>
          </w:p>
        </w:tc>
        <w:tc>
          <w:tcPr>
            <w:tcW w:w="1965" w:type="dxa"/>
            <w:tcMar>
              <w:top w:w="60" w:type="dxa"/>
              <w:left w:w="120" w:type="dxa"/>
              <w:bottom w:w="30" w:type="dxa"/>
              <w:right w:w="120" w:type="dxa"/>
            </w:tcMar>
          </w:tcPr>
          <w:p w14:paraId="3ED888F9">
            <w:pPr>
              <w:spacing w:before="120" w:after="120" w:line="288" w:lineRule="auto"/>
              <w:ind w:left="0"/>
              <w:jc w:val="left"/>
            </w:pPr>
            <w:r>
              <w:rPr>
                <w:rFonts w:ascii="Arial" w:hAnsi="Arial" w:eastAsia="等线" w:cs="Arial"/>
                <w:sz w:val="22"/>
              </w:rPr>
              <w:t>实值期权</w:t>
            </w:r>
          </w:p>
          <w:p w14:paraId="37D947AA">
            <w:pPr>
              <w:spacing w:before="120" w:after="120" w:line="288" w:lineRule="auto"/>
              <w:ind w:left="0"/>
              <w:jc w:val="left"/>
            </w:pPr>
          </w:p>
        </w:tc>
        <w:tc>
          <w:tcPr>
            <w:tcW w:w="4035" w:type="dxa"/>
            <w:tcMar>
              <w:top w:w="60" w:type="dxa"/>
              <w:left w:w="120" w:type="dxa"/>
              <w:bottom w:w="30" w:type="dxa"/>
              <w:right w:w="120" w:type="dxa"/>
            </w:tcMar>
          </w:tcPr>
          <w:p w14:paraId="74324155">
            <w:pPr>
              <w:spacing w:before="120" w:after="120" w:line="288" w:lineRule="auto"/>
              <w:ind w:left="0"/>
              <w:jc w:val="left"/>
            </w:pPr>
            <w:r>
              <w:rPr>
                <w:rFonts w:ascii="Arial" w:hAnsi="Arial" w:eastAsia="等线" w:cs="Arial"/>
                <w:sz w:val="22"/>
              </w:rPr>
              <w:t>行权对买方 “有利可图” 的期权：- 看涨期权：标的资产价格 &gt; 执行价；- 看跌期权：标的资产价格 &lt; 执行价；实值期权包含 “内在价值”（如标的价 50，执行价 45，看涨期权内在价值 = 5）。</w:t>
            </w:r>
          </w:p>
        </w:tc>
      </w:tr>
      <w:tr w14:paraId="1BC4F5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167CF64E">
            <w:pPr>
              <w:spacing w:before="120" w:after="120" w:line="288" w:lineRule="auto"/>
              <w:ind w:left="0"/>
              <w:jc w:val="left"/>
            </w:pPr>
            <w:r>
              <w:rPr>
                <w:rFonts w:ascii="Arial" w:hAnsi="Arial" w:eastAsia="等线" w:cs="Arial"/>
                <w:b/>
                <w:sz w:val="22"/>
              </w:rPr>
              <w:t>At the Money (ATM)</w:t>
            </w:r>
          </w:p>
        </w:tc>
        <w:tc>
          <w:tcPr>
            <w:tcW w:w="1965" w:type="dxa"/>
            <w:tcMar>
              <w:top w:w="60" w:type="dxa"/>
              <w:left w:w="120" w:type="dxa"/>
              <w:bottom w:w="30" w:type="dxa"/>
              <w:right w:w="120" w:type="dxa"/>
            </w:tcMar>
          </w:tcPr>
          <w:p w14:paraId="5CBC12D6">
            <w:pPr>
              <w:spacing w:before="120" w:after="120" w:line="288" w:lineRule="auto"/>
              <w:ind w:left="0"/>
              <w:jc w:val="left"/>
            </w:pPr>
            <w:r>
              <w:rPr>
                <w:rFonts w:ascii="Arial" w:hAnsi="Arial" w:eastAsia="等线" w:cs="Arial"/>
                <w:sz w:val="22"/>
              </w:rPr>
              <w:t>平值期权</w:t>
            </w:r>
          </w:p>
        </w:tc>
        <w:tc>
          <w:tcPr>
            <w:tcW w:w="4035" w:type="dxa"/>
            <w:tcMar>
              <w:top w:w="60" w:type="dxa"/>
              <w:left w:w="120" w:type="dxa"/>
              <w:bottom w:w="30" w:type="dxa"/>
              <w:right w:w="120" w:type="dxa"/>
            </w:tcMar>
          </w:tcPr>
          <w:p w14:paraId="46B74879">
            <w:pPr>
              <w:spacing w:before="120" w:after="120" w:line="288" w:lineRule="auto"/>
              <w:ind w:left="0"/>
              <w:jc w:val="left"/>
            </w:pPr>
            <w:r>
              <w:rPr>
                <w:rFonts w:ascii="Arial" w:hAnsi="Arial" w:eastAsia="等线" w:cs="Arial"/>
                <w:sz w:val="22"/>
              </w:rPr>
              <w:t>标的资产价格 “等于或接近” 执行价的期权；无内在价值，仅含时间价值（如标的价 50，执行价 50 的看涨 / 看跌期权）。</w:t>
            </w:r>
          </w:p>
        </w:tc>
      </w:tr>
      <w:tr w14:paraId="36EDF4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3AEFA1F2">
            <w:pPr>
              <w:spacing w:before="120" w:after="120" w:line="288" w:lineRule="auto"/>
              <w:ind w:left="0"/>
              <w:jc w:val="left"/>
            </w:pPr>
            <w:r>
              <w:rPr>
                <w:rFonts w:ascii="Arial" w:hAnsi="Arial" w:eastAsia="等线" w:cs="Arial"/>
                <w:b/>
                <w:sz w:val="22"/>
              </w:rPr>
              <w:t>Out-of-the-Money (OTM)</w:t>
            </w:r>
          </w:p>
        </w:tc>
        <w:tc>
          <w:tcPr>
            <w:tcW w:w="1965" w:type="dxa"/>
            <w:tcMar>
              <w:top w:w="60" w:type="dxa"/>
              <w:left w:w="120" w:type="dxa"/>
              <w:bottom w:w="30" w:type="dxa"/>
              <w:right w:w="120" w:type="dxa"/>
            </w:tcMar>
          </w:tcPr>
          <w:p w14:paraId="27D5B14B">
            <w:pPr>
              <w:spacing w:before="120" w:after="120" w:line="288" w:lineRule="auto"/>
              <w:ind w:left="0"/>
              <w:jc w:val="left"/>
            </w:pPr>
            <w:r>
              <w:rPr>
                <w:rFonts w:ascii="Arial" w:hAnsi="Arial" w:eastAsia="等线" w:cs="Arial"/>
                <w:sz w:val="22"/>
              </w:rPr>
              <w:t>虚值期权</w:t>
            </w:r>
          </w:p>
        </w:tc>
        <w:tc>
          <w:tcPr>
            <w:tcW w:w="4035" w:type="dxa"/>
            <w:tcMar>
              <w:top w:w="60" w:type="dxa"/>
              <w:left w:w="120" w:type="dxa"/>
              <w:bottom w:w="30" w:type="dxa"/>
              <w:right w:w="120" w:type="dxa"/>
            </w:tcMar>
          </w:tcPr>
          <w:p w14:paraId="0B7F2767">
            <w:pPr>
              <w:spacing w:before="120" w:after="120" w:line="288" w:lineRule="auto"/>
              <w:ind w:left="0"/>
              <w:jc w:val="left"/>
            </w:pPr>
            <w:r>
              <w:rPr>
                <w:rFonts w:ascii="Arial" w:hAnsi="Arial" w:eastAsia="等线" w:cs="Arial"/>
                <w:sz w:val="22"/>
              </w:rPr>
              <w:t>行权对买方 “无利可图” 的期权：- 看涨期权：标的资产价格 &lt; 执行价；- 看跌期权：标的资产价格 &gt; 执行价；虚值期权仅含时间价值，到期若仍虚值则失效。</w:t>
            </w:r>
          </w:p>
        </w:tc>
      </w:tr>
    </w:tbl>
    <w:p w14:paraId="2EDE96B4">
      <w:pPr>
        <w:spacing w:before="320" w:after="120" w:line="288" w:lineRule="auto"/>
        <w:ind w:left="0"/>
        <w:jc w:val="left"/>
        <w:outlineLvl w:val="1"/>
      </w:pPr>
      <w:bookmarkStart w:id="31" w:name="heading_31"/>
      <w:r>
        <w:rPr>
          <w:rFonts w:ascii="Arial" w:hAnsi="Arial" w:eastAsia="等线" w:cs="Arial"/>
          <w:color w:val="3370FF"/>
          <w:sz w:val="32"/>
        </w:rPr>
        <w:t xml:space="preserve">4.3 </w:t>
      </w:r>
      <w:r>
        <w:rPr>
          <w:rFonts w:ascii="Arial" w:hAnsi="Arial" w:eastAsia="等线" w:cs="Arial"/>
          <w:b/>
          <w:sz w:val="32"/>
        </w:rPr>
        <w:t>期权交易核心动作与规则</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80"/>
        <w:gridCol w:w="1965"/>
        <w:gridCol w:w="4035"/>
      </w:tblGrid>
      <w:tr w14:paraId="48F421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280" w:type="dxa"/>
            <w:tcMar>
              <w:top w:w="60" w:type="dxa"/>
              <w:left w:w="120" w:type="dxa"/>
              <w:bottom w:w="30" w:type="dxa"/>
              <w:right w:w="120" w:type="dxa"/>
            </w:tcMar>
          </w:tcPr>
          <w:p w14:paraId="06884C1B">
            <w:pPr>
              <w:spacing w:before="120" w:after="120" w:line="288" w:lineRule="auto"/>
              <w:ind w:left="0"/>
              <w:jc w:val="left"/>
            </w:pPr>
            <w:r>
              <w:rPr>
                <w:rFonts w:ascii="Arial" w:hAnsi="Arial" w:eastAsia="等线" w:cs="Arial"/>
                <w:b/>
                <w:sz w:val="22"/>
              </w:rPr>
              <w:t>英文词汇</w:t>
            </w:r>
          </w:p>
        </w:tc>
        <w:tc>
          <w:tcPr>
            <w:tcW w:w="1965" w:type="dxa"/>
            <w:tcMar>
              <w:top w:w="60" w:type="dxa"/>
              <w:left w:w="120" w:type="dxa"/>
              <w:bottom w:w="30" w:type="dxa"/>
              <w:right w:w="120" w:type="dxa"/>
            </w:tcMar>
          </w:tcPr>
          <w:p w14:paraId="3A7B3C2D">
            <w:pPr>
              <w:spacing w:before="120" w:after="120" w:line="288" w:lineRule="auto"/>
              <w:ind w:left="0"/>
              <w:jc w:val="left"/>
            </w:pPr>
            <w:r>
              <w:rPr>
                <w:rFonts w:ascii="Arial" w:hAnsi="Arial" w:eastAsia="等线" w:cs="Arial"/>
                <w:b/>
                <w:sz w:val="22"/>
              </w:rPr>
              <w:t>中文释义</w:t>
            </w:r>
          </w:p>
        </w:tc>
        <w:tc>
          <w:tcPr>
            <w:tcW w:w="4035" w:type="dxa"/>
            <w:tcMar>
              <w:top w:w="60" w:type="dxa"/>
              <w:left w:w="120" w:type="dxa"/>
              <w:bottom w:w="30" w:type="dxa"/>
              <w:right w:w="120" w:type="dxa"/>
            </w:tcMar>
          </w:tcPr>
          <w:p w14:paraId="5BF5A5F5">
            <w:pPr>
              <w:spacing w:before="120" w:after="120" w:line="288" w:lineRule="auto"/>
              <w:ind w:left="0"/>
              <w:jc w:val="left"/>
            </w:pPr>
            <w:r>
              <w:rPr>
                <w:rFonts w:ascii="Arial" w:hAnsi="Arial" w:eastAsia="等线" w:cs="Arial"/>
                <w:b/>
                <w:sz w:val="22"/>
              </w:rPr>
              <w:t>核心要点</w:t>
            </w:r>
          </w:p>
        </w:tc>
      </w:tr>
      <w:tr w14:paraId="6524E5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4C8CD798">
            <w:pPr>
              <w:spacing w:before="120" w:after="120" w:line="288" w:lineRule="auto"/>
              <w:ind w:left="0"/>
              <w:jc w:val="left"/>
            </w:pPr>
            <w:r>
              <w:rPr>
                <w:rFonts w:ascii="Arial" w:hAnsi="Arial" w:eastAsia="等线" w:cs="Arial"/>
                <w:b/>
                <w:sz w:val="22"/>
              </w:rPr>
              <w:t>Exercise</w:t>
            </w:r>
          </w:p>
        </w:tc>
        <w:tc>
          <w:tcPr>
            <w:tcW w:w="1965" w:type="dxa"/>
            <w:tcMar>
              <w:top w:w="60" w:type="dxa"/>
              <w:left w:w="120" w:type="dxa"/>
              <w:bottom w:w="30" w:type="dxa"/>
              <w:right w:w="120" w:type="dxa"/>
            </w:tcMar>
          </w:tcPr>
          <w:p w14:paraId="7AB07601">
            <w:pPr>
              <w:spacing w:before="120" w:after="120" w:line="288" w:lineRule="auto"/>
              <w:ind w:left="0"/>
              <w:jc w:val="left"/>
            </w:pPr>
            <w:r>
              <w:rPr>
                <w:rFonts w:ascii="Arial" w:hAnsi="Arial" w:eastAsia="等线" w:cs="Arial"/>
                <w:sz w:val="22"/>
              </w:rPr>
              <w:t>行权</w:t>
            </w:r>
          </w:p>
        </w:tc>
        <w:tc>
          <w:tcPr>
            <w:tcW w:w="4035" w:type="dxa"/>
            <w:tcMar>
              <w:top w:w="60" w:type="dxa"/>
              <w:left w:w="120" w:type="dxa"/>
              <w:bottom w:w="30" w:type="dxa"/>
              <w:right w:w="120" w:type="dxa"/>
            </w:tcMar>
          </w:tcPr>
          <w:p w14:paraId="42DF8A30">
            <w:pPr>
              <w:spacing w:before="120" w:after="120" w:line="288" w:lineRule="auto"/>
              <w:ind w:left="0"/>
              <w:jc w:val="left"/>
            </w:pPr>
            <w:r>
              <w:rPr>
                <w:rFonts w:ascii="Arial" w:hAnsi="Arial" w:eastAsia="等线" w:cs="Arial"/>
                <w:sz w:val="22"/>
              </w:rPr>
              <w:t>期权买方在到期日（或到期前）按执行价 “行使买入 / 卖出标的资产的权利”；如买入看涨期权行权，买方需按执行价向卖方支付资金，换取标的资产。</w:t>
            </w:r>
          </w:p>
        </w:tc>
      </w:tr>
      <w:tr w14:paraId="25AD02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68857518">
            <w:pPr>
              <w:spacing w:before="120" w:after="120" w:line="288" w:lineRule="auto"/>
              <w:ind w:left="0"/>
              <w:jc w:val="left"/>
            </w:pPr>
            <w:r>
              <w:rPr>
                <w:rFonts w:ascii="Arial" w:hAnsi="Arial" w:eastAsia="等线" w:cs="Arial"/>
                <w:b/>
                <w:sz w:val="22"/>
              </w:rPr>
              <w:t>Assignment</w:t>
            </w:r>
          </w:p>
        </w:tc>
        <w:tc>
          <w:tcPr>
            <w:tcW w:w="1965" w:type="dxa"/>
            <w:tcMar>
              <w:top w:w="60" w:type="dxa"/>
              <w:left w:w="120" w:type="dxa"/>
              <w:bottom w:w="30" w:type="dxa"/>
              <w:right w:w="120" w:type="dxa"/>
            </w:tcMar>
          </w:tcPr>
          <w:p w14:paraId="732825CC">
            <w:pPr>
              <w:spacing w:before="120" w:after="120" w:line="288" w:lineRule="auto"/>
              <w:ind w:left="0"/>
              <w:jc w:val="left"/>
            </w:pPr>
            <w:r>
              <w:rPr>
                <w:rFonts w:ascii="Arial" w:hAnsi="Arial" w:eastAsia="等线" w:cs="Arial"/>
                <w:sz w:val="22"/>
              </w:rPr>
              <w:t>被行权</w:t>
            </w:r>
          </w:p>
        </w:tc>
        <w:tc>
          <w:tcPr>
            <w:tcW w:w="4035" w:type="dxa"/>
            <w:tcMar>
              <w:top w:w="60" w:type="dxa"/>
              <w:left w:w="120" w:type="dxa"/>
              <w:bottom w:w="30" w:type="dxa"/>
              <w:right w:w="120" w:type="dxa"/>
            </w:tcMar>
          </w:tcPr>
          <w:p w14:paraId="4C0FA648">
            <w:pPr>
              <w:spacing w:before="120" w:after="120" w:line="288" w:lineRule="auto"/>
              <w:ind w:left="0"/>
              <w:jc w:val="left"/>
            </w:pPr>
            <w:r>
              <w:rPr>
                <w:rFonts w:ascii="Arial" w:hAnsi="Arial" w:eastAsia="等线" w:cs="Arial"/>
                <w:sz w:val="22"/>
              </w:rPr>
              <w:t>期权卖方 “被买方要求履行合约义务” 的过程；如卖出看跌期权被行权，卖方需按执行价向买方支付资金，买入标的资产。</w:t>
            </w:r>
          </w:p>
        </w:tc>
      </w:tr>
      <w:tr w14:paraId="02B0CE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04EA73C7">
            <w:pPr>
              <w:spacing w:before="120" w:after="120" w:line="288" w:lineRule="auto"/>
              <w:ind w:left="0"/>
              <w:jc w:val="left"/>
            </w:pPr>
            <w:r>
              <w:rPr>
                <w:rFonts w:ascii="Arial" w:hAnsi="Arial" w:eastAsia="等线" w:cs="Arial"/>
                <w:b/>
                <w:sz w:val="22"/>
              </w:rPr>
              <w:t>Assignment Risk</w:t>
            </w:r>
          </w:p>
        </w:tc>
        <w:tc>
          <w:tcPr>
            <w:tcW w:w="1965" w:type="dxa"/>
            <w:tcMar>
              <w:top w:w="60" w:type="dxa"/>
              <w:left w:w="120" w:type="dxa"/>
              <w:bottom w:w="30" w:type="dxa"/>
              <w:right w:w="120" w:type="dxa"/>
            </w:tcMar>
          </w:tcPr>
          <w:p w14:paraId="41D09034">
            <w:pPr>
              <w:spacing w:before="120" w:after="120" w:line="288" w:lineRule="auto"/>
              <w:ind w:left="0"/>
              <w:jc w:val="left"/>
            </w:pPr>
            <w:r>
              <w:rPr>
                <w:rFonts w:ascii="Arial" w:hAnsi="Arial" w:eastAsia="等线" w:cs="Arial"/>
                <w:sz w:val="22"/>
              </w:rPr>
              <w:t>被行权风险</w:t>
            </w:r>
          </w:p>
        </w:tc>
        <w:tc>
          <w:tcPr>
            <w:tcW w:w="4035" w:type="dxa"/>
            <w:tcMar>
              <w:top w:w="60" w:type="dxa"/>
              <w:left w:w="120" w:type="dxa"/>
              <w:bottom w:w="30" w:type="dxa"/>
              <w:right w:w="120" w:type="dxa"/>
            </w:tcMar>
          </w:tcPr>
          <w:p w14:paraId="203AA59B">
            <w:pPr>
              <w:spacing w:before="120" w:after="120" w:line="288" w:lineRule="auto"/>
              <w:ind w:left="0"/>
              <w:jc w:val="left"/>
            </w:pPr>
            <w:r>
              <w:rPr>
                <w:rFonts w:ascii="Arial" w:hAnsi="Arial" w:eastAsia="等线" w:cs="Arial"/>
                <w:sz w:val="22"/>
              </w:rPr>
              <w:t>期权卖方可能面临的 “强制履行义务” 的风险；尤其是实值期权在到期前，卖方随时可能被买方行权（美国期权），需提前准备标的或资金。</w:t>
            </w:r>
          </w:p>
        </w:tc>
      </w:tr>
      <w:tr w14:paraId="0A010D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5F596366">
            <w:pPr>
              <w:spacing w:before="120" w:after="120" w:line="288" w:lineRule="auto"/>
              <w:ind w:left="0"/>
              <w:jc w:val="left"/>
            </w:pPr>
            <w:r>
              <w:rPr>
                <w:rFonts w:ascii="Arial" w:hAnsi="Arial" w:eastAsia="等线" w:cs="Arial"/>
                <w:b/>
                <w:sz w:val="22"/>
              </w:rPr>
              <w:t>Time Decay (Theta)</w:t>
            </w:r>
          </w:p>
        </w:tc>
        <w:tc>
          <w:tcPr>
            <w:tcW w:w="1965" w:type="dxa"/>
            <w:tcMar>
              <w:top w:w="60" w:type="dxa"/>
              <w:left w:w="120" w:type="dxa"/>
              <w:bottom w:w="30" w:type="dxa"/>
              <w:right w:w="120" w:type="dxa"/>
            </w:tcMar>
          </w:tcPr>
          <w:p w14:paraId="6EE170CB">
            <w:pPr>
              <w:spacing w:before="120" w:after="120" w:line="288" w:lineRule="auto"/>
              <w:ind w:left="0"/>
              <w:jc w:val="left"/>
            </w:pPr>
            <w:r>
              <w:rPr>
                <w:rFonts w:ascii="Arial" w:hAnsi="Arial" w:eastAsia="等线" w:cs="Arial"/>
                <w:sz w:val="22"/>
              </w:rPr>
              <w:t>时间衰减</w:t>
            </w:r>
          </w:p>
        </w:tc>
        <w:tc>
          <w:tcPr>
            <w:tcW w:w="4035" w:type="dxa"/>
            <w:tcMar>
              <w:top w:w="60" w:type="dxa"/>
              <w:left w:w="120" w:type="dxa"/>
              <w:bottom w:w="30" w:type="dxa"/>
              <w:right w:w="120" w:type="dxa"/>
            </w:tcMar>
          </w:tcPr>
          <w:p w14:paraId="6377B400">
            <w:pPr>
              <w:spacing w:before="120" w:after="120" w:line="288" w:lineRule="auto"/>
              <w:ind w:left="0"/>
              <w:jc w:val="left"/>
            </w:pPr>
            <w:r>
              <w:rPr>
                <w:rFonts w:ascii="Arial" w:hAnsi="Arial" w:eastAsia="等线" w:cs="Arial"/>
                <w:sz w:val="22"/>
              </w:rPr>
              <w:t>期权 “时间价值” 随到期日临近而逐渐减少的现象；到期日当天，时间价值归零（仅余内在价值），因此 “买方需警惕时间损耗，卖方受益于时间衰减”。</w:t>
            </w:r>
          </w:p>
        </w:tc>
      </w:tr>
      <w:tr w14:paraId="0E6E3A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53D847BC">
            <w:pPr>
              <w:spacing w:before="120" w:after="120" w:line="288" w:lineRule="auto"/>
              <w:ind w:left="0"/>
              <w:jc w:val="left"/>
            </w:pPr>
            <w:r>
              <w:rPr>
                <w:rFonts w:ascii="Arial" w:hAnsi="Arial" w:eastAsia="等线" w:cs="Arial"/>
                <w:b/>
                <w:sz w:val="22"/>
              </w:rPr>
              <w:t>Intrinsic Value</w:t>
            </w:r>
          </w:p>
        </w:tc>
        <w:tc>
          <w:tcPr>
            <w:tcW w:w="1965" w:type="dxa"/>
            <w:tcMar>
              <w:top w:w="60" w:type="dxa"/>
              <w:left w:w="120" w:type="dxa"/>
              <w:bottom w:w="30" w:type="dxa"/>
              <w:right w:w="120" w:type="dxa"/>
            </w:tcMar>
          </w:tcPr>
          <w:p w14:paraId="7E613E82">
            <w:pPr>
              <w:spacing w:before="120" w:after="120" w:line="288" w:lineRule="auto"/>
              <w:ind w:left="0"/>
              <w:jc w:val="left"/>
            </w:pPr>
            <w:r>
              <w:rPr>
                <w:rFonts w:ascii="Arial" w:hAnsi="Arial" w:eastAsia="等线" w:cs="Arial"/>
                <w:sz w:val="22"/>
              </w:rPr>
              <w:t>内在价值</w:t>
            </w:r>
          </w:p>
        </w:tc>
        <w:tc>
          <w:tcPr>
            <w:tcW w:w="4035" w:type="dxa"/>
            <w:tcMar>
              <w:top w:w="60" w:type="dxa"/>
              <w:left w:w="120" w:type="dxa"/>
              <w:bottom w:w="30" w:type="dxa"/>
              <w:right w:w="120" w:type="dxa"/>
            </w:tcMar>
          </w:tcPr>
          <w:p w14:paraId="2F9E7FD7">
            <w:pPr>
              <w:spacing w:before="120" w:after="120" w:line="288" w:lineRule="auto"/>
              <w:ind w:left="0"/>
              <w:jc w:val="left"/>
            </w:pPr>
            <w:r>
              <w:rPr>
                <w:rFonts w:ascii="Arial" w:hAnsi="Arial" w:eastAsia="等线" w:cs="Arial"/>
                <w:sz w:val="22"/>
              </w:rPr>
              <w:t>期权 “立即行权可获得的收益”，计算方式：- 看涨期权：max (标的价 - 执行价，0)；- 看跌期权：max (执行价 - 标的价，0)；虚值期权内在价值 = 0，平值期权内在价值≈0。</w:t>
            </w:r>
          </w:p>
        </w:tc>
      </w:tr>
      <w:tr w14:paraId="42DA71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0D6543CE">
            <w:pPr>
              <w:spacing w:before="120" w:after="120" w:line="288" w:lineRule="auto"/>
              <w:ind w:left="0"/>
              <w:jc w:val="left"/>
            </w:pPr>
            <w:r>
              <w:rPr>
                <w:rFonts w:ascii="Arial" w:hAnsi="Arial" w:eastAsia="等线" w:cs="Arial"/>
                <w:b/>
                <w:sz w:val="22"/>
              </w:rPr>
              <w:t>Time Value</w:t>
            </w:r>
          </w:p>
        </w:tc>
        <w:tc>
          <w:tcPr>
            <w:tcW w:w="1965" w:type="dxa"/>
            <w:tcMar>
              <w:top w:w="60" w:type="dxa"/>
              <w:left w:w="120" w:type="dxa"/>
              <w:bottom w:w="30" w:type="dxa"/>
              <w:right w:w="120" w:type="dxa"/>
            </w:tcMar>
          </w:tcPr>
          <w:p w14:paraId="6E0892EC">
            <w:pPr>
              <w:spacing w:before="120" w:after="120" w:line="288" w:lineRule="auto"/>
              <w:ind w:left="0"/>
              <w:jc w:val="left"/>
            </w:pPr>
            <w:r>
              <w:rPr>
                <w:rFonts w:ascii="Arial" w:hAnsi="Arial" w:eastAsia="等线" w:cs="Arial"/>
                <w:sz w:val="22"/>
              </w:rPr>
              <w:t>时间价值</w:t>
            </w:r>
          </w:p>
        </w:tc>
        <w:tc>
          <w:tcPr>
            <w:tcW w:w="4035" w:type="dxa"/>
            <w:tcMar>
              <w:top w:w="60" w:type="dxa"/>
              <w:left w:w="120" w:type="dxa"/>
              <w:bottom w:w="30" w:type="dxa"/>
              <w:right w:w="120" w:type="dxa"/>
            </w:tcMar>
          </w:tcPr>
          <w:p w14:paraId="74CE0D67">
            <w:pPr>
              <w:spacing w:before="120" w:after="120" w:line="288" w:lineRule="auto"/>
              <w:ind w:left="0"/>
              <w:jc w:val="left"/>
            </w:pPr>
            <w:r>
              <w:rPr>
                <w:rFonts w:ascii="Arial" w:hAnsi="Arial" w:eastAsia="等线" w:cs="Arial"/>
                <w:sz w:val="22"/>
              </w:rPr>
              <w:t>期权权利金中 “超出内在价值的部分”，反映 “标的价格在到期前波动带来的盈利可能性”；受到期时间（时间越长，时间价值越高）、波动率（波动率越高，时间价值越高）影响。</w:t>
            </w:r>
          </w:p>
        </w:tc>
      </w:tr>
      <w:tr w14:paraId="213D07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3CAA2B71">
            <w:pPr>
              <w:spacing w:before="120" w:after="120" w:line="288" w:lineRule="auto"/>
              <w:ind w:left="0"/>
              <w:jc w:val="left"/>
            </w:pPr>
            <w:r>
              <w:rPr>
                <w:rFonts w:ascii="Arial" w:hAnsi="Arial" w:eastAsia="等线" w:cs="Arial"/>
                <w:b/>
                <w:sz w:val="22"/>
              </w:rPr>
              <w:t>Option Chain</w:t>
            </w:r>
          </w:p>
        </w:tc>
        <w:tc>
          <w:tcPr>
            <w:tcW w:w="1965" w:type="dxa"/>
            <w:tcMar>
              <w:top w:w="60" w:type="dxa"/>
              <w:left w:w="120" w:type="dxa"/>
              <w:bottom w:w="30" w:type="dxa"/>
              <w:right w:w="120" w:type="dxa"/>
            </w:tcMar>
          </w:tcPr>
          <w:p w14:paraId="79367948">
            <w:pPr>
              <w:spacing w:before="120" w:after="120" w:line="288" w:lineRule="auto"/>
              <w:ind w:left="0"/>
              <w:jc w:val="left"/>
            </w:pPr>
            <w:r>
              <w:rPr>
                <w:rFonts w:ascii="Arial" w:hAnsi="Arial" w:eastAsia="等线" w:cs="Arial"/>
                <w:sz w:val="22"/>
              </w:rPr>
              <w:t>期权链（期权报价表）</w:t>
            </w:r>
          </w:p>
        </w:tc>
        <w:tc>
          <w:tcPr>
            <w:tcW w:w="4035" w:type="dxa"/>
            <w:tcMar>
              <w:top w:w="60" w:type="dxa"/>
              <w:left w:w="120" w:type="dxa"/>
              <w:bottom w:w="30" w:type="dxa"/>
              <w:right w:w="120" w:type="dxa"/>
            </w:tcMar>
          </w:tcPr>
          <w:p w14:paraId="563F250D">
            <w:pPr>
              <w:spacing w:before="120" w:after="120" w:line="288" w:lineRule="auto"/>
              <w:ind w:left="0"/>
              <w:jc w:val="left"/>
            </w:pPr>
            <w:r>
              <w:rPr>
                <w:rFonts w:ascii="Arial" w:hAnsi="Arial" w:eastAsia="等线" w:cs="Arial"/>
                <w:sz w:val="22"/>
              </w:rPr>
              <w:t>某一标的资产的 “所有期权合约报价汇总”，按执行价和到期日分类，包含权利金、成交量、持仓量等数据；是投资者选择期权合约的核心参考工具。</w:t>
            </w:r>
          </w:p>
        </w:tc>
      </w:tr>
    </w:tbl>
    <w:p w14:paraId="40A42B52">
      <w:pPr>
        <w:spacing w:before="320" w:after="120" w:line="288" w:lineRule="auto"/>
        <w:ind w:left="0"/>
        <w:jc w:val="left"/>
        <w:outlineLvl w:val="1"/>
      </w:pPr>
      <w:bookmarkStart w:id="32" w:name="heading_32"/>
      <w:r>
        <w:rPr>
          <w:rFonts w:ascii="Arial" w:hAnsi="Arial" w:eastAsia="等线" w:cs="Arial"/>
          <w:color w:val="3370FF"/>
          <w:sz w:val="32"/>
        </w:rPr>
        <w:t xml:space="preserve">4.4 </w:t>
      </w:r>
      <w:r>
        <w:rPr>
          <w:rFonts w:ascii="Arial" w:hAnsi="Arial" w:eastAsia="等线" w:cs="Arial"/>
          <w:b/>
          <w:sz w:val="32"/>
        </w:rPr>
        <w:t>期权交易主体与账户</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80"/>
        <w:gridCol w:w="1965"/>
        <w:gridCol w:w="4035"/>
      </w:tblGrid>
      <w:tr w14:paraId="10FF32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280" w:type="dxa"/>
            <w:tcMar>
              <w:top w:w="60" w:type="dxa"/>
              <w:left w:w="120" w:type="dxa"/>
              <w:bottom w:w="30" w:type="dxa"/>
              <w:right w:w="120" w:type="dxa"/>
            </w:tcMar>
          </w:tcPr>
          <w:p w14:paraId="00A18184">
            <w:pPr>
              <w:spacing w:before="120" w:after="120" w:line="288" w:lineRule="auto"/>
              <w:ind w:left="0"/>
              <w:jc w:val="left"/>
            </w:pPr>
            <w:r>
              <w:rPr>
                <w:rFonts w:ascii="Arial" w:hAnsi="Arial" w:eastAsia="等线" w:cs="Arial"/>
                <w:b/>
                <w:sz w:val="22"/>
              </w:rPr>
              <w:t>英文词汇</w:t>
            </w:r>
          </w:p>
        </w:tc>
        <w:tc>
          <w:tcPr>
            <w:tcW w:w="1965" w:type="dxa"/>
            <w:tcMar>
              <w:top w:w="60" w:type="dxa"/>
              <w:left w:w="120" w:type="dxa"/>
              <w:bottom w:w="30" w:type="dxa"/>
              <w:right w:w="120" w:type="dxa"/>
            </w:tcMar>
          </w:tcPr>
          <w:p w14:paraId="60198BC3">
            <w:pPr>
              <w:spacing w:before="120" w:after="120" w:line="288" w:lineRule="auto"/>
              <w:ind w:left="0"/>
              <w:jc w:val="left"/>
            </w:pPr>
            <w:r>
              <w:rPr>
                <w:rFonts w:ascii="Arial" w:hAnsi="Arial" w:eastAsia="等线" w:cs="Arial"/>
                <w:b/>
                <w:sz w:val="22"/>
              </w:rPr>
              <w:t>中文释义</w:t>
            </w:r>
          </w:p>
        </w:tc>
        <w:tc>
          <w:tcPr>
            <w:tcW w:w="4035" w:type="dxa"/>
            <w:tcMar>
              <w:top w:w="60" w:type="dxa"/>
              <w:left w:w="120" w:type="dxa"/>
              <w:bottom w:w="30" w:type="dxa"/>
              <w:right w:w="120" w:type="dxa"/>
            </w:tcMar>
          </w:tcPr>
          <w:p w14:paraId="1E501D69">
            <w:pPr>
              <w:spacing w:before="120" w:after="120" w:line="288" w:lineRule="auto"/>
              <w:ind w:left="0"/>
              <w:jc w:val="left"/>
            </w:pPr>
            <w:r>
              <w:rPr>
                <w:rFonts w:ascii="Arial" w:hAnsi="Arial" w:eastAsia="等线" w:cs="Arial"/>
                <w:b/>
                <w:sz w:val="22"/>
              </w:rPr>
              <w:t>核心要点</w:t>
            </w:r>
          </w:p>
        </w:tc>
      </w:tr>
      <w:tr w14:paraId="31F56C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23B37620">
            <w:pPr>
              <w:spacing w:before="120" w:after="120" w:line="288" w:lineRule="auto"/>
              <w:ind w:left="0"/>
              <w:jc w:val="left"/>
            </w:pPr>
            <w:r>
              <w:rPr>
                <w:rFonts w:ascii="Arial" w:hAnsi="Arial" w:eastAsia="等线" w:cs="Arial"/>
                <w:b/>
                <w:sz w:val="22"/>
              </w:rPr>
              <w:t>Option Buyer (Holder)</w:t>
            </w:r>
          </w:p>
        </w:tc>
        <w:tc>
          <w:tcPr>
            <w:tcW w:w="1965" w:type="dxa"/>
            <w:tcMar>
              <w:top w:w="60" w:type="dxa"/>
              <w:left w:w="120" w:type="dxa"/>
              <w:bottom w:w="30" w:type="dxa"/>
              <w:right w:w="120" w:type="dxa"/>
            </w:tcMar>
          </w:tcPr>
          <w:p w14:paraId="27A9D331">
            <w:pPr>
              <w:spacing w:before="120" w:after="120" w:line="288" w:lineRule="auto"/>
              <w:ind w:left="0"/>
              <w:jc w:val="left"/>
            </w:pPr>
            <w:r>
              <w:rPr>
                <w:rFonts w:ascii="Arial" w:hAnsi="Arial" w:eastAsia="等线" w:cs="Arial"/>
                <w:sz w:val="22"/>
              </w:rPr>
              <w:t>期权买方（持有者）</w:t>
            </w:r>
          </w:p>
        </w:tc>
        <w:tc>
          <w:tcPr>
            <w:tcW w:w="4035" w:type="dxa"/>
            <w:tcMar>
              <w:top w:w="60" w:type="dxa"/>
              <w:left w:w="120" w:type="dxa"/>
              <w:bottom w:w="30" w:type="dxa"/>
              <w:right w:w="120" w:type="dxa"/>
            </w:tcMar>
          </w:tcPr>
          <w:p w14:paraId="5921972A">
            <w:pPr>
              <w:spacing w:before="120" w:after="120" w:line="288" w:lineRule="auto"/>
              <w:ind w:left="0"/>
              <w:jc w:val="left"/>
            </w:pPr>
            <w:r>
              <w:rPr>
                <w:rFonts w:ascii="Arial" w:hAnsi="Arial" w:eastAsia="等线" w:cs="Arial"/>
                <w:sz w:val="22"/>
              </w:rPr>
              <w:t>支付权利金、获得 “行权权利” 的一方；核心特征：</w:t>
            </w:r>
            <w:r>
              <w:rPr>
                <w:rFonts w:ascii="Arial" w:hAnsi="Arial" w:eastAsia="等线" w:cs="Arial"/>
                <w:b/>
                <w:sz w:val="22"/>
              </w:rPr>
              <w:t>风险有限（仅权利金），收益潜力大</w:t>
            </w:r>
            <w:r>
              <w:rPr>
                <w:rFonts w:ascii="Arial" w:hAnsi="Arial" w:eastAsia="等线" w:cs="Arial"/>
                <w:sz w:val="22"/>
              </w:rPr>
              <w:t>，无需缴纳保证金。</w:t>
            </w:r>
          </w:p>
        </w:tc>
      </w:tr>
      <w:tr w14:paraId="7087D2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47AB69D8">
            <w:pPr>
              <w:spacing w:before="120" w:after="120" w:line="288" w:lineRule="auto"/>
              <w:ind w:left="0"/>
              <w:jc w:val="left"/>
            </w:pPr>
            <w:r>
              <w:rPr>
                <w:rFonts w:ascii="Arial" w:hAnsi="Arial" w:eastAsia="等线" w:cs="Arial"/>
                <w:b/>
                <w:sz w:val="22"/>
              </w:rPr>
              <w:t>Option Seller (Writer)</w:t>
            </w:r>
          </w:p>
        </w:tc>
        <w:tc>
          <w:tcPr>
            <w:tcW w:w="1965" w:type="dxa"/>
            <w:tcMar>
              <w:top w:w="60" w:type="dxa"/>
              <w:left w:w="120" w:type="dxa"/>
              <w:bottom w:w="30" w:type="dxa"/>
              <w:right w:w="120" w:type="dxa"/>
            </w:tcMar>
          </w:tcPr>
          <w:p w14:paraId="6B919112">
            <w:pPr>
              <w:spacing w:before="120" w:after="120" w:line="288" w:lineRule="auto"/>
              <w:ind w:left="0"/>
              <w:jc w:val="left"/>
            </w:pPr>
            <w:r>
              <w:rPr>
                <w:rFonts w:ascii="Arial" w:hAnsi="Arial" w:eastAsia="等线" w:cs="Arial"/>
                <w:sz w:val="22"/>
              </w:rPr>
              <w:t>期权卖方（开立者）</w:t>
            </w:r>
          </w:p>
        </w:tc>
        <w:tc>
          <w:tcPr>
            <w:tcW w:w="4035" w:type="dxa"/>
            <w:tcMar>
              <w:top w:w="60" w:type="dxa"/>
              <w:left w:w="120" w:type="dxa"/>
              <w:bottom w:w="30" w:type="dxa"/>
              <w:right w:w="120" w:type="dxa"/>
            </w:tcMar>
          </w:tcPr>
          <w:p w14:paraId="21F33191">
            <w:pPr>
              <w:spacing w:before="120" w:after="120" w:line="288" w:lineRule="auto"/>
              <w:ind w:left="0"/>
              <w:jc w:val="left"/>
            </w:pPr>
            <w:r>
              <w:rPr>
                <w:rFonts w:ascii="Arial" w:hAnsi="Arial" w:eastAsia="等线" w:cs="Arial"/>
                <w:sz w:val="22"/>
              </w:rPr>
              <w:t>收取权利金、承担 “被行权义务” 的一方；核心特征：</w:t>
            </w:r>
            <w:r>
              <w:rPr>
                <w:rFonts w:ascii="Arial" w:hAnsi="Arial" w:eastAsia="等线" w:cs="Arial"/>
                <w:b/>
                <w:sz w:val="22"/>
              </w:rPr>
              <w:t>收益有限（仅权利金），风险潜力大</w:t>
            </w:r>
            <w:r>
              <w:rPr>
                <w:rFonts w:ascii="Arial" w:hAnsi="Arial" w:eastAsia="等线" w:cs="Arial"/>
                <w:sz w:val="22"/>
              </w:rPr>
              <w:t>，需缴纳保证金以覆盖潜在亏损。</w:t>
            </w:r>
          </w:p>
        </w:tc>
      </w:tr>
      <w:tr w14:paraId="2EB902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35E4E13B">
            <w:pPr>
              <w:spacing w:before="120" w:after="120" w:line="288" w:lineRule="auto"/>
              <w:ind w:left="0"/>
              <w:jc w:val="left"/>
            </w:pPr>
            <w:r>
              <w:rPr>
                <w:rFonts w:ascii="Arial" w:hAnsi="Arial" w:eastAsia="等线" w:cs="Arial"/>
                <w:b/>
                <w:sz w:val="22"/>
              </w:rPr>
              <w:t>Options Account Agreement</w:t>
            </w:r>
          </w:p>
        </w:tc>
        <w:tc>
          <w:tcPr>
            <w:tcW w:w="1965" w:type="dxa"/>
            <w:tcMar>
              <w:top w:w="60" w:type="dxa"/>
              <w:left w:w="120" w:type="dxa"/>
              <w:bottom w:w="30" w:type="dxa"/>
              <w:right w:w="120" w:type="dxa"/>
            </w:tcMar>
          </w:tcPr>
          <w:p w14:paraId="6EE250D7">
            <w:pPr>
              <w:spacing w:before="120" w:after="120" w:line="288" w:lineRule="auto"/>
              <w:ind w:left="0"/>
              <w:jc w:val="left"/>
            </w:pPr>
            <w:r>
              <w:rPr>
                <w:rFonts w:ascii="Arial" w:hAnsi="Arial" w:eastAsia="等线" w:cs="Arial"/>
                <w:sz w:val="22"/>
              </w:rPr>
              <w:t>期权账户协议</w:t>
            </w:r>
          </w:p>
        </w:tc>
        <w:tc>
          <w:tcPr>
            <w:tcW w:w="4035" w:type="dxa"/>
            <w:tcMar>
              <w:top w:w="60" w:type="dxa"/>
              <w:left w:w="120" w:type="dxa"/>
              <w:bottom w:w="30" w:type="dxa"/>
              <w:right w:w="120" w:type="dxa"/>
            </w:tcMar>
          </w:tcPr>
          <w:p w14:paraId="2468DBD4">
            <w:pPr>
              <w:spacing w:before="120" w:after="120" w:line="288" w:lineRule="auto"/>
              <w:ind w:left="0"/>
              <w:jc w:val="left"/>
            </w:pPr>
            <w:r>
              <w:rPr>
                <w:rFonts w:ascii="Arial" w:hAnsi="Arial" w:eastAsia="等线" w:cs="Arial"/>
                <w:sz w:val="22"/>
              </w:rPr>
              <w:t>投资者开设期权交易账户时与经纪商签订的文件，需声明投资经验、风险承受能力、交易策略，经纪商会根据协议评估投资者的 “期权交易权限”（如初级权限仅能交易虚值期权，高级权限可交易复杂策略）。</w:t>
            </w:r>
          </w:p>
        </w:tc>
      </w:tr>
      <w:tr w14:paraId="74D11C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775EA7F2">
            <w:pPr>
              <w:spacing w:before="120" w:after="120" w:line="288" w:lineRule="auto"/>
              <w:ind w:left="0"/>
              <w:jc w:val="left"/>
            </w:pPr>
            <w:r>
              <w:rPr>
                <w:rFonts w:ascii="Arial" w:hAnsi="Arial" w:eastAsia="等线" w:cs="Arial"/>
                <w:b/>
                <w:sz w:val="22"/>
              </w:rPr>
              <w:t>Options Disclosure Document (ODD)</w:t>
            </w:r>
          </w:p>
        </w:tc>
        <w:tc>
          <w:tcPr>
            <w:tcW w:w="1965" w:type="dxa"/>
            <w:tcMar>
              <w:top w:w="60" w:type="dxa"/>
              <w:left w:w="120" w:type="dxa"/>
              <w:bottom w:w="30" w:type="dxa"/>
              <w:right w:w="120" w:type="dxa"/>
            </w:tcMar>
          </w:tcPr>
          <w:p w14:paraId="24E5707E">
            <w:pPr>
              <w:spacing w:before="120" w:after="120" w:line="288" w:lineRule="auto"/>
              <w:ind w:left="0"/>
              <w:jc w:val="left"/>
            </w:pPr>
            <w:r>
              <w:rPr>
                <w:rFonts w:ascii="Arial" w:hAnsi="Arial" w:eastAsia="等线" w:cs="Arial"/>
                <w:sz w:val="22"/>
              </w:rPr>
              <w:t>期权披露文件</w:t>
            </w:r>
          </w:p>
        </w:tc>
        <w:tc>
          <w:tcPr>
            <w:tcW w:w="4035" w:type="dxa"/>
            <w:tcMar>
              <w:top w:w="60" w:type="dxa"/>
              <w:left w:w="120" w:type="dxa"/>
              <w:bottom w:w="30" w:type="dxa"/>
              <w:right w:w="120" w:type="dxa"/>
            </w:tcMar>
          </w:tcPr>
          <w:p w14:paraId="20773ADE">
            <w:pPr>
              <w:spacing w:before="120" w:after="120" w:line="288" w:lineRule="auto"/>
              <w:ind w:left="0"/>
              <w:jc w:val="left"/>
            </w:pPr>
            <w:r>
              <w:rPr>
                <w:rFonts w:ascii="Arial" w:hAnsi="Arial" w:eastAsia="等线" w:cs="Arial"/>
                <w:sz w:val="22"/>
              </w:rPr>
              <w:t>经纪商向期权投资者提供的 “风险说明文件”，详细说明期权交易的复杂性、潜在风险（如时间衰减、行权规则、保证金风险），是监管要求的必备文件，投资者需确认已阅读并理解。</w:t>
            </w:r>
          </w:p>
        </w:tc>
      </w:tr>
    </w:tbl>
    <w:p w14:paraId="0B883267">
      <w:pPr>
        <w:spacing w:before="320" w:after="120" w:line="288" w:lineRule="auto"/>
        <w:ind w:left="0"/>
        <w:jc w:val="left"/>
        <w:outlineLvl w:val="1"/>
      </w:pPr>
      <w:bookmarkStart w:id="33" w:name="heading_33"/>
      <w:r>
        <w:rPr>
          <w:rFonts w:ascii="Arial" w:hAnsi="Arial" w:eastAsia="等线" w:cs="Arial"/>
          <w:color w:val="3370FF"/>
          <w:sz w:val="32"/>
        </w:rPr>
        <w:t xml:space="preserve">4.5 </w:t>
      </w:r>
      <w:r>
        <w:rPr>
          <w:rFonts w:ascii="Arial" w:hAnsi="Arial" w:eastAsia="等线" w:cs="Arial"/>
          <w:b/>
          <w:sz w:val="32"/>
        </w:rPr>
        <w:t>基础期权策略（入门级）</w:t>
      </w:r>
      <w:bookmarkEnd w:id="3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80"/>
        <w:gridCol w:w="1965"/>
        <w:gridCol w:w="4035"/>
      </w:tblGrid>
      <w:tr w14:paraId="77DA44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68D3EEC8">
            <w:pPr>
              <w:spacing w:before="120" w:after="120" w:line="288" w:lineRule="auto"/>
              <w:ind w:left="0"/>
              <w:jc w:val="left"/>
            </w:pPr>
            <w:r>
              <w:rPr>
                <w:rFonts w:ascii="Arial" w:hAnsi="Arial" w:eastAsia="等线" w:cs="Arial"/>
                <w:b/>
                <w:sz w:val="22"/>
              </w:rPr>
              <w:t>英文词汇</w:t>
            </w:r>
          </w:p>
        </w:tc>
        <w:tc>
          <w:tcPr>
            <w:tcW w:w="1965" w:type="dxa"/>
            <w:tcMar>
              <w:top w:w="60" w:type="dxa"/>
              <w:left w:w="120" w:type="dxa"/>
              <w:bottom w:w="30" w:type="dxa"/>
              <w:right w:w="120" w:type="dxa"/>
            </w:tcMar>
          </w:tcPr>
          <w:p w14:paraId="57428C4E">
            <w:pPr>
              <w:spacing w:before="120" w:after="120" w:line="288" w:lineRule="auto"/>
              <w:ind w:left="0"/>
              <w:jc w:val="left"/>
            </w:pPr>
            <w:r>
              <w:rPr>
                <w:rFonts w:ascii="Arial" w:hAnsi="Arial" w:eastAsia="等线" w:cs="Arial"/>
                <w:b/>
                <w:sz w:val="22"/>
              </w:rPr>
              <w:t>中文释义</w:t>
            </w:r>
          </w:p>
        </w:tc>
        <w:tc>
          <w:tcPr>
            <w:tcW w:w="4035" w:type="dxa"/>
            <w:tcMar>
              <w:top w:w="60" w:type="dxa"/>
              <w:left w:w="120" w:type="dxa"/>
              <w:bottom w:w="30" w:type="dxa"/>
              <w:right w:w="120" w:type="dxa"/>
            </w:tcMar>
          </w:tcPr>
          <w:p w14:paraId="6EDF8EF4">
            <w:pPr>
              <w:spacing w:before="120" w:after="120" w:line="288" w:lineRule="auto"/>
              <w:ind w:left="0"/>
              <w:jc w:val="left"/>
            </w:pPr>
            <w:r>
              <w:rPr>
                <w:rFonts w:ascii="Arial" w:hAnsi="Arial" w:eastAsia="等线" w:cs="Arial"/>
                <w:b/>
                <w:sz w:val="22"/>
              </w:rPr>
              <w:t>核心要点</w:t>
            </w:r>
          </w:p>
        </w:tc>
      </w:tr>
      <w:tr w14:paraId="629083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4B8F8516">
            <w:pPr>
              <w:spacing w:before="120" w:after="120" w:line="288" w:lineRule="auto"/>
              <w:ind w:left="0"/>
              <w:jc w:val="left"/>
            </w:pPr>
            <w:r>
              <w:rPr>
                <w:rFonts w:ascii="Arial" w:hAnsi="Arial" w:eastAsia="等线" w:cs="Arial"/>
                <w:b/>
                <w:sz w:val="22"/>
              </w:rPr>
              <w:t>Covered Call</w:t>
            </w:r>
          </w:p>
        </w:tc>
        <w:tc>
          <w:tcPr>
            <w:tcW w:w="1965" w:type="dxa"/>
            <w:tcMar>
              <w:top w:w="60" w:type="dxa"/>
              <w:left w:w="120" w:type="dxa"/>
              <w:bottom w:w="30" w:type="dxa"/>
              <w:right w:w="120" w:type="dxa"/>
            </w:tcMar>
          </w:tcPr>
          <w:p w14:paraId="312B2CBE">
            <w:pPr>
              <w:spacing w:before="120" w:after="120" w:line="288" w:lineRule="auto"/>
              <w:ind w:left="0"/>
              <w:jc w:val="left"/>
            </w:pPr>
            <w:r>
              <w:rPr>
                <w:rFonts w:ascii="Arial" w:hAnsi="Arial" w:eastAsia="等线" w:cs="Arial"/>
                <w:sz w:val="22"/>
              </w:rPr>
              <w:t>备兑看涨期权</w:t>
            </w:r>
          </w:p>
        </w:tc>
        <w:tc>
          <w:tcPr>
            <w:tcW w:w="4035" w:type="dxa"/>
            <w:tcMar>
              <w:top w:w="60" w:type="dxa"/>
              <w:left w:w="120" w:type="dxa"/>
              <w:bottom w:w="30" w:type="dxa"/>
              <w:right w:w="120" w:type="dxa"/>
            </w:tcMar>
          </w:tcPr>
          <w:p w14:paraId="0AD3D4B8">
            <w:pPr>
              <w:spacing w:before="120" w:after="120" w:line="288" w:lineRule="auto"/>
              <w:ind w:left="0"/>
              <w:jc w:val="left"/>
            </w:pPr>
            <w:r>
              <w:rPr>
                <w:rFonts w:ascii="Arial" w:hAnsi="Arial" w:eastAsia="等线" w:cs="Arial"/>
                <w:sz w:val="22"/>
              </w:rPr>
              <w:t>策略：“持有标的资产 + 卖出该标的的看涨期权”；目的：通过卖出看涨期权收取权利金，降低标的资产的持仓成本；风险：若标的价格暴涨，卖方需以执行价卖出标的，错失超额收益。</w:t>
            </w:r>
          </w:p>
        </w:tc>
      </w:tr>
      <w:tr w14:paraId="72512C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67B9A33F">
            <w:pPr>
              <w:spacing w:before="120" w:after="120" w:line="288" w:lineRule="auto"/>
              <w:ind w:left="0"/>
              <w:jc w:val="left"/>
            </w:pPr>
            <w:r>
              <w:rPr>
                <w:rFonts w:ascii="Arial" w:hAnsi="Arial" w:eastAsia="等线" w:cs="Arial"/>
                <w:b/>
                <w:sz w:val="22"/>
              </w:rPr>
              <w:t>Protective Put</w:t>
            </w:r>
          </w:p>
        </w:tc>
        <w:tc>
          <w:tcPr>
            <w:tcW w:w="1965" w:type="dxa"/>
            <w:tcMar>
              <w:top w:w="60" w:type="dxa"/>
              <w:left w:w="120" w:type="dxa"/>
              <w:bottom w:w="30" w:type="dxa"/>
              <w:right w:w="120" w:type="dxa"/>
            </w:tcMar>
          </w:tcPr>
          <w:p w14:paraId="32D07F9C">
            <w:pPr>
              <w:spacing w:before="120" w:after="120" w:line="288" w:lineRule="auto"/>
              <w:ind w:left="0"/>
              <w:jc w:val="left"/>
            </w:pPr>
            <w:r>
              <w:rPr>
                <w:rFonts w:ascii="Arial" w:hAnsi="Arial" w:eastAsia="等线" w:cs="Arial"/>
                <w:sz w:val="22"/>
              </w:rPr>
              <w:t>保护性看跌期权</w:t>
            </w:r>
          </w:p>
        </w:tc>
        <w:tc>
          <w:tcPr>
            <w:tcW w:w="4035" w:type="dxa"/>
            <w:tcMar>
              <w:top w:w="60" w:type="dxa"/>
              <w:left w:w="120" w:type="dxa"/>
              <w:bottom w:w="30" w:type="dxa"/>
              <w:right w:w="120" w:type="dxa"/>
            </w:tcMar>
          </w:tcPr>
          <w:p w14:paraId="709DA295">
            <w:pPr>
              <w:spacing w:before="120" w:after="120" w:line="288" w:lineRule="auto"/>
              <w:ind w:left="0"/>
              <w:jc w:val="left"/>
            </w:pPr>
            <w:r>
              <w:rPr>
                <w:rFonts w:ascii="Arial" w:hAnsi="Arial" w:eastAsia="等线" w:cs="Arial"/>
                <w:sz w:val="22"/>
              </w:rPr>
              <w:t>策略：“持有标的资产 + 买入该标的的看跌期权”；目的：以看跌期权作为 “保险”，对冲标的资产价格下跌的风险；成本：需支付看跌期权的权利金，相当于 “保险费”。</w:t>
            </w:r>
          </w:p>
        </w:tc>
      </w:tr>
      <w:tr w14:paraId="01BC5F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80" w:type="dxa"/>
            <w:tcMar>
              <w:top w:w="60" w:type="dxa"/>
              <w:left w:w="120" w:type="dxa"/>
              <w:bottom w:w="30" w:type="dxa"/>
              <w:right w:w="120" w:type="dxa"/>
            </w:tcMar>
          </w:tcPr>
          <w:p w14:paraId="3F563733">
            <w:pPr>
              <w:spacing w:before="120" w:after="120" w:line="288" w:lineRule="auto"/>
              <w:ind w:left="0"/>
              <w:jc w:val="left"/>
            </w:pPr>
            <w:r>
              <w:rPr>
                <w:rFonts w:ascii="Arial" w:hAnsi="Arial" w:eastAsia="等线" w:cs="Arial"/>
                <w:b/>
                <w:sz w:val="22"/>
              </w:rPr>
              <w:t>Long Straddle</w:t>
            </w:r>
          </w:p>
        </w:tc>
        <w:tc>
          <w:tcPr>
            <w:tcW w:w="1965" w:type="dxa"/>
            <w:tcMar>
              <w:top w:w="60" w:type="dxa"/>
              <w:left w:w="120" w:type="dxa"/>
              <w:bottom w:w="30" w:type="dxa"/>
              <w:right w:w="120" w:type="dxa"/>
            </w:tcMar>
          </w:tcPr>
          <w:p w14:paraId="2BFF7534">
            <w:pPr>
              <w:spacing w:before="120" w:after="120" w:line="288" w:lineRule="auto"/>
              <w:ind w:left="0"/>
              <w:jc w:val="left"/>
            </w:pPr>
            <w:r>
              <w:rPr>
                <w:rFonts w:ascii="Arial" w:hAnsi="Arial" w:eastAsia="等线" w:cs="Arial"/>
                <w:sz w:val="22"/>
              </w:rPr>
              <w:t>买入跨式期权</w:t>
            </w:r>
          </w:p>
        </w:tc>
        <w:tc>
          <w:tcPr>
            <w:tcW w:w="4035" w:type="dxa"/>
            <w:tcMar>
              <w:top w:w="60" w:type="dxa"/>
              <w:left w:w="120" w:type="dxa"/>
              <w:bottom w:w="30" w:type="dxa"/>
              <w:right w:w="120" w:type="dxa"/>
            </w:tcMar>
          </w:tcPr>
          <w:p w14:paraId="71418BB4">
            <w:pPr>
              <w:spacing w:before="120" w:after="120" w:line="288" w:lineRule="auto"/>
              <w:ind w:left="0"/>
              <w:jc w:val="left"/>
            </w:pPr>
            <w:r>
              <w:rPr>
                <w:rFonts w:ascii="Arial" w:hAnsi="Arial" w:eastAsia="等线" w:cs="Arial"/>
                <w:sz w:val="22"/>
              </w:rPr>
              <w:t>策略：“同时买入同一标的、同一执行价、同一到期日的看涨期权和看跌期权”；目的：预期标的价格将 “大幅波动”（无论涨跌），通过其中一个期权盈利覆盖另一个期权的权利金成本；风险：若标的价格波动小，两期权均失效，损失双倍权利金。</w:t>
            </w:r>
          </w:p>
        </w:tc>
      </w:tr>
    </w:tbl>
    <w:p w14:paraId="4657F0C4">
      <w:pPr>
        <w:spacing w:before="320" w:after="120" w:line="288" w:lineRule="auto"/>
        <w:ind w:left="0"/>
        <w:jc w:val="left"/>
        <w:outlineLvl w:val="1"/>
      </w:pPr>
      <w:bookmarkStart w:id="34" w:name="heading_34"/>
      <w:r>
        <w:rPr>
          <w:rFonts w:ascii="Arial" w:hAnsi="Arial" w:eastAsia="等线" w:cs="Arial"/>
          <w:color w:val="3370FF"/>
          <w:sz w:val="32"/>
        </w:rPr>
        <w:t xml:space="preserve">4.6 </w:t>
      </w:r>
      <w:r>
        <w:rPr>
          <w:rFonts w:ascii="Arial" w:hAnsi="Arial" w:eastAsia="等线" w:cs="Arial"/>
          <w:b/>
          <w:sz w:val="32"/>
        </w:rPr>
        <w:t>期权机构</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805"/>
        <w:gridCol w:w="1605"/>
        <w:gridCol w:w="3885"/>
      </w:tblGrid>
      <w:tr w14:paraId="6B33F8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05" w:type="dxa"/>
            <w:tcMar>
              <w:top w:w="60" w:type="dxa"/>
              <w:left w:w="120" w:type="dxa"/>
              <w:bottom w:w="30" w:type="dxa"/>
              <w:right w:w="120" w:type="dxa"/>
            </w:tcMar>
          </w:tcPr>
          <w:p w14:paraId="39D1F927">
            <w:pPr>
              <w:spacing w:before="120" w:after="120" w:line="288" w:lineRule="auto"/>
              <w:ind w:left="0"/>
              <w:jc w:val="left"/>
            </w:pPr>
            <w:r>
              <w:rPr>
                <w:rFonts w:ascii="Arial" w:hAnsi="Arial" w:eastAsia="等线" w:cs="Arial"/>
                <w:b/>
                <w:sz w:val="22"/>
              </w:rPr>
              <w:t>英文词汇</w:t>
            </w:r>
          </w:p>
        </w:tc>
        <w:tc>
          <w:tcPr>
            <w:tcW w:w="1605" w:type="dxa"/>
            <w:tcMar>
              <w:top w:w="60" w:type="dxa"/>
              <w:left w:w="120" w:type="dxa"/>
              <w:bottom w:w="30" w:type="dxa"/>
              <w:right w:w="120" w:type="dxa"/>
            </w:tcMar>
          </w:tcPr>
          <w:p w14:paraId="764E7DCB">
            <w:pPr>
              <w:spacing w:before="120" w:after="120" w:line="288" w:lineRule="auto"/>
              <w:ind w:left="0"/>
              <w:jc w:val="left"/>
            </w:pPr>
            <w:r>
              <w:rPr>
                <w:rFonts w:ascii="Arial" w:hAnsi="Arial" w:eastAsia="等线" w:cs="Arial"/>
                <w:b/>
                <w:sz w:val="22"/>
              </w:rPr>
              <w:t>中文释义</w:t>
            </w:r>
          </w:p>
        </w:tc>
        <w:tc>
          <w:tcPr>
            <w:tcW w:w="3885" w:type="dxa"/>
            <w:tcMar>
              <w:top w:w="60" w:type="dxa"/>
              <w:left w:w="120" w:type="dxa"/>
              <w:bottom w:w="30" w:type="dxa"/>
              <w:right w:w="120" w:type="dxa"/>
            </w:tcMar>
          </w:tcPr>
          <w:p w14:paraId="4F2B66D2">
            <w:pPr>
              <w:spacing w:before="120" w:after="120" w:line="288" w:lineRule="auto"/>
              <w:ind w:left="0"/>
              <w:jc w:val="left"/>
            </w:pPr>
            <w:r>
              <w:rPr>
                <w:rFonts w:ascii="Arial" w:hAnsi="Arial" w:eastAsia="等线" w:cs="Arial"/>
                <w:b/>
                <w:sz w:val="22"/>
              </w:rPr>
              <w:t>核心要点</w:t>
            </w:r>
          </w:p>
        </w:tc>
      </w:tr>
      <w:tr w14:paraId="36C8FC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05" w:type="dxa"/>
            <w:tcMar>
              <w:top w:w="60" w:type="dxa"/>
              <w:left w:w="120" w:type="dxa"/>
              <w:bottom w:w="30" w:type="dxa"/>
              <w:right w:w="120" w:type="dxa"/>
            </w:tcMar>
          </w:tcPr>
          <w:p w14:paraId="2FDB732A">
            <w:pPr>
              <w:spacing w:before="120" w:after="120" w:line="288" w:lineRule="auto"/>
              <w:ind w:left="0"/>
              <w:jc w:val="left"/>
            </w:pPr>
            <w:r>
              <w:rPr>
                <w:rFonts w:ascii="Arial" w:hAnsi="Arial" w:eastAsia="等线" w:cs="Arial"/>
                <w:sz w:val="22"/>
              </w:rPr>
              <w:t>Options Exchange</w:t>
            </w:r>
          </w:p>
        </w:tc>
        <w:tc>
          <w:tcPr>
            <w:tcW w:w="1605" w:type="dxa"/>
            <w:tcMar>
              <w:top w:w="60" w:type="dxa"/>
              <w:left w:w="120" w:type="dxa"/>
              <w:bottom w:w="30" w:type="dxa"/>
              <w:right w:w="120" w:type="dxa"/>
            </w:tcMar>
          </w:tcPr>
          <w:p w14:paraId="61469896">
            <w:pPr>
              <w:spacing w:before="120" w:after="120" w:line="288" w:lineRule="auto"/>
              <w:ind w:left="0"/>
              <w:jc w:val="left"/>
            </w:pPr>
            <w:r>
              <w:rPr>
                <w:rFonts w:ascii="Arial" w:hAnsi="Arial" w:eastAsia="等线" w:cs="Arial"/>
                <w:sz w:val="22"/>
              </w:rPr>
              <w:t>期权交易所</w:t>
            </w:r>
          </w:p>
        </w:tc>
        <w:tc>
          <w:tcPr>
            <w:tcW w:w="3885" w:type="dxa"/>
            <w:tcMar>
              <w:top w:w="60" w:type="dxa"/>
              <w:left w:w="120" w:type="dxa"/>
              <w:bottom w:w="30" w:type="dxa"/>
              <w:right w:w="120" w:type="dxa"/>
            </w:tcMar>
          </w:tcPr>
          <w:p w14:paraId="7F0C2528">
            <w:pPr>
              <w:spacing w:before="120" w:after="120" w:line="288" w:lineRule="auto"/>
              <w:ind w:left="0"/>
              <w:jc w:val="left"/>
            </w:pPr>
            <w:r>
              <w:rPr>
                <w:rFonts w:ascii="Arial" w:hAnsi="Arial" w:eastAsia="等线" w:cs="Arial"/>
                <w:sz w:val="22"/>
              </w:rPr>
              <w:t>提供标准化期权合约进行集中交易和清算的场所，如芝加哥期权交易所。</w:t>
            </w:r>
          </w:p>
        </w:tc>
      </w:tr>
      <w:tr w14:paraId="161C53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05" w:type="dxa"/>
            <w:tcMar>
              <w:top w:w="60" w:type="dxa"/>
              <w:left w:w="120" w:type="dxa"/>
              <w:bottom w:w="30" w:type="dxa"/>
              <w:right w:w="120" w:type="dxa"/>
            </w:tcMar>
          </w:tcPr>
          <w:p w14:paraId="4CCF96A0">
            <w:pPr>
              <w:spacing w:before="120" w:after="120" w:line="288" w:lineRule="auto"/>
              <w:ind w:left="0"/>
              <w:jc w:val="left"/>
            </w:pPr>
            <w:r>
              <w:rPr>
                <w:rFonts w:ascii="Arial" w:hAnsi="Arial" w:eastAsia="等线" w:cs="Arial"/>
                <w:sz w:val="22"/>
              </w:rPr>
              <w:t>Options Clearing Corporation (OCC)</w:t>
            </w:r>
          </w:p>
        </w:tc>
        <w:tc>
          <w:tcPr>
            <w:tcW w:w="1605" w:type="dxa"/>
            <w:tcMar>
              <w:top w:w="60" w:type="dxa"/>
              <w:left w:w="120" w:type="dxa"/>
              <w:bottom w:w="30" w:type="dxa"/>
              <w:right w:w="120" w:type="dxa"/>
            </w:tcMar>
          </w:tcPr>
          <w:p w14:paraId="50180C75">
            <w:pPr>
              <w:spacing w:before="120" w:after="120" w:line="288" w:lineRule="auto"/>
              <w:ind w:left="0"/>
              <w:jc w:val="left"/>
            </w:pPr>
            <w:r>
              <w:rPr>
                <w:rFonts w:ascii="Arial" w:hAnsi="Arial" w:eastAsia="等线" w:cs="Arial"/>
                <w:sz w:val="22"/>
              </w:rPr>
              <w:t>期权清算公司</w:t>
            </w:r>
          </w:p>
        </w:tc>
        <w:tc>
          <w:tcPr>
            <w:tcW w:w="3885" w:type="dxa"/>
            <w:tcMar>
              <w:top w:w="60" w:type="dxa"/>
              <w:left w:w="120" w:type="dxa"/>
              <w:bottom w:w="30" w:type="dxa"/>
              <w:right w:w="120" w:type="dxa"/>
            </w:tcMar>
          </w:tcPr>
          <w:p w14:paraId="30E4ACBD">
            <w:pPr>
              <w:spacing w:before="120" w:after="120" w:line="288" w:lineRule="auto"/>
              <w:ind w:left="0"/>
              <w:jc w:val="left"/>
            </w:pPr>
            <w:r>
              <w:rPr>
                <w:rFonts w:ascii="Arial" w:hAnsi="Arial" w:eastAsia="等线" w:cs="Arial"/>
                <w:sz w:val="22"/>
              </w:rPr>
              <w:t>作为所有期权交易的中央对手方，负责担保合约履行、结算和行权，大幅降低交易对手风险。</w:t>
            </w:r>
          </w:p>
        </w:tc>
      </w:tr>
      <w:tr w14:paraId="3E0305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05" w:type="dxa"/>
            <w:tcMar>
              <w:top w:w="60" w:type="dxa"/>
              <w:left w:w="120" w:type="dxa"/>
              <w:bottom w:w="30" w:type="dxa"/>
              <w:right w:w="120" w:type="dxa"/>
            </w:tcMar>
          </w:tcPr>
          <w:p w14:paraId="06EFAB06">
            <w:pPr>
              <w:spacing w:before="120" w:after="120" w:line="288" w:lineRule="auto"/>
              <w:ind w:left="0"/>
              <w:jc w:val="left"/>
            </w:pPr>
            <w:r>
              <w:rPr>
                <w:rFonts w:ascii="Arial" w:hAnsi="Arial" w:eastAsia="等线" w:cs="Arial"/>
                <w:sz w:val="22"/>
              </w:rPr>
              <w:t>Securities and Exchange Commission (SEC)</w:t>
            </w:r>
          </w:p>
        </w:tc>
        <w:tc>
          <w:tcPr>
            <w:tcW w:w="1605" w:type="dxa"/>
            <w:tcMar>
              <w:top w:w="60" w:type="dxa"/>
              <w:left w:w="120" w:type="dxa"/>
              <w:bottom w:w="30" w:type="dxa"/>
              <w:right w:w="120" w:type="dxa"/>
            </w:tcMar>
          </w:tcPr>
          <w:p w14:paraId="3125E5FD">
            <w:pPr>
              <w:spacing w:before="120" w:after="120" w:line="288" w:lineRule="auto"/>
              <w:ind w:left="0"/>
              <w:jc w:val="left"/>
            </w:pPr>
            <w:r>
              <w:rPr>
                <w:rFonts w:ascii="Arial" w:hAnsi="Arial" w:eastAsia="等线" w:cs="Arial"/>
                <w:sz w:val="22"/>
              </w:rPr>
              <w:t>美国证券交易委员会</w:t>
            </w:r>
          </w:p>
        </w:tc>
        <w:tc>
          <w:tcPr>
            <w:tcW w:w="3885" w:type="dxa"/>
            <w:tcMar>
              <w:top w:w="60" w:type="dxa"/>
              <w:left w:w="120" w:type="dxa"/>
              <w:bottom w:w="30" w:type="dxa"/>
              <w:right w:w="120" w:type="dxa"/>
            </w:tcMar>
          </w:tcPr>
          <w:p w14:paraId="7CC815C2">
            <w:pPr>
              <w:spacing w:before="120" w:after="120" w:line="288" w:lineRule="auto"/>
              <w:ind w:left="0"/>
              <w:jc w:val="left"/>
            </w:pPr>
            <w:r>
              <w:rPr>
                <w:rFonts w:ascii="Arial" w:hAnsi="Arial" w:eastAsia="等线" w:cs="Arial"/>
                <w:sz w:val="22"/>
              </w:rPr>
              <w:t>美国联邦政府机构，负责监管证券市场，包括股票期权和指数期权的发行与交易。</w:t>
            </w:r>
          </w:p>
        </w:tc>
      </w:tr>
      <w:tr w14:paraId="2A0EFC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05" w:type="dxa"/>
            <w:tcMar>
              <w:top w:w="60" w:type="dxa"/>
              <w:left w:w="120" w:type="dxa"/>
              <w:bottom w:w="30" w:type="dxa"/>
              <w:right w:w="120" w:type="dxa"/>
            </w:tcMar>
          </w:tcPr>
          <w:p w14:paraId="12C07D7A">
            <w:pPr>
              <w:spacing w:before="120" w:after="120" w:line="288" w:lineRule="auto"/>
              <w:ind w:left="0"/>
              <w:jc w:val="left"/>
            </w:pPr>
            <w:r>
              <w:rPr>
                <w:rFonts w:ascii="Arial" w:hAnsi="Arial" w:eastAsia="等线" w:cs="Arial"/>
                <w:sz w:val="22"/>
              </w:rPr>
              <w:t>Commodity Futures Trading Commission (CFTC)</w:t>
            </w:r>
          </w:p>
        </w:tc>
        <w:tc>
          <w:tcPr>
            <w:tcW w:w="1605" w:type="dxa"/>
            <w:tcMar>
              <w:top w:w="60" w:type="dxa"/>
              <w:left w:w="120" w:type="dxa"/>
              <w:bottom w:w="30" w:type="dxa"/>
              <w:right w:w="120" w:type="dxa"/>
            </w:tcMar>
          </w:tcPr>
          <w:p w14:paraId="4F0CF946">
            <w:pPr>
              <w:spacing w:before="120" w:after="120" w:line="288" w:lineRule="auto"/>
              <w:ind w:left="0"/>
              <w:jc w:val="left"/>
            </w:pPr>
            <w:r>
              <w:rPr>
                <w:rFonts w:ascii="Arial" w:hAnsi="Arial" w:eastAsia="等线" w:cs="Arial"/>
                <w:sz w:val="22"/>
              </w:rPr>
              <w:t>美国商品期货交易委员会</w:t>
            </w:r>
          </w:p>
        </w:tc>
        <w:tc>
          <w:tcPr>
            <w:tcW w:w="3885" w:type="dxa"/>
            <w:tcMar>
              <w:top w:w="60" w:type="dxa"/>
              <w:left w:w="120" w:type="dxa"/>
              <w:bottom w:w="30" w:type="dxa"/>
              <w:right w:w="120" w:type="dxa"/>
            </w:tcMar>
          </w:tcPr>
          <w:p w14:paraId="7A1EA8FA">
            <w:pPr>
              <w:spacing w:before="120" w:after="120" w:line="288" w:lineRule="auto"/>
              <w:ind w:left="0"/>
              <w:jc w:val="left"/>
            </w:pPr>
            <w:r>
              <w:rPr>
                <w:rFonts w:ascii="Arial" w:hAnsi="Arial" w:eastAsia="等线" w:cs="Arial"/>
                <w:sz w:val="22"/>
              </w:rPr>
              <w:t>美国联邦政府机构，负责监管期货和期货期权市场。</w:t>
            </w:r>
          </w:p>
        </w:tc>
      </w:tr>
      <w:tr w14:paraId="54D0F0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05" w:type="dxa"/>
            <w:tcMar>
              <w:top w:w="60" w:type="dxa"/>
              <w:left w:w="120" w:type="dxa"/>
              <w:bottom w:w="30" w:type="dxa"/>
              <w:right w:w="120" w:type="dxa"/>
            </w:tcMar>
          </w:tcPr>
          <w:p w14:paraId="56C001EA">
            <w:pPr>
              <w:spacing w:before="120" w:after="120" w:line="288" w:lineRule="auto"/>
              <w:ind w:left="0"/>
              <w:jc w:val="left"/>
            </w:pPr>
            <w:r>
              <w:rPr>
                <w:rFonts w:ascii="Arial" w:hAnsi="Arial" w:eastAsia="等线" w:cs="Arial"/>
                <w:sz w:val="22"/>
              </w:rPr>
              <w:t>Options Pricing Reporting Authority (OPRA)</w:t>
            </w:r>
          </w:p>
        </w:tc>
        <w:tc>
          <w:tcPr>
            <w:tcW w:w="1605" w:type="dxa"/>
            <w:tcMar>
              <w:top w:w="60" w:type="dxa"/>
              <w:left w:w="120" w:type="dxa"/>
              <w:bottom w:w="30" w:type="dxa"/>
              <w:right w:w="120" w:type="dxa"/>
            </w:tcMar>
          </w:tcPr>
          <w:p w14:paraId="2B0DE5F2">
            <w:pPr>
              <w:spacing w:before="120" w:after="120" w:line="288" w:lineRule="auto"/>
              <w:ind w:left="0"/>
              <w:jc w:val="left"/>
            </w:pPr>
            <w:r>
              <w:rPr>
                <w:rFonts w:ascii="Arial" w:hAnsi="Arial" w:eastAsia="等线" w:cs="Arial"/>
                <w:sz w:val="22"/>
              </w:rPr>
              <w:t>期权价格报告机构</w:t>
            </w:r>
          </w:p>
        </w:tc>
        <w:tc>
          <w:tcPr>
            <w:tcW w:w="3885" w:type="dxa"/>
            <w:tcMar>
              <w:top w:w="60" w:type="dxa"/>
              <w:left w:w="120" w:type="dxa"/>
              <w:bottom w:w="30" w:type="dxa"/>
              <w:right w:w="120" w:type="dxa"/>
            </w:tcMar>
          </w:tcPr>
          <w:p w14:paraId="6DECDE1A">
            <w:pPr>
              <w:spacing w:before="120" w:after="120" w:line="288" w:lineRule="auto"/>
              <w:ind w:left="0"/>
              <w:jc w:val="left"/>
            </w:pPr>
            <w:r>
              <w:rPr>
                <w:rFonts w:ascii="Arial" w:hAnsi="Arial" w:eastAsia="等线" w:cs="Arial"/>
                <w:sz w:val="22"/>
              </w:rPr>
              <w:t>负责整合并分发所有参与交易所的实时期权报价和交易数据。</w:t>
            </w:r>
          </w:p>
        </w:tc>
      </w:tr>
    </w:tbl>
    <w:p w14:paraId="6527BE50">
      <w:pPr>
        <w:spacing w:before="120" w:after="120" w:line="288" w:lineRule="auto"/>
        <w:ind w:left="0"/>
        <w:jc w:val="left"/>
      </w:pPr>
    </w:p>
    <w:p w14:paraId="39AFA3C0">
      <w:pPr>
        <w:spacing w:before="380" w:after="140" w:line="288" w:lineRule="auto"/>
        <w:ind w:left="0"/>
        <w:jc w:val="left"/>
        <w:outlineLvl w:val="0"/>
      </w:pPr>
      <w:bookmarkStart w:id="35" w:name="heading_35"/>
      <w:r>
        <w:rPr>
          <w:rFonts w:ascii="Arial" w:hAnsi="Arial" w:eastAsia="等线" w:cs="Arial"/>
          <w:color w:val="3370FF"/>
          <w:sz w:val="36"/>
        </w:rPr>
        <w:t xml:space="preserve">5. </w:t>
      </w:r>
      <w:r>
        <w:rPr>
          <w:rFonts w:ascii="Arial" w:hAnsi="Arial" w:eastAsia="等线" w:cs="Arial"/>
          <w:b/>
          <w:sz w:val="36"/>
        </w:rPr>
        <w:t>例题及答案</w:t>
      </w:r>
      <w:bookmarkEnd w:id="35"/>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D0608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6A60A749">
            <w:pPr>
              <w:numPr>
                <w:ilvl w:val="0"/>
                <w:numId w:val="82"/>
              </w:numPr>
              <w:spacing w:before="120" w:after="120" w:line="288" w:lineRule="auto"/>
              <w:ind w:left="0"/>
              <w:jc w:val="left"/>
            </w:pPr>
            <w:r>
              <w:rPr>
                <w:rFonts w:ascii="Arial" w:hAnsi="Arial" w:eastAsia="等线" w:cs="Arial"/>
                <w:sz w:val="22"/>
              </w:rPr>
              <w:t>An investor is short 1 XYZ Oct 50 call at 3. Which of the following is true of this investor?</w:t>
            </w:r>
          </w:p>
          <w:p w14:paraId="69129A1C">
            <w:pPr>
              <w:spacing w:before="120" w:after="120" w:line="288" w:lineRule="auto"/>
              <w:ind w:left="0"/>
              <w:jc w:val="left"/>
            </w:pPr>
            <w:r>
              <w:rPr>
                <w:rFonts w:ascii="Arial" w:hAnsi="Arial" w:eastAsia="等线" w:cs="Arial"/>
                <w:sz w:val="22"/>
              </w:rPr>
              <w:t>(A) The investor can exercise the option to purchase XYZ at $50 per share.</w:t>
            </w:r>
          </w:p>
          <w:p w14:paraId="61B4C9BB">
            <w:pPr>
              <w:spacing w:before="120" w:after="120" w:line="288" w:lineRule="auto"/>
              <w:ind w:left="0"/>
              <w:jc w:val="left"/>
            </w:pPr>
            <w:r>
              <w:rPr>
                <w:rFonts w:ascii="Arial" w:hAnsi="Arial" w:eastAsia="等线" w:cs="Arial"/>
                <w:sz w:val="22"/>
              </w:rPr>
              <w:t>(B) The investor has received $300 for the call contract.</w:t>
            </w:r>
          </w:p>
          <w:p w14:paraId="449B83E1">
            <w:pPr>
              <w:spacing w:before="120" w:after="120" w:line="288" w:lineRule="auto"/>
              <w:ind w:left="0"/>
              <w:jc w:val="left"/>
            </w:pPr>
            <w:r>
              <w:rPr>
                <w:rFonts w:ascii="Arial" w:hAnsi="Arial" w:eastAsia="等线" w:cs="Arial"/>
                <w:sz w:val="22"/>
              </w:rPr>
              <w:t>(C) The investor has the right to purchase 300 shares of stock under the contract.</w:t>
            </w:r>
          </w:p>
          <w:p w14:paraId="15E3D6BB">
            <w:pPr>
              <w:spacing w:before="120" w:after="120" w:line="288" w:lineRule="auto"/>
              <w:ind w:left="0"/>
              <w:jc w:val="left"/>
            </w:pPr>
            <w:r>
              <w:rPr>
                <w:rFonts w:ascii="Arial" w:hAnsi="Arial" w:eastAsia="等线" w:cs="Arial"/>
                <w:sz w:val="22"/>
              </w:rPr>
              <w:t>(D) All of the above.</w:t>
            </w:r>
          </w:p>
          <w:p w14:paraId="45295116">
            <w:pPr>
              <w:spacing w:before="120" w:after="120" w:line="288" w:lineRule="auto"/>
              <w:ind w:left="0"/>
              <w:jc w:val="left"/>
            </w:pPr>
          </w:p>
          <w:p w14:paraId="021F9F97">
            <w:pPr>
              <w:numPr>
                <w:ilvl w:val="0"/>
                <w:numId w:val="83"/>
              </w:numPr>
              <w:spacing w:before="120" w:after="120" w:line="288" w:lineRule="auto"/>
              <w:ind w:left="0"/>
              <w:jc w:val="left"/>
            </w:pPr>
            <w:r>
              <w:rPr>
                <w:rFonts w:ascii="Arial" w:hAnsi="Arial" w:eastAsia="等线" w:cs="Arial"/>
                <w:sz w:val="22"/>
              </w:rPr>
              <w:t>Which of the following are bearish options strategies?</w:t>
            </w:r>
          </w:p>
          <w:p w14:paraId="5F8A783F">
            <w:pPr>
              <w:spacing w:before="120" w:after="120" w:line="288" w:lineRule="auto"/>
              <w:ind w:left="0"/>
              <w:jc w:val="left"/>
            </w:pPr>
            <w:r>
              <w:rPr>
                <w:rFonts w:ascii="Arial" w:hAnsi="Arial" w:eastAsia="等线" w:cs="Arial"/>
                <w:sz w:val="22"/>
              </w:rPr>
              <w:t>I.Buying calls</w:t>
            </w:r>
          </w:p>
          <w:p w14:paraId="639783ED">
            <w:pPr>
              <w:spacing w:before="120" w:after="120" w:line="288" w:lineRule="auto"/>
              <w:ind w:left="0"/>
              <w:jc w:val="left"/>
            </w:pPr>
            <w:r>
              <w:rPr>
                <w:rFonts w:ascii="Arial" w:hAnsi="Arial" w:eastAsia="等线" w:cs="Arial"/>
                <w:sz w:val="22"/>
              </w:rPr>
              <w:t>II.Buying puts</w:t>
            </w:r>
          </w:p>
          <w:p w14:paraId="06F50444">
            <w:pPr>
              <w:spacing w:before="120" w:after="120" w:line="288" w:lineRule="auto"/>
              <w:ind w:left="0"/>
              <w:jc w:val="left"/>
            </w:pPr>
            <w:r>
              <w:rPr>
                <w:rFonts w:ascii="Arial" w:hAnsi="Arial" w:eastAsia="等线" w:cs="Arial"/>
                <w:sz w:val="22"/>
              </w:rPr>
              <w:t>III.Selling calls</w:t>
            </w:r>
          </w:p>
          <w:p w14:paraId="0F70CF62">
            <w:pPr>
              <w:spacing w:before="120" w:after="120" w:line="288" w:lineRule="auto"/>
              <w:ind w:left="0"/>
              <w:jc w:val="left"/>
            </w:pPr>
            <w:r>
              <w:rPr>
                <w:rFonts w:ascii="Arial" w:hAnsi="Arial" w:eastAsia="等线" w:cs="Arial"/>
                <w:sz w:val="22"/>
              </w:rPr>
              <w:t>IV.Selling puts</w:t>
            </w:r>
          </w:p>
          <w:p w14:paraId="5DC66C47">
            <w:pPr>
              <w:spacing w:before="120" w:after="120" w:line="288" w:lineRule="auto"/>
              <w:ind w:left="0"/>
              <w:jc w:val="left"/>
            </w:pPr>
            <w:r>
              <w:rPr>
                <w:rFonts w:ascii="Arial" w:hAnsi="Arial" w:eastAsia="等线" w:cs="Arial"/>
                <w:sz w:val="22"/>
              </w:rPr>
              <w:t>(A) I and II</w:t>
            </w:r>
          </w:p>
          <w:p w14:paraId="65AF3588">
            <w:pPr>
              <w:spacing w:before="120" w:after="120" w:line="288" w:lineRule="auto"/>
              <w:ind w:left="0"/>
              <w:jc w:val="left"/>
            </w:pPr>
            <w:r>
              <w:rPr>
                <w:rFonts w:ascii="Arial" w:hAnsi="Arial" w:eastAsia="等线" w:cs="Arial"/>
                <w:sz w:val="22"/>
              </w:rPr>
              <w:t>(B) I and III</w:t>
            </w:r>
          </w:p>
          <w:p w14:paraId="54EF373A">
            <w:pPr>
              <w:spacing w:before="120" w:after="120" w:line="288" w:lineRule="auto"/>
              <w:ind w:left="0"/>
              <w:jc w:val="left"/>
            </w:pPr>
            <w:r>
              <w:rPr>
                <w:rFonts w:ascii="Arial" w:hAnsi="Arial" w:eastAsia="等线" w:cs="Arial"/>
                <w:sz w:val="22"/>
              </w:rPr>
              <w:t>(C) II and III</w:t>
            </w:r>
          </w:p>
          <w:p w14:paraId="456CAE7A">
            <w:pPr>
              <w:spacing w:before="120" w:after="120" w:line="288" w:lineRule="auto"/>
              <w:ind w:left="0"/>
              <w:jc w:val="left"/>
            </w:pPr>
            <w:r>
              <w:rPr>
                <w:rFonts w:ascii="Arial" w:hAnsi="Arial" w:eastAsia="等线" w:cs="Arial"/>
                <w:sz w:val="22"/>
              </w:rPr>
              <w:t>(D) II and IV</w:t>
            </w:r>
          </w:p>
          <w:p w14:paraId="4D989A00">
            <w:pPr>
              <w:spacing w:before="120" w:after="120" w:line="288" w:lineRule="auto"/>
              <w:ind w:left="0"/>
              <w:jc w:val="left"/>
            </w:pPr>
          </w:p>
          <w:p w14:paraId="76426CA6">
            <w:pPr>
              <w:numPr>
                <w:ilvl w:val="0"/>
                <w:numId w:val="84"/>
              </w:numPr>
              <w:spacing w:before="120" w:after="120" w:line="288" w:lineRule="auto"/>
              <w:ind w:left="0"/>
              <w:jc w:val="left"/>
            </w:pPr>
            <w:r>
              <w:rPr>
                <w:rFonts w:ascii="Arial" w:hAnsi="Arial" w:eastAsia="等线" w:cs="Arial"/>
                <w:sz w:val="22"/>
              </w:rPr>
              <w:t>Use the following chart to answer the next question.</w:t>
            </w:r>
          </w:p>
          <w:p w14:paraId="3B52DFC9">
            <w:pPr>
              <w:spacing w:before="120" w:after="120" w:line="288" w:lineRule="auto"/>
              <w:ind w:left="0"/>
              <w:jc w:val="left"/>
            </w:pPr>
            <w:r>
              <w:rPr>
                <w:rFonts w:ascii="Arial" w:hAnsi="Arial" w:eastAsia="等线" w:cs="Arial"/>
                <w:sz w:val="22"/>
              </w:rPr>
              <w:t>Stock    Strike Price         Calls             Puts</w:t>
            </w:r>
          </w:p>
          <w:p w14:paraId="79797582">
            <w:pPr>
              <w:spacing w:before="120" w:after="120" w:line="288" w:lineRule="auto"/>
              <w:ind w:left="0"/>
              <w:jc w:val="left"/>
            </w:pPr>
            <w:r>
              <w:rPr>
                <w:rFonts w:ascii="Arial" w:hAnsi="Arial" w:eastAsia="等线" w:cs="Arial"/>
                <w:sz w:val="22"/>
              </w:rPr>
              <w:t>LMN                          July     Oct    July     Oct</w:t>
            </w:r>
          </w:p>
          <w:p w14:paraId="3550FB31">
            <w:pPr>
              <w:spacing w:before="120" w:after="120" w:line="288" w:lineRule="auto"/>
              <w:ind w:left="0"/>
              <w:jc w:val="left"/>
            </w:pPr>
            <w:r>
              <w:rPr>
                <w:rFonts w:ascii="Arial" w:hAnsi="Arial" w:eastAsia="等线" w:cs="Arial"/>
                <w:sz w:val="22"/>
              </w:rPr>
              <w:t>40.50    30                 13      14.5   0.25    0.50</w:t>
            </w:r>
          </w:p>
          <w:p w14:paraId="1A1E9424">
            <w:pPr>
              <w:spacing w:before="120" w:after="120" w:line="288" w:lineRule="auto"/>
              <w:ind w:left="0"/>
              <w:jc w:val="left"/>
            </w:pPr>
            <w:r>
              <w:rPr>
                <w:rFonts w:ascii="Arial" w:hAnsi="Arial" w:eastAsia="等线" w:cs="Arial"/>
                <w:sz w:val="22"/>
              </w:rPr>
              <w:t>40.50    40                 2.5     4.5     1.5     2.75</w:t>
            </w:r>
          </w:p>
          <w:p w14:paraId="63E2ACCF">
            <w:pPr>
              <w:spacing w:before="120" w:after="120" w:line="288" w:lineRule="auto"/>
              <w:ind w:left="0"/>
              <w:jc w:val="left"/>
            </w:pPr>
            <w:r>
              <w:rPr>
                <w:rFonts w:ascii="Arial" w:hAnsi="Arial" w:eastAsia="等线" w:cs="Arial"/>
                <w:sz w:val="22"/>
              </w:rPr>
              <w:t>40.50    50                 0.25   0.75    10.5   12</w:t>
            </w:r>
          </w:p>
          <w:p w14:paraId="10CE8950">
            <w:pPr>
              <w:spacing w:before="120" w:after="120" w:line="288" w:lineRule="auto"/>
              <w:ind w:left="0"/>
              <w:jc w:val="left"/>
            </w:pPr>
          </w:p>
          <w:p w14:paraId="3CE54615">
            <w:pPr>
              <w:spacing w:before="120" w:after="120" w:line="288" w:lineRule="auto"/>
              <w:ind w:left="0"/>
              <w:jc w:val="left"/>
            </w:pPr>
            <w:r>
              <w:rPr>
                <w:rFonts w:ascii="Arial" w:hAnsi="Arial" w:eastAsia="等线" w:cs="Arial"/>
                <w:sz w:val="22"/>
              </w:rPr>
              <w:t>What is the time value of an LMN October 30 call?</w:t>
            </w:r>
          </w:p>
          <w:p w14:paraId="1B19CDB3">
            <w:pPr>
              <w:spacing w:before="120" w:after="120" w:line="288" w:lineRule="auto"/>
              <w:ind w:left="0"/>
              <w:jc w:val="left"/>
            </w:pPr>
            <w:r>
              <w:rPr>
                <w:rFonts w:ascii="Arial" w:hAnsi="Arial" w:eastAsia="等线" w:cs="Arial"/>
                <w:sz w:val="22"/>
              </w:rPr>
              <w:t>(A) 2.5</w:t>
            </w:r>
          </w:p>
          <w:p w14:paraId="2304911B">
            <w:pPr>
              <w:spacing w:before="120" w:after="120" w:line="288" w:lineRule="auto"/>
              <w:ind w:left="0"/>
              <w:jc w:val="left"/>
            </w:pPr>
            <w:r>
              <w:rPr>
                <w:rFonts w:ascii="Arial" w:hAnsi="Arial" w:eastAsia="等线" w:cs="Arial"/>
                <w:sz w:val="22"/>
              </w:rPr>
              <w:t>(B) 4</w:t>
            </w:r>
          </w:p>
          <w:p w14:paraId="3008CB13">
            <w:pPr>
              <w:spacing w:before="120" w:after="120" w:line="288" w:lineRule="auto"/>
              <w:ind w:left="0"/>
              <w:jc w:val="left"/>
            </w:pPr>
            <w:r>
              <w:rPr>
                <w:rFonts w:ascii="Arial" w:hAnsi="Arial" w:eastAsia="等线" w:cs="Arial"/>
                <w:sz w:val="22"/>
              </w:rPr>
              <w:t>(C) 6.25</w:t>
            </w:r>
          </w:p>
          <w:p w14:paraId="747FB356">
            <w:pPr>
              <w:spacing w:before="120" w:after="120" w:line="288" w:lineRule="auto"/>
              <w:ind w:left="0"/>
              <w:jc w:val="left"/>
            </w:pPr>
            <w:r>
              <w:rPr>
                <w:rFonts w:ascii="Arial" w:hAnsi="Arial" w:eastAsia="等线" w:cs="Arial"/>
                <w:sz w:val="22"/>
              </w:rPr>
              <w:t>(D) 9.5</w:t>
            </w:r>
          </w:p>
          <w:p w14:paraId="7230F94B">
            <w:pPr>
              <w:spacing w:before="120" w:after="120" w:line="288" w:lineRule="auto"/>
              <w:ind w:left="0"/>
              <w:jc w:val="left"/>
            </w:pPr>
          </w:p>
          <w:p w14:paraId="476F1972">
            <w:pPr>
              <w:numPr>
                <w:ilvl w:val="0"/>
                <w:numId w:val="85"/>
              </w:numPr>
              <w:spacing w:before="120" w:after="120" w:line="288" w:lineRule="auto"/>
              <w:ind w:left="0"/>
              <w:jc w:val="left"/>
            </w:pPr>
            <w:r>
              <w:rPr>
                <w:rFonts w:ascii="Arial" w:hAnsi="Arial" w:eastAsia="等线" w:cs="Arial"/>
                <w:sz w:val="22"/>
              </w:rPr>
              <w:t>A customer owns call options on ABC common stock. ABC announces a cash dividend. What happens on the ex-dividend date?</w:t>
            </w:r>
          </w:p>
          <w:p w14:paraId="48C1339A">
            <w:pPr>
              <w:spacing w:before="120" w:after="120" w:line="288" w:lineRule="auto"/>
              <w:ind w:left="0"/>
              <w:jc w:val="left"/>
            </w:pPr>
            <w:r>
              <w:rPr>
                <w:rFonts w:ascii="Arial" w:hAnsi="Arial" w:eastAsia="等线" w:cs="Arial"/>
                <w:sz w:val="22"/>
              </w:rPr>
              <w:t>(A) The strike price is reduced to reflect the dividend.</w:t>
            </w:r>
          </w:p>
          <w:p w14:paraId="6BFAA78E">
            <w:pPr>
              <w:spacing w:before="120" w:after="120" w:line="288" w:lineRule="auto"/>
              <w:ind w:left="0"/>
              <w:jc w:val="left"/>
            </w:pPr>
            <w:r>
              <w:rPr>
                <w:rFonts w:ascii="Arial" w:hAnsi="Arial" w:eastAsia="等线" w:cs="Arial"/>
                <w:sz w:val="22"/>
              </w:rPr>
              <w:t>(B) The strike price remains the same.</w:t>
            </w:r>
          </w:p>
          <w:p w14:paraId="3408DC17">
            <w:pPr>
              <w:spacing w:before="120" w:after="120" w:line="288" w:lineRule="auto"/>
              <w:ind w:left="0"/>
              <w:jc w:val="left"/>
            </w:pPr>
            <w:r>
              <w:rPr>
                <w:rFonts w:ascii="Arial" w:hAnsi="Arial" w:eastAsia="等线" w:cs="Arial"/>
                <w:sz w:val="22"/>
              </w:rPr>
              <w:t>(C) The strike price is increased to reflect the dividend.</w:t>
            </w:r>
          </w:p>
          <w:p w14:paraId="731B741A">
            <w:pPr>
              <w:spacing w:before="120" w:after="120" w:line="288" w:lineRule="auto"/>
              <w:ind w:left="0"/>
              <w:jc w:val="left"/>
            </w:pPr>
            <w:r>
              <w:rPr>
                <w:rFonts w:ascii="Arial" w:hAnsi="Arial" w:eastAsia="等线" w:cs="Arial"/>
                <w:sz w:val="22"/>
              </w:rPr>
              <w:t>(D) The strike price remains the same unless the customer instructs the OCC to change the</w:t>
            </w:r>
          </w:p>
          <w:p w14:paraId="4B068FC0">
            <w:pPr>
              <w:spacing w:before="120" w:after="120" w:line="288" w:lineRule="auto"/>
              <w:ind w:left="0"/>
              <w:jc w:val="left"/>
            </w:pPr>
            <w:r>
              <w:rPr>
                <w:rFonts w:ascii="Arial" w:hAnsi="Arial" w:eastAsia="等线" w:cs="Arial"/>
                <w:sz w:val="22"/>
              </w:rPr>
              <w:t>strike price.</w:t>
            </w:r>
          </w:p>
          <w:p w14:paraId="2AC7CE7A">
            <w:pPr>
              <w:spacing w:before="120" w:after="120" w:line="288" w:lineRule="auto"/>
              <w:ind w:left="0"/>
              <w:jc w:val="left"/>
            </w:pPr>
          </w:p>
          <w:p w14:paraId="1FA6E5A3">
            <w:pPr>
              <w:numPr>
                <w:ilvl w:val="0"/>
                <w:numId w:val="86"/>
              </w:numPr>
              <w:spacing w:before="120" w:after="120" w:line="288" w:lineRule="auto"/>
              <w:ind w:left="0"/>
              <w:jc w:val="left"/>
            </w:pPr>
            <w:r>
              <w:rPr>
                <w:rFonts w:ascii="Arial" w:hAnsi="Arial" w:eastAsia="等线" w:cs="Arial"/>
                <w:sz w:val="22"/>
              </w:rPr>
              <w:t>What are possible outcomes for the writer of a covered call option?</w:t>
            </w:r>
          </w:p>
          <w:p w14:paraId="652751AE">
            <w:pPr>
              <w:spacing w:before="120" w:after="120" w:line="288" w:lineRule="auto"/>
              <w:ind w:left="0"/>
              <w:jc w:val="left"/>
            </w:pPr>
            <w:r>
              <w:rPr>
                <w:rFonts w:ascii="Arial" w:hAnsi="Arial" w:eastAsia="等线" w:cs="Arial"/>
                <w:sz w:val="22"/>
              </w:rPr>
              <w:t>(A) Unlimited profit and unlimited loss</w:t>
            </w:r>
          </w:p>
          <w:p w14:paraId="43E42AD8">
            <w:pPr>
              <w:spacing w:before="120" w:after="120" w:line="288" w:lineRule="auto"/>
              <w:ind w:left="0"/>
              <w:jc w:val="left"/>
            </w:pPr>
            <w:r>
              <w:rPr>
                <w:rFonts w:ascii="Arial" w:hAnsi="Arial" w:eastAsia="等线" w:cs="Arial"/>
                <w:sz w:val="22"/>
              </w:rPr>
              <w:t>(B) Unlimited profit and limited loss</w:t>
            </w:r>
          </w:p>
          <w:p w14:paraId="266F7526">
            <w:pPr>
              <w:spacing w:before="120" w:after="120" w:line="288" w:lineRule="auto"/>
              <w:ind w:left="0"/>
              <w:jc w:val="left"/>
            </w:pPr>
            <w:r>
              <w:rPr>
                <w:rFonts w:ascii="Arial" w:hAnsi="Arial" w:eastAsia="等线" w:cs="Arial"/>
                <w:sz w:val="22"/>
              </w:rPr>
              <w:t>(C) Limited profit and unlimited loss</w:t>
            </w:r>
          </w:p>
          <w:p w14:paraId="4E289DD3">
            <w:pPr>
              <w:spacing w:before="120" w:after="120" w:line="288" w:lineRule="auto"/>
              <w:ind w:left="0"/>
              <w:jc w:val="left"/>
            </w:pPr>
            <w:r>
              <w:rPr>
                <w:rFonts w:ascii="Arial" w:hAnsi="Arial" w:eastAsia="等线" w:cs="Arial"/>
                <w:sz w:val="22"/>
              </w:rPr>
              <w:t>(D) Limited profit and limited loss</w:t>
            </w:r>
          </w:p>
          <w:p w14:paraId="25825ED5">
            <w:pPr>
              <w:spacing w:before="120" w:after="120" w:line="288" w:lineRule="auto"/>
              <w:ind w:left="0"/>
              <w:jc w:val="left"/>
            </w:pPr>
          </w:p>
          <w:p w14:paraId="72AD7AFE">
            <w:pPr>
              <w:numPr>
                <w:ilvl w:val="0"/>
                <w:numId w:val="87"/>
              </w:numPr>
              <w:spacing w:before="120" w:after="120" w:line="288" w:lineRule="auto"/>
              <w:ind w:left="0"/>
              <w:jc w:val="left"/>
            </w:pPr>
            <w:r>
              <w:rPr>
                <w:rFonts w:ascii="Arial" w:hAnsi="Arial" w:eastAsia="等线" w:cs="Arial"/>
                <w:sz w:val="22"/>
              </w:rPr>
              <w:t>Declan is opening a new options account at a broker–dealer. Declan must return the signed options account agreement？</w:t>
            </w:r>
          </w:p>
          <w:p w14:paraId="08D4A14B">
            <w:pPr>
              <w:spacing w:before="120" w:after="120" w:line="288" w:lineRule="auto"/>
              <w:ind w:left="0"/>
              <w:jc w:val="left"/>
            </w:pPr>
            <w:r>
              <w:rPr>
                <w:rFonts w:ascii="Arial" w:hAnsi="Arial" w:eastAsia="等线" w:cs="Arial"/>
                <w:sz w:val="22"/>
              </w:rPr>
              <w:t>(A) before the account is approved</w:t>
            </w:r>
          </w:p>
          <w:p w14:paraId="2A29B73D">
            <w:pPr>
              <w:spacing w:before="120" w:after="120" w:line="288" w:lineRule="auto"/>
              <w:ind w:left="0"/>
              <w:jc w:val="left"/>
            </w:pPr>
            <w:r>
              <w:rPr>
                <w:rFonts w:ascii="Arial" w:hAnsi="Arial" w:eastAsia="等线" w:cs="Arial"/>
                <w:sz w:val="22"/>
              </w:rPr>
              <w:t>(B) within 15 days after approval of the account</w:t>
            </w:r>
          </w:p>
          <w:p w14:paraId="0E7040C4">
            <w:pPr>
              <w:spacing w:before="120" w:after="120" w:line="288" w:lineRule="auto"/>
              <w:ind w:left="0"/>
              <w:jc w:val="left"/>
            </w:pPr>
            <w:r>
              <w:rPr>
                <w:rFonts w:ascii="Arial" w:hAnsi="Arial" w:eastAsia="等线" w:cs="Arial"/>
                <w:sz w:val="22"/>
              </w:rPr>
              <w:t>(C) any time before the first transaction</w:t>
            </w:r>
          </w:p>
          <w:p w14:paraId="43D2AEB7">
            <w:pPr>
              <w:spacing w:before="120" w:after="120" w:line="288" w:lineRule="auto"/>
              <w:ind w:left="0"/>
              <w:jc w:val="left"/>
            </w:pPr>
            <w:r>
              <w:rPr>
                <w:rFonts w:ascii="Arial" w:hAnsi="Arial" w:eastAsia="等线" w:cs="Arial"/>
                <w:sz w:val="22"/>
              </w:rPr>
              <w:t>(D) sometime before receiving the risk disclosure document</w:t>
            </w:r>
          </w:p>
          <w:p w14:paraId="546FADFF">
            <w:pPr>
              <w:spacing w:before="120" w:after="120" w:line="288" w:lineRule="auto"/>
              <w:ind w:left="0"/>
              <w:jc w:val="left"/>
            </w:pPr>
          </w:p>
          <w:p w14:paraId="6B94DDCF">
            <w:pPr>
              <w:numPr>
                <w:ilvl w:val="0"/>
                <w:numId w:val="88"/>
              </w:numPr>
              <w:spacing w:before="120" w:after="120" w:line="288" w:lineRule="auto"/>
              <w:ind w:left="0"/>
              <w:jc w:val="left"/>
            </w:pPr>
            <w:r>
              <w:rPr>
                <w:rFonts w:ascii="Arial" w:hAnsi="Arial" w:eastAsia="等线" w:cs="Arial"/>
                <w:sz w:val="22"/>
              </w:rPr>
              <w:t>An investor is long 1 GHI Oct 30 call. If GHI has a current market value of 33, which of the following is TRUE?</w:t>
            </w:r>
          </w:p>
          <w:p w14:paraId="4870D969">
            <w:pPr>
              <w:spacing w:before="120" w:after="120" w:line="288" w:lineRule="auto"/>
              <w:ind w:left="0"/>
              <w:jc w:val="left"/>
            </w:pPr>
            <w:r>
              <w:rPr>
                <w:rFonts w:ascii="Arial" w:hAnsi="Arial" w:eastAsia="等线" w:cs="Arial"/>
                <w:sz w:val="22"/>
              </w:rPr>
              <w:t>(A) The option is out-of-the-money.</w:t>
            </w:r>
          </w:p>
          <w:p w14:paraId="10FDDD38">
            <w:pPr>
              <w:spacing w:before="120" w:after="120" w:line="288" w:lineRule="auto"/>
              <w:ind w:left="0"/>
              <w:jc w:val="left"/>
            </w:pPr>
            <w:r>
              <w:rPr>
                <w:rFonts w:ascii="Arial" w:hAnsi="Arial" w:eastAsia="等线" w:cs="Arial"/>
                <w:sz w:val="22"/>
              </w:rPr>
              <w:t>(B) The option is at-the-money.</w:t>
            </w:r>
          </w:p>
          <w:p w14:paraId="0EFAF40E">
            <w:pPr>
              <w:spacing w:before="120" w:after="120" w:line="288" w:lineRule="auto"/>
              <w:ind w:left="0"/>
              <w:jc w:val="left"/>
            </w:pPr>
            <w:r>
              <w:rPr>
                <w:rFonts w:ascii="Arial" w:hAnsi="Arial" w:eastAsia="等线" w:cs="Arial"/>
                <w:sz w:val="22"/>
              </w:rPr>
              <w:t>(C) The option is in-the-money.</w:t>
            </w:r>
          </w:p>
          <w:p w14:paraId="42DCE27A">
            <w:pPr>
              <w:spacing w:before="120" w:after="120" w:line="288" w:lineRule="auto"/>
              <w:ind w:left="0"/>
              <w:jc w:val="left"/>
            </w:pPr>
            <w:r>
              <w:rPr>
                <w:rFonts w:ascii="Arial" w:hAnsi="Arial" w:eastAsia="等线" w:cs="Arial"/>
                <w:sz w:val="22"/>
              </w:rPr>
              <w:t>(D) The call has a negative intrinsic value.</w:t>
            </w:r>
          </w:p>
          <w:p w14:paraId="03625EC8">
            <w:pPr>
              <w:spacing w:before="120" w:after="120" w:line="288" w:lineRule="auto"/>
              <w:ind w:left="0"/>
              <w:jc w:val="left"/>
            </w:pPr>
          </w:p>
          <w:p w14:paraId="75A0BBDA">
            <w:pPr>
              <w:numPr>
                <w:ilvl w:val="0"/>
                <w:numId w:val="89"/>
              </w:numPr>
              <w:spacing w:before="120" w:after="120" w:line="288" w:lineRule="auto"/>
              <w:ind w:left="0"/>
              <w:jc w:val="left"/>
            </w:pPr>
            <w:r>
              <w:rPr>
                <w:rFonts w:ascii="Arial" w:hAnsi="Arial" w:eastAsia="等线" w:cs="Arial"/>
                <w:sz w:val="22"/>
              </w:rPr>
              <w:t>An investor reads in the newspaper that JKL Dec 60 puts are trading for 6 when JKL is at 64. What is the time value of these options?</w:t>
            </w:r>
          </w:p>
          <w:p w14:paraId="66C3A171">
            <w:pPr>
              <w:spacing w:before="120" w:after="120" w:line="288" w:lineRule="auto"/>
              <w:ind w:left="0"/>
              <w:jc w:val="left"/>
            </w:pPr>
            <w:r>
              <w:rPr>
                <w:rFonts w:ascii="Arial" w:hAnsi="Arial" w:eastAsia="等线" w:cs="Arial"/>
                <w:sz w:val="22"/>
              </w:rPr>
              <w:t>(A) 0</w:t>
            </w:r>
          </w:p>
          <w:p w14:paraId="5BC95CE6">
            <w:pPr>
              <w:spacing w:before="120" w:after="120" w:line="288" w:lineRule="auto"/>
              <w:ind w:left="0"/>
              <w:jc w:val="left"/>
            </w:pPr>
            <w:r>
              <w:rPr>
                <w:rFonts w:ascii="Arial" w:hAnsi="Arial" w:eastAsia="等线" w:cs="Arial"/>
                <w:sz w:val="22"/>
              </w:rPr>
              <w:t>(B) 2</w:t>
            </w:r>
          </w:p>
          <w:p w14:paraId="1FFF2968">
            <w:pPr>
              <w:spacing w:before="120" w:after="120" w:line="288" w:lineRule="auto"/>
              <w:ind w:left="0"/>
              <w:jc w:val="left"/>
            </w:pPr>
            <w:r>
              <w:rPr>
                <w:rFonts w:ascii="Arial" w:hAnsi="Arial" w:eastAsia="等线" w:cs="Arial"/>
                <w:sz w:val="22"/>
              </w:rPr>
              <w:t>(C) 4</w:t>
            </w:r>
          </w:p>
          <w:p w14:paraId="53712FA9">
            <w:pPr>
              <w:spacing w:before="120" w:after="120" w:line="288" w:lineRule="auto"/>
              <w:ind w:left="0"/>
              <w:jc w:val="left"/>
            </w:pPr>
            <w:r>
              <w:rPr>
                <w:rFonts w:ascii="Arial" w:hAnsi="Arial" w:eastAsia="等线" w:cs="Arial"/>
                <w:sz w:val="22"/>
              </w:rPr>
              <w:t>(D) 6</w:t>
            </w:r>
          </w:p>
          <w:p w14:paraId="04CD8C16">
            <w:pPr>
              <w:spacing w:before="120" w:after="120" w:line="288" w:lineRule="auto"/>
              <w:ind w:left="0"/>
              <w:jc w:val="left"/>
            </w:pPr>
          </w:p>
          <w:p w14:paraId="0FA45D75">
            <w:pPr>
              <w:numPr>
                <w:ilvl w:val="0"/>
                <w:numId w:val="90"/>
              </w:numPr>
              <w:spacing w:before="120" w:after="120" w:line="288" w:lineRule="auto"/>
              <w:ind w:left="0"/>
              <w:jc w:val="left"/>
            </w:pPr>
            <w:r>
              <w:rPr>
                <w:rFonts w:ascii="Arial" w:hAnsi="Arial" w:eastAsia="等线" w:cs="Arial"/>
                <w:sz w:val="22"/>
              </w:rPr>
              <w:t>Which of the following is TRUE regarding option contracts?</w:t>
            </w:r>
          </w:p>
          <w:p w14:paraId="6FE98CFA">
            <w:pPr>
              <w:spacing w:before="120" w:after="120" w:line="288" w:lineRule="auto"/>
              <w:ind w:left="0"/>
              <w:jc w:val="left"/>
            </w:pPr>
            <w:r>
              <w:rPr>
                <w:rFonts w:ascii="Arial" w:hAnsi="Arial" w:eastAsia="等线" w:cs="Arial"/>
                <w:sz w:val="22"/>
              </w:rPr>
              <w:t>I. The OCC sets the contract size.</w:t>
            </w:r>
          </w:p>
          <w:p w14:paraId="49DBD279">
            <w:pPr>
              <w:spacing w:before="120" w:after="120" w:line="288" w:lineRule="auto"/>
              <w:ind w:left="0"/>
              <w:jc w:val="left"/>
            </w:pPr>
            <w:r>
              <w:rPr>
                <w:rFonts w:ascii="Arial" w:hAnsi="Arial" w:eastAsia="等线" w:cs="Arial"/>
                <w:sz w:val="22"/>
              </w:rPr>
              <w:t>II. The OCC sets the strike prices.</w:t>
            </w:r>
          </w:p>
          <w:p w14:paraId="2F042C38">
            <w:pPr>
              <w:spacing w:before="120" w:after="120" w:line="288" w:lineRule="auto"/>
              <w:ind w:left="0"/>
              <w:jc w:val="left"/>
            </w:pPr>
            <w:r>
              <w:rPr>
                <w:rFonts w:ascii="Arial" w:hAnsi="Arial" w:eastAsia="等线" w:cs="Arial"/>
                <w:sz w:val="22"/>
              </w:rPr>
              <w:t>III. The OCC sets the premiums.</w:t>
            </w:r>
          </w:p>
          <w:p w14:paraId="63D9043E">
            <w:pPr>
              <w:spacing w:before="120" w:after="120" w:line="288" w:lineRule="auto"/>
              <w:ind w:left="0"/>
              <w:jc w:val="left"/>
            </w:pPr>
            <w:r>
              <w:rPr>
                <w:rFonts w:ascii="Arial" w:hAnsi="Arial" w:eastAsia="等线" w:cs="Arial"/>
                <w:sz w:val="22"/>
              </w:rPr>
              <w:t>IV. The OCC sets the expiration dates.</w:t>
            </w:r>
          </w:p>
          <w:p w14:paraId="58509624">
            <w:pPr>
              <w:spacing w:before="120" w:after="120" w:line="288" w:lineRule="auto"/>
              <w:ind w:left="0"/>
              <w:jc w:val="left"/>
            </w:pPr>
            <w:r>
              <w:rPr>
                <w:rFonts w:ascii="Arial" w:hAnsi="Arial" w:eastAsia="等线" w:cs="Arial"/>
                <w:sz w:val="22"/>
              </w:rPr>
              <w:t>(A) I and III</w:t>
            </w:r>
          </w:p>
          <w:p w14:paraId="351A0819">
            <w:pPr>
              <w:spacing w:before="120" w:after="120" w:line="288" w:lineRule="auto"/>
              <w:ind w:left="0"/>
              <w:jc w:val="left"/>
            </w:pPr>
            <w:r>
              <w:rPr>
                <w:rFonts w:ascii="Arial" w:hAnsi="Arial" w:eastAsia="等线" w:cs="Arial"/>
                <w:sz w:val="22"/>
              </w:rPr>
              <w:t>(B) I,II,andIV</w:t>
            </w:r>
          </w:p>
          <w:p w14:paraId="33D6CD8A">
            <w:pPr>
              <w:spacing w:before="120" w:after="120" w:line="288" w:lineRule="auto"/>
              <w:ind w:left="0"/>
              <w:jc w:val="left"/>
            </w:pPr>
            <w:r>
              <w:rPr>
                <w:rFonts w:ascii="Arial" w:hAnsi="Arial" w:eastAsia="等线" w:cs="Arial"/>
                <w:sz w:val="22"/>
              </w:rPr>
              <w:t>(C) II and III</w:t>
            </w:r>
          </w:p>
          <w:p w14:paraId="3B38B6DE">
            <w:pPr>
              <w:spacing w:before="120" w:after="120" w:line="288" w:lineRule="auto"/>
              <w:ind w:left="0"/>
              <w:jc w:val="left"/>
            </w:pPr>
            <w:r>
              <w:rPr>
                <w:rFonts w:ascii="Arial" w:hAnsi="Arial" w:eastAsia="等线" w:cs="Arial"/>
                <w:sz w:val="22"/>
              </w:rPr>
              <w:t>(D) I,II,III,andIV</w:t>
            </w:r>
          </w:p>
          <w:p w14:paraId="2D8E246A">
            <w:pPr>
              <w:spacing w:before="120" w:after="120" w:line="288" w:lineRule="auto"/>
              <w:ind w:left="0"/>
              <w:jc w:val="left"/>
            </w:pPr>
          </w:p>
          <w:p w14:paraId="4A44E744">
            <w:pPr>
              <w:numPr>
                <w:ilvl w:val="0"/>
                <w:numId w:val="91"/>
              </w:numPr>
              <w:spacing w:before="120" w:after="120" w:line="288" w:lineRule="auto"/>
              <w:ind w:left="0"/>
              <w:jc w:val="left"/>
            </w:pPr>
            <w:r>
              <w:rPr>
                <w:rFonts w:ascii="Arial" w:hAnsi="Arial" w:eastAsia="等线" w:cs="Arial"/>
                <w:sz w:val="22"/>
              </w:rPr>
              <w:t xml:space="preserve">Melissa previously wrote 10 MKR Aug 45 puts for 6 each when the market price of MKR was 46. </w:t>
            </w:r>
          </w:p>
          <w:p w14:paraId="40DCF074">
            <w:pPr>
              <w:spacing w:before="120" w:after="120" w:line="288" w:lineRule="auto"/>
              <w:ind w:left="0"/>
              <w:jc w:val="left"/>
            </w:pPr>
            <w:r>
              <w:rPr>
                <w:rFonts w:ascii="Arial" w:hAnsi="Arial" w:eastAsia="等线" w:cs="Arial"/>
                <w:sz w:val="22"/>
              </w:rPr>
              <w:t>MKR is currently trading at 41 and the options are one week away from expiration. Melissa would like to buy her way out of that position. If she does, how would the second option order ticket be marked?</w:t>
            </w:r>
          </w:p>
          <w:p w14:paraId="6D889938">
            <w:pPr>
              <w:spacing w:before="120" w:after="120" w:line="288" w:lineRule="auto"/>
              <w:ind w:left="0"/>
              <w:jc w:val="left"/>
            </w:pPr>
            <w:r>
              <w:rPr>
                <w:rFonts w:ascii="Arial" w:hAnsi="Arial" w:eastAsia="等线" w:cs="Arial"/>
                <w:sz w:val="22"/>
              </w:rPr>
              <w:t>(A) Opening sale</w:t>
            </w:r>
          </w:p>
          <w:p w14:paraId="040A79C6">
            <w:pPr>
              <w:spacing w:before="120" w:after="120" w:line="288" w:lineRule="auto"/>
              <w:ind w:left="0"/>
              <w:jc w:val="left"/>
            </w:pPr>
            <w:r>
              <w:rPr>
                <w:rFonts w:ascii="Arial" w:hAnsi="Arial" w:eastAsia="等线" w:cs="Arial"/>
                <w:sz w:val="22"/>
              </w:rPr>
              <w:t>(B) Opening purchase</w:t>
            </w:r>
          </w:p>
          <w:p w14:paraId="4ACFB0B8">
            <w:pPr>
              <w:spacing w:before="120" w:after="120" w:line="288" w:lineRule="auto"/>
              <w:ind w:left="0"/>
              <w:jc w:val="left"/>
            </w:pPr>
            <w:r>
              <w:rPr>
                <w:rFonts w:ascii="Arial" w:hAnsi="Arial" w:eastAsia="等线" w:cs="Arial"/>
                <w:sz w:val="22"/>
              </w:rPr>
              <w:t>(C) Closing sale</w:t>
            </w:r>
          </w:p>
          <w:p w14:paraId="16748FFF">
            <w:pPr>
              <w:spacing w:before="120" w:after="120" w:line="288" w:lineRule="auto"/>
              <w:ind w:left="0"/>
              <w:jc w:val="left"/>
            </w:pPr>
            <w:r>
              <w:rPr>
                <w:rFonts w:ascii="Arial" w:hAnsi="Arial" w:eastAsia="等线" w:cs="Arial"/>
                <w:sz w:val="22"/>
              </w:rPr>
              <w:t>(D) Closing purchase</w:t>
            </w:r>
          </w:p>
          <w:p w14:paraId="10DA28E2">
            <w:pPr>
              <w:spacing w:before="120" w:after="120" w:line="288" w:lineRule="auto"/>
              <w:ind w:left="0"/>
              <w:jc w:val="left"/>
            </w:pPr>
          </w:p>
          <w:p w14:paraId="783E91DD">
            <w:pPr>
              <w:numPr>
                <w:ilvl w:val="0"/>
                <w:numId w:val="92"/>
              </w:numPr>
              <w:spacing w:before="120" w:after="120" w:line="288" w:lineRule="auto"/>
              <w:ind w:left="0"/>
              <w:jc w:val="left"/>
            </w:pPr>
            <w:r>
              <w:rPr>
                <w:rFonts w:ascii="Arial" w:hAnsi="Arial" w:eastAsia="等线" w:cs="Arial"/>
                <w:sz w:val="22"/>
              </w:rPr>
              <w:t>Who is the issuer and guarantor of all listed options?</w:t>
            </w:r>
          </w:p>
          <w:p w14:paraId="2CF0DC5F">
            <w:pPr>
              <w:spacing w:before="120" w:after="120" w:line="288" w:lineRule="auto"/>
              <w:ind w:left="0"/>
              <w:jc w:val="left"/>
            </w:pPr>
            <w:r>
              <w:rPr>
                <w:rFonts w:ascii="Arial" w:hAnsi="Arial" w:eastAsia="等线" w:cs="Arial"/>
                <w:sz w:val="22"/>
              </w:rPr>
              <w:t>(A) OAA</w:t>
            </w:r>
          </w:p>
          <w:p w14:paraId="1B62BF63">
            <w:pPr>
              <w:spacing w:before="120" w:after="120" w:line="288" w:lineRule="auto"/>
              <w:ind w:left="0"/>
              <w:jc w:val="left"/>
            </w:pPr>
            <w:r>
              <w:rPr>
                <w:rFonts w:ascii="Arial" w:hAnsi="Arial" w:eastAsia="等线" w:cs="Arial"/>
                <w:sz w:val="22"/>
              </w:rPr>
              <w:t>(B) OCC</w:t>
            </w:r>
          </w:p>
          <w:p w14:paraId="5270AB84">
            <w:pPr>
              <w:spacing w:before="120" w:after="120" w:line="288" w:lineRule="auto"/>
              <w:ind w:left="0"/>
              <w:jc w:val="left"/>
            </w:pPr>
            <w:r>
              <w:rPr>
                <w:rFonts w:ascii="Arial" w:hAnsi="Arial" w:eastAsia="等线" w:cs="Arial"/>
                <w:sz w:val="22"/>
              </w:rPr>
              <w:t>(C) ODD</w:t>
            </w:r>
          </w:p>
          <w:p w14:paraId="066B34AE">
            <w:pPr>
              <w:spacing w:before="120" w:after="120" w:line="288" w:lineRule="auto"/>
              <w:ind w:left="0"/>
              <w:jc w:val="left"/>
            </w:pPr>
            <w:r>
              <w:rPr>
                <w:rFonts w:ascii="Arial" w:hAnsi="Arial" w:eastAsia="等线" w:cs="Arial"/>
                <w:sz w:val="22"/>
              </w:rPr>
              <w:t>(D) FINRA</w:t>
            </w:r>
          </w:p>
          <w:p w14:paraId="20D914D1">
            <w:pPr>
              <w:spacing w:before="120" w:after="120" w:line="288" w:lineRule="auto"/>
              <w:ind w:left="0"/>
              <w:jc w:val="left"/>
            </w:pPr>
          </w:p>
          <w:p w14:paraId="79610FD4">
            <w:pPr>
              <w:numPr>
                <w:ilvl w:val="0"/>
                <w:numId w:val="93"/>
              </w:numPr>
              <w:spacing w:before="120" w:after="120" w:line="288" w:lineRule="auto"/>
              <w:ind w:left="0"/>
              <w:jc w:val="left"/>
            </w:pPr>
            <w:r>
              <w:rPr>
                <w:rFonts w:ascii="Arial" w:hAnsi="Arial" w:eastAsia="等线" w:cs="Arial"/>
                <w:sz w:val="22"/>
              </w:rPr>
              <w:t>When is the last time an investor can exercise an option contract?</w:t>
            </w:r>
          </w:p>
          <w:p w14:paraId="302E1E06">
            <w:pPr>
              <w:spacing w:before="120" w:after="120" w:line="288" w:lineRule="auto"/>
              <w:ind w:left="0"/>
              <w:jc w:val="left"/>
            </w:pPr>
            <w:r>
              <w:rPr>
                <w:rFonts w:ascii="Arial" w:hAnsi="Arial" w:eastAsia="等线" w:cs="Arial"/>
                <w:sz w:val="22"/>
              </w:rPr>
              <w:t>(A) 4p.m. EST on the third Friday of the expiration month.</w:t>
            </w:r>
          </w:p>
          <w:p w14:paraId="673E1CF9">
            <w:pPr>
              <w:spacing w:before="120" w:after="120" w:line="288" w:lineRule="auto"/>
              <w:ind w:left="0"/>
              <w:jc w:val="left"/>
            </w:pPr>
            <w:r>
              <w:rPr>
                <w:rFonts w:ascii="Arial" w:hAnsi="Arial" w:eastAsia="等线" w:cs="Arial"/>
                <w:sz w:val="22"/>
              </w:rPr>
              <w:t>(B) 5:30p.m. EST on the third Friday of the expiration month</w:t>
            </w:r>
          </w:p>
          <w:p w14:paraId="427BD768">
            <w:pPr>
              <w:spacing w:before="120" w:after="120" w:line="288" w:lineRule="auto"/>
              <w:ind w:left="0"/>
              <w:jc w:val="left"/>
            </w:pPr>
            <w:r>
              <w:rPr>
                <w:rFonts w:ascii="Arial" w:hAnsi="Arial" w:eastAsia="等线" w:cs="Arial"/>
                <w:sz w:val="22"/>
              </w:rPr>
              <w:t>(C) 11:59p.m. EST on the third Friday of the expiration month</w:t>
            </w:r>
          </w:p>
          <w:p w14:paraId="32A4780D">
            <w:pPr>
              <w:spacing w:before="120" w:after="120" w:line="288" w:lineRule="auto"/>
              <w:ind w:left="0"/>
              <w:jc w:val="left"/>
            </w:pPr>
            <w:r>
              <w:rPr>
                <w:rFonts w:ascii="Arial" w:hAnsi="Arial" w:eastAsia="等线" w:cs="Arial"/>
                <w:sz w:val="22"/>
              </w:rPr>
              <w:t>(D) 11:59p.m. CST on the third Friday of the expiration month</w:t>
            </w:r>
          </w:p>
          <w:p w14:paraId="7B2CF3D3">
            <w:pPr>
              <w:spacing w:before="120" w:after="120" w:line="288" w:lineRule="auto"/>
              <w:ind w:left="0"/>
              <w:jc w:val="left"/>
            </w:pPr>
          </w:p>
          <w:p w14:paraId="4687587A">
            <w:pPr>
              <w:numPr>
                <w:ilvl w:val="0"/>
                <w:numId w:val="94"/>
              </w:numPr>
              <w:spacing w:before="120" w:after="120" w:line="288" w:lineRule="auto"/>
              <w:ind w:left="0"/>
              <w:jc w:val="left"/>
            </w:pPr>
            <w:r>
              <w:rPr>
                <w:rFonts w:ascii="Arial" w:hAnsi="Arial" w:eastAsia="等线" w:cs="Arial"/>
                <w:sz w:val="22"/>
              </w:rPr>
              <w:t>What is the break-even point for an investor who writes a Sep 40 call for 3?</w:t>
            </w:r>
          </w:p>
          <w:p w14:paraId="7C1A5D23">
            <w:pPr>
              <w:spacing w:before="120" w:after="120" w:line="288" w:lineRule="auto"/>
              <w:ind w:left="0"/>
              <w:jc w:val="left"/>
            </w:pPr>
            <w:r>
              <w:rPr>
                <w:rFonts w:ascii="Arial" w:hAnsi="Arial" w:eastAsia="等线" w:cs="Arial"/>
                <w:sz w:val="22"/>
              </w:rPr>
              <w:t>(A) 37</w:t>
            </w:r>
          </w:p>
          <w:p w14:paraId="3FEDC18F">
            <w:pPr>
              <w:spacing w:before="120" w:after="120" w:line="288" w:lineRule="auto"/>
              <w:ind w:left="0"/>
              <w:jc w:val="left"/>
            </w:pPr>
            <w:r>
              <w:rPr>
                <w:rFonts w:ascii="Arial" w:hAnsi="Arial" w:eastAsia="等线" w:cs="Arial"/>
                <w:sz w:val="22"/>
              </w:rPr>
              <w:t>(B) 40</w:t>
            </w:r>
          </w:p>
          <w:p w14:paraId="5A221350">
            <w:pPr>
              <w:spacing w:before="120" w:after="120" w:line="288" w:lineRule="auto"/>
              <w:ind w:left="0"/>
              <w:jc w:val="left"/>
            </w:pPr>
            <w:r>
              <w:rPr>
                <w:rFonts w:ascii="Arial" w:hAnsi="Arial" w:eastAsia="等线" w:cs="Arial"/>
                <w:sz w:val="22"/>
              </w:rPr>
              <w:t>(C) 43</w:t>
            </w:r>
          </w:p>
          <w:p w14:paraId="4B657675">
            <w:pPr>
              <w:spacing w:before="120" w:after="120" w:line="288" w:lineRule="auto"/>
              <w:ind w:left="0"/>
              <w:jc w:val="left"/>
            </w:pPr>
            <w:r>
              <w:rPr>
                <w:rFonts w:ascii="Arial" w:hAnsi="Arial" w:eastAsia="等线" w:cs="Arial"/>
                <w:sz w:val="22"/>
              </w:rPr>
              <w:t>(D) 34</w:t>
            </w:r>
          </w:p>
          <w:p w14:paraId="53112EEE">
            <w:pPr>
              <w:spacing w:before="120" w:after="120" w:line="288" w:lineRule="auto"/>
              <w:ind w:left="0"/>
              <w:jc w:val="left"/>
            </w:pPr>
          </w:p>
          <w:p w14:paraId="63E019E8">
            <w:pPr>
              <w:numPr>
                <w:ilvl w:val="0"/>
                <w:numId w:val="95"/>
              </w:numPr>
              <w:spacing w:before="120" w:after="120" w:line="288" w:lineRule="auto"/>
              <w:ind w:left="0"/>
              <w:jc w:val="left"/>
            </w:pPr>
            <w:r>
              <w:rPr>
                <w:rFonts w:ascii="Arial" w:hAnsi="Arial" w:eastAsia="等线" w:cs="Arial"/>
                <w:sz w:val="22"/>
              </w:rPr>
              <w:t>What is the maximum potential loss for an investor who shorted 1 XYZ Oct 40 put for 6?</w:t>
            </w:r>
          </w:p>
          <w:p w14:paraId="6A6CF80F">
            <w:pPr>
              <w:spacing w:before="120" w:after="120" w:line="288" w:lineRule="auto"/>
              <w:ind w:left="0"/>
              <w:jc w:val="left"/>
            </w:pPr>
            <w:r>
              <w:rPr>
                <w:rFonts w:ascii="Arial" w:hAnsi="Arial" w:eastAsia="等线" w:cs="Arial"/>
                <w:sz w:val="22"/>
              </w:rPr>
              <w:t>(A) 3,400</w:t>
            </w:r>
          </w:p>
          <w:p w14:paraId="0765A182">
            <w:pPr>
              <w:spacing w:before="120" w:after="120" w:line="288" w:lineRule="auto"/>
              <w:ind w:left="0"/>
              <w:jc w:val="left"/>
            </w:pPr>
            <w:r>
              <w:rPr>
                <w:rFonts w:ascii="Arial" w:hAnsi="Arial" w:eastAsia="等线" w:cs="Arial"/>
                <w:sz w:val="22"/>
              </w:rPr>
              <w:t>(B) 4,000</w:t>
            </w:r>
          </w:p>
          <w:p w14:paraId="53390065">
            <w:pPr>
              <w:spacing w:before="120" w:after="120" w:line="288" w:lineRule="auto"/>
              <w:ind w:left="0"/>
              <w:jc w:val="left"/>
            </w:pPr>
            <w:r>
              <w:rPr>
                <w:rFonts w:ascii="Arial" w:hAnsi="Arial" w:eastAsia="等线" w:cs="Arial"/>
                <w:sz w:val="22"/>
              </w:rPr>
              <w:t>(C) 4,600</w:t>
            </w:r>
          </w:p>
          <w:p w14:paraId="5977E85E">
            <w:pPr>
              <w:spacing w:before="120" w:after="120" w:line="288" w:lineRule="auto"/>
              <w:ind w:left="0"/>
              <w:jc w:val="left"/>
            </w:pPr>
            <w:r>
              <w:rPr>
                <w:rFonts w:ascii="Arial" w:hAnsi="Arial" w:eastAsia="等线" w:cs="Arial"/>
                <w:sz w:val="22"/>
              </w:rPr>
              <w:t>(D) Unlimited</w:t>
            </w:r>
          </w:p>
          <w:p w14:paraId="1357DB8D">
            <w:pPr>
              <w:spacing w:before="120" w:after="120" w:line="288" w:lineRule="auto"/>
              <w:ind w:left="0"/>
              <w:jc w:val="left"/>
            </w:pPr>
          </w:p>
          <w:p w14:paraId="3B8F1181">
            <w:pPr>
              <w:numPr>
                <w:ilvl w:val="0"/>
                <w:numId w:val="96"/>
              </w:numPr>
              <w:spacing w:before="120" w:after="120" w:line="288" w:lineRule="auto"/>
              <w:ind w:left="0"/>
              <w:jc w:val="left"/>
            </w:pPr>
            <w:r>
              <w:rPr>
                <w:rFonts w:ascii="Arial" w:hAnsi="Arial" w:eastAsia="等线" w:cs="Arial"/>
                <w:sz w:val="22"/>
              </w:rPr>
              <w:t>What is the break-even point for an investor who is long 1 ABC Jan 60 put, which was purchased for 4?</w:t>
            </w:r>
          </w:p>
          <w:p w14:paraId="07AFEF0F">
            <w:pPr>
              <w:spacing w:before="120" w:after="120" w:line="288" w:lineRule="auto"/>
              <w:ind w:left="0"/>
              <w:jc w:val="left"/>
            </w:pPr>
            <w:r>
              <w:rPr>
                <w:rFonts w:ascii="Arial" w:hAnsi="Arial" w:eastAsia="等线" w:cs="Arial"/>
                <w:sz w:val="22"/>
              </w:rPr>
              <w:t>(A) 56</w:t>
            </w:r>
          </w:p>
          <w:p w14:paraId="1EC12971">
            <w:pPr>
              <w:spacing w:before="120" w:after="120" w:line="288" w:lineRule="auto"/>
              <w:ind w:left="0"/>
              <w:jc w:val="left"/>
            </w:pPr>
            <w:r>
              <w:rPr>
                <w:rFonts w:ascii="Arial" w:hAnsi="Arial" w:eastAsia="等线" w:cs="Arial"/>
                <w:sz w:val="22"/>
              </w:rPr>
              <w:t>(B) 60</w:t>
            </w:r>
          </w:p>
          <w:p w14:paraId="3A40607B">
            <w:pPr>
              <w:spacing w:before="120" w:after="120" w:line="288" w:lineRule="auto"/>
              <w:ind w:left="0"/>
              <w:jc w:val="left"/>
            </w:pPr>
            <w:r>
              <w:rPr>
                <w:rFonts w:ascii="Arial" w:hAnsi="Arial" w:eastAsia="等线" w:cs="Arial"/>
                <w:sz w:val="22"/>
              </w:rPr>
              <w:t>(C) 64</w:t>
            </w:r>
          </w:p>
          <w:p w14:paraId="4F45416D">
            <w:pPr>
              <w:spacing w:before="120" w:after="120" w:line="288" w:lineRule="auto"/>
              <w:ind w:left="0"/>
              <w:jc w:val="left"/>
            </w:pPr>
            <w:r>
              <w:rPr>
                <w:rFonts w:ascii="Arial" w:hAnsi="Arial" w:eastAsia="等线" w:cs="Arial"/>
                <w:sz w:val="22"/>
              </w:rPr>
              <w:t>(D) 66</w:t>
            </w:r>
          </w:p>
          <w:p w14:paraId="18C5670A">
            <w:pPr>
              <w:spacing w:before="120" w:after="120" w:line="288" w:lineRule="auto"/>
              <w:ind w:left="0"/>
              <w:jc w:val="left"/>
            </w:pPr>
          </w:p>
          <w:p w14:paraId="25DCC56D">
            <w:pPr>
              <w:numPr>
                <w:ilvl w:val="0"/>
                <w:numId w:val="97"/>
              </w:numPr>
              <w:spacing w:before="120" w:after="120" w:line="288" w:lineRule="auto"/>
              <w:ind w:left="0"/>
              <w:jc w:val="left"/>
            </w:pPr>
            <w:r>
              <w:rPr>
                <w:rFonts w:ascii="Arial" w:hAnsi="Arial" w:eastAsia="等线" w:cs="Arial"/>
                <w:sz w:val="22"/>
              </w:rPr>
              <w:t>Which TWO of the following options are in-the-money if TUV is trading at 43?</w:t>
            </w:r>
          </w:p>
          <w:p w14:paraId="2493B06F">
            <w:pPr>
              <w:spacing w:before="120" w:after="120" w:line="288" w:lineRule="auto"/>
              <w:ind w:left="0"/>
              <w:jc w:val="left"/>
            </w:pPr>
            <w:r>
              <w:rPr>
                <w:rFonts w:ascii="Arial" w:hAnsi="Arial" w:eastAsia="等线" w:cs="Arial"/>
                <w:sz w:val="22"/>
              </w:rPr>
              <w:t>I. TUV 40 calls</w:t>
            </w:r>
          </w:p>
          <w:p w14:paraId="264CD1A3">
            <w:pPr>
              <w:spacing w:before="120" w:after="120" w:line="288" w:lineRule="auto"/>
              <w:ind w:left="0"/>
              <w:jc w:val="left"/>
            </w:pPr>
            <w:r>
              <w:rPr>
                <w:rFonts w:ascii="Arial" w:hAnsi="Arial" w:eastAsia="等线" w:cs="Arial"/>
                <w:sz w:val="22"/>
              </w:rPr>
              <w:t>II. TUV 40 puts</w:t>
            </w:r>
          </w:p>
          <w:p w14:paraId="65CF00D0">
            <w:pPr>
              <w:spacing w:before="120" w:after="120" w:line="288" w:lineRule="auto"/>
              <w:ind w:left="0"/>
              <w:jc w:val="left"/>
            </w:pPr>
            <w:r>
              <w:rPr>
                <w:rFonts w:ascii="Arial" w:hAnsi="Arial" w:eastAsia="等线" w:cs="Arial"/>
                <w:sz w:val="22"/>
              </w:rPr>
              <w:t>III. TUV 50 calls</w:t>
            </w:r>
          </w:p>
          <w:p w14:paraId="3CC41B5E">
            <w:pPr>
              <w:spacing w:before="120" w:after="120" w:line="288" w:lineRule="auto"/>
              <w:ind w:left="0"/>
              <w:jc w:val="left"/>
            </w:pPr>
            <w:r>
              <w:rPr>
                <w:rFonts w:ascii="Arial" w:hAnsi="Arial" w:eastAsia="等线" w:cs="Arial"/>
                <w:sz w:val="22"/>
              </w:rPr>
              <w:t>IV. TUV 50 puts</w:t>
            </w:r>
          </w:p>
          <w:p w14:paraId="4F0872D3">
            <w:pPr>
              <w:spacing w:before="120" w:after="120" w:line="288" w:lineRule="auto"/>
              <w:ind w:left="0"/>
              <w:jc w:val="left"/>
            </w:pPr>
            <w:r>
              <w:rPr>
                <w:rFonts w:ascii="Arial" w:hAnsi="Arial" w:eastAsia="等线" w:cs="Arial"/>
                <w:sz w:val="22"/>
              </w:rPr>
              <w:t>(A) I and III</w:t>
            </w:r>
          </w:p>
          <w:p w14:paraId="4096A863">
            <w:pPr>
              <w:spacing w:before="120" w:after="120" w:line="288" w:lineRule="auto"/>
              <w:ind w:left="0"/>
              <w:jc w:val="left"/>
            </w:pPr>
            <w:r>
              <w:rPr>
                <w:rFonts w:ascii="Arial" w:hAnsi="Arial" w:eastAsia="等线" w:cs="Arial"/>
                <w:sz w:val="22"/>
              </w:rPr>
              <w:t>(B) I and IV</w:t>
            </w:r>
          </w:p>
          <w:p w14:paraId="4CD57B6D">
            <w:pPr>
              <w:spacing w:before="120" w:after="120" w:line="288" w:lineRule="auto"/>
              <w:ind w:left="0"/>
              <w:jc w:val="left"/>
            </w:pPr>
            <w:r>
              <w:rPr>
                <w:rFonts w:ascii="Arial" w:hAnsi="Arial" w:eastAsia="等线" w:cs="Arial"/>
                <w:sz w:val="22"/>
              </w:rPr>
              <w:t>(C) II and III</w:t>
            </w:r>
          </w:p>
          <w:p w14:paraId="3077311F">
            <w:pPr>
              <w:spacing w:before="120" w:after="120" w:line="288" w:lineRule="auto"/>
              <w:ind w:left="0"/>
              <w:jc w:val="left"/>
            </w:pPr>
            <w:r>
              <w:rPr>
                <w:rFonts w:ascii="Arial" w:hAnsi="Arial" w:eastAsia="等线" w:cs="Arial"/>
                <w:sz w:val="22"/>
              </w:rPr>
              <w:t>(D) II and IV</w:t>
            </w:r>
          </w:p>
          <w:p w14:paraId="0BC7BDE1">
            <w:pPr>
              <w:spacing w:before="120" w:after="120" w:line="288" w:lineRule="auto"/>
              <w:ind w:left="0"/>
              <w:jc w:val="left"/>
            </w:pPr>
          </w:p>
          <w:p w14:paraId="51F53D97">
            <w:pPr>
              <w:numPr>
                <w:ilvl w:val="0"/>
                <w:numId w:val="98"/>
              </w:numPr>
              <w:spacing w:before="120" w:after="120" w:line="288" w:lineRule="auto"/>
              <w:ind w:left="0"/>
              <w:jc w:val="left"/>
            </w:pPr>
            <w:r>
              <w:rPr>
                <w:rFonts w:ascii="Arial" w:hAnsi="Arial" w:eastAsia="等线" w:cs="Arial"/>
                <w:sz w:val="22"/>
              </w:rPr>
              <w:t xml:space="preserve">Before opening an options account, a customer must receive an </w:t>
            </w:r>
          </w:p>
          <w:p w14:paraId="499DAA86">
            <w:pPr>
              <w:spacing w:before="120" w:after="120" w:line="288" w:lineRule="auto"/>
              <w:ind w:left="0"/>
              <w:jc w:val="left"/>
            </w:pPr>
            <w:r>
              <w:rPr>
                <w:rFonts w:ascii="Arial" w:hAnsi="Arial" w:eastAsia="等线" w:cs="Arial"/>
                <w:sz w:val="22"/>
              </w:rPr>
              <w:t>(A) OAA</w:t>
            </w:r>
          </w:p>
          <w:p w14:paraId="0B1A4A42">
            <w:pPr>
              <w:spacing w:before="120" w:after="120" w:line="288" w:lineRule="auto"/>
              <w:ind w:left="0"/>
              <w:jc w:val="left"/>
            </w:pPr>
            <w:r>
              <w:rPr>
                <w:rFonts w:ascii="Arial" w:hAnsi="Arial" w:eastAsia="等线" w:cs="Arial"/>
                <w:sz w:val="22"/>
              </w:rPr>
              <w:t>(B) OCC</w:t>
            </w:r>
          </w:p>
          <w:p w14:paraId="60FD1048">
            <w:pPr>
              <w:spacing w:before="120" w:after="120" w:line="288" w:lineRule="auto"/>
              <w:ind w:left="0"/>
              <w:jc w:val="left"/>
            </w:pPr>
            <w:r>
              <w:rPr>
                <w:rFonts w:ascii="Arial" w:hAnsi="Arial" w:eastAsia="等线" w:cs="Arial"/>
                <w:sz w:val="22"/>
              </w:rPr>
              <w:t>(C) ODD</w:t>
            </w:r>
          </w:p>
          <w:p w14:paraId="72E7E643">
            <w:pPr>
              <w:spacing w:before="120" w:after="120" w:line="288" w:lineRule="auto"/>
              <w:ind w:left="0"/>
              <w:jc w:val="left"/>
            </w:pPr>
            <w:r>
              <w:rPr>
                <w:rFonts w:ascii="Arial" w:hAnsi="Arial" w:eastAsia="等线" w:cs="Arial"/>
                <w:sz w:val="22"/>
              </w:rPr>
              <w:t>(D) All of the above</w:t>
            </w:r>
          </w:p>
          <w:p w14:paraId="2F21A62B">
            <w:pPr>
              <w:spacing w:before="120" w:after="120" w:line="288" w:lineRule="auto"/>
              <w:ind w:left="0"/>
              <w:jc w:val="left"/>
            </w:pPr>
          </w:p>
          <w:p w14:paraId="459F1A96">
            <w:pPr>
              <w:numPr>
                <w:ilvl w:val="0"/>
                <w:numId w:val="99"/>
              </w:numPr>
              <w:spacing w:before="120" w:after="120" w:line="288" w:lineRule="auto"/>
              <w:ind w:left="0"/>
              <w:jc w:val="left"/>
            </w:pPr>
            <w:r>
              <w:rPr>
                <w:rFonts w:ascii="Arial" w:hAnsi="Arial" w:eastAsia="等线" w:cs="Arial"/>
                <w:sz w:val="22"/>
              </w:rPr>
              <w:t>Which TWO of the following options are TRUE of an investor who writes a call option?</w:t>
            </w:r>
          </w:p>
          <w:p w14:paraId="3222732F">
            <w:pPr>
              <w:spacing w:before="120" w:after="120" w:line="288" w:lineRule="auto"/>
              <w:ind w:left="0"/>
              <w:jc w:val="left"/>
            </w:pPr>
            <w:r>
              <w:rPr>
                <w:rFonts w:ascii="Arial" w:hAnsi="Arial" w:eastAsia="等线" w:cs="Arial"/>
                <w:sz w:val="22"/>
              </w:rPr>
              <w:t>I. The maximum potential gain is the premium.</w:t>
            </w:r>
          </w:p>
          <w:p w14:paraId="35489657">
            <w:pPr>
              <w:spacing w:before="120" w:after="120" w:line="288" w:lineRule="auto"/>
              <w:ind w:left="0"/>
              <w:jc w:val="left"/>
            </w:pPr>
            <w:r>
              <w:rPr>
                <w:rFonts w:ascii="Arial" w:hAnsi="Arial" w:eastAsia="等线" w:cs="Arial"/>
                <w:sz w:val="22"/>
              </w:rPr>
              <w:t>II. The maximum potential loss is the premium.</w:t>
            </w:r>
          </w:p>
          <w:p w14:paraId="77295A21">
            <w:pPr>
              <w:spacing w:before="120" w:after="120" w:line="288" w:lineRule="auto"/>
              <w:ind w:left="0"/>
              <w:jc w:val="left"/>
            </w:pPr>
            <w:r>
              <w:rPr>
                <w:rFonts w:ascii="Arial" w:hAnsi="Arial" w:eastAsia="等线" w:cs="Arial"/>
                <w:sz w:val="22"/>
              </w:rPr>
              <w:t>III. The break-even point is the premium added to the strike price.</w:t>
            </w:r>
          </w:p>
          <w:p w14:paraId="2C0434D7">
            <w:pPr>
              <w:spacing w:before="120" w:after="120" w:line="288" w:lineRule="auto"/>
              <w:ind w:left="0"/>
              <w:jc w:val="left"/>
            </w:pPr>
            <w:r>
              <w:rPr>
                <w:rFonts w:ascii="Arial" w:hAnsi="Arial" w:eastAsia="等线" w:cs="Arial"/>
                <w:sz w:val="22"/>
              </w:rPr>
              <w:t>IV. The break-even point is the premium subtracted from the strike price.</w:t>
            </w:r>
          </w:p>
          <w:p w14:paraId="0CEBC5F5">
            <w:pPr>
              <w:spacing w:before="120" w:after="120" w:line="288" w:lineRule="auto"/>
              <w:ind w:left="0"/>
              <w:jc w:val="left"/>
            </w:pPr>
            <w:r>
              <w:rPr>
                <w:rFonts w:ascii="Arial" w:hAnsi="Arial" w:eastAsia="等线" w:cs="Arial"/>
                <w:sz w:val="22"/>
              </w:rPr>
              <w:t>(A) I and III</w:t>
            </w:r>
          </w:p>
          <w:p w14:paraId="2C87BC9B">
            <w:pPr>
              <w:spacing w:before="120" w:after="120" w:line="288" w:lineRule="auto"/>
              <w:ind w:left="0"/>
              <w:jc w:val="left"/>
            </w:pPr>
            <w:r>
              <w:rPr>
                <w:rFonts w:ascii="Arial" w:hAnsi="Arial" w:eastAsia="等线" w:cs="Arial"/>
                <w:sz w:val="22"/>
              </w:rPr>
              <w:t>(B) I and IV</w:t>
            </w:r>
          </w:p>
          <w:p w14:paraId="76B5B5C2">
            <w:pPr>
              <w:spacing w:before="120" w:after="120" w:line="288" w:lineRule="auto"/>
              <w:ind w:left="0"/>
              <w:jc w:val="left"/>
            </w:pPr>
            <w:r>
              <w:rPr>
                <w:rFonts w:ascii="Arial" w:hAnsi="Arial" w:eastAsia="等线" w:cs="Arial"/>
                <w:sz w:val="22"/>
              </w:rPr>
              <w:t>(C) II and III</w:t>
            </w:r>
          </w:p>
          <w:p w14:paraId="5023765F">
            <w:pPr>
              <w:spacing w:before="120" w:after="120" w:line="288" w:lineRule="auto"/>
              <w:ind w:left="0"/>
              <w:jc w:val="left"/>
            </w:pPr>
            <w:r>
              <w:rPr>
                <w:rFonts w:ascii="Arial" w:hAnsi="Arial" w:eastAsia="等线" w:cs="Arial"/>
                <w:sz w:val="22"/>
              </w:rPr>
              <w:t>(D) IIandIV</w:t>
            </w:r>
          </w:p>
          <w:p w14:paraId="63A88A04">
            <w:pPr>
              <w:spacing w:before="120" w:after="120" w:line="288" w:lineRule="auto"/>
              <w:ind w:left="0"/>
              <w:jc w:val="left"/>
            </w:pPr>
          </w:p>
          <w:p w14:paraId="78B4D30D">
            <w:pPr>
              <w:numPr>
                <w:ilvl w:val="0"/>
                <w:numId w:val="100"/>
              </w:numPr>
              <w:spacing w:before="120" w:after="120" w:line="288" w:lineRule="auto"/>
              <w:ind w:left="0"/>
              <w:jc w:val="left"/>
            </w:pPr>
            <w:r>
              <w:rPr>
                <w:rFonts w:ascii="Arial" w:hAnsi="Arial" w:eastAsia="等线" w:cs="Arial"/>
                <w:sz w:val="22"/>
              </w:rPr>
              <w:t>If an S&amp;P 500 index call option is in-the-money at expiration, settlement is made by delivery of</w:t>
            </w:r>
          </w:p>
          <w:p w14:paraId="523D5CDE">
            <w:pPr>
              <w:spacing w:before="120" w:after="120" w:line="288" w:lineRule="auto"/>
              <w:ind w:left="0"/>
              <w:jc w:val="left"/>
            </w:pPr>
            <w:r>
              <w:rPr>
                <w:rFonts w:ascii="Arial" w:hAnsi="Arial" w:eastAsia="等线" w:cs="Arial"/>
                <w:sz w:val="22"/>
              </w:rPr>
              <w:t>(A) cash</w:t>
            </w:r>
          </w:p>
          <w:p w14:paraId="2EA5DB3D">
            <w:pPr>
              <w:spacing w:before="120" w:after="120" w:line="288" w:lineRule="auto"/>
              <w:ind w:left="0"/>
              <w:jc w:val="left"/>
            </w:pPr>
            <w:r>
              <w:rPr>
                <w:rFonts w:ascii="Arial" w:hAnsi="Arial" w:eastAsia="等线" w:cs="Arial"/>
                <w:sz w:val="22"/>
              </w:rPr>
              <w:t>(B) a percentage of all of the S&amp;P 500 index stocks</w:t>
            </w:r>
          </w:p>
          <w:p w14:paraId="157ED905">
            <w:pPr>
              <w:spacing w:before="120" w:after="120" w:line="288" w:lineRule="auto"/>
              <w:ind w:left="0"/>
              <w:jc w:val="left"/>
            </w:pPr>
            <w:r>
              <w:rPr>
                <w:rFonts w:ascii="Arial" w:hAnsi="Arial" w:eastAsia="等线" w:cs="Arial"/>
                <w:sz w:val="22"/>
              </w:rPr>
              <w:t>(C) an exchange traded fund(ETF) that tracks the S&amp;P500</w:t>
            </w:r>
          </w:p>
          <w:p w14:paraId="26238508">
            <w:pPr>
              <w:spacing w:before="120" w:after="120" w:line="288" w:lineRule="auto"/>
              <w:ind w:left="0"/>
              <w:jc w:val="left"/>
            </w:pPr>
            <w:r>
              <w:rPr>
                <w:rFonts w:ascii="Arial" w:hAnsi="Arial" w:eastAsia="等线" w:cs="Arial"/>
                <w:sz w:val="22"/>
              </w:rPr>
              <w:t>(D) longer-term S&amp;P 500 index call opt</w:t>
            </w:r>
          </w:p>
          <w:p w14:paraId="6A9A424A">
            <w:pPr>
              <w:spacing w:before="120" w:after="120" w:line="288" w:lineRule="auto"/>
              <w:ind w:left="0"/>
              <w:jc w:val="left"/>
            </w:pPr>
          </w:p>
          <w:p w14:paraId="52F8E541">
            <w:pPr>
              <w:numPr>
                <w:ilvl w:val="0"/>
                <w:numId w:val="101"/>
              </w:numPr>
              <w:spacing w:before="120" w:after="120" w:line="288" w:lineRule="auto"/>
              <w:ind w:left="0"/>
              <w:jc w:val="left"/>
            </w:pPr>
            <w:r>
              <w:rPr>
                <w:rFonts w:ascii="Arial" w:hAnsi="Arial" w:eastAsia="等线" w:cs="Arial"/>
                <w:sz w:val="22"/>
              </w:rPr>
              <w:t>An investor buys 1 TUV Oct 45 put for a premium of $4 and simultaneously buys 100 shares of TUV stock for $45 per share. At expiration, the stock would have to be selling at what price per share for the investor to be able to break even?</w:t>
            </w:r>
          </w:p>
          <w:p w14:paraId="276CCECC">
            <w:pPr>
              <w:spacing w:before="120" w:after="120" w:line="288" w:lineRule="auto"/>
              <w:ind w:left="0"/>
              <w:jc w:val="left"/>
            </w:pPr>
            <w:r>
              <w:rPr>
                <w:rFonts w:ascii="Arial" w:hAnsi="Arial" w:eastAsia="等线" w:cs="Arial"/>
                <w:sz w:val="22"/>
              </w:rPr>
              <w:t>(A) $4</w:t>
            </w:r>
          </w:p>
          <w:p w14:paraId="197E3A40">
            <w:pPr>
              <w:spacing w:before="120" w:after="120" w:line="288" w:lineRule="auto"/>
              <w:ind w:left="0"/>
              <w:jc w:val="left"/>
            </w:pPr>
            <w:r>
              <w:rPr>
                <w:rFonts w:ascii="Arial" w:hAnsi="Arial" w:eastAsia="等线" w:cs="Arial"/>
                <w:sz w:val="22"/>
              </w:rPr>
              <w:t>(B) $41</w:t>
            </w:r>
          </w:p>
          <w:p w14:paraId="3A7D3F10">
            <w:pPr>
              <w:spacing w:before="120" w:after="120" w:line="288" w:lineRule="auto"/>
              <w:ind w:left="0"/>
              <w:jc w:val="left"/>
            </w:pPr>
            <w:r>
              <w:rPr>
                <w:rFonts w:ascii="Arial" w:hAnsi="Arial" w:eastAsia="等线" w:cs="Arial"/>
                <w:sz w:val="22"/>
              </w:rPr>
              <w:t>(C) $45</w:t>
            </w:r>
          </w:p>
          <w:p w14:paraId="124E183C">
            <w:pPr>
              <w:spacing w:before="120" w:after="120" w:line="288" w:lineRule="auto"/>
              <w:ind w:left="0"/>
              <w:jc w:val="left"/>
            </w:pPr>
            <w:r>
              <w:rPr>
                <w:rFonts w:ascii="Arial" w:hAnsi="Arial" w:eastAsia="等线" w:cs="Arial"/>
                <w:sz w:val="22"/>
              </w:rPr>
              <w:t>(D) $49</w:t>
            </w:r>
          </w:p>
          <w:p w14:paraId="6F2AD685">
            <w:pPr>
              <w:spacing w:before="120" w:after="120" w:line="288" w:lineRule="auto"/>
              <w:ind w:left="0"/>
              <w:jc w:val="left"/>
            </w:pPr>
          </w:p>
          <w:p w14:paraId="3D5C07AC">
            <w:pPr>
              <w:numPr>
                <w:ilvl w:val="0"/>
                <w:numId w:val="102"/>
              </w:numPr>
              <w:spacing w:before="120" w:after="120" w:line="288" w:lineRule="auto"/>
              <w:ind w:left="0"/>
              <w:jc w:val="left"/>
            </w:pPr>
            <w:r>
              <w:rPr>
                <w:rFonts w:ascii="Arial" w:hAnsi="Arial" w:eastAsia="等线" w:cs="Arial"/>
                <w:sz w:val="22"/>
              </w:rPr>
              <w:t>Mrs. Wegner purchased 100 shares of DPY stock at $50 per share. Two weeks later, Mrs. Wegner sold 1 DPY Oct 55 call at 6. Mrs. Wegner held that position for three months before selling the DPY stock at $52 per share and closing the DPY Oct 55 call at 4. What is Mrs. Wegner’s gain or loss on the transactions?</w:t>
            </w:r>
          </w:p>
          <w:p w14:paraId="594D4BED">
            <w:pPr>
              <w:spacing w:before="120" w:after="120" w:line="288" w:lineRule="auto"/>
              <w:ind w:left="0"/>
              <w:jc w:val="left"/>
            </w:pPr>
            <w:r>
              <w:rPr>
                <w:rFonts w:ascii="Arial" w:hAnsi="Arial" w:eastAsia="等线" w:cs="Arial"/>
                <w:sz w:val="22"/>
              </w:rPr>
              <w:t>(A) $400 gain</w:t>
            </w:r>
          </w:p>
          <w:p w14:paraId="113C9A19">
            <w:pPr>
              <w:spacing w:before="120" w:after="120" w:line="288" w:lineRule="auto"/>
              <w:ind w:left="0"/>
              <w:jc w:val="left"/>
            </w:pPr>
            <w:r>
              <w:rPr>
                <w:rFonts w:ascii="Arial" w:hAnsi="Arial" w:eastAsia="等线" w:cs="Arial"/>
                <w:sz w:val="22"/>
              </w:rPr>
              <w:t>(B) $400 loss</w:t>
            </w:r>
          </w:p>
          <w:p w14:paraId="38DD4E0B">
            <w:pPr>
              <w:spacing w:before="120" w:after="120" w:line="288" w:lineRule="auto"/>
              <w:ind w:left="0"/>
              <w:jc w:val="left"/>
            </w:pPr>
            <w:r>
              <w:rPr>
                <w:rFonts w:ascii="Arial" w:hAnsi="Arial" w:eastAsia="等线" w:cs="Arial"/>
                <w:sz w:val="22"/>
              </w:rPr>
              <w:t>(C) $600 gain</w:t>
            </w:r>
          </w:p>
          <w:p w14:paraId="3DA6948E">
            <w:pPr>
              <w:spacing w:before="120" w:after="120" w:line="288" w:lineRule="auto"/>
              <w:ind w:left="0"/>
              <w:jc w:val="left"/>
            </w:pPr>
            <w:r>
              <w:rPr>
                <w:rFonts w:ascii="Arial" w:hAnsi="Arial" w:eastAsia="等线" w:cs="Arial"/>
                <w:sz w:val="22"/>
              </w:rPr>
              <w:t>(D) No gain or loss</w:t>
            </w:r>
          </w:p>
          <w:p w14:paraId="216E50E7">
            <w:pPr>
              <w:spacing w:before="120" w:after="120" w:line="288" w:lineRule="auto"/>
              <w:ind w:left="0"/>
              <w:jc w:val="left"/>
            </w:pPr>
          </w:p>
        </w:tc>
      </w:tr>
    </w:tbl>
    <w:p w14:paraId="0679E06B"/>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1F1FAD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12A5DE70">
            <w:pPr>
              <w:spacing w:before="120" w:after="120" w:line="288" w:lineRule="auto"/>
              <w:ind w:left="0"/>
              <w:jc w:val="left"/>
            </w:pPr>
            <w:r>
              <w:rPr>
                <w:rFonts w:ascii="Arial" w:hAnsi="Arial" w:eastAsia="等线" w:cs="Arial"/>
                <w:b/>
                <w:sz w:val="22"/>
              </w:rPr>
              <w:t>1.B</w:t>
            </w:r>
          </w:p>
          <w:p w14:paraId="1DF9D342">
            <w:pPr>
              <w:spacing w:before="120" w:after="120" w:line="288" w:lineRule="auto"/>
              <w:ind w:left="0"/>
              <w:jc w:val="left"/>
            </w:pPr>
            <w:r>
              <w:rPr>
                <w:rFonts w:ascii="Arial" w:hAnsi="Arial" w:eastAsia="等线" w:cs="Arial"/>
                <w:sz w:val="22"/>
              </w:rPr>
              <w:t>The correct answer is (B). Since this investor is short, they sold(wrote) the option. Therefore, they have the obligation to live up to the terms of the option and deliver 100 shares of XYZ at $50 per share if exercised. This investor received $300 for selling the call contract.</w:t>
            </w:r>
          </w:p>
          <w:p w14:paraId="09E5BD65">
            <w:pPr>
              <w:spacing w:before="120" w:after="120" w:line="288" w:lineRule="auto"/>
              <w:ind w:left="0"/>
              <w:jc w:val="left"/>
            </w:pPr>
            <w:r>
              <w:rPr>
                <w:rFonts w:ascii="Arial" w:hAnsi="Arial" w:eastAsia="等线" w:cs="Arial"/>
                <w:sz w:val="22"/>
              </w:rPr>
              <w:t>正确答案为（B）。由于该投资者是期权空头方，即其卖出（开立）了该期权。因此，该投资者有义务履行期权合约条款：若期权被行权，需以每股 50 美元的价格交付 100 股 XYZ 股票。该投资者通过卖出这份看涨期权合约，获得了 300 美元（权利金）。</w:t>
            </w:r>
          </w:p>
          <w:p w14:paraId="0D5ADCB5">
            <w:pPr>
              <w:spacing w:before="120" w:after="120" w:line="288" w:lineRule="auto"/>
              <w:ind w:left="0"/>
              <w:jc w:val="left"/>
            </w:pPr>
          </w:p>
          <w:p w14:paraId="4E497412">
            <w:pPr>
              <w:spacing w:before="120" w:after="120" w:line="288" w:lineRule="auto"/>
              <w:ind w:left="0"/>
              <w:jc w:val="left"/>
            </w:pPr>
            <w:r>
              <w:rPr>
                <w:rFonts w:ascii="Arial" w:hAnsi="Arial" w:eastAsia="等线" w:cs="Arial"/>
                <w:b/>
                <w:sz w:val="22"/>
              </w:rPr>
              <w:t>2.C</w:t>
            </w:r>
          </w:p>
          <w:p w14:paraId="1B7F77FC">
            <w:pPr>
              <w:spacing w:before="120" w:after="120" w:line="288" w:lineRule="auto"/>
              <w:ind w:left="0"/>
              <w:jc w:val="left"/>
            </w:pPr>
            <w:r>
              <w:rPr>
                <w:rFonts w:ascii="Arial" w:hAnsi="Arial" w:eastAsia="等线" w:cs="Arial"/>
                <w:sz w:val="22"/>
              </w:rPr>
              <w:t>If you are bearish on a particular security, you want the price of it to decrease. If you are buying a call option without any other underlying positions, you want the price of the underlying security to increase. Therefore, if you purchase a put, you want the price of the underlying security to decrease. You have to remember that the buyer and seller want opposite things to happen. So, if the buyer of a call wants the price of the underlying security to increase, the seller wants it to decrease. Stating that, buyers of puts and sellers of calls with no other positions are bearish.</w:t>
            </w:r>
          </w:p>
          <w:p w14:paraId="5408CAC3">
            <w:pPr>
              <w:spacing w:before="120" w:after="120" w:line="288" w:lineRule="auto"/>
              <w:ind w:left="0"/>
              <w:jc w:val="left"/>
            </w:pPr>
            <w:r>
              <w:rPr>
                <w:rFonts w:ascii="Arial" w:hAnsi="Arial" w:eastAsia="等线" w:cs="Arial"/>
                <w:sz w:val="22"/>
              </w:rPr>
              <w:t>如果你看空某种证券，你希望它的价格下跌。如果你购买看涨期权而没有任何其他基础头寸，你希望基础证券的价格上涨。因此，如果你购买看跌期权，你希望标的证券的价格下降。你必须记住，买方和卖方希望发生相反的事情。因此，如果看涨期权的买方希望标的证券的价格上涨，卖方就希望它下跌。也就是说，没有其他头寸的看跌期权的买家和看涨期权的卖家是看跌的。</w:t>
            </w:r>
          </w:p>
          <w:p w14:paraId="5DA909E7">
            <w:pPr>
              <w:spacing w:before="120" w:after="120" w:line="288" w:lineRule="auto"/>
              <w:ind w:left="0"/>
              <w:jc w:val="left"/>
            </w:pPr>
          </w:p>
          <w:p w14:paraId="272CDB25">
            <w:pPr>
              <w:spacing w:before="120" w:after="120" w:line="288" w:lineRule="auto"/>
              <w:ind w:left="0"/>
              <w:jc w:val="left"/>
            </w:pPr>
            <w:r>
              <w:rPr>
                <w:rFonts w:ascii="Arial" w:hAnsi="Arial" w:eastAsia="等线" w:cs="Arial"/>
                <w:b/>
                <w:sz w:val="22"/>
              </w:rPr>
              <w:t>3.B</w:t>
            </w:r>
          </w:p>
          <w:p w14:paraId="10858123">
            <w:pPr>
              <w:spacing w:before="120" w:after="120" w:line="288" w:lineRule="auto"/>
              <w:ind w:left="0"/>
              <w:jc w:val="left"/>
            </w:pPr>
            <w:r>
              <w:rPr>
                <w:rFonts w:ascii="Arial" w:hAnsi="Arial" w:eastAsia="等线" w:cs="Arial"/>
                <w:sz w:val="22"/>
              </w:rPr>
              <w:t>The answer you’re looking for is (B). I threw you a curveball by giving you a chart similar to what you may see on the SIE exam. I hope you’re able to find the premium that you need to answer the question. Most of the exhibits you get on the SIE are simple, and solving the problem is just a matter of locating the information you need.</w:t>
            </w:r>
          </w:p>
          <w:p w14:paraId="29513FB2">
            <w:pPr>
              <w:spacing w:before="120" w:after="120" w:line="288" w:lineRule="auto"/>
              <w:ind w:left="0"/>
              <w:jc w:val="left"/>
            </w:pPr>
            <w:r>
              <w:rPr>
                <w:rFonts w:ascii="Arial" w:hAnsi="Arial" w:eastAsia="等线" w:cs="Arial"/>
                <w:sz w:val="22"/>
              </w:rPr>
              <w:t>你要找的答案是（B）。我给了你一个类似于你在SIE考试中可能会看到的图表，给你来了个出其不意。希望你能找到回答这个问题所需的溢价。你在SIE考试中遇到的大多数图表都很简单，解决问题只需找到你需要的信息即可。</w:t>
            </w:r>
          </w:p>
          <w:p w14:paraId="310D8B8D">
            <w:pPr>
              <w:spacing w:before="120" w:after="120" w:line="288" w:lineRule="auto"/>
              <w:ind w:left="0"/>
              <w:jc w:val="left"/>
            </w:pPr>
          </w:p>
          <w:p w14:paraId="3DCCB624">
            <w:pPr>
              <w:spacing w:before="120" w:after="120" w:line="288" w:lineRule="auto"/>
              <w:ind w:left="0"/>
              <w:jc w:val="left"/>
            </w:pPr>
            <w:r>
              <w:rPr>
                <w:rFonts w:ascii="Arial" w:hAnsi="Arial" w:eastAsia="等线" w:cs="Arial"/>
                <w:b/>
                <w:sz w:val="22"/>
              </w:rPr>
              <w:t>4.A</w:t>
            </w:r>
          </w:p>
          <w:p w14:paraId="4DF8293C">
            <w:pPr>
              <w:spacing w:before="120" w:after="120" w:line="288" w:lineRule="auto"/>
              <w:ind w:left="0"/>
              <w:jc w:val="left"/>
            </w:pPr>
            <w:r>
              <w:rPr>
                <w:rFonts w:ascii="Arial" w:hAnsi="Arial" w:eastAsia="等线" w:cs="Arial"/>
                <w:sz w:val="22"/>
              </w:rPr>
              <w:t>For investors with options positions, the strike (exercise) price would be lowered as a result of a dividend on the underlying security on the ex-dividend date.</w:t>
            </w:r>
          </w:p>
          <w:p w14:paraId="58C69ECE">
            <w:pPr>
              <w:spacing w:before="120" w:after="120" w:line="288" w:lineRule="auto"/>
              <w:ind w:left="0"/>
              <w:jc w:val="left"/>
            </w:pPr>
            <w:r>
              <w:rPr>
                <w:rFonts w:ascii="Arial" w:hAnsi="Arial" w:eastAsia="等线" w:cs="Arial"/>
                <w:sz w:val="22"/>
              </w:rPr>
              <w:t>对于持有期权头寸的投资者而言，在标的证券的除息日，由于该证券分红，行权价格将会降低。</w:t>
            </w:r>
          </w:p>
          <w:p w14:paraId="6AF18DF5">
            <w:pPr>
              <w:spacing w:before="120" w:after="120" w:line="288" w:lineRule="auto"/>
              <w:ind w:left="0"/>
              <w:jc w:val="left"/>
            </w:pPr>
          </w:p>
          <w:p w14:paraId="6F9318C4">
            <w:pPr>
              <w:spacing w:before="120" w:after="120" w:line="288" w:lineRule="auto"/>
              <w:ind w:left="0"/>
              <w:jc w:val="left"/>
            </w:pPr>
            <w:r>
              <w:rPr>
                <w:rFonts w:ascii="Arial" w:hAnsi="Arial" w:eastAsia="等线" w:cs="Arial"/>
                <w:b/>
                <w:sz w:val="22"/>
              </w:rPr>
              <w:t>5.D</w:t>
            </w:r>
          </w:p>
          <w:p w14:paraId="6E2A66D1">
            <w:pPr>
              <w:spacing w:before="120" w:after="120" w:line="288" w:lineRule="auto"/>
              <w:ind w:left="0"/>
              <w:jc w:val="left"/>
            </w:pPr>
            <w:r>
              <w:rPr>
                <w:rFonts w:ascii="Arial" w:hAnsi="Arial" w:eastAsia="等线" w:cs="Arial"/>
                <w:sz w:val="22"/>
              </w:rPr>
              <w:t>When writing (selling) a covered call option, you are selling a call option on a security that you already own. The purpose of this is to provide income on the security that you own by receiving the premium for the call option sold. However, this comes at a cost. If the price of the security owned increases to the point where it will be profitable for the purchaser of the option to exercise that option, they will be buying the underlying security from you at the exercise price. This limits your upside potential. In addition, if the option is exercised, the loss is limited because you don’t have to purchase the security in the market; you already own the security, which would have to be delivered.</w:t>
            </w:r>
          </w:p>
          <w:p w14:paraId="0DEE930F">
            <w:pPr>
              <w:spacing w:before="120" w:after="120" w:line="288" w:lineRule="auto"/>
              <w:ind w:left="0"/>
              <w:jc w:val="left"/>
            </w:pPr>
            <w:r>
              <w:rPr>
                <w:rFonts w:ascii="Arial" w:hAnsi="Arial" w:eastAsia="等线" w:cs="Arial"/>
                <w:sz w:val="22"/>
              </w:rPr>
              <w:t>当卖出（出售）有担保的看涨期权时，你是在卖出一份针对自己已持有的证券的看涨期权。这样做的目的是通过收取所卖出看涨期权的权利金，为自己持有的证券带来收益。然而，这是有代价的。如果所持证券的价格上涨到使期权买方行权有利可图的程度，他们就会按行权价从你这里买入标的证券。这会限制你的上行潜力。此外，如果期权被行权，损失是有限的，因为你无需在市场上购买该证券；你本身就持有该证券，只需将其交付即可。</w:t>
            </w:r>
          </w:p>
          <w:p w14:paraId="21F48AD3">
            <w:pPr>
              <w:spacing w:before="120" w:after="120" w:line="288" w:lineRule="auto"/>
              <w:ind w:left="0"/>
              <w:jc w:val="left"/>
            </w:pPr>
          </w:p>
          <w:p w14:paraId="4450C7C6">
            <w:pPr>
              <w:spacing w:before="120" w:after="120" w:line="288" w:lineRule="auto"/>
              <w:ind w:left="0"/>
              <w:jc w:val="left"/>
            </w:pPr>
            <w:r>
              <w:rPr>
                <w:rFonts w:ascii="Arial" w:hAnsi="Arial" w:eastAsia="等线" w:cs="Arial"/>
                <w:b/>
                <w:sz w:val="22"/>
              </w:rPr>
              <w:t>6.B</w:t>
            </w:r>
          </w:p>
          <w:p w14:paraId="65B99FF3">
            <w:pPr>
              <w:spacing w:before="120" w:after="120" w:line="288" w:lineRule="auto"/>
              <w:ind w:left="0"/>
              <w:jc w:val="left"/>
            </w:pPr>
            <w:r>
              <w:rPr>
                <w:rFonts w:ascii="Arial" w:hAnsi="Arial" w:eastAsia="等线" w:cs="Arial"/>
                <w:sz w:val="22"/>
              </w:rPr>
              <w:t>The options account agreement (OAA or options agreement) must be signed and returned within 15 days after approval of the account. The customer would first receive an options risk disclosure document (ODD or options disclosure document), and then the account would be approved by an options principal. Once approved, the customer has 15 days to sign and return the options account agreement.</w:t>
            </w:r>
          </w:p>
          <w:p w14:paraId="4692E10D">
            <w:pPr>
              <w:spacing w:before="120" w:after="120" w:line="288" w:lineRule="auto"/>
              <w:ind w:left="0"/>
              <w:jc w:val="left"/>
            </w:pPr>
            <w:r>
              <w:rPr>
                <w:rFonts w:ascii="Arial" w:hAnsi="Arial" w:eastAsia="等线" w:cs="Arial"/>
                <w:sz w:val="22"/>
              </w:rPr>
              <w:t>期权账户协议（OAA 或期权协议）必须在账户获批后的 15 天内签署并返还。客户首先会收到一份期权风险披露文件（ODD 或期权披露文件），然后账户会由期权负责人审批。一旦获批，客户有 15 天时间签署并返还期权账户协议。</w:t>
            </w:r>
          </w:p>
          <w:p w14:paraId="3AFDA55D">
            <w:pPr>
              <w:spacing w:before="120" w:after="120" w:line="288" w:lineRule="auto"/>
              <w:ind w:left="0"/>
              <w:jc w:val="left"/>
            </w:pPr>
          </w:p>
          <w:p w14:paraId="14DF25A6">
            <w:pPr>
              <w:spacing w:before="120" w:after="120" w:line="288" w:lineRule="auto"/>
              <w:ind w:left="0"/>
              <w:jc w:val="left"/>
            </w:pPr>
            <w:r>
              <w:rPr>
                <w:rFonts w:ascii="Arial" w:hAnsi="Arial" w:eastAsia="等线" w:cs="Arial"/>
                <w:b/>
                <w:sz w:val="22"/>
              </w:rPr>
              <w:t>7.C</w:t>
            </w:r>
          </w:p>
          <w:p w14:paraId="148662A6">
            <w:pPr>
              <w:spacing w:before="120" w:after="120" w:line="288" w:lineRule="auto"/>
              <w:ind w:left="0"/>
              <w:jc w:val="left"/>
            </w:pPr>
            <w:r>
              <w:rPr>
                <w:rFonts w:ascii="Arial" w:hAnsi="Arial" w:eastAsia="等线" w:cs="Arial"/>
                <w:sz w:val="22"/>
              </w:rPr>
              <w:t>Call options go in-the-money when the price of the underlying security trades above the strike (exercise) price. In this case, the underlying stock price is at 33 and the strike price of the option is 30, so it’s 3 points in-the-money. In case you were wondering, there is no such thing as negative intrinsic value, which is Choice (D).</w:t>
            </w:r>
          </w:p>
          <w:p w14:paraId="3EB34575">
            <w:pPr>
              <w:spacing w:before="120" w:after="120" w:line="288" w:lineRule="auto"/>
              <w:ind w:left="0"/>
              <w:jc w:val="left"/>
            </w:pPr>
            <w:r>
              <w:rPr>
                <w:rFonts w:ascii="Arial" w:hAnsi="Arial" w:eastAsia="等线" w:cs="Arial"/>
                <w:sz w:val="22"/>
              </w:rPr>
              <w:t>当标的证券的价格高于行权价时，看涨期权处于实值状态。在这种情况下，标的股票价格为33，期权的行权价为30，因此它有3个点的实值。如果你想知道的话，不存在负的内在价值这种情况，这是选项（D）的内容。</w:t>
            </w:r>
          </w:p>
          <w:p w14:paraId="338A6013">
            <w:pPr>
              <w:spacing w:before="120" w:after="120" w:line="288" w:lineRule="auto"/>
              <w:ind w:left="0"/>
              <w:jc w:val="left"/>
            </w:pPr>
          </w:p>
          <w:p w14:paraId="577EFCCB">
            <w:pPr>
              <w:spacing w:before="120" w:after="120" w:line="288" w:lineRule="auto"/>
              <w:ind w:left="0"/>
              <w:jc w:val="left"/>
            </w:pPr>
            <w:r>
              <w:rPr>
                <w:rFonts w:ascii="Arial" w:hAnsi="Arial" w:eastAsia="等线" w:cs="Arial"/>
                <w:b/>
                <w:sz w:val="22"/>
              </w:rPr>
              <w:t>8.D</w:t>
            </w:r>
          </w:p>
          <w:p w14:paraId="6FA7462F">
            <w:pPr>
              <w:spacing w:before="120" w:after="120" w:line="288" w:lineRule="auto"/>
              <w:ind w:left="0"/>
              <w:jc w:val="left"/>
            </w:pPr>
            <w:r>
              <w:rPr>
                <w:rFonts w:ascii="Arial" w:hAnsi="Arial" w:eastAsia="等线" w:cs="Arial"/>
                <w:sz w:val="22"/>
              </w:rPr>
              <w:t xml:space="preserve">The premium of an option is made up of intrinsic value (how much the option is in-the- money) and time value (the longer the time until expiration, the higher the time value). To determine the time value, use the following equation: </w:t>
            </w:r>
          </w:p>
          <w:p w14:paraId="07DB1B46">
            <w:pPr>
              <w:spacing w:before="120" w:after="120" w:line="288" w:lineRule="auto"/>
              <w:ind w:left="0"/>
              <w:jc w:val="left"/>
            </w:pPr>
            <w:r>
              <w:rPr>
                <w:rFonts w:ascii="Arial" w:hAnsi="Arial" w:eastAsia="等线" w:cs="Arial"/>
                <w:sz w:val="22"/>
              </w:rPr>
              <w:t>P( premium)=1 (intrinsic value )+T (time value)</w:t>
            </w:r>
          </w:p>
          <w:p w14:paraId="00C48B47">
            <w:pPr>
              <w:spacing w:before="120" w:after="120" w:line="288" w:lineRule="auto"/>
              <w:ind w:left="0"/>
              <w:jc w:val="left"/>
            </w:pPr>
            <w:r>
              <w:rPr>
                <w:rFonts w:ascii="Arial" w:hAnsi="Arial" w:eastAsia="等线" w:cs="Arial"/>
                <w:sz w:val="22"/>
              </w:rPr>
              <w:t>6=0+T</w:t>
            </w:r>
          </w:p>
          <w:p w14:paraId="50B5DA00">
            <w:pPr>
              <w:spacing w:before="120" w:after="120" w:line="288" w:lineRule="auto"/>
              <w:ind w:left="0"/>
              <w:jc w:val="left"/>
            </w:pPr>
            <w:r>
              <w:rPr>
                <w:rFonts w:ascii="Arial" w:hAnsi="Arial" w:eastAsia="等线" w:cs="Arial"/>
                <w:sz w:val="22"/>
              </w:rPr>
              <w:t>T=6</w:t>
            </w:r>
          </w:p>
          <w:p w14:paraId="7688F779">
            <w:pPr>
              <w:spacing w:before="120" w:after="120" w:line="288" w:lineRule="auto"/>
              <w:ind w:left="0"/>
              <w:jc w:val="left"/>
            </w:pPr>
            <w:r>
              <w:rPr>
                <w:rFonts w:ascii="Arial" w:hAnsi="Arial" w:eastAsia="等线" w:cs="Arial"/>
                <w:sz w:val="22"/>
              </w:rPr>
              <w:t>Since put options go in-the-money when the price of the underlying security goes below the strike price, this option has no intrinsic value because the price of the stock is above the strike price. This means that the premium is made up of time value only.</w:t>
            </w:r>
          </w:p>
          <w:p w14:paraId="4E3D0E06">
            <w:pPr>
              <w:spacing w:before="120" w:after="120" w:line="288" w:lineRule="auto"/>
              <w:ind w:left="0"/>
              <w:jc w:val="left"/>
            </w:pPr>
            <w:r>
              <w:rPr>
                <w:rFonts w:ascii="Arial" w:hAnsi="Arial" w:eastAsia="等线" w:cs="Arial"/>
                <w:sz w:val="22"/>
              </w:rPr>
              <w:t>期权的权利金由内在价值（期权的实值程度）和时间价值（到期时间越长，时间价值越高）构成。要确定时间价值，请使用以下公式：</w:t>
            </w:r>
          </w:p>
          <w:p w14:paraId="355186B1">
            <w:pPr>
              <w:spacing w:before="120" w:after="120" w:line="288" w:lineRule="auto"/>
              <w:ind w:left="0"/>
              <w:jc w:val="left"/>
            </w:pPr>
            <w:r>
              <w:rPr>
                <w:rFonts w:ascii="Arial" w:hAnsi="Arial" w:eastAsia="等线" w:cs="Arial"/>
                <w:sz w:val="22"/>
              </w:rPr>
              <w:t>P( premium)=1 (intrinsic value )+T (time value)</w:t>
            </w:r>
          </w:p>
          <w:p w14:paraId="659D46FE">
            <w:pPr>
              <w:spacing w:before="120" w:after="120" w:line="288" w:lineRule="auto"/>
              <w:ind w:left="0"/>
              <w:jc w:val="left"/>
            </w:pPr>
            <w:r>
              <w:rPr>
                <w:rFonts w:ascii="Arial" w:hAnsi="Arial" w:eastAsia="等线" w:cs="Arial"/>
                <w:sz w:val="22"/>
              </w:rPr>
              <w:t>6=0+T</w:t>
            </w:r>
          </w:p>
          <w:p w14:paraId="265304E5">
            <w:pPr>
              <w:spacing w:before="120" w:after="120" w:line="288" w:lineRule="auto"/>
              <w:ind w:left="0"/>
              <w:jc w:val="left"/>
            </w:pPr>
            <w:r>
              <w:rPr>
                <w:rFonts w:ascii="Arial" w:hAnsi="Arial" w:eastAsia="等线" w:cs="Arial"/>
                <w:sz w:val="22"/>
              </w:rPr>
              <w:t>T=6</w:t>
            </w:r>
          </w:p>
          <w:p w14:paraId="63E15E7F">
            <w:pPr>
              <w:spacing w:before="120" w:after="120" w:line="288" w:lineRule="auto"/>
              <w:ind w:left="0"/>
              <w:jc w:val="left"/>
            </w:pPr>
            <w:r>
              <w:rPr>
                <w:rFonts w:ascii="Arial" w:hAnsi="Arial" w:eastAsia="等线" w:cs="Arial"/>
                <w:sz w:val="22"/>
              </w:rPr>
              <w:t>由于看跌期权在标的证券价格低于行权价时会变为实值期权，而该期权没有内在价值，因为股票价格高于行权价。这意味着期权费仅由时间价值构成。</w:t>
            </w:r>
          </w:p>
          <w:p w14:paraId="78F0E6B4">
            <w:pPr>
              <w:spacing w:before="120" w:after="120" w:line="288" w:lineRule="auto"/>
              <w:ind w:left="0"/>
              <w:jc w:val="left"/>
            </w:pPr>
          </w:p>
          <w:p w14:paraId="28C5E841">
            <w:pPr>
              <w:spacing w:before="120" w:after="120" w:line="288" w:lineRule="auto"/>
              <w:ind w:left="0"/>
              <w:jc w:val="left"/>
            </w:pPr>
            <w:r>
              <w:rPr>
                <w:rFonts w:ascii="Arial" w:hAnsi="Arial" w:eastAsia="等线" w:cs="Arial"/>
                <w:b/>
                <w:sz w:val="22"/>
              </w:rPr>
              <w:t>9.B</w:t>
            </w:r>
          </w:p>
          <w:p w14:paraId="12C6FBA8">
            <w:pPr>
              <w:spacing w:before="120" w:after="120" w:line="288" w:lineRule="auto"/>
              <w:ind w:left="0"/>
              <w:jc w:val="left"/>
            </w:pPr>
            <w:r>
              <w:rPr>
                <w:rFonts w:ascii="Arial" w:hAnsi="Arial" w:eastAsia="等线" w:cs="Arial"/>
                <w:sz w:val="22"/>
              </w:rPr>
              <w:t>The OCC (Options Clearing Corporation) sets the contract sizes, the strike prices, and the expiration dates for all options. However, the premium is based off of the intrinsic value (how much the option is in-the-money) and time value (the amount of time until the option expires).</w:t>
            </w:r>
          </w:p>
          <w:p w14:paraId="6404645A">
            <w:pPr>
              <w:spacing w:before="120" w:after="120" w:line="288" w:lineRule="auto"/>
              <w:ind w:left="0"/>
              <w:jc w:val="left"/>
            </w:pPr>
            <w:r>
              <w:rPr>
                <w:rFonts w:ascii="Arial" w:hAnsi="Arial" w:eastAsia="等线" w:cs="Arial"/>
                <w:sz w:val="22"/>
              </w:rPr>
              <w:t>期权清算公司（OCC）为所有期权设定合约规模、行权价格和到期日。然而，期权费基于内在价值（期权的实值金额）和时间价值（期权到期前的剩余时间）。</w:t>
            </w:r>
          </w:p>
          <w:p w14:paraId="16A9EA44">
            <w:pPr>
              <w:spacing w:before="120" w:after="120" w:line="288" w:lineRule="auto"/>
              <w:ind w:left="0"/>
              <w:jc w:val="left"/>
            </w:pPr>
          </w:p>
          <w:p w14:paraId="47BB67A1">
            <w:pPr>
              <w:spacing w:before="120" w:after="120" w:line="288" w:lineRule="auto"/>
              <w:ind w:left="0"/>
              <w:jc w:val="left"/>
            </w:pPr>
            <w:r>
              <w:rPr>
                <w:rFonts w:ascii="Arial" w:hAnsi="Arial" w:eastAsia="等线" w:cs="Arial"/>
                <w:b/>
                <w:sz w:val="22"/>
              </w:rPr>
              <w:t>10.D</w:t>
            </w:r>
          </w:p>
          <w:p w14:paraId="7200D879">
            <w:pPr>
              <w:spacing w:before="120" w:after="120" w:line="288" w:lineRule="auto"/>
              <w:ind w:left="0"/>
              <w:jc w:val="left"/>
            </w:pPr>
            <w:r>
              <w:rPr>
                <w:rFonts w:ascii="Arial" w:hAnsi="Arial" w:eastAsia="等线" w:cs="Arial"/>
                <w:sz w:val="22"/>
              </w:rPr>
              <w:t>When Melissa originally sold (wrote) the options, it was an initial or opening transaction. Since Melissa sold those options, it’s an opening sale. To get themself out of that position, Melissa would need to close the options. So, since they have to purchase the options, it is a closing purchase.</w:t>
            </w:r>
          </w:p>
          <w:p w14:paraId="7DC70F3E">
            <w:pPr>
              <w:spacing w:before="120" w:after="120" w:line="288" w:lineRule="auto"/>
              <w:ind w:left="0"/>
              <w:jc w:val="left"/>
            </w:pPr>
            <w:r>
              <w:rPr>
                <w:rFonts w:ascii="Arial" w:hAnsi="Arial" w:eastAsia="等线" w:cs="Arial"/>
                <w:sz w:val="22"/>
              </w:rPr>
              <w:t>当梅丽莎最初卖出（签发）这些期权时，这是一笔初始交易或开仓交易。由于梅丽莎卖出了这些期权，所以这是一笔开仓卖出交易。为了让自己摆脱这一局面，就持仓情况而言，梅丽莎需要平仓这些期权。因此，由于他们必须买入这些期权，这属于平仓买入操作。</w:t>
            </w:r>
          </w:p>
          <w:p w14:paraId="6B85B759">
            <w:pPr>
              <w:spacing w:before="120" w:after="120" w:line="288" w:lineRule="auto"/>
              <w:ind w:left="0"/>
              <w:jc w:val="left"/>
            </w:pPr>
          </w:p>
          <w:p w14:paraId="0B7BAD0C">
            <w:pPr>
              <w:spacing w:before="120" w:after="120" w:line="288" w:lineRule="auto"/>
              <w:ind w:left="0"/>
              <w:jc w:val="left"/>
            </w:pPr>
            <w:r>
              <w:rPr>
                <w:rFonts w:ascii="Arial" w:hAnsi="Arial" w:eastAsia="等线" w:cs="Arial"/>
                <w:b/>
                <w:sz w:val="22"/>
              </w:rPr>
              <w:t>11.B</w:t>
            </w:r>
          </w:p>
          <w:p w14:paraId="7CBE557B">
            <w:pPr>
              <w:spacing w:before="120" w:after="120" w:line="288" w:lineRule="auto"/>
              <w:ind w:left="0"/>
              <w:jc w:val="left"/>
            </w:pPr>
            <w:r>
              <w:rPr>
                <w:rFonts w:ascii="Arial" w:hAnsi="Arial" w:eastAsia="等线" w:cs="Arial"/>
                <w:sz w:val="22"/>
              </w:rPr>
              <w:t>The OCC (Options Clearing Corporation) is the issuer and guarantor of all listed options. The OCC decides which securities will have options, their strike prices, and their expiration dates. In addition, the OCC guarantees that option holders will be able to exercise their options.</w:t>
            </w:r>
          </w:p>
          <w:p w14:paraId="551A2813">
            <w:pPr>
              <w:spacing w:before="120" w:after="120" w:line="288" w:lineRule="auto"/>
              <w:ind w:left="0"/>
              <w:jc w:val="left"/>
            </w:pPr>
            <w:r>
              <w:rPr>
                <w:rFonts w:ascii="Arial" w:hAnsi="Arial" w:eastAsia="等线" w:cs="Arial"/>
                <w:sz w:val="22"/>
              </w:rPr>
              <w:t>期权清算公司（OCC）是所有上市期权的发行方和担保人。OCC决定哪些证券会有期权、期权的行权价格及其到期日。此外，OCC保证期权持有者能够行使其期权。</w:t>
            </w:r>
          </w:p>
          <w:p w14:paraId="040F8976">
            <w:pPr>
              <w:spacing w:before="120" w:after="120" w:line="288" w:lineRule="auto"/>
              <w:ind w:left="0"/>
              <w:jc w:val="left"/>
            </w:pPr>
          </w:p>
          <w:p w14:paraId="0C46F1E0">
            <w:pPr>
              <w:spacing w:before="120" w:after="120" w:line="288" w:lineRule="auto"/>
              <w:ind w:left="0"/>
              <w:jc w:val="left"/>
            </w:pPr>
            <w:r>
              <w:rPr>
                <w:rFonts w:ascii="Arial" w:hAnsi="Arial" w:eastAsia="等线" w:cs="Arial"/>
                <w:b/>
                <w:sz w:val="22"/>
              </w:rPr>
              <w:t>12.B</w:t>
            </w:r>
          </w:p>
          <w:p w14:paraId="295717F4">
            <w:pPr>
              <w:spacing w:before="120" w:after="120" w:line="288" w:lineRule="auto"/>
              <w:ind w:left="0"/>
              <w:jc w:val="left"/>
            </w:pPr>
            <w:r>
              <w:rPr>
                <w:rFonts w:ascii="Arial" w:hAnsi="Arial" w:eastAsia="等线" w:cs="Arial"/>
                <w:sz w:val="22"/>
              </w:rPr>
              <w:t>The last trade of an option is 4 :00 p.m. EST on the third Friday of the expiration month. The last exercise is 5:30 p.m. EST on the third Friday of the expiration month. And, options expire 11:59 p.m. EST on the third Friday of the expiration month.</w:t>
            </w:r>
          </w:p>
          <w:p w14:paraId="1F93EAFF">
            <w:pPr>
              <w:spacing w:before="120" w:after="120" w:line="288" w:lineRule="auto"/>
              <w:ind w:left="0"/>
              <w:jc w:val="left"/>
            </w:pPr>
            <w:r>
              <w:rPr>
                <w:rFonts w:ascii="Arial" w:hAnsi="Arial" w:eastAsia="等线" w:cs="Arial"/>
                <w:sz w:val="22"/>
              </w:rPr>
              <w:t>期权的最后一笔交易时间为到期月份第三个周五的美国东部时间下午4:00。最后行权时间为到期月份第三个周五的美国东部时间下午5:30。此外，期权在美国东部时间到期月份第三个周五的晚上11:59到期。</w:t>
            </w:r>
          </w:p>
          <w:p w14:paraId="3BD33E61">
            <w:pPr>
              <w:spacing w:before="120" w:after="120" w:line="288" w:lineRule="auto"/>
              <w:ind w:left="0"/>
              <w:jc w:val="left"/>
            </w:pPr>
          </w:p>
          <w:p w14:paraId="6DA231A1">
            <w:pPr>
              <w:spacing w:before="120" w:after="120" w:line="288" w:lineRule="auto"/>
              <w:ind w:left="0"/>
              <w:jc w:val="left"/>
            </w:pPr>
            <w:r>
              <w:rPr>
                <w:rFonts w:ascii="Arial" w:hAnsi="Arial" w:eastAsia="等线" w:cs="Arial"/>
                <w:b/>
                <w:sz w:val="22"/>
              </w:rPr>
              <w:t>13.C</w:t>
            </w:r>
          </w:p>
          <w:p w14:paraId="41F5892F">
            <w:pPr>
              <w:spacing w:before="120" w:after="120" w:line="288" w:lineRule="auto"/>
              <w:ind w:left="0"/>
              <w:jc w:val="left"/>
            </w:pPr>
            <w:r>
              <w:rPr>
                <w:rFonts w:ascii="Arial" w:hAnsi="Arial" w:eastAsia="等线" w:cs="Arial"/>
                <w:sz w:val="22"/>
              </w:rPr>
              <w:t xml:space="preserve">When buying or selling a call option with no other positions, you need to add the premium to the strike (exercise) price to get the break-even point. In this case, it doesn’t matter whether this investor was purchasing or selling the option because both break even at the same price. </w:t>
            </w:r>
          </w:p>
          <w:p w14:paraId="42FC2429">
            <w:pPr>
              <w:spacing w:before="120" w:after="120" w:line="288" w:lineRule="auto"/>
              <w:ind w:left="0"/>
              <w:jc w:val="left"/>
            </w:pPr>
            <w:r>
              <w:rPr>
                <w:rFonts w:ascii="Arial" w:hAnsi="Arial" w:eastAsia="等线" w:cs="Arial"/>
                <w:sz w:val="22"/>
              </w:rPr>
              <w:t>40+3=43</w:t>
            </w:r>
          </w:p>
          <w:p w14:paraId="1C10BEA1">
            <w:pPr>
              <w:spacing w:before="120" w:after="120" w:line="288" w:lineRule="auto"/>
              <w:ind w:left="0"/>
              <w:jc w:val="left"/>
            </w:pPr>
            <w:r>
              <w:rPr>
                <w:rFonts w:ascii="Arial" w:hAnsi="Arial" w:eastAsia="等线" w:cs="Arial"/>
                <w:sz w:val="22"/>
              </w:rPr>
              <w:t>当在没有其他头寸的情况下买卖看涨期权时，你需要将权利金加到执行价格上以得到盈亏平衡点。在这种情况下，这位投资者是买入还是卖出期权并不重要，因为两者在相同价格时达到盈亏平衡。</w:t>
            </w:r>
          </w:p>
          <w:p w14:paraId="64B8F859">
            <w:pPr>
              <w:spacing w:before="120" w:after="120" w:line="288" w:lineRule="auto"/>
              <w:ind w:left="0"/>
              <w:jc w:val="left"/>
            </w:pPr>
            <w:r>
              <w:rPr>
                <w:rFonts w:ascii="Arial" w:hAnsi="Arial" w:eastAsia="等线" w:cs="Arial"/>
                <w:sz w:val="22"/>
              </w:rPr>
              <w:t>40+3=43</w:t>
            </w:r>
          </w:p>
          <w:p w14:paraId="44AC7DB8">
            <w:pPr>
              <w:spacing w:before="120" w:after="120" w:line="288" w:lineRule="auto"/>
              <w:ind w:left="0"/>
              <w:jc w:val="left"/>
            </w:pPr>
          </w:p>
          <w:p w14:paraId="1FDD13C5">
            <w:pPr>
              <w:spacing w:before="120" w:after="120" w:line="288" w:lineRule="auto"/>
              <w:ind w:left="0"/>
              <w:jc w:val="left"/>
            </w:pPr>
            <w:r>
              <w:rPr>
                <w:rFonts w:ascii="Arial" w:hAnsi="Arial" w:eastAsia="等线" w:cs="Arial"/>
                <w:b/>
                <w:sz w:val="22"/>
              </w:rPr>
              <w:t>14.A</w:t>
            </w:r>
          </w:p>
          <w:p w14:paraId="3CC83A0C">
            <w:pPr>
              <w:spacing w:before="120" w:after="120" w:line="288" w:lineRule="auto"/>
              <w:ind w:left="0"/>
              <w:jc w:val="left"/>
            </w:pPr>
            <w:r>
              <w:rPr>
                <w:rFonts w:ascii="Arial" w:hAnsi="Arial" w:eastAsia="等线" w:cs="Arial"/>
                <w:sz w:val="22"/>
              </w:rPr>
              <w:t>Since the investor shorted (sold) the option for $600 (6 × 100 shares per option), they</w:t>
            </w:r>
          </w:p>
          <w:p w14:paraId="7A92979F">
            <w:pPr>
              <w:spacing w:before="120" w:after="120" w:line="288" w:lineRule="auto"/>
              <w:ind w:left="0"/>
              <w:jc w:val="left"/>
            </w:pPr>
            <w:r>
              <w:rPr>
                <w:rFonts w:ascii="Arial" w:hAnsi="Arial" w:eastAsia="等线" w:cs="Arial"/>
                <w:sz w:val="22"/>
              </w:rPr>
              <w:t>received $600, so you have to put that on the “Money In” side of the chart. That tells you</w:t>
            </w:r>
          </w:p>
          <w:p w14:paraId="5688928A">
            <w:pPr>
              <w:spacing w:before="120" w:after="120" w:line="288" w:lineRule="auto"/>
              <w:ind w:left="0"/>
              <w:jc w:val="left"/>
            </w:pPr>
            <w:r>
              <w:rPr>
                <w:rFonts w:ascii="Arial" w:hAnsi="Arial" w:eastAsia="等线" w:cs="Arial"/>
                <w:sz w:val="22"/>
              </w:rPr>
              <w:t>that their maximum potential gain is $600. To determine the maximum potential loss, you</w:t>
            </w:r>
          </w:p>
          <w:p w14:paraId="4B6A8EF6">
            <w:pPr>
              <w:spacing w:before="120" w:after="120" w:line="288" w:lineRule="auto"/>
              <w:ind w:left="0"/>
              <w:jc w:val="left"/>
            </w:pPr>
            <w:r>
              <w:rPr>
                <w:rFonts w:ascii="Arial" w:hAnsi="Arial" w:eastAsia="等线" w:cs="Arial"/>
                <w:sz w:val="22"/>
              </w:rPr>
              <w:t>have to exercise the option. So, you exercise at the strike (exercise) price of 40. This means</w:t>
            </w:r>
          </w:p>
          <w:p w14:paraId="7F316D59">
            <w:pPr>
              <w:spacing w:before="120" w:after="120" w:line="288" w:lineRule="auto"/>
              <w:ind w:left="0"/>
              <w:jc w:val="left"/>
            </w:pPr>
            <w:r>
              <w:rPr>
                <w:rFonts w:ascii="Arial" w:hAnsi="Arial" w:eastAsia="等线" w:cs="Arial"/>
                <w:sz w:val="22"/>
              </w:rPr>
              <w:t>that you have to put $4,000 (40 strike price × 100 shares per option) on the opposite side of</w:t>
            </w:r>
          </w:p>
          <w:p w14:paraId="4433876F">
            <w:pPr>
              <w:spacing w:before="120" w:after="120" w:line="288" w:lineRule="auto"/>
              <w:ind w:left="0"/>
              <w:jc w:val="left"/>
            </w:pPr>
            <w:r>
              <w:rPr>
                <w:rFonts w:ascii="Arial" w:hAnsi="Arial" w:eastAsia="等线" w:cs="Arial"/>
                <w:sz w:val="22"/>
              </w:rPr>
              <w:t>its premium because puts switch (the exercised premium goes on the opposite side of the</w:t>
            </w:r>
          </w:p>
          <w:p w14:paraId="7AA23461">
            <w:pPr>
              <w:spacing w:before="120" w:after="120" w:line="288" w:lineRule="auto"/>
              <w:ind w:left="0"/>
              <w:jc w:val="left"/>
            </w:pPr>
            <w:r>
              <w:rPr>
                <w:rFonts w:ascii="Arial" w:hAnsi="Arial" w:eastAsia="等线" w:cs="Arial"/>
                <w:sz w:val="22"/>
              </w:rPr>
              <w:t>chart from its premium). Now you see that there is $3,400 more Out than in ($4,000 –</w:t>
            </w:r>
          </w:p>
          <w:p w14:paraId="576E2A7F">
            <w:pPr>
              <w:spacing w:before="120" w:after="120" w:line="288" w:lineRule="auto"/>
              <w:ind w:left="0"/>
              <w:jc w:val="left"/>
            </w:pPr>
            <w:r>
              <w:rPr>
                <w:rFonts w:ascii="Arial" w:hAnsi="Arial" w:eastAsia="等线" w:cs="Arial"/>
                <w:sz w:val="22"/>
              </w:rPr>
              <w:t>$600), so that’s the maximum potential loss.</w:t>
            </w:r>
          </w:p>
          <w:p w14:paraId="41498269">
            <w:pPr>
              <w:spacing w:before="120" w:after="120" w:line="288" w:lineRule="auto"/>
              <w:ind w:left="0"/>
              <w:jc w:val="left"/>
            </w:pPr>
            <w:r>
              <w:rPr>
                <w:rFonts w:ascii="Arial" w:hAnsi="Arial" w:eastAsia="等线" w:cs="Arial"/>
                <w:sz w:val="22"/>
              </w:rPr>
              <w:t>由于投资者以600美元的价格卖空（卖出）期权（每个期权6 × 100股），他们收到了600美元，所以你必须把它放在图表的“进场”一侧。这告诉你他们的最大潜在收益是600美元。为了确定最大的潜在损失，你必须执行期权。你以40的行权价格行权。这意味着\（40\）。这意味着你必须把4000美元（40）执行价x 100股/期权)放在期权金的另一边，因为看跌期权互换（执行的期权金位于期权金的另一边）。现在你看到，输出比输入（$4,000 - $($4,000 - $)$600）多出3,400美元，所以这是最大的潜在损失。</w:t>
            </w:r>
          </w:p>
          <w:p w14:paraId="6EA63DB4">
            <w:pPr>
              <w:spacing w:before="120" w:after="120" w:line="288" w:lineRule="auto"/>
              <w:ind w:left="0"/>
              <w:jc w:val="left"/>
            </w:pPr>
          </w:p>
          <w:p w14:paraId="3DFC451A">
            <w:pPr>
              <w:spacing w:before="120" w:after="120" w:line="288" w:lineRule="auto"/>
              <w:ind w:left="0"/>
              <w:jc w:val="left"/>
            </w:pPr>
            <w:r>
              <w:rPr>
                <w:rFonts w:ascii="Arial" w:hAnsi="Arial" w:eastAsia="等线" w:cs="Arial"/>
                <w:b/>
                <w:sz w:val="22"/>
              </w:rPr>
              <w:t>15.A</w:t>
            </w:r>
          </w:p>
          <w:p w14:paraId="54B02A0E">
            <w:pPr>
              <w:spacing w:before="120" w:after="120" w:line="288" w:lineRule="auto"/>
              <w:ind w:left="0"/>
              <w:jc w:val="left"/>
            </w:pPr>
            <w:r>
              <w:rPr>
                <w:rFonts w:ascii="Arial" w:hAnsi="Arial" w:eastAsia="等线" w:cs="Arial"/>
                <w:sz w:val="22"/>
              </w:rPr>
              <w:t xml:space="preserve">When buying or selling a put option with no other positions, you need to subtract the premium from the strike (exercise) price to get the break-even point. In this case, it doesn’t matter whether this investor was purchasing or selling the option, because both break even at the same price. </w:t>
            </w:r>
          </w:p>
          <w:p w14:paraId="675F020D">
            <w:pPr>
              <w:spacing w:before="120" w:after="120" w:line="288" w:lineRule="auto"/>
              <w:ind w:left="0"/>
              <w:jc w:val="left"/>
            </w:pPr>
            <w:r>
              <w:rPr>
                <w:rFonts w:ascii="Arial" w:hAnsi="Arial" w:eastAsia="等线" w:cs="Arial"/>
                <w:sz w:val="22"/>
              </w:rPr>
              <w:t>60-4=56</w:t>
            </w:r>
          </w:p>
          <w:p w14:paraId="277044A5">
            <w:pPr>
              <w:spacing w:before="120" w:after="120" w:line="288" w:lineRule="auto"/>
              <w:ind w:left="0"/>
              <w:jc w:val="left"/>
            </w:pPr>
            <w:r>
              <w:rPr>
                <w:rFonts w:ascii="Arial" w:hAnsi="Arial" w:eastAsia="等线" w:cs="Arial"/>
                <w:sz w:val="22"/>
              </w:rPr>
              <w:t>当买入或卖出看跌期权且没有其他头寸时，你需要从行权价中减去权利金以得到盈亏平衡点。在这种情况下，该投资者是买入还是卖出期权并不重要，因为两者的盈亏平衡点价格相同。</w:t>
            </w:r>
          </w:p>
          <w:p w14:paraId="5157F036">
            <w:pPr>
              <w:spacing w:before="120" w:after="120" w:line="288" w:lineRule="auto"/>
              <w:ind w:left="0"/>
              <w:jc w:val="left"/>
            </w:pPr>
            <w:r>
              <w:rPr>
                <w:rFonts w:ascii="Arial" w:hAnsi="Arial" w:eastAsia="等线" w:cs="Arial"/>
                <w:sz w:val="22"/>
              </w:rPr>
              <w:t>60-4=56</w:t>
            </w:r>
          </w:p>
          <w:p w14:paraId="654032A5">
            <w:pPr>
              <w:spacing w:before="120" w:after="120" w:line="288" w:lineRule="auto"/>
              <w:ind w:left="0"/>
              <w:jc w:val="left"/>
            </w:pPr>
          </w:p>
          <w:p w14:paraId="33953BBD">
            <w:pPr>
              <w:spacing w:before="120" w:after="120" w:line="288" w:lineRule="auto"/>
              <w:ind w:left="0"/>
              <w:jc w:val="left"/>
            </w:pPr>
            <w:r>
              <w:rPr>
                <w:rFonts w:ascii="Arial" w:hAnsi="Arial" w:eastAsia="等线" w:cs="Arial"/>
                <w:b/>
                <w:sz w:val="22"/>
              </w:rPr>
              <w:t>16.B</w:t>
            </w:r>
          </w:p>
          <w:p w14:paraId="4E469CF2">
            <w:pPr>
              <w:spacing w:before="120" w:after="120" w:line="288" w:lineRule="auto"/>
              <w:ind w:left="0"/>
              <w:jc w:val="left"/>
            </w:pPr>
            <w:r>
              <w:rPr>
                <w:rFonts w:ascii="Arial" w:hAnsi="Arial" w:eastAsia="等线" w:cs="Arial"/>
                <w:sz w:val="22"/>
              </w:rPr>
              <w:t>Call options go in-the-money when the price of the underlying stock goes above the strike price, and put options go in-the-money when the price of the underlying stock goes below the strike price. Therefore, answers “I” and “IV” are both in-the-money.</w:t>
            </w:r>
          </w:p>
          <w:p w14:paraId="003E10D9">
            <w:pPr>
              <w:spacing w:before="120" w:after="120" w:line="288" w:lineRule="auto"/>
              <w:ind w:left="0"/>
              <w:jc w:val="left"/>
            </w:pPr>
            <w:r>
              <w:rPr>
                <w:rFonts w:ascii="Arial" w:hAnsi="Arial" w:eastAsia="等线" w:cs="Arial"/>
                <w:sz w:val="22"/>
              </w:rPr>
              <w:t>看涨期权在标的股票价格高于行权价时处于实值状态，看跌期权在标的股票价格低于行权价时处于实值状态。因此，答案“I”和“IV”均为实值期权。</w:t>
            </w:r>
          </w:p>
          <w:p w14:paraId="6B5AF509">
            <w:pPr>
              <w:spacing w:before="120" w:after="120" w:line="288" w:lineRule="auto"/>
              <w:ind w:left="0"/>
              <w:jc w:val="left"/>
            </w:pPr>
          </w:p>
          <w:p w14:paraId="7D9BE3E8">
            <w:pPr>
              <w:spacing w:before="120" w:after="120" w:line="288" w:lineRule="auto"/>
              <w:ind w:left="0"/>
              <w:jc w:val="left"/>
            </w:pPr>
            <w:r>
              <w:rPr>
                <w:rFonts w:ascii="Arial" w:hAnsi="Arial" w:eastAsia="等线" w:cs="Arial"/>
                <w:b/>
                <w:sz w:val="22"/>
              </w:rPr>
              <w:t>17.C</w:t>
            </w:r>
          </w:p>
          <w:p w14:paraId="46C913E1">
            <w:pPr>
              <w:spacing w:before="120" w:after="120" w:line="288" w:lineRule="auto"/>
              <w:ind w:left="0"/>
              <w:jc w:val="left"/>
            </w:pPr>
            <w:r>
              <w:rPr>
                <w:rFonts w:ascii="Arial" w:hAnsi="Arial" w:eastAsia="等线" w:cs="Arial"/>
                <w:sz w:val="22"/>
              </w:rPr>
              <w:t>Before a customer opens an options account, they must receive an ODD (options risk disclosure document). This is the document that explains all of the risks of investing in options so that customers will understand what they’re getting into.</w:t>
            </w:r>
          </w:p>
          <w:p w14:paraId="222ADA44">
            <w:pPr>
              <w:spacing w:before="120" w:after="120" w:line="288" w:lineRule="auto"/>
              <w:ind w:left="0"/>
              <w:jc w:val="left"/>
            </w:pPr>
            <w:r>
              <w:rPr>
                <w:rFonts w:ascii="Arial" w:hAnsi="Arial" w:eastAsia="等线" w:cs="Arial"/>
                <w:sz w:val="22"/>
              </w:rPr>
              <w:t>在客户开设期权账户之前，他们必须收到一份ODD（期权风险披露文件）。这份文件会解释投资期权的所有风险，以便客户了解自己将要参与的投资情况。</w:t>
            </w:r>
          </w:p>
          <w:p w14:paraId="07FA281C">
            <w:pPr>
              <w:spacing w:before="120" w:after="120" w:line="288" w:lineRule="auto"/>
              <w:ind w:left="0"/>
              <w:jc w:val="left"/>
            </w:pPr>
          </w:p>
          <w:p w14:paraId="361F99F7">
            <w:pPr>
              <w:spacing w:before="120" w:after="120" w:line="288" w:lineRule="auto"/>
              <w:ind w:left="0"/>
              <w:jc w:val="left"/>
            </w:pPr>
            <w:r>
              <w:rPr>
                <w:rFonts w:ascii="Arial" w:hAnsi="Arial" w:eastAsia="等线" w:cs="Arial"/>
                <w:b/>
                <w:sz w:val="22"/>
              </w:rPr>
              <w:t>18.A</w:t>
            </w:r>
          </w:p>
          <w:p w14:paraId="06E2C6B2">
            <w:pPr>
              <w:spacing w:before="120" w:after="120" w:line="288" w:lineRule="auto"/>
              <w:ind w:left="0"/>
              <w:jc w:val="left"/>
            </w:pPr>
            <w:r>
              <w:rPr>
                <w:rFonts w:ascii="Arial" w:hAnsi="Arial" w:eastAsia="等线" w:cs="Arial"/>
                <w:sz w:val="22"/>
              </w:rPr>
              <w:t>When writing (selling) an option with no other position, the maximum potential gain is the premium received. To determine the break-even point for a call option, call up, which means to add the premium to the strike price.</w:t>
            </w:r>
          </w:p>
          <w:p w14:paraId="0E0A1B6F">
            <w:pPr>
              <w:spacing w:before="120" w:after="120" w:line="288" w:lineRule="auto"/>
              <w:ind w:left="0"/>
              <w:jc w:val="left"/>
            </w:pPr>
            <w:r>
              <w:rPr>
                <w:rFonts w:ascii="Arial" w:hAnsi="Arial" w:eastAsia="等线" w:cs="Arial"/>
                <w:sz w:val="22"/>
              </w:rPr>
              <w:t>当在没有其他头寸的情况下卖出期权时，最大潜在收益是所收到的权利金。要确定看涨期权的盈亏平衡点，需“看涨向上”，即把权利金加到行权价上。</w:t>
            </w:r>
          </w:p>
          <w:p w14:paraId="3EC0A9AF">
            <w:pPr>
              <w:spacing w:before="120" w:after="120" w:line="288" w:lineRule="auto"/>
              <w:ind w:left="0"/>
              <w:jc w:val="left"/>
            </w:pPr>
          </w:p>
          <w:p w14:paraId="7D9B05C7">
            <w:pPr>
              <w:spacing w:before="120" w:after="120" w:line="288" w:lineRule="auto"/>
              <w:ind w:left="0"/>
              <w:jc w:val="left"/>
            </w:pPr>
            <w:r>
              <w:rPr>
                <w:rFonts w:ascii="Arial" w:hAnsi="Arial" w:eastAsia="等线" w:cs="Arial"/>
                <w:b/>
                <w:sz w:val="22"/>
              </w:rPr>
              <w:t>19.A</w:t>
            </w:r>
          </w:p>
          <w:p w14:paraId="0125AA1A">
            <w:pPr>
              <w:spacing w:before="120" w:after="120" w:line="288" w:lineRule="auto"/>
              <w:ind w:left="0"/>
              <w:jc w:val="left"/>
            </w:pPr>
            <w:r>
              <w:rPr>
                <w:rFonts w:ascii="Arial" w:hAnsi="Arial" w:eastAsia="等线" w:cs="Arial"/>
                <w:sz w:val="22"/>
              </w:rPr>
              <w:t>Index options are settled in cash by multiplying the in-the-money amount by 100 per option.</w:t>
            </w:r>
          </w:p>
          <w:p w14:paraId="0EF236D1">
            <w:pPr>
              <w:spacing w:before="120" w:after="120" w:line="288" w:lineRule="auto"/>
              <w:ind w:left="0"/>
              <w:jc w:val="left"/>
            </w:pPr>
            <w:r>
              <w:rPr>
                <w:rFonts w:ascii="Arial" w:hAnsi="Arial" w:eastAsia="等线" w:cs="Arial"/>
                <w:sz w:val="22"/>
              </w:rPr>
              <w:t>指数期权以现金结算，计算方式是将实值金额乘以每份期权100。</w:t>
            </w:r>
          </w:p>
          <w:p w14:paraId="3DA6B4E3">
            <w:pPr>
              <w:spacing w:before="120" w:after="120" w:line="288" w:lineRule="auto"/>
              <w:ind w:left="0"/>
              <w:jc w:val="left"/>
            </w:pPr>
          </w:p>
          <w:p w14:paraId="5AD0AF73">
            <w:pPr>
              <w:spacing w:before="120" w:after="120" w:line="288" w:lineRule="auto"/>
              <w:ind w:left="0"/>
              <w:jc w:val="left"/>
            </w:pPr>
            <w:r>
              <w:rPr>
                <w:rFonts w:ascii="Arial" w:hAnsi="Arial" w:eastAsia="等线" w:cs="Arial"/>
                <w:b/>
                <w:sz w:val="22"/>
              </w:rPr>
              <w:t>20.D</w:t>
            </w:r>
          </w:p>
          <w:p w14:paraId="48EDB878">
            <w:pPr>
              <w:spacing w:before="120" w:after="120" w:line="288" w:lineRule="auto"/>
              <w:ind w:left="0"/>
              <w:jc w:val="left"/>
            </w:pPr>
            <w:r>
              <w:rPr>
                <w:rFonts w:ascii="Arial" w:hAnsi="Arial" w:eastAsia="等线" w:cs="Arial"/>
                <w:sz w:val="22"/>
              </w:rPr>
              <w:t>This investor purchased a protective put to limit their potential downside loss. You could set this up in an options chart but in this case, it’s probably not necessary. This investor purchased the stock for $45 per share, and since options are for 100 shares, they purchased the option for $4 per share. This means that they spent $49 ($45 + $4) per share to purchase both positions. This means that their breakeven point is $49.</w:t>
            </w:r>
          </w:p>
          <w:p w14:paraId="6587A53A">
            <w:pPr>
              <w:spacing w:before="120" w:after="120" w:line="288" w:lineRule="auto"/>
              <w:ind w:left="0"/>
              <w:jc w:val="left"/>
            </w:pPr>
            <w:r>
              <w:rPr>
                <w:rFonts w:ascii="Arial" w:hAnsi="Arial" w:eastAsia="等线" w:cs="Arial"/>
                <w:sz w:val="22"/>
              </w:rPr>
              <w:t>这位投资者购买了保护性看跌期权，以限制潜在的下行损失。你可以在期权图表中设置它，但在这种情况下，可能没有必要。这个投资者以每股45美元的价格购买了股票，由于期权是100股，他们以每股4美元的价格购买了期权。这意味着他们花了每股49美元（45美元+ 4美元）来购买这两个头寸。这意味着他们的盈亏平衡点是49美元。</w:t>
            </w:r>
          </w:p>
          <w:p w14:paraId="4064658C">
            <w:pPr>
              <w:spacing w:before="120" w:after="120" w:line="288" w:lineRule="auto"/>
              <w:ind w:left="0"/>
              <w:jc w:val="left"/>
            </w:pPr>
          </w:p>
          <w:p w14:paraId="2DCCD2A8">
            <w:pPr>
              <w:spacing w:before="120" w:after="120" w:line="288" w:lineRule="auto"/>
              <w:ind w:left="0"/>
              <w:jc w:val="left"/>
            </w:pPr>
            <w:r>
              <w:rPr>
                <w:rFonts w:ascii="Arial" w:hAnsi="Arial" w:eastAsia="等线" w:cs="Arial"/>
                <w:b/>
                <w:sz w:val="22"/>
              </w:rPr>
              <w:t>21.A</w:t>
            </w:r>
          </w:p>
          <w:p w14:paraId="2D40546E">
            <w:pPr>
              <w:spacing w:before="120" w:after="120" w:line="288" w:lineRule="auto"/>
              <w:ind w:left="0"/>
              <w:jc w:val="left"/>
            </w:pPr>
            <w:r>
              <w:rPr>
                <w:rFonts w:ascii="Arial" w:hAnsi="Arial" w:eastAsia="等线" w:cs="Arial"/>
                <w:sz w:val="22"/>
              </w:rPr>
              <w:t>This question introduces stock trades as well as options transactions, but that’s no problem. The options chart works for questions involving actual stocks and options or just options.</w:t>
            </w:r>
          </w:p>
          <w:p w14:paraId="6538BFCD">
            <w:pPr>
              <w:spacing w:before="120" w:after="120" w:line="288" w:lineRule="auto"/>
              <w:ind w:left="0"/>
              <w:jc w:val="left"/>
            </w:pPr>
            <w:r>
              <w:rPr>
                <w:rFonts w:ascii="Arial" w:hAnsi="Arial" w:eastAsia="等线" w:cs="Arial"/>
                <w:sz w:val="22"/>
              </w:rPr>
              <w:t>这个问题涉及股票交易和期权交易，但这没问题。期权图表适用于涉及实际股票和期权或仅涉及期权的问题。</w:t>
            </w:r>
          </w:p>
        </w:tc>
      </w:tr>
    </w:tbl>
    <w:p w14:paraId="4936FEFD">
      <w:pPr>
        <w:spacing w:before="120" w:after="120" w:line="288" w:lineRule="auto"/>
        <w:ind w:left="0"/>
        <w:jc w:val="left"/>
      </w:pPr>
      <w:bookmarkStart w:id="36" w:name="_GoBack"/>
      <w:bookmarkEnd w:id="36"/>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1929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AC867">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15"/>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3"/>
      <w:numFmt w:val="decimal"/>
      <w:lvlText w:val="%1."/>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5"/>
      <w:numFmt w:val="decimal"/>
      <w:lvlText w:val="%1."/>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9"/>
      <w:numFmt w:val="decimal"/>
      <w:lvlText w:val="%1."/>
      <w:lvlJc w:val="left"/>
      <w:rPr>
        <w:color w:val="3370FF"/>
      </w:rPr>
    </w:lvl>
  </w:abstractNum>
  <w:abstractNum w:abstractNumId="7">
    <w:nsid w:val="9239341B"/>
    <w:multiLevelType w:val="singleLevel"/>
    <w:tmpl w:val="9239341B"/>
    <w:lvl w:ilvl="0" w:tentative="0">
      <w:start w:val="5"/>
      <w:numFmt w:val="decimal"/>
      <w:lvlText w:val="%1."/>
      <w:lvlJc w:val="left"/>
      <w:rPr>
        <w:color w:val="3370FF"/>
      </w:rPr>
    </w:lvl>
  </w:abstractNum>
  <w:abstractNum w:abstractNumId="8">
    <w:nsid w:val="9288B902"/>
    <w:multiLevelType w:val="singleLevel"/>
    <w:tmpl w:val="9288B902"/>
    <w:lvl w:ilvl="0" w:tentative="0">
      <w:start w:val="0"/>
      <w:numFmt w:val="bullet"/>
      <w:lvlText w:val="•"/>
      <w:lvlJc w:val="left"/>
      <w:rPr>
        <w:color w:val="3370FF"/>
      </w:rPr>
    </w:lvl>
  </w:abstractNum>
  <w:abstractNum w:abstractNumId="9">
    <w:nsid w:val="9377BC45"/>
    <w:multiLevelType w:val="singleLevel"/>
    <w:tmpl w:val="9377BC45"/>
    <w:lvl w:ilvl="0" w:tentative="0">
      <w:start w:val="6"/>
      <w:numFmt w:val="decimal"/>
      <w:lvlText w:val="%1."/>
      <w:lvlJc w:val="left"/>
      <w:rPr>
        <w:color w:val="3370FF"/>
      </w:rPr>
    </w:lvl>
  </w:abstractNum>
  <w:abstractNum w:abstractNumId="10">
    <w:nsid w:val="9ACF65A0"/>
    <w:multiLevelType w:val="singleLevel"/>
    <w:tmpl w:val="9ACF65A0"/>
    <w:lvl w:ilvl="0" w:tentative="0">
      <w:start w:val="2"/>
      <w:numFmt w:val="decimal"/>
      <w:lvlText w:val="%1."/>
      <w:lvlJc w:val="left"/>
      <w:rPr>
        <w:color w:val="3370FF"/>
      </w:rPr>
    </w:lvl>
  </w:abstractNum>
  <w:abstractNum w:abstractNumId="11">
    <w:nsid w:val="9C11E984"/>
    <w:multiLevelType w:val="singleLevel"/>
    <w:tmpl w:val="9C11E984"/>
    <w:lvl w:ilvl="0" w:tentative="0">
      <w:start w:val="20"/>
      <w:numFmt w:val="decimal"/>
      <w:lvlText w:val="%1."/>
      <w:lvlJc w:val="left"/>
      <w:rPr>
        <w:color w:val="3370FF"/>
      </w:rPr>
    </w:lvl>
  </w:abstractNum>
  <w:abstractNum w:abstractNumId="12">
    <w:nsid w:val="9C8AC8EF"/>
    <w:multiLevelType w:val="singleLevel"/>
    <w:tmpl w:val="9C8AC8EF"/>
    <w:lvl w:ilvl="0" w:tentative="0">
      <w:start w:val="0"/>
      <w:numFmt w:val="bullet"/>
      <w:lvlText w:val="•"/>
      <w:lvlJc w:val="left"/>
      <w:rPr>
        <w:color w:val="3370FF"/>
      </w:rPr>
    </w:lvl>
  </w:abstractNum>
  <w:abstractNum w:abstractNumId="13">
    <w:nsid w:val="9D5D7490"/>
    <w:multiLevelType w:val="singleLevel"/>
    <w:tmpl w:val="9D5D7490"/>
    <w:lvl w:ilvl="0" w:tentative="0">
      <w:start w:val="7"/>
      <w:numFmt w:val="decimal"/>
      <w:lvlText w:val="%1."/>
      <w:lvlJc w:val="left"/>
      <w:rPr>
        <w:color w:val="3370FF"/>
      </w:rPr>
    </w:lvl>
  </w:abstractNum>
  <w:abstractNum w:abstractNumId="14">
    <w:nsid w:val="A0C93552"/>
    <w:multiLevelType w:val="singleLevel"/>
    <w:tmpl w:val="A0C93552"/>
    <w:lvl w:ilvl="0" w:tentative="0">
      <w:start w:val="0"/>
      <w:numFmt w:val="bullet"/>
      <w:lvlText w:val="￮"/>
      <w:lvlJc w:val="left"/>
      <w:rPr>
        <w:color w:val="3370FF"/>
      </w:rPr>
    </w:lvl>
  </w:abstractNum>
  <w:abstractNum w:abstractNumId="15">
    <w:nsid w:val="A0F05207"/>
    <w:multiLevelType w:val="singleLevel"/>
    <w:tmpl w:val="A0F05207"/>
    <w:lvl w:ilvl="0" w:tentative="0">
      <w:start w:val="0"/>
      <w:numFmt w:val="bullet"/>
      <w:lvlText w:val="▪"/>
      <w:lvlJc w:val="left"/>
      <w:rPr>
        <w:color w:val="3370FF"/>
        <w:sz w:val="11"/>
      </w:rPr>
    </w:lvl>
  </w:abstractNum>
  <w:abstractNum w:abstractNumId="16">
    <w:nsid w:val="AAF3F3FA"/>
    <w:multiLevelType w:val="singleLevel"/>
    <w:tmpl w:val="AAF3F3FA"/>
    <w:lvl w:ilvl="0" w:tentative="0">
      <w:start w:val="8"/>
      <w:numFmt w:val="decimal"/>
      <w:lvlText w:val="%1."/>
      <w:lvlJc w:val="left"/>
      <w:rPr>
        <w:color w:val="3370FF"/>
      </w:rPr>
    </w:lvl>
  </w:abstractNum>
  <w:abstractNum w:abstractNumId="17">
    <w:nsid w:val="B0ED9BEA"/>
    <w:multiLevelType w:val="singleLevel"/>
    <w:tmpl w:val="B0ED9BEA"/>
    <w:lvl w:ilvl="0" w:tentative="0">
      <w:start w:val="5"/>
      <w:numFmt w:val="decimal"/>
      <w:lvlText w:val="%1."/>
      <w:lvlJc w:val="left"/>
      <w:rPr>
        <w:color w:val="3370FF"/>
      </w:rPr>
    </w:lvl>
  </w:abstractNum>
  <w:abstractNum w:abstractNumId="18">
    <w:nsid w:val="B0F1ACD9"/>
    <w:multiLevelType w:val="singleLevel"/>
    <w:tmpl w:val="B0F1ACD9"/>
    <w:lvl w:ilvl="0" w:tentative="0">
      <w:start w:val="3"/>
      <w:numFmt w:val="decimal"/>
      <w:lvlText w:val="%1."/>
      <w:lvlJc w:val="left"/>
      <w:rPr>
        <w:color w:val="3370FF"/>
      </w:rPr>
    </w:lvl>
  </w:abstractNum>
  <w:abstractNum w:abstractNumId="19">
    <w:nsid w:val="B23A94A9"/>
    <w:multiLevelType w:val="singleLevel"/>
    <w:tmpl w:val="B23A94A9"/>
    <w:lvl w:ilvl="0" w:tentative="0">
      <w:start w:val="0"/>
      <w:numFmt w:val="bullet"/>
      <w:lvlText w:val="▪"/>
      <w:lvlJc w:val="left"/>
      <w:rPr>
        <w:color w:val="3370FF"/>
        <w:sz w:val="11"/>
      </w:rPr>
    </w:lvl>
  </w:abstractNum>
  <w:abstractNum w:abstractNumId="20">
    <w:nsid w:val="B53F3350"/>
    <w:multiLevelType w:val="singleLevel"/>
    <w:tmpl w:val="B53F3350"/>
    <w:lvl w:ilvl="0" w:tentative="0">
      <w:start w:val="0"/>
      <w:numFmt w:val="bullet"/>
      <w:lvlText w:val="•"/>
      <w:lvlJc w:val="left"/>
      <w:rPr>
        <w:color w:val="3370FF"/>
      </w:rPr>
    </w:lvl>
  </w:abstractNum>
  <w:abstractNum w:abstractNumId="21">
    <w:nsid w:val="B5E306ED"/>
    <w:multiLevelType w:val="singleLevel"/>
    <w:tmpl w:val="B5E306ED"/>
    <w:lvl w:ilvl="0" w:tentative="0">
      <w:start w:val="0"/>
      <w:numFmt w:val="bullet"/>
      <w:lvlText w:val="•"/>
      <w:lvlJc w:val="left"/>
      <w:rPr>
        <w:color w:val="3370FF"/>
      </w:rPr>
    </w:lvl>
  </w:abstractNum>
  <w:abstractNum w:abstractNumId="22">
    <w:nsid w:val="B88D21A8"/>
    <w:multiLevelType w:val="singleLevel"/>
    <w:tmpl w:val="B88D21A8"/>
    <w:lvl w:ilvl="0" w:tentative="0">
      <w:start w:val="0"/>
      <w:numFmt w:val="bullet"/>
      <w:lvlText w:val="￮"/>
      <w:lvlJc w:val="left"/>
      <w:rPr>
        <w:color w:val="3370FF"/>
      </w:rPr>
    </w:lvl>
  </w:abstractNum>
  <w:abstractNum w:abstractNumId="23">
    <w:nsid w:val="B8CEF35B"/>
    <w:multiLevelType w:val="singleLevel"/>
    <w:tmpl w:val="B8CEF35B"/>
    <w:lvl w:ilvl="0" w:tentative="0">
      <w:start w:val="1"/>
      <w:numFmt w:val="decimal"/>
      <w:lvlText w:val="%1."/>
      <w:lvlJc w:val="left"/>
      <w:rPr>
        <w:color w:val="3370FF"/>
      </w:rPr>
    </w:lvl>
  </w:abstractNum>
  <w:abstractNum w:abstractNumId="24">
    <w:nsid w:val="BB64CFA9"/>
    <w:multiLevelType w:val="singleLevel"/>
    <w:tmpl w:val="BB64CFA9"/>
    <w:lvl w:ilvl="0" w:tentative="0">
      <w:start w:val="0"/>
      <w:numFmt w:val="bullet"/>
      <w:lvlText w:val="•"/>
      <w:lvlJc w:val="left"/>
      <w:rPr>
        <w:color w:val="3370FF"/>
      </w:rPr>
    </w:lvl>
  </w:abstractNum>
  <w:abstractNum w:abstractNumId="25">
    <w:nsid w:val="BCECA0B4"/>
    <w:multiLevelType w:val="singleLevel"/>
    <w:tmpl w:val="BCECA0B4"/>
    <w:lvl w:ilvl="0" w:tentative="0">
      <w:start w:val="16"/>
      <w:numFmt w:val="decimal"/>
      <w:lvlText w:val="%1."/>
      <w:lvlJc w:val="left"/>
      <w:rPr>
        <w:color w:val="3370FF"/>
      </w:rPr>
    </w:lvl>
  </w:abstractNum>
  <w:abstractNum w:abstractNumId="26">
    <w:nsid w:val="BDA1395C"/>
    <w:multiLevelType w:val="singleLevel"/>
    <w:tmpl w:val="BDA1395C"/>
    <w:lvl w:ilvl="0" w:tentative="0">
      <w:start w:val="4"/>
      <w:numFmt w:val="decimal"/>
      <w:lvlText w:val="%1."/>
      <w:lvlJc w:val="left"/>
      <w:rPr>
        <w:color w:val="3370FF"/>
      </w:rPr>
    </w:lvl>
  </w:abstractNum>
  <w:abstractNum w:abstractNumId="27">
    <w:nsid w:val="BE8A4F4C"/>
    <w:multiLevelType w:val="singleLevel"/>
    <w:tmpl w:val="BE8A4F4C"/>
    <w:lvl w:ilvl="0" w:tentative="0">
      <w:start w:val="11"/>
      <w:numFmt w:val="decimal"/>
      <w:lvlText w:val="%1."/>
      <w:lvlJc w:val="left"/>
      <w:rPr>
        <w:color w:val="3370FF"/>
      </w:rPr>
    </w:lvl>
  </w:abstractNum>
  <w:abstractNum w:abstractNumId="28">
    <w:nsid w:val="BE923771"/>
    <w:multiLevelType w:val="singleLevel"/>
    <w:tmpl w:val="BE923771"/>
    <w:lvl w:ilvl="0" w:tentative="0">
      <w:start w:val="0"/>
      <w:numFmt w:val="bullet"/>
      <w:lvlText w:val="•"/>
      <w:lvlJc w:val="left"/>
      <w:rPr>
        <w:color w:val="3370FF"/>
      </w:rPr>
    </w:lvl>
  </w:abstractNum>
  <w:abstractNum w:abstractNumId="29">
    <w:nsid w:val="BF205925"/>
    <w:multiLevelType w:val="singleLevel"/>
    <w:tmpl w:val="BF205925"/>
    <w:lvl w:ilvl="0" w:tentative="0">
      <w:start w:val="0"/>
      <w:numFmt w:val="bullet"/>
      <w:lvlText w:val="•"/>
      <w:lvlJc w:val="left"/>
      <w:rPr>
        <w:color w:val="3370FF"/>
      </w:rPr>
    </w:lvl>
  </w:abstractNum>
  <w:abstractNum w:abstractNumId="30">
    <w:nsid w:val="C0915F4F"/>
    <w:multiLevelType w:val="singleLevel"/>
    <w:tmpl w:val="C0915F4F"/>
    <w:lvl w:ilvl="0" w:tentative="0">
      <w:start w:val="0"/>
      <w:numFmt w:val="bullet"/>
      <w:lvlText w:val="￮"/>
      <w:lvlJc w:val="left"/>
      <w:rPr>
        <w:color w:val="3370FF"/>
      </w:rPr>
    </w:lvl>
  </w:abstractNum>
  <w:abstractNum w:abstractNumId="31">
    <w:nsid w:val="C4E0D24A"/>
    <w:multiLevelType w:val="singleLevel"/>
    <w:tmpl w:val="C4E0D24A"/>
    <w:lvl w:ilvl="0" w:tentative="0">
      <w:start w:val="0"/>
      <w:numFmt w:val="bullet"/>
      <w:lvlText w:val="￮"/>
      <w:lvlJc w:val="left"/>
      <w:rPr>
        <w:color w:val="3370FF"/>
      </w:rPr>
    </w:lvl>
  </w:abstractNum>
  <w:abstractNum w:abstractNumId="32">
    <w:nsid w:val="C8879AEF"/>
    <w:multiLevelType w:val="singleLevel"/>
    <w:tmpl w:val="C8879AEF"/>
    <w:lvl w:ilvl="0" w:tentative="0">
      <w:start w:val="0"/>
      <w:numFmt w:val="bullet"/>
      <w:lvlText w:val="•"/>
      <w:lvlJc w:val="left"/>
      <w:rPr>
        <w:color w:val="3370FF"/>
      </w:rPr>
    </w:lvl>
  </w:abstractNum>
  <w:abstractNum w:abstractNumId="33">
    <w:nsid w:val="CF092B84"/>
    <w:multiLevelType w:val="singleLevel"/>
    <w:tmpl w:val="CF092B84"/>
    <w:lvl w:ilvl="0" w:tentative="0">
      <w:start w:val="0"/>
      <w:numFmt w:val="bullet"/>
      <w:lvlText w:val="•"/>
      <w:lvlJc w:val="left"/>
      <w:rPr>
        <w:color w:val="3370FF"/>
      </w:rPr>
    </w:lvl>
  </w:abstractNum>
  <w:abstractNum w:abstractNumId="34">
    <w:nsid w:val="D1EB1714"/>
    <w:multiLevelType w:val="singleLevel"/>
    <w:tmpl w:val="D1EB1714"/>
    <w:lvl w:ilvl="0" w:tentative="0">
      <w:start w:val="13"/>
      <w:numFmt w:val="decimal"/>
      <w:lvlText w:val="%1."/>
      <w:lvlJc w:val="left"/>
      <w:rPr>
        <w:color w:val="3370FF"/>
      </w:rPr>
    </w:lvl>
  </w:abstractNum>
  <w:abstractNum w:abstractNumId="35">
    <w:nsid w:val="D7D140E4"/>
    <w:multiLevelType w:val="singleLevel"/>
    <w:tmpl w:val="D7D140E4"/>
    <w:lvl w:ilvl="0" w:tentative="0">
      <w:start w:val="0"/>
      <w:numFmt w:val="bullet"/>
      <w:lvlText w:val="•"/>
      <w:lvlJc w:val="left"/>
      <w:rPr>
        <w:color w:val="3370FF"/>
      </w:rPr>
    </w:lvl>
  </w:abstractNum>
  <w:abstractNum w:abstractNumId="36">
    <w:nsid w:val="D7F9FE59"/>
    <w:multiLevelType w:val="singleLevel"/>
    <w:tmpl w:val="D7F9FE59"/>
    <w:lvl w:ilvl="0" w:tentative="0">
      <w:start w:val="0"/>
      <w:numFmt w:val="bullet"/>
      <w:lvlText w:val="•"/>
      <w:lvlJc w:val="left"/>
      <w:rPr>
        <w:color w:val="3370FF"/>
      </w:rPr>
    </w:lvl>
  </w:abstractNum>
  <w:abstractNum w:abstractNumId="37">
    <w:nsid w:val="DAD3A854"/>
    <w:multiLevelType w:val="singleLevel"/>
    <w:tmpl w:val="DAD3A854"/>
    <w:lvl w:ilvl="0" w:tentative="0">
      <w:start w:val="0"/>
      <w:numFmt w:val="bullet"/>
      <w:lvlText w:val="￮"/>
      <w:lvlJc w:val="left"/>
      <w:rPr>
        <w:color w:val="3370FF"/>
      </w:rPr>
    </w:lvl>
  </w:abstractNum>
  <w:abstractNum w:abstractNumId="38">
    <w:nsid w:val="DCBA6B53"/>
    <w:multiLevelType w:val="singleLevel"/>
    <w:tmpl w:val="DCBA6B53"/>
    <w:lvl w:ilvl="0" w:tentative="0">
      <w:start w:val="0"/>
      <w:numFmt w:val="bullet"/>
      <w:lvlText w:val="•"/>
      <w:lvlJc w:val="left"/>
      <w:rPr>
        <w:color w:val="3370FF"/>
      </w:rPr>
    </w:lvl>
  </w:abstractNum>
  <w:abstractNum w:abstractNumId="39">
    <w:nsid w:val="E0294EC7"/>
    <w:multiLevelType w:val="singleLevel"/>
    <w:tmpl w:val="E0294EC7"/>
    <w:lvl w:ilvl="0" w:tentative="0">
      <w:start w:val="21"/>
      <w:numFmt w:val="decimal"/>
      <w:lvlText w:val="%1."/>
      <w:lvlJc w:val="left"/>
      <w:rPr>
        <w:color w:val="3370FF"/>
      </w:rPr>
    </w:lvl>
  </w:abstractNum>
  <w:abstractNum w:abstractNumId="40">
    <w:nsid w:val="E093A4B0"/>
    <w:multiLevelType w:val="singleLevel"/>
    <w:tmpl w:val="E093A4B0"/>
    <w:lvl w:ilvl="0" w:tentative="0">
      <w:start w:val="0"/>
      <w:numFmt w:val="bullet"/>
      <w:lvlText w:val="•"/>
      <w:lvlJc w:val="left"/>
      <w:rPr>
        <w:color w:val="3370FF"/>
      </w:rPr>
    </w:lvl>
  </w:abstractNum>
  <w:abstractNum w:abstractNumId="41">
    <w:nsid w:val="E504947C"/>
    <w:multiLevelType w:val="singleLevel"/>
    <w:tmpl w:val="E504947C"/>
    <w:lvl w:ilvl="0" w:tentative="0">
      <w:start w:val="0"/>
      <w:numFmt w:val="bullet"/>
      <w:lvlText w:val="￮"/>
      <w:lvlJc w:val="left"/>
      <w:rPr>
        <w:color w:val="3370FF"/>
      </w:rPr>
    </w:lvl>
  </w:abstractNum>
  <w:abstractNum w:abstractNumId="42">
    <w:nsid w:val="E7B27C5B"/>
    <w:multiLevelType w:val="singleLevel"/>
    <w:tmpl w:val="E7B27C5B"/>
    <w:lvl w:ilvl="0" w:tentative="0">
      <w:start w:val="1"/>
      <w:numFmt w:val="decimal"/>
      <w:lvlText w:val="%1."/>
      <w:lvlJc w:val="left"/>
      <w:rPr>
        <w:color w:val="3370FF"/>
      </w:rPr>
    </w:lvl>
  </w:abstractNum>
  <w:abstractNum w:abstractNumId="43">
    <w:nsid w:val="F0E89278"/>
    <w:multiLevelType w:val="singleLevel"/>
    <w:tmpl w:val="F0E89278"/>
    <w:lvl w:ilvl="0" w:tentative="0">
      <w:start w:val="0"/>
      <w:numFmt w:val="bullet"/>
      <w:lvlText w:val="•"/>
      <w:lvlJc w:val="left"/>
      <w:rPr>
        <w:color w:val="3370FF"/>
      </w:rPr>
    </w:lvl>
  </w:abstractNum>
  <w:abstractNum w:abstractNumId="44">
    <w:nsid w:val="F4B5D9F5"/>
    <w:multiLevelType w:val="singleLevel"/>
    <w:tmpl w:val="F4B5D9F5"/>
    <w:lvl w:ilvl="0" w:tentative="0">
      <w:start w:val="0"/>
      <w:numFmt w:val="bullet"/>
      <w:lvlText w:val="￮"/>
      <w:lvlJc w:val="left"/>
      <w:rPr>
        <w:color w:val="3370FF"/>
      </w:rPr>
    </w:lvl>
  </w:abstractNum>
  <w:abstractNum w:abstractNumId="45">
    <w:nsid w:val="F585BF25"/>
    <w:multiLevelType w:val="singleLevel"/>
    <w:tmpl w:val="F585BF25"/>
    <w:lvl w:ilvl="0" w:tentative="0">
      <w:start w:val="17"/>
      <w:numFmt w:val="decimal"/>
      <w:lvlText w:val="%1."/>
      <w:lvlJc w:val="left"/>
      <w:rPr>
        <w:color w:val="3370FF"/>
      </w:rPr>
    </w:lvl>
  </w:abstractNum>
  <w:abstractNum w:abstractNumId="46">
    <w:nsid w:val="F689643B"/>
    <w:multiLevelType w:val="singleLevel"/>
    <w:tmpl w:val="F689643B"/>
    <w:lvl w:ilvl="0" w:tentative="0">
      <w:start w:val="0"/>
      <w:numFmt w:val="bullet"/>
      <w:lvlText w:val="▪"/>
      <w:lvlJc w:val="left"/>
      <w:rPr>
        <w:color w:val="3370FF"/>
        <w:sz w:val="11"/>
      </w:rPr>
    </w:lvl>
  </w:abstractNum>
  <w:abstractNum w:abstractNumId="47">
    <w:nsid w:val="F7735DC9"/>
    <w:multiLevelType w:val="singleLevel"/>
    <w:tmpl w:val="F7735DC9"/>
    <w:lvl w:ilvl="0" w:tentative="0">
      <w:start w:val="0"/>
      <w:numFmt w:val="bullet"/>
      <w:lvlText w:val="•"/>
      <w:lvlJc w:val="left"/>
      <w:rPr>
        <w:color w:val="3370FF"/>
      </w:rPr>
    </w:lvl>
  </w:abstractNum>
  <w:abstractNum w:abstractNumId="48">
    <w:nsid w:val="FEC2EA36"/>
    <w:multiLevelType w:val="singleLevel"/>
    <w:tmpl w:val="FEC2EA36"/>
    <w:lvl w:ilvl="0" w:tentative="0">
      <w:start w:val="3"/>
      <w:numFmt w:val="decimal"/>
      <w:lvlText w:val="%1."/>
      <w:lvlJc w:val="left"/>
      <w:rPr>
        <w:color w:val="3370FF"/>
      </w:rPr>
    </w:lvl>
  </w:abstractNum>
  <w:abstractNum w:abstractNumId="49">
    <w:nsid w:val="0053208E"/>
    <w:multiLevelType w:val="singleLevel"/>
    <w:tmpl w:val="0053208E"/>
    <w:lvl w:ilvl="0" w:tentative="0">
      <w:start w:val="0"/>
      <w:numFmt w:val="bullet"/>
      <w:lvlText w:val="•"/>
      <w:lvlJc w:val="left"/>
      <w:rPr>
        <w:color w:val="3370FF"/>
      </w:rPr>
    </w:lvl>
  </w:abstractNum>
  <w:abstractNum w:abstractNumId="50">
    <w:nsid w:val="0248C179"/>
    <w:multiLevelType w:val="singleLevel"/>
    <w:tmpl w:val="0248C179"/>
    <w:lvl w:ilvl="0" w:tentative="0">
      <w:start w:val="4"/>
      <w:numFmt w:val="decimal"/>
      <w:lvlText w:val="%1."/>
      <w:lvlJc w:val="left"/>
      <w:rPr>
        <w:color w:val="3370FF"/>
      </w:rPr>
    </w:lvl>
  </w:abstractNum>
  <w:abstractNum w:abstractNumId="51">
    <w:nsid w:val="03A63A41"/>
    <w:multiLevelType w:val="singleLevel"/>
    <w:tmpl w:val="03A63A41"/>
    <w:lvl w:ilvl="0" w:tentative="0">
      <w:start w:val="2"/>
      <w:numFmt w:val="decimal"/>
      <w:lvlText w:val="%1."/>
      <w:lvlJc w:val="left"/>
      <w:rPr>
        <w:color w:val="3370FF"/>
      </w:rPr>
    </w:lvl>
  </w:abstractNum>
  <w:abstractNum w:abstractNumId="52">
    <w:nsid w:val="03D62ECE"/>
    <w:multiLevelType w:val="singleLevel"/>
    <w:tmpl w:val="03D62ECE"/>
    <w:lvl w:ilvl="0" w:tentative="0">
      <w:start w:val="1"/>
      <w:numFmt w:val="decimal"/>
      <w:lvlText w:val="%1."/>
      <w:lvlJc w:val="left"/>
      <w:rPr>
        <w:color w:val="3370FF"/>
      </w:rPr>
    </w:lvl>
  </w:abstractNum>
  <w:abstractNum w:abstractNumId="53">
    <w:nsid w:val="0709FD3E"/>
    <w:multiLevelType w:val="singleLevel"/>
    <w:tmpl w:val="0709FD3E"/>
    <w:lvl w:ilvl="0" w:tentative="0">
      <w:start w:val="0"/>
      <w:numFmt w:val="bullet"/>
      <w:lvlText w:val="•"/>
      <w:lvlJc w:val="left"/>
      <w:rPr>
        <w:color w:val="3370FF"/>
      </w:rPr>
    </w:lvl>
  </w:abstractNum>
  <w:abstractNum w:abstractNumId="54">
    <w:nsid w:val="0CEF100B"/>
    <w:multiLevelType w:val="singleLevel"/>
    <w:tmpl w:val="0CEF100B"/>
    <w:lvl w:ilvl="0" w:tentative="0">
      <w:start w:val="0"/>
      <w:numFmt w:val="bullet"/>
      <w:lvlText w:val="•"/>
      <w:lvlJc w:val="left"/>
      <w:rPr>
        <w:color w:val="3370FF"/>
      </w:rPr>
    </w:lvl>
  </w:abstractNum>
  <w:abstractNum w:abstractNumId="55">
    <w:nsid w:val="0E640482"/>
    <w:multiLevelType w:val="singleLevel"/>
    <w:tmpl w:val="0E640482"/>
    <w:lvl w:ilvl="0" w:tentative="0">
      <w:start w:val="1"/>
      <w:numFmt w:val="decimal"/>
      <w:lvlText w:val="%1."/>
      <w:lvlJc w:val="left"/>
      <w:rPr>
        <w:color w:val="3370FF"/>
      </w:rPr>
    </w:lvl>
  </w:abstractNum>
  <w:abstractNum w:abstractNumId="56">
    <w:nsid w:val="0F9F9CCA"/>
    <w:multiLevelType w:val="singleLevel"/>
    <w:tmpl w:val="0F9F9CCA"/>
    <w:lvl w:ilvl="0" w:tentative="0">
      <w:start w:val="0"/>
      <w:numFmt w:val="bullet"/>
      <w:lvlText w:val="￮"/>
      <w:lvlJc w:val="left"/>
      <w:rPr>
        <w:color w:val="3370FF"/>
      </w:rPr>
    </w:lvl>
  </w:abstractNum>
  <w:abstractNum w:abstractNumId="57">
    <w:nsid w:val="10D591E5"/>
    <w:multiLevelType w:val="singleLevel"/>
    <w:tmpl w:val="10D591E5"/>
    <w:lvl w:ilvl="0" w:tentative="0">
      <w:start w:val="19"/>
      <w:numFmt w:val="decimal"/>
      <w:lvlText w:val="%1."/>
      <w:lvlJc w:val="left"/>
      <w:rPr>
        <w:color w:val="3370FF"/>
      </w:rPr>
    </w:lvl>
  </w:abstractNum>
  <w:abstractNum w:abstractNumId="58">
    <w:nsid w:val="12EADF99"/>
    <w:multiLevelType w:val="singleLevel"/>
    <w:tmpl w:val="12EADF99"/>
    <w:lvl w:ilvl="0" w:tentative="0">
      <w:start w:val="0"/>
      <w:numFmt w:val="bullet"/>
      <w:lvlText w:val="￮"/>
      <w:lvlJc w:val="left"/>
      <w:rPr>
        <w:color w:val="3370FF"/>
      </w:rPr>
    </w:lvl>
  </w:abstractNum>
  <w:abstractNum w:abstractNumId="59">
    <w:nsid w:val="1450273B"/>
    <w:multiLevelType w:val="singleLevel"/>
    <w:tmpl w:val="1450273B"/>
    <w:lvl w:ilvl="0" w:tentative="0">
      <w:start w:val="12"/>
      <w:numFmt w:val="decimal"/>
      <w:lvlText w:val="%1."/>
      <w:lvlJc w:val="left"/>
      <w:rPr>
        <w:color w:val="3370FF"/>
      </w:rPr>
    </w:lvl>
  </w:abstractNum>
  <w:abstractNum w:abstractNumId="60">
    <w:nsid w:val="18F74015"/>
    <w:multiLevelType w:val="singleLevel"/>
    <w:tmpl w:val="18F74015"/>
    <w:lvl w:ilvl="0" w:tentative="0">
      <w:start w:val="0"/>
      <w:numFmt w:val="bullet"/>
      <w:lvlText w:val="￮"/>
      <w:lvlJc w:val="left"/>
      <w:rPr>
        <w:color w:val="3370FF"/>
      </w:rPr>
    </w:lvl>
  </w:abstractNum>
  <w:abstractNum w:abstractNumId="61">
    <w:nsid w:val="1ACDE60F"/>
    <w:multiLevelType w:val="singleLevel"/>
    <w:tmpl w:val="1ACDE60F"/>
    <w:lvl w:ilvl="0" w:tentative="0">
      <w:start w:val="4"/>
      <w:numFmt w:val="decimal"/>
      <w:lvlText w:val="%1."/>
      <w:lvlJc w:val="left"/>
      <w:rPr>
        <w:color w:val="3370FF"/>
      </w:rPr>
    </w:lvl>
  </w:abstractNum>
  <w:abstractNum w:abstractNumId="62">
    <w:nsid w:val="1BCBBCF0"/>
    <w:multiLevelType w:val="singleLevel"/>
    <w:tmpl w:val="1BCBBCF0"/>
    <w:lvl w:ilvl="0" w:tentative="0">
      <w:start w:val="10"/>
      <w:numFmt w:val="decimal"/>
      <w:lvlText w:val="%1."/>
      <w:lvlJc w:val="left"/>
      <w:rPr>
        <w:color w:val="3370FF"/>
      </w:rPr>
    </w:lvl>
  </w:abstractNum>
  <w:abstractNum w:abstractNumId="63">
    <w:nsid w:val="1C257C7B"/>
    <w:multiLevelType w:val="singleLevel"/>
    <w:tmpl w:val="1C257C7B"/>
    <w:lvl w:ilvl="0" w:tentative="0">
      <w:start w:val="0"/>
      <w:numFmt w:val="bullet"/>
      <w:lvlText w:val="•"/>
      <w:lvlJc w:val="left"/>
      <w:rPr>
        <w:color w:val="3370FF"/>
      </w:rPr>
    </w:lvl>
  </w:abstractNum>
  <w:abstractNum w:abstractNumId="64">
    <w:nsid w:val="23E97754"/>
    <w:multiLevelType w:val="singleLevel"/>
    <w:tmpl w:val="23E97754"/>
    <w:lvl w:ilvl="0" w:tentative="0">
      <w:start w:val="0"/>
      <w:numFmt w:val="bullet"/>
      <w:lvlText w:val="•"/>
      <w:lvlJc w:val="left"/>
      <w:rPr>
        <w:color w:val="3370FF"/>
      </w:rPr>
    </w:lvl>
  </w:abstractNum>
  <w:abstractNum w:abstractNumId="65">
    <w:nsid w:val="243FCF68"/>
    <w:multiLevelType w:val="singleLevel"/>
    <w:tmpl w:val="243FCF68"/>
    <w:lvl w:ilvl="0" w:tentative="0">
      <w:start w:val="0"/>
      <w:numFmt w:val="bullet"/>
      <w:lvlText w:val="•"/>
      <w:lvlJc w:val="left"/>
      <w:rPr>
        <w:color w:val="3370FF"/>
      </w:rPr>
    </w:lvl>
  </w:abstractNum>
  <w:abstractNum w:abstractNumId="66">
    <w:nsid w:val="2470EC97"/>
    <w:multiLevelType w:val="singleLevel"/>
    <w:tmpl w:val="2470EC97"/>
    <w:lvl w:ilvl="0" w:tentative="0">
      <w:start w:val="0"/>
      <w:numFmt w:val="bullet"/>
      <w:lvlText w:val="•"/>
      <w:lvlJc w:val="left"/>
      <w:rPr>
        <w:color w:val="3370FF"/>
      </w:rPr>
    </w:lvl>
  </w:abstractNum>
  <w:abstractNum w:abstractNumId="67">
    <w:nsid w:val="25B654F3"/>
    <w:multiLevelType w:val="singleLevel"/>
    <w:tmpl w:val="25B654F3"/>
    <w:lvl w:ilvl="0" w:tentative="0">
      <w:start w:val="2"/>
      <w:numFmt w:val="decimal"/>
      <w:lvlText w:val="%1."/>
      <w:lvlJc w:val="left"/>
      <w:rPr>
        <w:color w:val="3370FF"/>
      </w:rPr>
    </w:lvl>
  </w:abstractNum>
  <w:abstractNum w:abstractNumId="68">
    <w:nsid w:val="2A8F537B"/>
    <w:multiLevelType w:val="singleLevel"/>
    <w:tmpl w:val="2A8F537B"/>
    <w:lvl w:ilvl="0" w:tentative="0">
      <w:start w:val="6"/>
      <w:numFmt w:val="decimal"/>
      <w:lvlText w:val="%1."/>
      <w:lvlJc w:val="left"/>
      <w:rPr>
        <w:color w:val="3370FF"/>
      </w:rPr>
    </w:lvl>
  </w:abstractNum>
  <w:abstractNum w:abstractNumId="69">
    <w:nsid w:val="2F2D79CE"/>
    <w:multiLevelType w:val="singleLevel"/>
    <w:tmpl w:val="2F2D79CE"/>
    <w:lvl w:ilvl="0" w:tentative="0">
      <w:start w:val="0"/>
      <w:numFmt w:val="bullet"/>
      <w:lvlText w:val="￮"/>
      <w:lvlJc w:val="left"/>
      <w:rPr>
        <w:color w:val="3370FF"/>
      </w:rPr>
    </w:lvl>
  </w:abstractNum>
  <w:abstractNum w:abstractNumId="70">
    <w:nsid w:val="30A0AC00"/>
    <w:multiLevelType w:val="singleLevel"/>
    <w:tmpl w:val="30A0AC00"/>
    <w:lvl w:ilvl="0" w:tentative="0">
      <w:start w:val="0"/>
      <w:numFmt w:val="bullet"/>
      <w:lvlText w:val="￮"/>
      <w:lvlJc w:val="left"/>
      <w:rPr>
        <w:color w:val="3370FF"/>
      </w:rPr>
    </w:lvl>
  </w:abstractNum>
  <w:abstractNum w:abstractNumId="71">
    <w:nsid w:val="30FC5B15"/>
    <w:multiLevelType w:val="singleLevel"/>
    <w:tmpl w:val="30FC5B15"/>
    <w:lvl w:ilvl="0" w:tentative="0">
      <w:start w:val="0"/>
      <w:numFmt w:val="bullet"/>
      <w:lvlText w:val="•"/>
      <w:lvlJc w:val="left"/>
      <w:rPr>
        <w:color w:val="3370FF"/>
      </w:rPr>
    </w:lvl>
  </w:abstractNum>
  <w:abstractNum w:abstractNumId="72">
    <w:nsid w:val="322D85CA"/>
    <w:multiLevelType w:val="singleLevel"/>
    <w:tmpl w:val="322D85CA"/>
    <w:lvl w:ilvl="0" w:tentative="0">
      <w:start w:val="0"/>
      <w:numFmt w:val="bullet"/>
      <w:lvlText w:val="•"/>
      <w:lvlJc w:val="left"/>
      <w:rPr>
        <w:color w:val="3370FF"/>
      </w:rPr>
    </w:lvl>
  </w:abstractNum>
  <w:abstractNum w:abstractNumId="73">
    <w:nsid w:val="32A7AF2D"/>
    <w:multiLevelType w:val="singleLevel"/>
    <w:tmpl w:val="32A7AF2D"/>
    <w:lvl w:ilvl="0" w:tentative="0">
      <w:start w:val="0"/>
      <w:numFmt w:val="bullet"/>
      <w:lvlText w:val="•"/>
      <w:lvlJc w:val="left"/>
      <w:rPr>
        <w:color w:val="3370FF"/>
      </w:rPr>
    </w:lvl>
  </w:abstractNum>
  <w:abstractNum w:abstractNumId="74">
    <w:nsid w:val="35E83B33"/>
    <w:multiLevelType w:val="singleLevel"/>
    <w:tmpl w:val="35E83B33"/>
    <w:lvl w:ilvl="0" w:tentative="0">
      <w:start w:val="0"/>
      <w:numFmt w:val="bullet"/>
      <w:lvlText w:val="￮"/>
      <w:lvlJc w:val="left"/>
      <w:rPr>
        <w:color w:val="3370FF"/>
      </w:rPr>
    </w:lvl>
  </w:abstractNum>
  <w:abstractNum w:abstractNumId="75">
    <w:nsid w:val="39A0D9AC"/>
    <w:multiLevelType w:val="singleLevel"/>
    <w:tmpl w:val="39A0D9AC"/>
    <w:lvl w:ilvl="0" w:tentative="0">
      <w:start w:val="0"/>
      <w:numFmt w:val="bullet"/>
      <w:lvlText w:val="•"/>
      <w:lvlJc w:val="left"/>
      <w:rPr>
        <w:color w:val="3370FF"/>
      </w:rPr>
    </w:lvl>
  </w:abstractNum>
  <w:abstractNum w:abstractNumId="76">
    <w:nsid w:val="3B8127DF"/>
    <w:multiLevelType w:val="singleLevel"/>
    <w:tmpl w:val="3B8127DF"/>
    <w:lvl w:ilvl="0" w:tentative="0">
      <w:start w:val="0"/>
      <w:numFmt w:val="bullet"/>
      <w:lvlText w:val="▪"/>
      <w:lvlJc w:val="left"/>
      <w:rPr>
        <w:color w:val="3370FF"/>
        <w:sz w:val="11"/>
      </w:rPr>
    </w:lvl>
  </w:abstractNum>
  <w:abstractNum w:abstractNumId="77">
    <w:nsid w:val="40B249F9"/>
    <w:multiLevelType w:val="singleLevel"/>
    <w:tmpl w:val="40B249F9"/>
    <w:lvl w:ilvl="0" w:tentative="0">
      <w:start w:val="1"/>
      <w:numFmt w:val="decimal"/>
      <w:lvlText w:val="%1."/>
      <w:lvlJc w:val="left"/>
      <w:rPr>
        <w:color w:val="3370FF"/>
      </w:rPr>
    </w:lvl>
  </w:abstractNum>
  <w:abstractNum w:abstractNumId="78">
    <w:nsid w:val="46A08BB8"/>
    <w:multiLevelType w:val="singleLevel"/>
    <w:tmpl w:val="46A08BB8"/>
    <w:lvl w:ilvl="0" w:tentative="0">
      <w:start w:val="2"/>
      <w:numFmt w:val="decimal"/>
      <w:lvlText w:val="%1."/>
      <w:lvlJc w:val="left"/>
      <w:rPr>
        <w:color w:val="3370FF"/>
      </w:rPr>
    </w:lvl>
  </w:abstractNum>
  <w:abstractNum w:abstractNumId="79">
    <w:nsid w:val="4C1BAE26"/>
    <w:multiLevelType w:val="singleLevel"/>
    <w:tmpl w:val="4C1BAE26"/>
    <w:lvl w:ilvl="0" w:tentative="0">
      <w:start w:val="0"/>
      <w:numFmt w:val="bullet"/>
      <w:lvlText w:val="•"/>
      <w:lvlJc w:val="left"/>
      <w:rPr>
        <w:color w:val="3370FF"/>
      </w:rPr>
    </w:lvl>
  </w:abstractNum>
  <w:abstractNum w:abstractNumId="80">
    <w:nsid w:val="4C3D7A74"/>
    <w:multiLevelType w:val="singleLevel"/>
    <w:tmpl w:val="4C3D7A74"/>
    <w:lvl w:ilvl="0" w:tentative="0">
      <w:start w:val="0"/>
      <w:numFmt w:val="bullet"/>
      <w:lvlText w:val="•"/>
      <w:lvlJc w:val="left"/>
      <w:rPr>
        <w:color w:val="3370FF"/>
      </w:rPr>
    </w:lvl>
  </w:abstractNum>
  <w:abstractNum w:abstractNumId="81">
    <w:nsid w:val="4CD1E351"/>
    <w:multiLevelType w:val="singleLevel"/>
    <w:tmpl w:val="4CD1E351"/>
    <w:lvl w:ilvl="0" w:tentative="0">
      <w:start w:val="18"/>
      <w:numFmt w:val="decimal"/>
      <w:lvlText w:val="%1."/>
      <w:lvlJc w:val="left"/>
      <w:rPr>
        <w:color w:val="3370FF"/>
      </w:rPr>
    </w:lvl>
  </w:abstractNum>
  <w:abstractNum w:abstractNumId="82">
    <w:nsid w:val="4D4DC07F"/>
    <w:multiLevelType w:val="singleLevel"/>
    <w:tmpl w:val="4D4DC07F"/>
    <w:lvl w:ilvl="0" w:tentative="0">
      <w:start w:val="0"/>
      <w:numFmt w:val="bullet"/>
      <w:lvlText w:val="￮"/>
      <w:lvlJc w:val="left"/>
      <w:rPr>
        <w:color w:val="3370FF"/>
      </w:rPr>
    </w:lvl>
  </w:abstractNum>
  <w:abstractNum w:abstractNumId="83">
    <w:nsid w:val="4D94DA66"/>
    <w:multiLevelType w:val="singleLevel"/>
    <w:tmpl w:val="4D94DA66"/>
    <w:lvl w:ilvl="0" w:tentative="0">
      <w:start w:val="0"/>
      <w:numFmt w:val="bullet"/>
      <w:lvlText w:val="•"/>
      <w:lvlJc w:val="left"/>
      <w:rPr>
        <w:color w:val="3370FF"/>
      </w:rPr>
    </w:lvl>
  </w:abstractNum>
  <w:abstractNum w:abstractNumId="84">
    <w:nsid w:val="58765686"/>
    <w:multiLevelType w:val="singleLevel"/>
    <w:tmpl w:val="58765686"/>
    <w:lvl w:ilvl="0" w:tentative="0">
      <w:start w:val="0"/>
      <w:numFmt w:val="bullet"/>
      <w:lvlText w:val="•"/>
      <w:lvlJc w:val="left"/>
      <w:rPr>
        <w:color w:val="3370FF"/>
      </w:rPr>
    </w:lvl>
  </w:abstractNum>
  <w:abstractNum w:abstractNumId="85">
    <w:nsid w:val="59ADCABA"/>
    <w:multiLevelType w:val="singleLevel"/>
    <w:tmpl w:val="59ADCABA"/>
    <w:lvl w:ilvl="0" w:tentative="0">
      <w:start w:val="0"/>
      <w:numFmt w:val="bullet"/>
      <w:lvlText w:val="•"/>
      <w:lvlJc w:val="left"/>
      <w:rPr>
        <w:color w:val="3370FF"/>
      </w:rPr>
    </w:lvl>
  </w:abstractNum>
  <w:abstractNum w:abstractNumId="86">
    <w:nsid w:val="59EEFD2A"/>
    <w:multiLevelType w:val="singleLevel"/>
    <w:tmpl w:val="59EEFD2A"/>
    <w:lvl w:ilvl="0" w:tentative="0">
      <w:start w:val="3"/>
      <w:numFmt w:val="decimal"/>
      <w:lvlText w:val="%1."/>
      <w:lvlJc w:val="left"/>
      <w:rPr>
        <w:color w:val="3370FF"/>
      </w:rPr>
    </w:lvl>
  </w:abstractNum>
  <w:abstractNum w:abstractNumId="87">
    <w:nsid w:val="5A241D34"/>
    <w:multiLevelType w:val="singleLevel"/>
    <w:tmpl w:val="5A241D34"/>
    <w:lvl w:ilvl="0" w:tentative="0">
      <w:start w:val="7"/>
      <w:numFmt w:val="decimal"/>
      <w:lvlText w:val="%1."/>
      <w:lvlJc w:val="left"/>
      <w:rPr>
        <w:color w:val="3370FF"/>
      </w:rPr>
    </w:lvl>
  </w:abstractNum>
  <w:abstractNum w:abstractNumId="88">
    <w:nsid w:val="5E29AB5A"/>
    <w:multiLevelType w:val="singleLevel"/>
    <w:tmpl w:val="5E29AB5A"/>
    <w:lvl w:ilvl="0" w:tentative="0">
      <w:start w:val="2"/>
      <w:numFmt w:val="decimal"/>
      <w:lvlText w:val="%1."/>
      <w:lvlJc w:val="left"/>
      <w:rPr>
        <w:color w:val="3370FF"/>
      </w:rPr>
    </w:lvl>
  </w:abstractNum>
  <w:abstractNum w:abstractNumId="89">
    <w:nsid w:val="5FFFB1A7"/>
    <w:multiLevelType w:val="singleLevel"/>
    <w:tmpl w:val="5FFFB1A7"/>
    <w:lvl w:ilvl="0" w:tentative="0">
      <w:start w:val="6"/>
      <w:numFmt w:val="decimal"/>
      <w:lvlText w:val="%1."/>
      <w:lvlJc w:val="left"/>
      <w:rPr>
        <w:color w:val="3370FF"/>
      </w:rPr>
    </w:lvl>
  </w:abstractNum>
  <w:abstractNum w:abstractNumId="90">
    <w:nsid w:val="60382F6E"/>
    <w:multiLevelType w:val="singleLevel"/>
    <w:tmpl w:val="60382F6E"/>
    <w:lvl w:ilvl="0" w:tentative="0">
      <w:start w:val="0"/>
      <w:numFmt w:val="bullet"/>
      <w:lvlText w:val="•"/>
      <w:lvlJc w:val="left"/>
      <w:rPr>
        <w:color w:val="3370FF"/>
      </w:rPr>
    </w:lvl>
  </w:abstractNum>
  <w:abstractNum w:abstractNumId="91">
    <w:nsid w:val="629F7852"/>
    <w:multiLevelType w:val="singleLevel"/>
    <w:tmpl w:val="629F7852"/>
    <w:lvl w:ilvl="0" w:tentative="0">
      <w:start w:val="0"/>
      <w:numFmt w:val="bullet"/>
      <w:lvlText w:val="•"/>
      <w:lvlJc w:val="left"/>
      <w:rPr>
        <w:color w:val="3370FF"/>
      </w:rPr>
    </w:lvl>
  </w:abstractNum>
  <w:abstractNum w:abstractNumId="92">
    <w:nsid w:val="65CD0074"/>
    <w:multiLevelType w:val="singleLevel"/>
    <w:tmpl w:val="65CD0074"/>
    <w:lvl w:ilvl="0" w:tentative="0">
      <w:start w:val="0"/>
      <w:numFmt w:val="bullet"/>
      <w:lvlText w:val="•"/>
      <w:lvlJc w:val="left"/>
      <w:rPr>
        <w:color w:val="3370FF"/>
      </w:rPr>
    </w:lvl>
  </w:abstractNum>
  <w:abstractNum w:abstractNumId="93">
    <w:nsid w:val="68B298F7"/>
    <w:multiLevelType w:val="singleLevel"/>
    <w:tmpl w:val="68B298F7"/>
    <w:lvl w:ilvl="0" w:tentative="0">
      <w:start w:val="14"/>
      <w:numFmt w:val="decimal"/>
      <w:lvlText w:val="%1."/>
      <w:lvlJc w:val="left"/>
      <w:rPr>
        <w:color w:val="3370FF"/>
      </w:rPr>
    </w:lvl>
  </w:abstractNum>
  <w:abstractNum w:abstractNumId="94">
    <w:nsid w:val="700FDCEF"/>
    <w:multiLevelType w:val="singleLevel"/>
    <w:tmpl w:val="700FDCEF"/>
    <w:lvl w:ilvl="0" w:tentative="0">
      <w:start w:val="4"/>
      <w:numFmt w:val="decimal"/>
      <w:lvlText w:val="%1."/>
      <w:lvlJc w:val="left"/>
      <w:rPr>
        <w:color w:val="3370FF"/>
      </w:rPr>
    </w:lvl>
  </w:abstractNum>
  <w:abstractNum w:abstractNumId="95">
    <w:nsid w:val="72183CF9"/>
    <w:multiLevelType w:val="singleLevel"/>
    <w:tmpl w:val="72183CF9"/>
    <w:lvl w:ilvl="0" w:tentative="0">
      <w:start w:val="3"/>
      <w:numFmt w:val="decimal"/>
      <w:lvlText w:val="%1."/>
      <w:lvlJc w:val="left"/>
      <w:rPr>
        <w:color w:val="3370FF"/>
      </w:rPr>
    </w:lvl>
  </w:abstractNum>
  <w:abstractNum w:abstractNumId="96">
    <w:nsid w:val="74C28B35"/>
    <w:multiLevelType w:val="singleLevel"/>
    <w:tmpl w:val="74C28B35"/>
    <w:lvl w:ilvl="0" w:tentative="0">
      <w:start w:val="0"/>
      <w:numFmt w:val="bullet"/>
      <w:lvlText w:val="•"/>
      <w:lvlJc w:val="left"/>
      <w:rPr>
        <w:color w:val="3370FF"/>
      </w:rPr>
    </w:lvl>
  </w:abstractNum>
  <w:abstractNum w:abstractNumId="97">
    <w:nsid w:val="77633216"/>
    <w:multiLevelType w:val="singleLevel"/>
    <w:tmpl w:val="77633216"/>
    <w:lvl w:ilvl="0" w:tentative="0">
      <w:start w:val="5"/>
      <w:numFmt w:val="decimal"/>
      <w:lvlText w:val="%1."/>
      <w:lvlJc w:val="left"/>
      <w:rPr>
        <w:color w:val="3370FF"/>
      </w:rPr>
    </w:lvl>
  </w:abstractNum>
  <w:abstractNum w:abstractNumId="98">
    <w:nsid w:val="77ECEA79"/>
    <w:multiLevelType w:val="singleLevel"/>
    <w:tmpl w:val="77ECEA79"/>
    <w:lvl w:ilvl="0" w:tentative="0">
      <w:start w:val="0"/>
      <w:numFmt w:val="bullet"/>
      <w:lvlText w:val="•"/>
      <w:lvlJc w:val="left"/>
      <w:rPr>
        <w:color w:val="3370FF"/>
      </w:rPr>
    </w:lvl>
  </w:abstractNum>
  <w:abstractNum w:abstractNumId="99">
    <w:nsid w:val="79AA4FA4"/>
    <w:multiLevelType w:val="singleLevel"/>
    <w:tmpl w:val="79AA4FA4"/>
    <w:lvl w:ilvl="0" w:tentative="0">
      <w:start w:val="0"/>
      <w:numFmt w:val="bullet"/>
      <w:lvlText w:val="•"/>
      <w:lvlJc w:val="left"/>
      <w:rPr>
        <w:color w:val="3370FF"/>
      </w:rPr>
    </w:lvl>
  </w:abstractNum>
  <w:abstractNum w:abstractNumId="100">
    <w:nsid w:val="7C246926"/>
    <w:multiLevelType w:val="singleLevel"/>
    <w:tmpl w:val="7C246926"/>
    <w:lvl w:ilvl="0" w:tentative="0">
      <w:start w:val="4"/>
      <w:numFmt w:val="decimal"/>
      <w:lvlText w:val="%1."/>
      <w:lvlJc w:val="left"/>
      <w:rPr>
        <w:color w:val="3370FF"/>
      </w:rPr>
    </w:lvl>
  </w:abstractNum>
  <w:abstractNum w:abstractNumId="101">
    <w:nsid w:val="7DEC2089"/>
    <w:multiLevelType w:val="singleLevel"/>
    <w:tmpl w:val="7DEC2089"/>
    <w:lvl w:ilvl="0" w:tentative="0">
      <w:start w:val="0"/>
      <w:numFmt w:val="bullet"/>
      <w:lvlText w:val="•"/>
      <w:lvlJc w:val="left"/>
      <w:rPr>
        <w:color w:val="3370FF"/>
      </w:rPr>
    </w:lvl>
  </w:abstractNum>
  <w:num w:numId="1">
    <w:abstractNumId w:val="49"/>
  </w:num>
  <w:num w:numId="2">
    <w:abstractNumId w:val="33"/>
  </w:num>
  <w:num w:numId="3">
    <w:abstractNumId w:val="85"/>
  </w:num>
  <w:num w:numId="4">
    <w:abstractNumId w:val="29"/>
  </w:num>
  <w:num w:numId="5">
    <w:abstractNumId w:val="21"/>
  </w:num>
  <w:num w:numId="6">
    <w:abstractNumId w:val="52"/>
  </w:num>
  <w:num w:numId="7">
    <w:abstractNumId w:val="67"/>
  </w:num>
  <w:num w:numId="8">
    <w:abstractNumId w:val="95"/>
  </w:num>
  <w:num w:numId="9">
    <w:abstractNumId w:val="50"/>
  </w:num>
  <w:num w:numId="10">
    <w:abstractNumId w:val="7"/>
  </w:num>
  <w:num w:numId="11">
    <w:abstractNumId w:val="68"/>
  </w:num>
  <w:num w:numId="12">
    <w:abstractNumId w:val="87"/>
  </w:num>
  <w:num w:numId="13">
    <w:abstractNumId w:val="32"/>
  </w:num>
  <w:num w:numId="14">
    <w:abstractNumId w:val="82"/>
  </w:num>
  <w:num w:numId="15">
    <w:abstractNumId w:val="44"/>
  </w:num>
  <w:num w:numId="16">
    <w:abstractNumId w:val="66"/>
  </w:num>
  <w:num w:numId="17">
    <w:abstractNumId w:val="38"/>
  </w:num>
  <w:num w:numId="18">
    <w:abstractNumId w:val="36"/>
  </w:num>
  <w:num w:numId="19">
    <w:abstractNumId w:val="12"/>
  </w:num>
  <w:num w:numId="20">
    <w:abstractNumId w:val="79"/>
  </w:num>
  <w:num w:numId="21">
    <w:abstractNumId w:val="90"/>
  </w:num>
  <w:num w:numId="22">
    <w:abstractNumId w:val="55"/>
  </w:num>
  <w:num w:numId="23">
    <w:abstractNumId w:val="78"/>
  </w:num>
  <w:num w:numId="24">
    <w:abstractNumId w:val="18"/>
  </w:num>
  <w:num w:numId="25">
    <w:abstractNumId w:val="100"/>
  </w:num>
  <w:num w:numId="26">
    <w:abstractNumId w:val="98"/>
  </w:num>
  <w:num w:numId="27">
    <w:abstractNumId w:val="28"/>
  </w:num>
  <w:num w:numId="28">
    <w:abstractNumId w:val="91"/>
  </w:num>
  <w:num w:numId="29">
    <w:abstractNumId w:val="8"/>
  </w:num>
  <w:num w:numId="30">
    <w:abstractNumId w:val="75"/>
  </w:num>
  <w:num w:numId="31">
    <w:abstractNumId w:val="3"/>
  </w:num>
  <w:num w:numId="32">
    <w:abstractNumId w:val="84"/>
  </w:num>
  <w:num w:numId="33">
    <w:abstractNumId w:val="101"/>
  </w:num>
  <w:num w:numId="34">
    <w:abstractNumId w:val="1"/>
  </w:num>
  <w:num w:numId="35">
    <w:abstractNumId w:val="65"/>
  </w:num>
  <w:num w:numId="36">
    <w:abstractNumId w:val="83"/>
  </w:num>
  <w:num w:numId="37">
    <w:abstractNumId w:val="47"/>
  </w:num>
  <w:num w:numId="38">
    <w:abstractNumId w:val="40"/>
  </w:num>
  <w:num w:numId="39">
    <w:abstractNumId w:val="71"/>
  </w:num>
  <w:num w:numId="40">
    <w:abstractNumId w:val="99"/>
  </w:num>
  <w:num w:numId="41">
    <w:abstractNumId w:val="24"/>
  </w:num>
  <w:num w:numId="42">
    <w:abstractNumId w:val="5"/>
  </w:num>
  <w:num w:numId="43">
    <w:abstractNumId w:val="23"/>
  </w:num>
  <w:num w:numId="44">
    <w:abstractNumId w:val="88"/>
  </w:num>
  <w:num w:numId="45">
    <w:abstractNumId w:val="2"/>
  </w:num>
  <w:num w:numId="46">
    <w:abstractNumId w:val="61"/>
  </w:num>
  <w:num w:numId="47">
    <w:abstractNumId w:val="4"/>
  </w:num>
  <w:num w:numId="48">
    <w:abstractNumId w:val="89"/>
  </w:num>
  <w:num w:numId="49">
    <w:abstractNumId w:val="96"/>
  </w:num>
  <w:num w:numId="50">
    <w:abstractNumId w:val="80"/>
  </w:num>
  <w:num w:numId="51">
    <w:abstractNumId w:val="72"/>
  </w:num>
  <w:num w:numId="52">
    <w:abstractNumId w:val="92"/>
  </w:num>
  <w:num w:numId="53">
    <w:abstractNumId w:val="53"/>
  </w:num>
  <w:num w:numId="54">
    <w:abstractNumId w:val="54"/>
  </w:num>
  <w:num w:numId="55">
    <w:abstractNumId w:val="35"/>
  </w:num>
  <w:num w:numId="56">
    <w:abstractNumId w:val="73"/>
  </w:num>
  <w:num w:numId="57">
    <w:abstractNumId w:val="63"/>
  </w:num>
  <w:num w:numId="58">
    <w:abstractNumId w:val="43"/>
  </w:num>
  <w:num w:numId="59">
    <w:abstractNumId w:val="64"/>
  </w:num>
  <w:num w:numId="60">
    <w:abstractNumId w:val="20"/>
  </w:num>
  <w:num w:numId="61">
    <w:abstractNumId w:val="77"/>
  </w:num>
  <w:num w:numId="62">
    <w:abstractNumId w:val="56"/>
  </w:num>
  <w:num w:numId="63">
    <w:abstractNumId w:val="74"/>
  </w:num>
  <w:num w:numId="64">
    <w:abstractNumId w:val="51"/>
  </w:num>
  <w:num w:numId="65">
    <w:abstractNumId w:val="30"/>
  </w:num>
  <w:num w:numId="66">
    <w:abstractNumId w:val="58"/>
  </w:num>
  <w:num w:numId="67">
    <w:abstractNumId w:val="19"/>
  </w:num>
  <w:num w:numId="68">
    <w:abstractNumId w:val="76"/>
  </w:num>
  <w:num w:numId="69">
    <w:abstractNumId w:val="15"/>
  </w:num>
  <w:num w:numId="70">
    <w:abstractNumId w:val="46"/>
  </w:num>
  <w:num w:numId="71">
    <w:abstractNumId w:val="70"/>
  </w:num>
  <w:num w:numId="72">
    <w:abstractNumId w:val="48"/>
  </w:num>
  <w:num w:numId="73">
    <w:abstractNumId w:val="60"/>
  </w:num>
  <w:num w:numId="74">
    <w:abstractNumId w:val="94"/>
  </w:num>
  <w:num w:numId="75">
    <w:abstractNumId w:val="41"/>
  </w:num>
  <w:num w:numId="76">
    <w:abstractNumId w:val="31"/>
  </w:num>
  <w:num w:numId="77">
    <w:abstractNumId w:val="14"/>
  </w:num>
  <w:num w:numId="78">
    <w:abstractNumId w:val="97"/>
  </w:num>
  <w:num w:numId="79">
    <w:abstractNumId w:val="37"/>
  </w:num>
  <w:num w:numId="80">
    <w:abstractNumId w:val="22"/>
  </w:num>
  <w:num w:numId="81">
    <w:abstractNumId w:val="69"/>
  </w:num>
  <w:num w:numId="82">
    <w:abstractNumId w:val="42"/>
  </w:num>
  <w:num w:numId="83">
    <w:abstractNumId w:val="10"/>
  </w:num>
  <w:num w:numId="84">
    <w:abstractNumId w:val="86"/>
  </w:num>
  <w:num w:numId="85">
    <w:abstractNumId w:val="26"/>
  </w:num>
  <w:num w:numId="86">
    <w:abstractNumId w:val="17"/>
  </w:num>
  <w:num w:numId="87">
    <w:abstractNumId w:val="9"/>
  </w:num>
  <w:num w:numId="88">
    <w:abstractNumId w:val="13"/>
  </w:num>
  <w:num w:numId="89">
    <w:abstractNumId w:val="16"/>
  </w:num>
  <w:num w:numId="90">
    <w:abstractNumId w:val="6"/>
  </w:num>
  <w:num w:numId="91">
    <w:abstractNumId w:val="62"/>
  </w:num>
  <w:num w:numId="92">
    <w:abstractNumId w:val="27"/>
  </w:num>
  <w:num w:numId="93">
    <w:abstractNumId w:val="59"/>
  </w:num>
  <w:num w:numId="94">
    <w:abstractNumId w:val="34"/>
  </w:num>
  <w:num w:numId="95">
    <w:abstractNumId w:val="93"/>
  </w:num>
  <w:num w:numId="96">
    <w:abstractNumId w:val="0"/>
  </w:num>
  <w:num w:numId="97">
    <w:abstractNumId w:val="25"/>
  </w:num>
  <w:num w:numId="98">
    <w:abstractNumId w:val="45"/>
  </w:num>
  <w:num w:numId="99">
    <w:abstractNumId w:val="81"/>
  </w:num>
  <w:num w:numId="100">
    <w:abstractNumId w:val="57"/>
  </w:num>
  <w:num w:numId="101">
    <w:abstractNumId w:val="11"/>
  </w:num>
  <w:num w:numId="1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6CC876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package" Target="embeddings/Workbook2.xlsx"/><Relationship Id="rId7" Type="http://schemas.openxmlformats.org/officeDocument/2006/relationships/image" Target="media/image2.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3484</Words>
  <Characters>3883</Characters>
  <TotalTime>0</TotalTime>
  <ScaleCrop>false</ScaleCrop>
  <LinksUpToDate>false</LinksUpToDate>
  <CharactersWithSpaces>3992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2025-12-28T11:58:00Z</dcterms:created>
  <dc:creator>Apache POI</dc:creator>
  <cp:lastModifiedBy>一缕清风</cp:lastModifiedBy>
  <dcterms:modified xsi:type="dcterms:W3CDTF">2025-12-28T12:09:13Z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75F6D3A289CD436DB7623B30F8A8F004_12</vt:lpwstr>
  </property>
</Properties>
</file>