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F5560">
      <w:pPr>
        <w:spacing w:before="480" w:after="480" w:line="288" w:lineRule="auto"/>
        <w:ind w:left="0"/>
      </w:pPr>
      <w:r>
        <w:rPr>
          <w:rFonts w:ascii="Arial" w:hAnsi="Arial" w:eastAsia="等线" w:cs="Arial"/>
          <w:b/>
          <w:sz w:val="52"/>
        </w:rPr>
        <w:t>Chapter 12 Customer Accounts：Proper Handling of Accounts</w:t>
      </w:r>
    </w:p>
    <w:p w14:paraId="1DD971EA">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39CBE820">
      <w:pPr>
        <w:spacing w:before="120" w:after="120" w:line="288" w:lineRule="auto"/>
        <w:ind w:left="0"/>
        <w:jc w:val="left"/>
      </w:pPr>
      <w:r>
        <w:rPr>
          <w:rFonts w:ascii="Arial" w:hAnsi="Arial" w:eastAsia="等线" w:cs="Arial"/>
          <w:sz w:val="22"/>
        </w:rPr>
        <w:t>本章主要介绍开设账户相关内容：</w:t>
      </w:r>
    </w:p>
    <w:p w14:paraId="6E664E64">
      <w:pPr>
        <w:numPr>
          <w:ilvl w:val="0"/>
          <w:numId w:val="1"/>
        </w:numPr>
        <w:spacing w:before="120" w:after="120" w:line="288" w:lineRule="auto"/>
        <w:ind w:left="0"/>
        <w:jc w:val="left"/>
      </w:pPr>
      <w:r>
        <w:rPr>
          <w:rFonts w:ascii="Arial" w:hAnsi="Arial" w:eastAsia="等线" w:cs="Arial"/>
          <w:sz w:val="22"/>
        </w:rPr>
        <w:t>开户所需信息；</w:t>
      </w:r>
    </w:p>
    <w:p w14:paraId="229E58BF">
      <w:pPr>
        <w:numPr>
          <w:ilvl w:val="0"/>
          <w:numId w:val="2"/>
        </w:numPr>
        <w:spacing w:before="120" w:after="120" w:line="288" w:lineRule="auto"/>
        <w:ind w:left="0"/>
        <w:jc w:val="left"/>
      </w:pPr>
      <w:r>
        <w:rPr>
          <w:rFonts w:ascii="Arial" w:hAnsi="Arial" w:eastAsia="等线" w:cs="Arial"/>
          <w:sz w:val="22"/>
        </w:rPr>
        <w:t>不同的账户类型；</w:t>
      </w:r>
    </w:p>
    <w:p w14:paraId="30E443DD">
      <w:pPr>
        <w:numPr>
          <w:ilvl w:val="0"/>
          <w:numId w:val="3"/>
        </w:numPr>
        <w:spacing w:before="120" w:after="120" w:line="288" w:lineRule="auto"/>
        <w:ind w:left="0"/>
        <w:jc w:val="left"/>
      </w:pPr>
      <w:r>
        <w:rPr>
          <w:rFonts w:ascii="Arial" w:hAnsi="Arial" w:eastAsia="等线" w:cs="Arial"/>
          <w:sz w:val="22"/>
        </w:rPr>
        <w:t>保证金账户及保证金要求与计算规则；</w:t>
      </w:r>
    </w:p>
    <w:p w14:paraId="176740CF">
      <w:pPr>
        <w:numPr>
          <w:ilvl w:val="0"/>
          <w:numId w:val="4"/>
        </w:numPr>
        <w:spacing w:before="120" w:after="120" w:line="288" w:lineRule="auto"/>
        <w:ind w:left="0"/>
        <w:jc w:val="left"/>
      </w:pPr>
      <w:r>
        <w:rPr>
          <w:rFonts w:ascii="Arial" w:hAnsi="Arial" w:eastAsia="等线" w:cs="Arial"/>
          <w:sz w:val="22"/>
        </w:rPr>
        <w:t>相关法案。</w:t>
      </w:r>
    </w:p>
    <w:p w14:paraId="57E8D673">
      <w:pPr>
        <w:spacing w:before="120" w:after="120" w:line="288" w:lineRule="auto"/>
        <w:ind w:left="0"/>
        <w:jc w:val="left"/>
      </w:pPr>
    </w:p>
    <w:p w14:paraId="7EFEC36D">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6557F9E9">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账户开立基本流程与要求</w:t>
      </w:r>
      <w:bookmarkEnd w:id="2"/>
    </w:p>
    <w:p w14:paraId="067E9E85">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新账户表格</w:t>
      </w:r>
      <w:bookmarkEnd w:id="3"/>
    </w:p>
    <w:p w14:paraId="6E6C88C1">
      <w:pPr>
        <w:spacing w:before="120" w:after="120" w:line="288" w:lineRule="auto"/>
        <w:ind w:left="0"/>
        <w:jc w:val="left"/>
      </w:pPr>
      <w:r>
        <w:rPr>
          <w:rFonts w:ascii="Arial" w:hAnsi="Arial" w:eastAsia="等线" w:cs="Arial"/>
          <w:sz w:val="22"/>
        </w:rPr>
        <w:t>客户开设任何新账户时，首先需要填写一份新账户表格（New Account Form），这是一份用于收集客户基本信息以满足合规要求的内部文件。</w:t>
      </w:r>
    </w:p>
    <w:p w14:paraId="153C6991">
      <w:pPr>
        <w:spacing w:before="120" w:after="120" w:line="288" w:lineRule="auto"/>
        <w:ind w:left="0"/>
        <w:jc w:val="left"/>
      </w:pPr>
    </w:p>
    <w:p w14:paraId="574B15A2">
      <w:pPr>
        <w:numPr>
          <w:ilvl w:val="0"/>
          <w:numId w:val="5"/>
        </w:numPr>
        <w:spacing w:before="120" w:after="120" w:line="288" w:lineRule="auto"/>
        <w:ind w:left="0"/>
        <w:jc w:val="left"/>
      </w:pPr>
      <w:r>
        <w:rPr>
          <w:rFonts w:ascii="Arial" w:hAnsi="Arial" w:eastAsia="等线" w:cs="Arial"/>
          <w:sz w:val="22"/>
        </w:rPr>
        <w:t>姓名、地址、联系方式以及一名 18 岁或以上的可靠联系人（特别是当开户人年龄为65岁或以上时）。可靠联系人并非强制要求，但强烈建议提供；</w:t>
      </w:r>
    </w:p>
    <w:p w14:paraId="57511CF3">
      <w:pPr>
        <w:numPr>
          <w:ilvl w:val="0"/>
          <w:numId w:val="6"/>
        </w:numPr>
        <w:spacing w:before="120" w:after="120" w:line="288" w:lineRule="auto"/>
        <w:ind w:left="0"/>
        <w:jc w:val="left"/>
      </w:pPr>
      <w:r>
        <w:rPr>
          <w:rFonts w:ascii="Arial" w:hAnsi="Arial" w:eastAsia="等线" w:cs="Arial"/>
          <w:sz w:val="22"/>
        </w:rPr>
        <w:t>客户的出生日期（客户必须达到开立账户的法定年龄）；</w:t>
      </w:r>
    </w:p>
    <w:p w14:paraId="1273AEB0">
      <w:pPr>
        <w:numPr>
          <w:ilvl w:val="0"/>
          <w:numId w:val="7"/>
        </w:numPr>
        <w:spacing w:before="120" w:after="120" w:line="288" w:lineRule="auto"/>
        <w:ind w:left="0"/>
        <w:jc w:val="left"/>
      </w:pPr>
      <w:r>
        <w:rPr>
          <w:rFonts w:ascii="Arial" w:hAnsi="Arial" w:eastAsia="等线" w:cs="Arial"/>
          <w:sz w:val="22"/>
        </w:rPr>
        <w:t>联系电话号码；</w:t>
      </w:r>
    </w:p>
    <w:p w14:paraId="3CD068F1">
      <w:pPr>
        <w:numPr>
          <w:ilvl w:val="0"/>
          <w:numId w:val="8"/>
        </w:numPr>
        <w:spacing w:before="120" w:after="120" w:line="288" w:lineRule="auto"/>
        <w:ind w:left="0"/>
        <w:jc w:val="left"/>
      </w:pPr>
      <w:r>
        <w:rPr>
          <w:rFonts w:ascii="Arial" w:hAnsi="Arial" w:eastAsia="等线" w:cs="Arial"/>
          <w:sz w:val="22"/>
        </w:rPr>
        <w:t>婚姻状况（Marital status）及抚养人数（dependents），如未成年子女、需要赡养的老人；</w:t>
      </w:r>
    </w:p>
    <w:p w14:paraId="0B4ECADB">
      <w:pPr>
        <w:numPr>
          <w:ilvl w:val="0"/>
          <w:numId w:val="9"/>
        </w:numPr>
        <w:spacing w:before="120" w:after="120" w:line="288" w:lineRule="auto"/>
        <w:ind w:left="0"/>
        <w:jc w:val="left"/>
      </w:pPr>
      <w:r>
        <w:rPr>
          <w:rFonts w:ascii="Arial" w:hAnsi="Arial" w:eastAsia="等线" w:cs="Arial"/>
          <w:sz w:val="22"/>
        </w:rPr>
        <w:t>开户人或其任何直系亲属是否受雇于证券行业或与证券行业有关联，若是，给出具体情况；</w:t>
      </w:r>
    </w:p>
    <w:p w14:paraId="4F3CFCF6">
      <w:pPr>
        <w:numPr>
          <w:ilvl w:val="0"/>
          <w:numId w:val="10"/>
        </w:numPr>
        <w:spacing w:before="120" w:after="120" w:line="288" w:lineRule="auto"/>
        <w:ind w:left="0"/>
        <w:jc w:val="left"/>
      </w:pPr>
      <w:r>
        <w:rPr>
          <w:rFonts w:ascii="Arial" w:hAnsi="Arial" w:eastAsia="等线" w:cs="Arial"/>
          <w:sz w:val="22"/>
        </w:rPr>
        <w:t>客户开设的账户类型（现金账户、保证金账户、退休账户、日内交易账户、机构经纪账户、付款交割[DVP]/收款交割[RVP]账户、咨询或收费型账户、全权委托账户、期权账户等）；</w:t>
      </w:r>
    </w:p>
    <w:p w14:paraId="22393768">
      <w:pPr>
        <w:numPr>
          <w:ilvl w:val="0"/>
          <w:numId w:val="11"/>
        </w:numPr>
        <w:spacing w:before="120" w:after="120" w:line="288" w:lineRule="auto"/>
        <w:ind w:left="0"/>
        <w:jc w:val="left"/>
      </w:pPr>
      <w:r>
        <w:rPr>
          <w:rFonts w:ascii="Arial" w:hAnsi="Arial" w:eastAsia="等线" w:cs="Arial"/>
          <w:sz w:val="22"/>
        </w:rPr>
        <w:t>社会保障号码（客户是个人）或税号（客户是企业）；</w:t>
      </w:r>
    </w:p>
    <w:p w14:paraId="6893EC2D">
      <w:pPr>
        <w:numPr>
          <w:ilvl w:val="0"/>
          <w:numId w:val="12"/>
        </w:numPr>
        <w:spacing w:before="120" w:after="120" w:line="288" w:lineRule="auto"/>
        <w:ind w:left="0"/>
        <w:jc w:val="left"/>
      </w:pPr>
      <w:r>
        <w:rPr>
          <w:rFonts w:ascii="Arial" w:hAnsi="Arial" w:eastAsia="等线" w:cs="Arial"/>
          <w:sz w:val="22"/>
        </w:rPr>
        <w:t>职业、雇主、雇主地址以及业务类型（对在银行、经纪交易商、保险公司、自律组织（SROs）等机构工作的客户设有某些限制）；</w:t>
      </w:r>
    </w:p>
    <w:p w14:paraId="62DE4DC2">
      <w:pPr>
        <w:numPr>
          <w:ilvl w:val="0"/>
          <w:numId w:val="13"/>
        </w:numPr>
        <w:spacing w:before="120" w:after="120" w:line="288" w:lineRule="auto"/>
        <w:ind w:left="0"/>
        <w:jc w:val="left"/>
      </w:pPr>
      <w:r>
        <w:rPr>
          <w:rFonts w:ascii="Arial" w:hAnsi="Arial" w:eastAsia="等线" w:cs="Arial"/>
          <w:sz w:val="22"/>
        </w:rPr>
        <w:t>国内或国外居住权和/或公民身份（包括根据客户的驾照、护照、州身份证、政府身份证等提供的身份信息）；</w:t>
      </w:r>
    </w:p>
    <w:p w14:paraId="18FF6EF1">
      <w:pPr>
        <w:numPr>
          <w:ilvl w:val="0"/>
          <w:numId w:val="14"/>
        </w:numPr>
        <w:spacing w:before="120" w:after="120" w:line="288" w:lineRule="auto"/>
        <w:ind w:left="0"/>
        <w:jc w:val="left"/>
      </w:pPr>
      <w:r>
        <w:rPr>
          <w:rFonts w:ascii="Arial" w:hAnsi="Arial" w:eastAsia="等线" w:cs="Arial"/>
          <w:sz w:val="22"/>
        </w:rPr>
        <w:t>银行推荐信以及客户的财务状况（Financial Profile）：净资产、流动性净资产、税率和年收入；</w:t>
      </w:r>
    </w:p>
    <w:p w14:paraId="02B198A5">
      <w:pPr>
        <w:numPr>
          <w:ilvl w:val="0"/>
          <w:numId w:val="15"/>
        </w:numPr>
        <w:spacing w:before="120" w:after="120" w:line="288" w:lineRule="auto"/>
        <w:ind w:left="0"/>
        <w:jc w:val="left"/>
      </w:pPr>
      <w:r>
        <w:rPr>
          <w:rFonts w:ascii="Arial" w:hAnsi="Arial" w:eastAsia="等线" w:cs="Arial"/>
          <w:sz w:val="22"/>
        </w:rPr>
        <w:t>客户是否为公司内部人员。此处的内部人员指高级管理人员、董事或持有发行人10%以上有表决权股份的个人；</w:t>
      </w:r>
    </w:p>
    <w:p w14:paraId="3C7D4005">
      <w:pPr>
        <w:numPr>
          <w:ilvl w:val="0"/>
          <w:numId w:val="16"/>
        </w:numPr>
        <w:spacing w:before="120" w:after="120" w:line="288" w:lineRule="auto"/>
        <w:ind w:left="0"/>
        <w:jc w:val="left"/>
      </w:pPr>
      <w:r>
        <w:rPr>
          <w:rFonts w:ascii="Arial" w:hAnsi="Arial" w:eastAsia="等线" w:cs="Arial"/>
          <w:sz w:val="22"/>
        </w:rPr>
        <w:t>金融投资经验（Financial investment experience）；</w:t>
      </w:r>
    </w:p>
    <w:p w14:paraId="6DF425F4">
      <w:pPr>
        <w:numPr>
          <w:ilvl w:val="0"/>
          <w:numId w:val="17"/>
        </w:numPr>
        <w:spacing w:before="120" w:after="120" w:line="288" w:lineRule="auto"/>
        <w:ind w:left="0"/>
        <w:jc w:val="left"/>
      </w:pPr>
      <w:r>
        <w:rPr>
          <w:rFonts w:ascii="Arial" w:hAnsi="Arial" w:eastAsia="等线" w:cs="Arial"/>
          <w:sz w:val="22"/>
        </w:rPr>
        <w:t>负责人（经理）（Principal [Manager]）的签名。</w:t>
      </w:r>
    </w:p>
    <w:p w14:paraId="5F823C47">
      <w:pPr>
        <w:spacing w:before="120" w:after="120" w:line="288" w:lineRule="auto"/>
        <w:ind w:left="0"/>
        <w:jc w:val="left"/>
      </w:pPr>
    </w:p>
    <w:p w14:paraId="762AF29B">
      <w:pPr>
        <w:spacing w:before="120" w:after="120" w:line="288" w:lineRule="auto"/>
        <w:ind w:left="0"/>
        <w:jc w:val="left"/>
      </w:pPr>
      <w:r>
        <w:rPr>
          <w:rFonts w:ascii="Arial" w:hAnsi="Arial" w:eastAsia="等线" w:cs="Arial"/>
          <w:sz w:val="22"/>
        </w:rPr>
        <w:t>经纪交易商可依据《美国爱国者法案》（USA PATRIOT Act）要求客户提供身份证明：</w:t>
      </w:r>
    </w:p>
    <w:p w14:paraId="24E7E0E1">
      <w:pPr>
        <w:numPr>
          <w:ilvl w:val="0"/>
          <w:numId w:val="18"/>
        </w:numPr>
        <w:spacing w:before="120" w:after="120" w:line="288" w:lineRule="auto"/>
        <w:ind w:left="0"/>
        <w:jc w:val="left"/>
      </w:pPr>
      <w:r>
        <w:rPr>
          <w:rFonts w:ascii="Arial" w:hAnsi="Arial" w:eastAsia="等线" w:cs="Arial"/>
          <w:sz w:val="22"/>
        </w:rPr>
        <w:t>通过客户识别程序（CIPs，Customer Identification Programs）识别客户信息；</w:t>
      </w:r>
    </w:p>
    <w:p w14:paraId="605B7518">
      <w:pPr>
        <w:numPr>
          <w:ilvl w:val="0"/>
          <w:numId w:val="19"/>
        </w:numPr>
        <w:spacing w:before="120" w:after="120" w:line="288" w:lineRule="auto"/>
        <w:ind w:left="0"/>
        <w:jc w:val="left"/>
      </w:pPr>
      <w:r>
        <w:rPr>
          <w:rFonts w:ascii="Arial" w:hAnsi="Arial" w:eastAsia="等线" w:cs="Arial"/>
          <w:sz w:val="22"/>
        </w:rPr>
        <w:t>核实客户未出现在任何已知恐怖分子或恐怖组织名单上。美国财政部（U.S. Treasury Department）下属的金融资产控制办公室（Office of Financial Assets Control，OFAC）负责管理这份名单。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B1845D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74BA2A7">
            <w:pPr>
              <w:spacing w:before="120" w:after="120" w:line="288" w:lineRule="auto"/>
              <w:ind w:left="0"/>
              <w:jc w:val="left"/>
            </w:pPr>
            <w:r>
              <w:rPr>
                <w:rFonts w:ascii="Arial" w:hAnsi="Arial" w:eastAsia="等线" w:cs="Arial"/>
                <w:sz w:val="22"/>
              </w:rPr>
              <w:t>《美国爱国者法案》 是美国在 911 事件后于 2001 年颁布的一部综合性法律，首要目标是打击恐怖主义融资和洗钱活动。</w:t>
            </w:r>
          </w:p>
          <w:p w14:paraId="1B394080">
            <w:pPr>
              <w:spacing w:before="120" w:after="120" w:line="288" w:lineRule="auto"/>
              <w:ind w:left="0"/>
              <w:jc w:val="left"/>
            </w:pPr>
          </w:p>
          <w:p w14:paraId="63341917">
            <w:pPr>
              <w:spacing w:before="120" w:after="120" w:line="288" w:lineRule="auto"/>
              <w:ind w:left="0"/>
              <w:jc w:val="left"/>
            </w:pPr>
            <w:r>
              <w:rPr>
                <w:rFonts w:ascii="Arial" w:hAnsi="Arial" w:eastAsia="等线" w:cs="Arial"/>
                <w:sz w:val="22"/>
              </w:rPr>
              <w:t>该法案全称为 Uniting and Strengthening America by Providing Appropriate Tools Required to Intercept and Obstruct Terrorism Act of 2001。</w:t>
            </w:r>
          </w:p>
        </w:tc>
      </w:tr>
    </w:tbl>
    <w:p w14:paraId="597DBA35">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其他重要的客户信息</w:t>
      </w:r>
      <w:bookmarkEnd w:id="4"/>
    </w:p>
    <w:p w14:paraId="71A91A62">
      <w:pPr>
        <w:spacing w:before="120" w:after="120" w:line="288" w:lineRule="auto"/>
        <w:ind w:left="0"/>
        <w:jc w:val="left"/>
      </w:pPr>
      <w:r>
        <w:rPr>
          <w:rFonts w:ascii="Arial" w:hAnsi="Arial" w:eastAsia="等线" w:cs="Arial"/>
          <w:sz w:val="22"/>
        </w:rPr>
        <w:t>了解你的客户（Know Your Customer，KYC）是你的职责，这样你才能做出合适的推荐，并有效地管理账户。</w:t>
      </w:r>
    </w:p>
    <w:p w14:paraId="7CAB5A4C">
      <w:pPr>
        <w:spacing w:before="120" w:after="120" w:line="288" w:lineRule="auto"/>
        <w:ind w:left="0"/>
        <w:jc w:val="left"/>
      </w:pPr>
    </w:p>
    <w:p w14:paraId="3116C7EA">
      <w:pPr>
        <w:spacing w:before="120" w:after="120" w:line="288" w:lineRule="auto"/>
        <w:ind w:left="0"/>
        <w:jc w:val="left"/>
      </w:pPr>
      <w:r>
        <w:rPr>
          <w:rFonts w:ascii="Arial" w:hAnsi="Arial" w:eastAsia="等线" w:cs="Arial"/>
          <w:sz w:val="22"/>
        </w:rPr>
        <w:t>你的建议应基于客户的情况，做到公平合理（fair and reasonable）且在客户的财务能力（financial ability）范围内。基本上，不要向厌恶风险（risk averse）且资金有限（limited funds）的客户推荐购买10万美元的（风险极高的）便士股票（Penny stocks）。</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D09BD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E0D00AE">
            <w:pPr>
              <w:spacing w:before="120" w:after="120" w:line="288" w:lineRule="auto"/>
              <w:ind w:left="0"/>
              <w:jc w:val="left"/>
            </w:pPr>
            <w:r>
              <w:rPr>
                <w:rFonts w:ascii="Arial" w:hAnsi="Arial" w:eastAsia="等线" w:cs="Arial"/>
                <w:sz w:val="22"/>
              </w:rPr>
              <w:t>注意：如果客户没有提供足够的信息让你做出恰当的推荐，你仍然可以接受客户主动提出的订单（unsolicited orders）。</w:t>
            </w:r>
          </w:p>
        </w:tc>
      </w:tr>
    </w:tbl>
    <w:p w14:paraId="22AF15A9">
      <w:pPr>
        <w:spacing w:before="120" w:after="120" w:line="288" w:lineRule="auto"/>
        <w:ind w:left="0"/>
        <w:jc w:val="left"/>
      </w:pPr>
    </w:p>
    <w:p w14:paraId="1DFE9824">
      <w:pPr>
        <w:spacing w:before="120" w:after="120" w:line="288" w:lineRule="auto"/>
        <w:ind w:left="0"/>
        <w:jc w:val="left"/>
      </w:pPr>
      <w:r>
        <w:rPr>
          <w:rFonts w:ascii="Arial" w:hAnsi="Arial" w:eastAsia="等线" w:cs="Arial"/>
          <w:sz w:val="22"/>
        </w:rPr>
        <w:t>以下是一些其他重要的客户信息：</w:t>
      </w:r>
    </w:p>
    <w:p w14:paraId="7706D945">
      <w:pPr>
        <w:numPr>
          <w:ilvl w:val="0"/>
          <w:numId w:val="20"/>
        </w:numPr>
        <w:spacing w:before="120" w:after="120" w:line="288" w:lineRule="auto"/>
        <w:ind w:left="0"/>
        <w:jc w:val="left"/>
      </w:pPr>
      <w:r>
        <w:rPr>
          <w:rFonts w:ascii="Arial" w:hAnsi="Arial" w:eastAsia="等线" w:cs="Arial"/>
          <w:sz w:val="22"/>
        </w:rPr>
        <w:t>可能拥有的其他投资；</w:t>
      </w:r>
    </w:p>
    <w:p w14:paraId="66EDE815">
      <w:pPr>
        <w:numPr>
          <w:ilvl w:val="0"/>
          <w:numId w:val="21"/>
        </w:numPr>
        <w:spacing w:before="120" w:after="120" w:line="288" w:lineRule="auto"/>
        <w:ind w:left="0"/>
        <w:jc w:val="left"/>
      </w:pPr>
      <w:r>
        <w:rPr>
          <w:rFonts w:ascii="Arial" w:hAnsi="Arial" w:eastAsia="等线" w:cs="Arial"/>
          <w:sz w:val="22"/>
        </w:rPr>
        <w:t>财务状况和需求。如是否即将买房，或者正在为一个或多个孩子支付大学学费？</w:t>
      </w:r>
    </w:p>
    <w:p w14:paraId="270987D9">
      <w:pPr>
        <w:numPr>
          <w:ilvl w:val="0"/>
          <w:numId w:val="22"/>
        </w:numPr>
        <w:spacing w:before="120" w:after="120" w:line="288" w:lineRule="auto"/>
        <w:ind w:left="0"/>
        <w:jc w:val="left"/>
      </w:pPr>
      <w:r>
        <w:rPr>
          <w:rFonts w:ascii="Arial" w:hAnsi="Arial" w:eastAsia="等线" w:cs="Arial"/>
          <w:sz w:val="22"/>
        </w:rPr>
        <w:t>客户税率（Tax Rate）。如市政债券更适合高税率的投资者；</w:t>
      </w:r>
    </w:p>
    <w:p w14:paraId="68AEBDA8">
      <w:pPr>
        <w:numPr>
          <w:ilvl w:val="0"/>
          <w:numId w:val="23"/>
        </w:numPr>
        <w:spacing w:before="120" w:after="120" w:line="288" w:lineRule="auto"/>
        <w:ind w:left="0"/>
        <w:jc w:val="left"/>
      </w:pPr>
      <w:r>
        <w:rPr>
          <w:rFonts w:ascii="Arial" w:hAnsi="Arial" w:eastAsia="等线" w:cs="Arial"/>
          <w:sz w:val="22"/>
        </w:rPr>
        <w:t>投资目标（Investment Objectives）。如退休资金储备、产生当前收入、资本保全、资本增值、总回报（增长和收入）、税收优惠投资、流动性、投机、交易利润，以及长期与短期风险；</w:t>
      </w:r>
    </w:p>
    <w:p w14:paraId="6BAEAED1">
      <w:pPr>
        <w:numPr>
          <w:ilvl w:val="0"/>
          <w:numId w:val="24"/>
        </w:numPr>
        <w:spacing w:before="120" w:after="120" w:line="288" w:lineRule="auto"/>
        <w:ind w:left="0"/>
        <w:jc w:val="left"/>
      </w:pPr>
      <w:r>
        <w:rPr>
          <w:rFonts w:ascii="Arial" w:hAnsi="Arial" w:eastAsia="等线" w:cs="Arial"/>
          <w:sz w:val="22"/>
        </w:rPr>
        <w:t>投资经验（Investment Experience），这决定了你需要向客户解释多少；</w:t>
      </w:r>
    </w:p>
    <w:p w14:paraId="36D09384">
      <w:pPr>
        <w:numPr>
          <w:ilvl w:val="0"/>
          <w:numId w:val="25"/>
        </w:numPr>
        <w:spacing w:before="120" w:after="120" w:line="288" w:lineRule="auto"/>
        <w:ind w:left="0"/>
        <w:jc w:val="left"/>
      </w:pPr>
      <w:r>
        <w:rPr>
          <w:rFonts w:ascii="Arial" w:hAnsi="Arial" w:eastAsia="等线" w:cs="Arial"/>
          <w:sz w:val="22"/>
        </w:rPr>
        <w:t>时间范围（Time Horizon）。达到财务目标的预期时间，如果有的话；</w:t>
      </w:r>
    </w:p>
    <w:p w14:paraId="7F65A8C9">
      <w:pPr>
        <w:numPr>
          <w:ilvl w:val="0"/>
          <w:numId w:val="26"/>
        </w:numPr>
        <w:spacing w:before="120" w:after="120" w:line="288" w:lineRule="auto"/>
        <w:ind w:left="0"/>
        <w:jc w:val="left"/>
      </w:pPr>
      <w:r>
        <w:rPr>
          <w:rFonts w:ascii="Arial" w:hAnsi="Arial" w:eastAsia="等线" w:cs="Arial"/>
          <w:sz w:val="22"/>
        </w:rPr>
        <w:t>风险承受能力（Risk Tolerance）。你应该推荐投机性证券（speculative securities）还是只推荐更安全的证券；</w:t>
      </w:r>
    </w:p>
    <w:p w14:paraId="75BFB0FB">
      <w:pPr>
        <w:numPr>
          <w:ilvl w:val="0"/>
          <w:numId w:val="27"/>
        </w:numPr>
        <w:spacing w:before="120" w:after="120" w:line="288" w:lineRule="auto"/>
        <w:ind w:left="0"/>
        <w:jc w:val="left"/>
      </w:pPr>
      <w:r>
        <w:rPr>
          <w:rFonts w:ascii="Arial" w:hAnsi="Arial" w:eastAsia="等线" w:cs="Arial"/>
          <w:sz w:val="22"/>
        </w:rPr>
        <w:t>他们的流动性（liquidity）需求。你是否应该只推荐他们能轻松进出的证券？</w:t>
      </w:r>
    </w:p>
    <w:p w14:paraId="5D3F503D">
      <w:pPr>
        <w:spacing w:before="120" w:after="120" w:line="288" w:lineRule="auto"/>
        <w:ind w:left="0"/>
        <w:jc w:val="left"/>
      </w:pPr>
    </w:p>
    <w:p w14:paraId="399D39A3">
      <w:pPr>
        <w:spacing w:before="300" w:after="120" w:line="288" w:lineRule="auto"/>
        <w:ind w:left="0"/>
        <w:jc w:val="left"/>
        <w:outlineLvl w:val="2"/>
      </w:pPr>
      <w:bookmarkStart w:id="5" w:name="heading_5"/>
      <w:r>
        <w:rPr>
          <w:rFonts w:ascii="Arial" w:hAnsi="Arial" w:eastAsia="等线" w:cs="Arial"/>
          <w:color w:val="3370FF"/>
          <w:sz w:val="30"/>
        </w:rPr>
        <w:t xml:space="preserve">2.1.3 </w:t>
      </w:r>
      <w:r>
        <w:rPr>
          <w:rFonts w:ascii="Arial" w:hAnsi="Arial" w:eastAsia="等线" w:cs="Arial"/>
          <w:b/>
          <w:sz w:val="30"/>
        </w:rPr>
        <w:t>街名账户</w:t>
      </w:r>
      <w:bookmarkEnd w:id="5"/>
    </w:p>
    <w:p w14:paraId="6886CA3A">
      <w:pPr>
        <w:spacing w:before="120" w:after="120" w:line="288" w:lineRule="auto"/>
        <w:ind w:left="0"/>
        <w:jc w:val="left"/>
      </w:pPr>
      <w:r>
        <w:rPr>
          <w:rFonts w:ascii="Arial" w:hAnsi="Arial" w:eastAsia="等线" w:cs="Arial"/>
          <w:sz w:val="22"/>
        </w:rPr>
        <w:t>街名账户（Street name accounts）指以经纪交易商名义（in the name of the broker–dealer）注册并带有客户受益 ID 编号的账户。</w:t>
      </w:r>
    </w:p>
    <w:p w14:paraId="36A95DC3">
      <w:pPr>
        <w:spacing w:before="120" w:after="120" w:line="288" w:lineRule="auto"/>
        <w:ind w:left="0"/>
        <w:jc w:val="left"/>
      </w:pPr>
    </w:p>
    <w:p w14:paraId="2D1A9780">
      <w:pPr>
        <w:spacing w:before="120" w:after="120" w:line="288" w:lineRule="auto"/>
        <w:ind w:left="0"/>
        <w:jc w:val="left"/>
      </w:pPr>
      <w:r>
        <w:rPr>
          <w:rFonts w:ascii="Arial" w:hAnsi="Arial" w:eastAsia="等线" w:cs="Arial"/>
          <w:sz w:val="22"/>
        </w:rPr>
        <w:t>大多数公司将新客户账户设为街名账户形式，以方便交易。街名账户为投资者提供一定程度的隐私保护，并有助于促进证券交易，因为是经纪公司而非客户在凭证上签字。</w:t>
      </w:r>
    </w:p>
    <w:p w14:paraId="48228BCC">
      <w:pPr>
        <w:spacing w:before="120" w:after="120" w:line="288" w:lineRule="auto"/>
        <w:ind w:left="0"/>
        <w:jc w:val="left"/>
      </w:pPr>
    </w:p>
    <w:p w14:paraId="2D2ACDD6">
      <w:pPr>
        <w:spacing w:before="120" w:after="120" w:line="288" w:lineRule="auto"/>
        <w:ind w:left="0"/>
        <w:jc w:val="left"/>
      </w:pPr>
      <w:r>
        <w:rPr>
          <w:rFonts w:ascii="Arial" w:hAnsi="Arial" w:eastAsia="等线" w:cs="Arial"/>
          <w:sz w:val="22"/>
        </w:rPr>
        <w:t>参加 SIE 考试，你需要了解关于街名账户的几条规则：</w:t>
      </w:r>
    </w:p>
    <w:p w14:paraId="48AC119D">
      <w:pPr>
        <w:numPr>
          <w:ilvl w:val="0"/>
          <w:numId w:val="28"/>
        </w:numPr>
        <w:spacing w:before="120" w:after="120" w:line="288" w:lineRule="auto"/>
        <w:ind w:left="0"/>
        <w:jc w:val="left"/>
      </w:pPr>
      <w:r>
        <w:rPr>
          <w:rFonts w:ascii="Arial" w:hAnsi="Arial" w:eastAsia="等线" w:cs="Arial"/>
          <w:sz w:val="22"/>
        </w:rPr>
        <w:t>你需要一份客户的书面声明（written statement）以证明其对该账户的所有权（ownership of the account）；</w:t>
      </w:r>
    </w:p>
    <w:p w14:paraId="1476754A">
      <w:pPr>
        <w:numPr>
          <w:ilvl w:val="0"/>
          <w:numId w:val="29"/>
        </w:numPr>
        <w:spacing w:before="120" w:after="120" w:line="288" w:lineRule="auto"/>
        <w:ind w:left="0"/>
        <w:jc w:val="left"/>
      </w:pPr>
      <w:r>
        <w:rPr>
          <w:rFonts w:ascii="Arial" w:hAnsi="Arial" w:eastAsia="等线" w:cs="Arial"/>
          <w:sz w:val="22"/>
        </w:rPr>
        <w:t>所有保证金账户都必须以街名持有（All margin accounts must be in street name）；</w:t>
      </w:r>
    </w:p>
    <w:p w14:paraId="160681B1">
      <w:pPr>
        <w:numPr>
          <w:ilvl w:val="0"/>
          <w:numId w:val="30"/>
        </w:numPr>
        <w:spacing w:before="120" w:after="120" w:line="288" w:lineRule="auto"/>
        <w:ind w:left="0"/>
        <w:jc w:val="left"/>
      </w:pPr>
      <w:r>
        <w:rPr>
          <w:rFonts w:ascii="Arial" w:hAnsi="Arial" w:eastAsia="等线" w:cs="Arial"/>
          <w:sz w:val="22"/>
        </w:rPr>
        <w:t>除了必须以街名持有的保证金账户外，客户可随时将街名账户变更为普通账户。</w:t>
      </w:r>
    </w:p>
    <w:p w14:paraId="2D6A62BB">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4C0BA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0AA092A">
            <w:pPr>
              <w:spacing w:before="120" w:after="120" w:line="288" w:lineRule="auto"/>
              <w:ind w:left="0"/>
              <w:jc w:val="left"/>
            </w:pPr>
            <w:r>
              <w:rPr>
                <w:rFonts w:ascii="Arial" w:hAnsi="Arial" w:eastAsia="等线" w:cs="Arial"/>
                <w:sz w:val="22"/>
              </w:rPr>
              <w:t>为什么所有保证金账户都必须以街名持有？</w:t>
            </w:r>
          </w:p>
          <w:p w14:paraId="47C9B369">
            <w:pPr>
              <w:spacing w:before="120" w:after="120" w:line="288" w:lineRule="auto"/>
              <w:ind w:left="0"/>
              <w:jc w:val="left"/>
            </w:pPr>
          </w:p>
          <w:p w14:paraId="6E28C367">
            <w:pPr>
              <w:spacing w:before="120" w:after="120" w:line="288" w:lineRule="auto"/>
              <w:ind w:left="0"/>
              <w:jc w:val="left"/>
            </w:pPr>
            <w:r>
              <w:rPr>
                <w:rFonts w:ascii="Arial" w:hAnsi="Arial" w:eastAsia="等线" w:cs="Arial"/>
                <w:sz w:val="22"/>
              </w:rPr>
              <w:t>为了完善担保权益，证券必须登记在经纪交易商名下（即街名）。这样，当发生违约时，经纪交易商作为证券的登记持有人，有权迅速将其出售以偿还你的贷款，而无需经过复杂的法律程序来取得你的证券所有权。</w:t>
            </w:r>
          </w:p>
        </w:tc>
      </w:tr>
    </w:tbl>
    <w:p w14:paraId="7ECEF9FA">
      <w:pPr>
        <w:spacing w:before="120" w:after="120" w:line="288" w:lineRule="auto"/>
        <w:ind w:left="0"/>
        <w:jc w:val="left"/>
      </w:pPr>
    </w:p>
    <w:p w14:paraId="21A8D933">
      <w:pPr>
        <w:spacing w:before="320" w:after="120" w:line="288" w:lineRule="auto"/>
        <w:ind w:left="0"/>
        <w:jc w:val="left"/>
        <w:outlineLvl w:val="1"/>
      </w:pPr>
      <w:bookmarkStart w:id="6" w:name="heading_6"/>
      <w:r>
        <w:rPr>
          <w:rFonts w:ascii="Arial" w:hAnsi="Arial" w:eastAsia="等线" w:cs="Arial"/>
          <w:color w:val="3370FF"/>
          <w:sz w:val="32"/>
        </w:rPr>
        <w:t xml:space="preserve">2.2 </w:t>
      </w:r>
      <w:r>
        <w:rPr>
          <w:rFonts w:ascii="Arial" w:hAnsi="Arial" w:eastAsia="等线" w:cs="Arial"/>
          <w:b/>
          <w:sz w:val="32"/>
        </w:rPr>
        <w:t>选择合适的账户类型</w:t>
      </w:r>
      <w:bookmarkEnd w:id="6"/>
    </w:p>
    <w:p w14:paraId="29795A72">
      <w:pPr>
        <w:spacing w:before="120" w:after="120" w:line="288" w:lineRule="auto"/>
        <w:ind w:left="0"/>
        <w:jc w:val="left"/>
      </w:pPr>
      <w:r>
        <w:rPr>
          <w:rFonts w:ascii="Arial" w:hAnsi="Arial" w:eastAsia="等线" w:cs="Arial"/>
          <w:sz w:val="22"/>
        </w:rPr>
        <w:t>这是本章的绝对重点，考试会频繁考查不同类型账户的特征、权限和税收处理。</w:t>
      </w:r>
    </w:p>
    <w:p w14:paraId="5177CA75">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62EED20D">
      <w:pPr>
        <w:spacing w:after="120"/>
        <w:ind w:left="0"/>
        <w:jc w:val="center"/>
      </w:pPr>
      <w:r>
        <w:rPr>
          <w:rFonts w:ascii="Arial" w:hAnsi="Arial" w:eastAsia="等线" w:cs="Arial"/>
          <w:b/>
          <w:sz w:val="22"/>
        </w:rPr>
        <w:t>点击图片可查看完整电子表格</w:t>
      </w:r>
    </w:p>
    <w:p w14:paraId="2D259779">
      <w:pPr>
        <w:spacing w:before="120" w:after="120" w:line="288" w:lineRule="auto"/>
        <w:ind w:left="0"/>
        <w:jc w:val="left"/>
      </w:pPr>
    </w:p>
    <w:p w14:paraId="0A022D71">
      <w:pPr>
        <w:spacing w:before="300" w:after="120" w:line="288" w:lineRule="auto"/>
        <w:ind w:left="0"/>
        <w:jc w:val="left"/>
        <w:outlineLvl w:val="2"/>
      </w:pPr>
      <w:bookmarkStart w:id="7" w:name="heading_7"/>
      <w:r>
        <w:rPr>
          <w:rFonts w:ascii="Arial" w:hAnsi="Arial" w:eastAsia="等线" w:cs="Arial"/>
          <w:color w:val="3370FF"/>
          <w:sz w:val="30"/>
        </w:rPr>
        <w:t xml:space="preserve">2.2.1 </w:t>
      </w:r>
      <w:r>
        <w:rPr>
          <w:rFonts w:ascii="Arial" w:hAnsi="Arial" w:eastAsia="等线" w:cs="Arial"/>
          <w:b/>
          <w:sz w:val="30"/>
        </w:rPr>
        <w:t>个人账户和联名账户（Single and joint accounts）</w:t>
      </w:r>
      <w:bookmarkEnd w:id="7"/>
    </w:p>
    <w:p w14:paraId="46F15976">
      <w:pPr>
        <w:spacing w:before="260" w:after="120" w:line="288" w:lineRule="auto"/>
        <w:ind w:left="0"/>
        <w:jc w:val="left"/>
        <w:outlineLvl w:val="3"/>
      </w:pPr>
      <w:bookmarkStart w:id="8" w:name="heading_8"/>
      <w:r>
        <w:rPr>
          <w:rFonts w:ascii="Arial" w:hAnsi="Arial" w:eastAsia="等线" w:cs="Arial"/>
          <w:color w:val="3370FF"/>
          <w:sz w:val="28"/>
        </w:rPr>
        <w:t xml:space="preserve">2.2.1.1 </w:t>
      </w:r>
      <w:r>
        <w:rPr>
          <w:rFonts w:ascii="Arial" w:hAnsi="Arial" w:eastAsia="等线" w:cs="Arial"/>
          <w:b/>
          <w:sz w:val="28"/>
        </w:rPr>
        <w:t>个人账户</w:t>
      </w:r>
      <w:bookmarkEnd w:id="8"/>
    </w:p>
    <w:p w14:paraId="4217B90E">
      <w:pPr>
        <w:spacing w:before="120" w:after="120" w:line="288" w:lineRule="auto"/>
        <w:ind w:left="0"/>
        <w:jc w:val="left"/>
      </w:pPr>
      <w:r>
        <w:rPr>
          <w:rFonts w:ascii="Arial" w:hAnsi="Arial" w:eastAsia="等线" w:cs="Arial"/>
          <w:sz w:val="22"/>
        </w:rPr>
        <w:t>个人账户（Single (individual) Accounts）此以个人名义开立的账户。</w:t>
      </w:r>
    </w:p>
    <w:p w14:paraId="77CDBE66">
      <w:pPr>
        <w:spacing w:before="120" w:after="120" w:line="288" w:lineRule="auto"/>
        <w:ind w:left="0"/>
        <w:jc w:val="left"/>
      </w:pPr>
    </w:p>
    <w:p w14:paraId="21144716">
      <w:pPr>
        <w:spacing w:before="120" w:after="120" w:line="288" w:lineRule="auto"/>
        <w:ind w:left="0"/>
        <w:jc w:val="left"/>
      </w:pPr>
      <w:r>
        <w:rPr>
          <w:rFonts w:ascii="Arial" w:hAnsi="Arial" w:eastAsia="等线" w:cs="Arial"/>
          <w:sz w:val="22"/>
        </w:rPr>
        <w:t>您需要记住的关键是，未经书面许可（written permission），如授权委托书（power of attorney），个人不得用他人名义开户。</w:t>
      </w:r>
    </w:p>
    <w:p w14:paraId="524AB4F7">
      <w:pPr>
        <w:spacing w:before="120" w:after="120" w:line="288" w:lineRule="auto"/>
        <w:ind w:left="0"/>
        <w:jc w:val="left"/>
      </w:pPr>
    </w:p>
    <w:p w14:paraId="1656769A">
      <w:pPr>
        <w:spacing w:before="260" w:after="120" w:line="288" w:lineRule="auto"/>
        <w:ind w:left="0"/>
        <w:jc w:val="left"/>
        <w:outlineLvl w:val="3"/>
      </w:pPr>
      <w:bookmarkStart w:id="9" w:name="heading_9"/>
      <w:r>
        <w:rPr>
          <w:rFonts w:ascii="Arial" w:hAnsi="Arial" w:eastAsia="等线" w:cs="Arial"/>
          <w:color w:val="3370FF"/>
          <w:sz w:val="28"/>
        </w:rPr>
        <w:t xml:space="preserve">2.2.1.2 </w:t>
      </w:r>
      <w:r>
        <w:rPr>
          <w:rFonts w:ascii="Arial" w:hAnsi="Arial" w:eastAsia="等线" w:cs="Arial"/>
          <w:b/>
          <w:sz w:val="28"/>
        </w:rPr>
        <w:t>联名账户</w:t>
      </w:r>
      <w:bookmarkEnd w:id="9"/>
    </w:p>
    <w:p w14:paraId="171D9A9B">
      <w:pPr>
        <w:numPr>
          <w:ilvl w:val="0"/>
          <w:numId w:val="31"/>
        </w:numPr>
        <w:spacing w:before="120" w:after="120" w:line="288" w:lineRule="auto"/>
        <w:ind w:left="0"/>
        <w:jc w:val="left"/>
      </w:pPr>
      <w:r>
        <w:rPr>
          <w:rFonts w:ascii="Arial" w:hAnsi="Arial" w:eastAsia="等线" w:cs="Arial"/>
          <w:sz w:val="22"/>
        </w:rPr>
        <w:t>联名共有账户：Joint tenants in common (JTIC)</w:t>
      </w:r>
    </w:p>
    <w:p w14:paraId="0B47F553">
      <w:pPr>
        <w:spacing w:before="120" w:after="120" w:line="288" w:lineRule="auto"/>
        <w:ind w:left="0"/>
        <w:jc w:val="left"/>
      </w:pPr>
      <w:r>
        <w:rPr>
          <w:rFonts w:ascii="Arial" w:hAnsi="Arial" w:eastAsia="等线" w:cs="Arial"/>
          <w:sz w:val="22"/>
        </w:rPr>
        <w:t>当账户的一名租户（Tenant）去世时，其账户份额将成为其遗产的一部分，由死者的遗嘱或州法律管辖。JTIC 账户通常为两个或更多无亲属关系的投资者设立。JTIC 账户通常是出于遗产规划目的而设立的。</w:t>
      </w:r>
    </w:p>
    <w:p w14:paraId="46AB2D26">
      <w:pPr>
        <w:spacing w:before="120" w:after="120" w:line="288" w:lineRule="auto"/>
        <w:ind w:left="0"/>
        <w:jc w:val="left"/>
      </w:pPr>
    </w:p>
    <w:p w14:paraId="44C905EB">
      <w:pPr>
        <w:numPr>
          <w:ilvl w:val="0"/>
          <w:numId w:val="32"/>
        </w:numPr>
        <w:spacing w:before="120" w:after="120" w:line="288" w:lineRule="auto"/>
        <w:ind w:left="0"/>
        <w:jc w:val="left"/>
      </w:pPr>
      <w:r>
        <w:rPr>
          <w:rFonts w:ascii="Arial" w:hAnsi="Arial" w:eastAsia="等线" w:cs="Arial"/>
          <w:sz w:val="22"/>
        </w:rPr>
        <w:t>具有生存者权利的联名共有账户：Joint tenants with rights of survivorship（JTWROS）</w:t>
      </w:r>
    </w:p>
    <w:p w14:paraId="3F05FC0E">
      <w:pPr>
        <w:spacing w:before="120" w:after="120" w:line="288" w:lineRule="auto"/>
        <w:ind w:left="0"/>
        <w:jc w:val="left"/>
      </w:pPr>
      <w:r>
        <w:rPr>
          <w:rFonts w:ascii="Arial" w:hAnsi="Arial" w:eastAsia="等线" w:cs="Arial"/>
          <w:sz w:val="22"/>
        </w:rPr>
        <w:t>对于这种类型的联名账户，当账户上注明的共同承租人去世时，其在账户中的份额将转移给在世的共同承租人。</w:t>
      </w:r>
    </w:p>
    <w:p w14:paraId="6E7D6D74">
      <w:pPr>
        <w:spacing w:before="120" w:after="120" w:line="288" w:lineRule="auto"/>
        <w:ind w:left="0"/>
        <w:jc w:val="left"/>
      </w:pPr>
    </w:p>
    <w:p w14:paraId="56603DF8">
      <w:pPr>
        <w:spacing w:before="120" w:after="120" w:line="288" w:lineRule="auto"/>
        <w:ind w:left="0"/>
        <w:jc w:val="left"/>
      </w:pPr>
      <w:r>
        <w:rPr>
          <w:rFonts w:ascii="Arial" w:hAnsi="Arial" w:eastAsia="等线" w:cs="Arial"/>
          <w:sz w:val="22"/>
        </w:rPr>
        <w:t>这类账户通常几乎专为已婚夫妇或其他亲属设立。在存在夫妻共同财产法的州（目前包括亚利桑那州、加利福尼亚州、爱达荷州、路易斯安那州、内华达州、新墨西哥州、得克萨斯州、华盛顿州和威斯康星州），婚姻期间获得的投资自动被定为夫妻双方共同所有。</w:t>
      </w:r>
    </w:p>
    <w:p w14:paraId="5587087A">
      <w:pPr>
        <w:spacing w:before="120" w:after="120" w:line="288" w:lineRule="auto"/>
        <w:ind w:left="0"/>
        <w:jc w:val="left"/>
      </w:pPr>
    </w:p>
    <w:p w14:paraId="6BB60DBA">
      <w:pPr>
        <w:spacing w:before="300" w:after="120" w:line="288" w:lineRule="auto"/>
        <w:ind w:left="0"/>
        <w:jc w:val="left"/>
        <w:outlineLvl w:val="2"/>
      </w:pPr>
      <w:bookmarkStart w:id="10" w:name="heading_10"/>
      <w:r>
        <w:rPr>
          <w:rFonts w:ascii="Arial" w:hAnsi="Arial" w:eastAsia="等线" w:cs="Arial"/>
          <w:color w:val="3370FF"/>
          <w:sz w:val="30"/>
        </w:rPr>
        <w:t xml:space="preserve">2.2.2 </w:t>
      </w:r>
      <w:r>
        <w:rPr>
          <w:rFonts w:ascii="Arial" w:hAnsi="Arial" w:eastAsia="等线" w:cs="Arial"/>
          <w:b/>
          <w:sz w:val="30"/>
        </w:rPr>
        <w:t>信托账户（Trust accounts）</w:t>
      </w:r>
      <w:bookmarkEnd w:id="10"/>
    </w:p>
    <w:p w14:paraId="011DBDF2">
      <w:pPr>
        <w:spacing w:before="120" w:after="120" w:line="288" w:lineRule="auto"/>
        <w:ind w:left="0"/>
        <w:jc w:val="left"/>
      </w:pPr>
      <w:r>
        <w:rPr>
          <w:rFonts w:ascii="Arial" w:hAnsi="Arial" w:eastAsia="等线" w:cs="Arial"/>
          <w:sz w:val="22"/>
        </w:rPr>
        <w:t>信托账户由受托人（ trustee）管理，为另一方的利益服务。</w:t>
      </w:r>
    </w:p>
    <w:p w14:paraId="11AADDC8">
      <w:pPr>
        <w:spacing w:before="120" w:after="120" w:line="288" w:lineRule="auto"/>
        <w:ind w:left="0"/>
        <w:jc w:val="left"/>
      </w:pPr>
    </w:p>
    <w:p w14:paraId="01620B5E">
      <w:pPr>
        <w:spacing w:before="120" w:after="120" w:line="288" w:lineRule="auto"/>
        <w:ind w:left="0"/>
        <w:jc w:val="left"/>
      </w:pPr>
      <w:r>
        <w:rPr>
          <w:rFonts w:ascii="Arial" w:hAnsi="Arial" w:eastAsia="等线" w:cs="Arial"/>
          <w:sz w:val="22"/>
        </w:rPr>
        <w:t>在 SIE 考试中，你最有可能遇到的一种特定类型的信托账户是托管账户（Custodial Account）。</w:t>
      </w:r>
    </w:p>
    <w:p w14:paraId="2CFF7D72">
      <w:pPr>
        <w:spacing w:before="120" w:after="120" w:line="288" w:lineRule="auto"/>
        <w:ind w:left="0"/>
        <w:jc w:val="left"/>
      </w:pPr>
    </w:p>
    <w:p w14:paraId="18A8572C">
      <w:pPr>
        <w:spacing w:before="120" w:after="120" w:line="288" w:lineRule="auto"/>
        <w:ind w:left="0"/>
        <w:jc w:val="left"/>
      </w:pPr>
      <w:r>
        <w:rPr>
          <w:rFonts w:ascii="Arial" w:hAnsi="Arial" w:eastAsia="等线" w:cs="Arial"/>
          <w:b/>
          <w:sz w:val="22"/>
        </w:rPr>
        <w:t>托管账户是为年龄太小而无法拥有自己账户的儿童设立的</w:t>
      </w:r>
      <w:r>
        <w:rPr>
          <w:rFonts w:ascii="Arial" w:hAnsi="Arial" w:eastAsia="等线" w:cs="Arial"/>
          <w:sz w:val="22"/>
        </w:rPr>
        <w:t>。托管人（成年人）为该账户做出投资决策。任何成年人都可以为未成年人开设托管账户，因此账户上记名的人不一定必须有亲属关系，不过通常他们是父母。</w:t>
      </w:r>
    </w:p>
    <w:p w14:paraId="0255B8CF">
      <w:pPr>
        <w:spacing w:before="120" w:after="120" w:line="288" w:lineRule="auto"/>
        <w:ind w:left="0"/>
        <w:jc w:val="left"/>
      </w:pPr>
    </w:p>
    <w:p w14:paraId="25626419">
      <w:pPr>
        <w:spacing w:before="120" w:after="120" w:line="288" w:lineRule="auto"/>
        <w:ind w:left="0"/>
        <w:jc w:val="left"/>
      </w:pPr>
      <w:r>
        <w:rPr>
          <w:rFonts w:ascii="Arial" w:hAnsi="Arial" w:eastAsia="等线" w:cs="Arial"/>
          <w:sz w:val="22"/>
        </w:rPr>
        <w:t>未成年人托管账户属于信托账户，在 SIE 考试中被称为 UGMA 或 UTMA 账 户。</w:t>
      </w:r>
    </w:p>
    <w:p w14:paraId="383F3184">
      <w:pPr>
        <w:spacing w:before="120" w:after="120" w:line="288" w:lineRule="auto"/>
        <w:ind w:left="0"/>
        <w:jc w:val="left"/>
      </w:pPr>
    </w:p>
    <w:p w14:paraId="5519067B">
      <w:pPr>
        <w:spacing w:before="120" w:after="120" w:line="288" w:lineRule="auto"/>
        <w:ind w:left="0"/>
        <w:jc w:val="left"/>
      </w:pPr>
      <w:r>
        <w:rPr>
          <w:rFonts w:ascii="Arial" w:hAnsi="Arial" w:eastAsia="等线" w:cs="Arial"/>
          <w:sz w:val="22"/>
        </w:rPr>
        <w:t>因为它们隶属于《统一未成年人赠与法》《Uniform Gifts to Minors Act》或《统一未成年人转移法》《Uniform Transfers to Minors Act》。</w:t>
      </w:r>
    </w:p>
    <w:p w14:paraId="144935D3">
      <w:pPr>
        <w:spacing w:before="120" w:after="120" w:line="288" w:lineRule="auto"/>
        <w:ind w:left="0"/>
        <w:jc w:val="left"/>
      </w:pPr>
    </w:p>
    <w:p w14:paraId="70F48828">
      <w:pPr>
        <w:spacing w:before="120" w:after="120" w:line="288" w:lineRule="auto"/>
        <w:ind w:left="0"/>
        <w:jc w:val="left"/>
      </w:pPr>
      <w:r>
        <w:rPr>
          <w:rFonts w:ascii="Arial" w:hAnsi="Arial" w:eastAsia="等线" w:cs="Arial"/>
          <w:sz w:val="22"/>
        </w:rPr>
        <w:t>UTMA 账户是 UGMA 账户的延伸，除现金和证券外，还允许将其他礼物转移给未成年人。其他礼物包括艺术品、房地产、专利和特许权使用费。</w:t>
      </w:r>
    </w:p>
    <w:p w14:paraId="3D34E819">
      <w:pPr>
        <w:spacing w:before="120" w:after="120" w:line="288" w:lineRule="auto"/>
        <w:ind w:left="0"/>
        <w:jc w:val="left"/>
      </w:pPr>
    </w:p>
    <w:p w14:paraId="360E855D">
      <w:pPr>
        <w:spacing w:before="120" w:after="120" w:line="288" w:lineRule="auto"/>
        <w:ind w:left="0"/>
        <w:jc w:val="left"/>
      </w:pPr>
      <w:r>
        <w:rPr>
          <w:rFonts w:ascii="Arial" w:hAnsi="Arial" w:eastAsia="等线" w:cs="Arial"/>
          <w:sz w:val="22"/>
        </w:rPr>
        <w:t>由于未成年人年龄太小，无法自行做出投资决策，有一些专门针对托管账户的规则：</w:t>
      </w:r>
    </w:p>
    <w:p w14:paraId="413275ED">
      <w:pPr>
        <w:numPr>
          <w:ilvl w:val="0"/>
          <w:numId w:val="33"/>
        </w:numPr>
        <w:spacing w:before="120" w:after="120" w:line="288" w:lineRule="auto"/>
        <w:ind w:left="0"/>
        <w:jc w:val="left"/>
      </w:pPr>
      <w:r>
        <w:rPr>
          <w:rFonts w:ascii="Arial" w:hAnsi="Arial" w:eastAsia="等线" w:cs="Arial"/>
          <w:sz w:val="22"/>
        </w:rPr>
        <w:t>每个帐户只能有一个监护人（Custodian）和一个未成年人（Minor）；</w:t>
      </w:r>
    </w:p>
    <w:p w14:paraId="497B2D2D">
      <w:pPr>
        <w:numPr>
          <w:ilvl w:val="0"/>
          <w:numId w:val="34"/>
        </w:numPr>
        <w:spacing w:before="120" w:after="120" w:line="288" w:lineRule="auto"/>
        <w:ind w:left="0"/>
        <w:jc w:val="left"/>
      </w:pPr>
      <w:r>
        <w:rPr>
          <w:rFonts w:ascii="Arial" w:hAnsi="Arial" w:eastAsia="等线" w:cs="Arial"/>
          <w:sz w:val="22"/>
        </w:rPr>
        <w:t>未成年人负责纳税。该未成年人的社会保障号码已在账户中注册；</w:t>
      </w:r>
    </w:p>
    <w:p w14:paraId="47556461">
      <w:pPr>
        <w:numPr>
          <w:ilvl w:val="0"/>
          <w:numId w:val="35"/>
        </w:numPr>
        <w:spacing w:before="120" w:after="120" w:line="288" w:lineRule="auto"/>
        <w:ind w:left="0"/>
        <w:jc w:val="left"/>
      </w:pPr>
      <w:r>
        <w:rPr>
          <w:rFonts w:ascii="Arial" w:hAnsi="Arial" w:eastAsia="等线" w:cs="Arial"/>
          <w:sz w:val="22"/>
        </w:rPr>
        <w:t>该账户是以监护人的名义为未成年人的利益注册，监护人负责签署所有凭证；</w:t>
      </w:r>
    </w:p>
    <w:p w14:paraId="603C0408">
      <w:pPr>
        <w:numPr>
          <w:ilvl w:val="0"/>
          <w:numId w:val="36"/>
        </w:numPr>
        <w:spacing w:before="120" w:after="120" w:line="288" w:lineRule="auto"/>
        <w:ind w:left="0"/>
        <w:jc w:val="left"/>
      </w:pPr>
      <w:r>
        <w:rPr>
          <w:rFonts w:ascii="Arial" w:hAnsi="Arial" w:eastAsia="等线" w:cs="Arial"/>
          <w:sz w:val="22"/>
        </w:rPr>
        <w:t>该账户不能以街名持有（以经纪交易商的名义并带有身份证号码）；</w:t>
      </w:r>
    </w:p>
    <w:p w14:paraId="52DD2886">
      <w:pPr>
        <w:numPr>
          <w:ilvl w:val="0"/>
          <w:numId w:val="37"/>
        </w:numPr>
        <w:spacing w:before="120" w:after="120" w:line="288" w:lineRule="auto"/>
        <w:ind w:left="0"/>
        <w:jc w:val="left"/>
      </w:pPr>
      <w:r>
        <w:rPr>
          <w:rFonts w:ascii="Arial" w:hAnsi="Arial" w:eastAsia="等线" w:cs="Arial"/>
          <w:sz w:val="22"/>
        </w:rPr>
        <w:t>由于额外的风险，证券不能进行保证金交易或卖空（be traded on margin or sold short）；</w:t>
      </w:r>
    </w:p>
    <w:p w14:paraId="7E88C23C">
      <w:pPr>
        <w:numPr>
          <w:ilvl w:val="0"/>
          <w:numId w:val="38"/>
        </w:numPr>
        <w:spacing w:before="120" w:after="120" w:line="288" w:lineRule="auto"/>
        <w:ind w:left="0"/>
        <w:jc w:val="left"/>
      </w:pPr>
      <w:r>
        <w:rPr>
          <w:rFonts w:ascii="Arial" w:hAnsi="Arial" w:eastAsia="等线" w:cs="Arial"/>
          <w:sz w:val="22"/>
        </w:rPr>
        <w:t>任何人都可以向未成年人赠送现金或证券形式的礼物。该礼物不可撤销（保管人不得拒绝）；</w:t>
      </w:r>
    </w:p>
    <w:p w14:paraId="6B1CBF6C">
      <w:pPr>
        <w:numPr>
          <w:ilvl w:val="0"/>
          <w:numId w:val="39"/>
        </w:numPr>
        <w:spacing w:before="120" w:after="120" w:line="288" w:lineRule="auto"/>
        <w:ind w:left="0"/>
        <w:jc w:val="left"/>
      </w:pPr>
      <w:r>
        <w:rPr>
          <w:rFonts w:ascii="Arial" w:hAnsi="Arial" w:eastAsia="等线" w:cs="Arial"/>
          <w:sz w:val="22"/>
        </w:rPr>
        <w:t>如果一个账户获得了认购权（Rights），托管人不能让这些认购权过期。（有关认购权的更多信息，请参见第6章。）由于认购权具有价值，托管人可以行使或出售这些认购权。</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DE7B1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8D7E9E5">
            <w:pPr>
              <w:spacing w:before="120" w:after="120" w:line="288" w:lineRule="auto"/>
              <w:ind w:left="0"/>
              <w:jc w:val="left"/>
            </w:pPr>
            <w:r>
              <w:rPr>
                <w:rFonts w:ascii="Arial" w:hAnsi="Arial" w:eastAsia="等线" w:cs="Arial"/>
                <w:sz w:val="22"/>
              </w:rPr>
              <w:t>UGMA 账户面向未成年人，因此，一旦未成年人达到成年年龄（该年龄由未成年人的居住州确定），UGMA 账户即终止，账户将转移至以前未成年人（former minor）为名的单一账户。</w:t>
            </w:r>
          </w:p>
        </w:tc>
      </w:tr>
    </w:tbl>
    <w:p w14:paraId="039B9F4A">
      <w:pPr>
        <w:spacing w:before="120" w:after="120" w:line="288" w:lineRule="auto"/>
        <w:ind w:left="0"/>
        <w:jc w:val="left"/>
      </w:pPr>
    </w:p>
    <w:p w14:paraId="2DCD1A55">
      <w:pPr>
        <w:spacing w:before="300" w:after="120" w:line="288" w:lineRule="auto"/>
        <w:ind w:left="0"/>
        <w:jc w:val="left"/>
        <w:outlineLvl w:val="2"/>
      </w:pPr>
      <w:bookmarkStart w:id="11" w:name="heading_11"/>
      <w:r>
        <w:rPr>
          <w:rFonts w:ascii="Arial" w:hAnsi="Arial" w:eastAsia="等线" w:cs="Arial"/>
          <w:color w:val="3370FF"/>
          <w:sz w:val="30"/>
        </w:rPr>
        <w:t xml:space="preserve">2.2.3 </w:t>
      </w:r>
      <w:r>
        <w:rPr>
          <w:rFonts w:ascii="Arial" w:hAnsi="Arial" w:eastAsia="等线" w:cs="Arial"/>
          <w:b/>
          <w:sz w:val="30"/>
        </w:rPr>
        <w:t>全权委托账户（Discretionary accounts）</w:t>
      </w:r>
      <w:bookmarkEnd w:id="11"/>
    </w:p>
    <w:p w14:paraId="5DD0AAE7">
      <w:pPr>
        <w:spacing w:before="120" w:after="120" w:line="288" w:lineRule="auto"/>
        <w:ind w:left="0"/>
        <w:jc w:val="left"/>
      </w:pPr>
      <w:r>
        <w:rPr>
          <w:rFonts w:ascii="Arial" w:hAnsi="Arial" w:eastAsia="等线" w:cs="Arial"/>
          <w:sz w:val="22"/>
        </w:rPr>
        <w:t>全权委托账户，投资者可以赋予注册代表（registered representative）为该账户做出交易决策的权利。</w:t>
      </w:r>
    </w:p>
    <w:p w14:paraId="019E0877">
      <w:pPr>
        <w:spacing w:before="120" w:after="120" w:line="288" w:lineRule="auto"/>
        <w:ind w:left="0"/>
        <w:jc w:val="left"/>
      </w:pPr>
    </w:p>
    <w:p w14:paraId="6E53BB7D">
      <w:pPr>
        <w:spacing w:before="120" w:after="120" w:line="288" w:lineRule="auto"/>
        <w:ind w:left="0"/>
        <w:jc w:val="left"/>
      </w:pPr>
      <w:r>
        <w:rPr>
          <w:rFonts w:ascii="Arial" w:hAnsi="Arial" w:eastAsia="等线" w:cs="Arial"/>
          <w:sz w:val="22"/>
        </w:rPr>
        <w:t>所有全权委托账户都需要一份由投资者签署的书面授权委托书（written power of attorney），这份文件赋予注册代表交易授权。尽管这听起来很不错，但为了保证代表们的诚信，这些全权委托账户会比其他账户受到更严格的审查。</w:t>
      </w:r>
    </w:p>
    <w:p w14:paraId="57FEA457">
      <w:pPr>
        <w:spacing w:before="120" w:after="120" w:line="288" w:lineRule="auto"/>
        <w:ind w:left="0"/>
        <w:jc w:val="left"/>
      </w:pPr>
    </w:p>
    <w:p w14:paraId="33EFCB1B">
      <w:pPr>
        <w:spacing w:before="120" w:after="120" w:line="288" w:lineRule="auto"/>
        <w:ind w:left="0"/>
        <w:jc w:val="left"/>
      </w:pPr>
      <w:r>
        <w:rPr>
          <w:rFonts w:ascii="Arial" w:hAnsi="Arial" w:eastAsia="等线" w:cs="Arial"/>
          <w:sz w:val="22"/>
        </w:rPr>
        <w:t>以下是你可能会在SIE考试中遇到的一些关于全权委托订单的具体规则：</w:t>
      </w:r>
    </w:p>
    <w:p w14:paraId="1BE1B95C">
      <w:pPr>
        <w:numPr>
          <w:ilvl w:val="0"/>
          <w:numId w:val="40"/>
        </w:numPr>
        <w:spacing w:before="120" w:after="120" w:line="288" w:lineRule="auto"/>
        <w:ind w:left="0"/>
        <w:jc w:val="left"/>
      </w:pPr>
      <w:r>
        <w:rPr>
          <w:rFonts w:ascii="Arial" w:hAnsi="Arial" w:eastAsia="等线" w:cs="Arial"/>
          <w:sz w:val="22"/>
        </w:rPr>
        <w:t>每个全权委托订单都必须在订单凭证上标记为全权委托。</w:t>
      </w:r>
    </w:p>
    <w:p w14:paraId="500DE144">
      <w:pPr>
        <w:numPr>
          <w:ilvl w:val="0"/>
          <w:numId w:val="41"/>
        </w:numPr>
        <w:spacing w:before="120" w:after="120" w:line="288" w:lineRule="auto"/>
        <w:ind w:left="0"/>
        <w:jc w:val="left"/>
      </w:pPr>
      <w:r>
        <w:rPr>
          <w:rFonts w:ascii="Arial" w:hAnsi="Arial" w:eastAsia="等线" w:cs="Arial"/>
          <w:sz w:val="22"/>
        </w:rPr>
        <w:t>与其他订单一样，负责人（Principals）必须在每张订单单上签字。</w:t>
      </w:r>
    </w:p>
    <w:p w14:paraId="0761D14E">
      <w:pPr>
        <w:numPr>
          <w:ilvl w:val="0"/>
          <w:numId w:val="42"/>
        </w:numPr>
        <w:spacing w:before="120" w:after="120" w:line="288" w:lineRule="auto"/>
        <w:ind w:left="0"/>
        <w:jc w:val="left"/>
      </w:pPr>
      <w:r>
        <w:rPr>
          <w:rFonts w:ascii="Arial" w:hAnsi="Arial" w:eastAsia="等线" w:cs="Arial"/>
          <w:sz w:val="22"/>
        </w:rPr>
        <w:t>负责人需要定期审查全权委托账户，以确保销售人员不会为了产生佣金而进行过度交易——这种做法被称为“炒单”。</w:t>
      </w:r>
    </w:p>
    <w:p w14:paraId="4B1F1B89">
      <w:pPr>
        <w:spacing w:before="120" w:after="120" w:line="288" w:lineRule="auto"/>
        <w:ind w:left="0"/>
        <w:jc w:val="left"/>
      </w:pPr>
    </w:p>
    <w:p w14:paraId="18CD7164">
      <w:pPr>
        <w:spacing w:before="300" w:after="120" w:line="288" w:lineRule="auto"/>
        <w:ind w:left="0"/>
        <w:jc w:val="left"/>
        <w:outlineLvl w:val="2"/>
      </w:pPr>
      <w:bookmarkStart w:id="12" w:name="heading_12"/>
      <w:r>
        <w:rPr>
          <w:rFonts w:ascii="Arial" w:hAnsi="Arial" w:eastAsia="等线" w:cs="Arial"/>
          <w:color w:val="3370FF"/>
          <w:sz w:val="30"/>
        </w:rPr>
        <w:t xml:space="preserve">2.2.4 </w:t>
      </w:r>
      <w:r>
        <w:rPr>
          <w:rFonts w:ascii="Arial" w:hAnsi="Arial" w:eastAsia="等线" w:cs="Arial"/>
          <w:b/>
          <w:sz w:val="30"/>
        </w:rPr>
        <w:t>公司账户（Corporate Accounts）</w:t>
      </w:r>
      <w:bookmarkEnd w:id="12"/>
    </w:p>
    <w:p w14:paraId="39F021EB">
      <w:pPr>
        <w:spacing w:before="120" w:after="120" w:line="288" w:lineRule="auto"/>
        <w:ind w:left="0"/>
        <w:jc w:val="left"/>
      </w:pPr>
      <w:r>
        <w:rPr>
          <w:rFonts w:ascii="Arial" w:hAnsi="Arial" w:eastAsia="等线" w:cs="Arial"/>
          <w:sz w:val="22"/>
        </w:rPr>
        <w:t>只有注册成立的企业才能开设公司账户。</w:t>
      </w:r>
    </w:p>
    <w:p w14:paraId="6F926ADE">
      <w:pPr>
        <w:spacing w:before="120" w:after="120" w:line="288" w:lineRule="auto"/>
        <w:ind w:left="0"/>
        <w:jc w:val="left"/>
      </w:pPr>
    </w:p>
    <w:p w14:paraId="65127394">
      <w:pPr>
        <w:spacing w:before="120" w:after="120" w:line="288" w:lineRule="auto"/>
        <w:ind w:left="0"/>
        <w:jc w:val="left"/>
      </w:pPr>
      <w:r>
        <w:rPr>
          <w:rFonts w:ascii="Arial" w:hAnsi="Arial" w:eastAsia="等线" w:cs="Arial"/>
          <w:sz w:val="22"/>
        </w:rPr>
        <w:t>如果您要开设公司账户，需要获取公司的税号（tax ID number），这类似于个人的社会安全号码。此外，您还需要获取一份公司决议（corporate resolution）副本，这份文件会告知您应该听从谁的交易指令。</w:t>
      </w:r>
    </w:p>
    <w:p w14:paraId="2FCDE4B3">
      <w:pPr>
        <w:spacing w:before="120" w:after="120" w:line="288" w:lineRule="auto"/>
        <w:ind w:left="0"/>
        <w:jc w:val="left"/>
      </w:pPr>
    </w:p>
    <w:p w14:paraId="01479EB2">
      <w:pPr>
        <w:spacing w:before="120" w:after="120" w:line="288" w:lineRule="auto"/>
        <w:ind w:left="0"/>
        <w:jc w:val="left"/>
      </w:pPr>
      <w:r>
        <w:rPr>
          <w:rFonts w:ascii="Arial" w:hAnsi="Arial" w:eastAsia="等线" w:cs="Arial"/>
          <w:sz w:val="22"/>
        </w:rPr>
        <w:t>如果一家公司想要开设保证金账户，你还需要一份公司章程（corporate charter）（bylaws）的副本。公司章程必须声明该公司被允许进行保证金交易。</w:t>
      </w:r>
    </w:p>
    <w:p w14:paraId="61EB9AB6">
      <w:pPr>
        <w:spacing w:before="120" w:after="120" w:line="288" w:lineRule="auto"/>
        <w:ind w:left="0"/>
        <w:jc w:val="left"/>
      </w:pPr>
    </w:p>
    <w:p w14:paraId="5BC8083E">
      <w:pPr>
        <w:spacing w:before="300" w:after="120" w:line="288" w:lineRule="auto"/>
        <w:ind w:left="0"/>
        <w:jc w:val="left"/>
        <w:outlineLvl w:val="2"/>
      </w:pPr>
      <w:bookmarkStart w:id="13" w:name="heading_13"/>
      <w:r>
        <w:rPr>
          <w:rFonts w:ascii="Arial" w:hAnsi="Arial" w:eastAsia="等线" w:cs="Arial"/>
          <w:color w:val="3370FF"/>
          <w:sz w:val="30"/>
        </w:rPr>
        <w:t xml:space="preserve">2.2.5 </w:t>
      </w:r>
      <w:r>
        <w:rPr>
          <w:rFonts w:ascii="Arial" w:hAnsi="Arial" w:eastAsia="等线" w:cs="Arial"/>
          <w:b/>
          <w:sz w:val="30"/>
        </w:rPr>
        <w:t>机构账户（Institutional accounts）</w:t>
      </w:r>
      <w:bookmarkEnd w:id="13"/>
    </w:p>
    <w:p w14:paraId="37BFFB3E">
      <w:pPr>
        <w:spacing w:before="120" w:after="120" w:line="288" w:lineRule="auto"/>
        <w:ind w:left="0"/>
        <w:jc w:val="left"/>
      </w:pPr>
      <w:r>
        <w:rPr>
          <w:rFonts w:ascii="Arial" w:hAnsi="Arial" w:eastAsia="等线" w:cs="Arial"/>
          <w:sz w:val="22"/>
        </w:rPr>
        <w:t>由银行、共同基金、保险公司、养老基金、对冲基金和投资顾问等机构设立的账户被视为机构账户。它们的作用是代表他人充当专业投资者。</w:t>
      </w:r>
    </w:p>
    <w:p w14:paraId="758C3AB0">
      <w:pPr>
        <w:spacing w:before="120" w:after="120" w:line="288" w:lineRule="auto"/>
        <w:ind w:left="0"/>
        <w:jc w:val="left"/>
      </w:pPr>
    </w:p>
    <w:p w14:paraId="2B342E6E">
      <w:pPr>
        <w:spacing w:before="300" w:after="120" w:line="288" w:lineRule="auto"/>
        <w:ind w:left="0"/>
        <w:jc w:val="left"/>
        <w:outlineLvl w:val="2"/>
      </w:pPr>
      <w:bookmarkStart w:id="14" w:name="heading_14"/>
      <w:r>
        <w:rPr>
          <w:rFonts w:ascii="Arial" w:hAnsi="Arial" w:eastAsia="等线" w:cs="Arial"/>
          <w:color w:val="3370FF"/>
          <w:sz w:val="30"/>
        </w:rPr>
        <w:t xml:space="preserve">2.2.6 </w:t>
      </w:r>
      <w:r>
        <w:rPr>
          <w:rFonts w:ascii="Arial" w:hAnsi="Arial" w:eastAsia="等线" w:cs="Arial"/>
          <w:b/>
          <w:sz w:val="30"/>
        </w:rPr>
        <w:t>合伙账户（Partnership Accounts）</w:t>
      </w:r>
      <w:bookmarkEnd w:id="14"/>
    </w:p>
    <w:p w14:paraId="00795F68">
      <w:pPr>
        <w:spacing w:before="120" w:after="120" w:line="288" w:lineRule="auto"/>
        <w:ind w:left="0"/>
        <w:jc w:val="left"/>
      </w:pPr>
      <w:r>
        <w:rPr>
          <w:rFonts w:ascii="Arial" w:hAnsi="Arial" w:eastAsia="等线" w:cs="Arial"/>
          <w:sz w:val="22"/>
        </w:rPr>
        <w:t>两个或两个以上未注册为公司的企业个人所有者可以设立合伙账户。</w:t>
      </w:r>
    </w:p>
    <w:p w14:paraId="7D5E3813">
      <w:pPr>
        <w:spacing w:before="120" w:after="120" w:line="288" w:lineRule="auto"/>
        <w:ind w:left="0"/>
        <w:jc w:val="left"/>
      </w:pPr>
    </w:p>
    <w:p w14:paraId="74C94DD5">
      <w:pPr>
        <w:spacing w:before="120" w:after="120" w:line="288" w:lineRule="auto"/>
        <w:ind w:left="0"/>
        <w:jc w:val="left"/>
      </w:pPr>
      <w:r>
        <w:rPr>
          <w:rFonts w:ascii="Arial" w:hAnsi="Arial" w:eastAsia="等线" w:cs="Arial"/>
          <w:sz w:val="22"/>
        </w:rPr>
        <w:t>所有合伙企业都必须完成一份合伙协议，经纪交易商必须将其存档。与公司决议一样，合伙协议会规定谁拥有该账户的交易授权，这样你就知道应该从谁那里接收订单了。</w:t>
      </w:r>
    </w:p>
    <w:p w14:paraId="477B2797">
      <w:pPr>
        <w:spacing w:before="120" w:after="120" w:line="288" w:lineRule="auto"/>
        <w:ind w:left="0"/>
        <w:jc w:val="left"/>
      </w:pPr>
    </w:p>
    <w:p w14:paraId="78BACCFD">
      <w:pPr>
        <w:spacing w:before="300" w:after="120" w:line="288" w:lineRule="auto"/>
        <w:ind w:left="0"/>
        <w:jc w:val="left"/>
        <w:outlineLvl w:val="2"/>
      </w:pPr>
      <w:bookmarkStart w:id="15" w:name="heading_15"/>
      <w:r>
        <w:rPr>
          <w:rFonts w:ascii="Arial" w:hAnsi="Arial" w:eastAsia="等线" w:cs="Arial"/>
          <w:color w:val="3370FF"/>
          <w:sz w:val="30"/>
        </w:rPr>
        <w:t xml:space="preserve">2.2.7 </w:t>
      </w:r>
      <w:r>
        <w:rPr>
          <w:rFonts w:ascii="Arial" w:hAnsi="Arial" w:eastAsia="等线" w:cs="Arial"/>
          <w:b/>
          <w:sz w:val="30"/>
        </w:rPr>
        <w:t>现金账户（Cash Account）</w:t>
      </w:r>
      <w:bookmarkEnd w:id="15"/>
    </w:p>
    <w:p w14:paraId="20F7BF1B">
      <w:pPr>
        <w:spacing w:before="120" w:after="120" w:line="288" w:lineRule="auto"/>
        <w:ind w:left="0"/>
        <w:jc w:val="left"/>
      </w:pPr>
      <w:r>
        <w:rPr>
          <w:rFonts w:ascii="Arial" w:hAnsi="Arial" w:eastAsia="等线" w:cs="Arial"/>
          <w:sz w:val="22"/>
        </w:rPr>
        <w:t>现金账户（Cash account）指只能用自有资金进行全额交易的证券账户。</w:t>
      </w:r>
    </w:p>
    <w:p w14:paraId="5A876477">
      <w:pPr>
        <w:spacing w:before="120" w:after="120" w:line="288" w:lineRule="auto"/>
        <w:ind w:left="0"/>
        <w:jc w:val="left"/>
      </w:pPr>
    </w:p>
    <w:p w14:paraId="2FBBCDA9">
      <w:pPr>
        <w:spacing w:before="120" w:after="120" w:line="288" w:lineRule="auto"/>
        <w:ind w:left="0"/>
        <w:jc w:val="left"/>
      </w:pPr>
      <w:r>
        <w:rPr>
          <w:rFonts w:ascii="Arial" w:hAnsi="Arial" w:eastAsia="等线" w:cs="Arial"/>
          <w:sz w:val="22"/>
        </w:rPr>
        <w:t>主要特点：</w:t>
      </w:r>
    </w:p>
    <w:p w14:paraId="78698E8D">
      <w:pPr>
        <w:numPr>
          <w:ilvl w:val="0"/>
          <w:numId w:val="43"/>
        </w:numPr>
        <w:spacing w:before="120" w:after="120" w:line="288" w:lineRule="auto"/>
        <w:ind w:left="0"/>
        <w:jc w:val="left"/>
      </w:pPr>
      <w:r>
        <w:rPr>
          <w:rFonts w:ascii="Arial" w:hAnsi="Arial" w:eastAsia="等线" w:cs="Arial"/>
          <w:sz w:val="22"/>
        </w:rPr>
        <w:t>不能向券商融资，即不能加杠杆。</w:t>
      </w:r>
    </w:p>
    <w:p w14:paraId="56B534AE">
      <w:pPr>
        <w:numPr>
          <w:ilvl w:val="0"/>
          <w:numId w:val="44"/>
        </w:numPr>
        <w:spacing w:before="120" w:after="120" w:line="288" w:lineRule="auto"/>
        <w:ind w:left="0"/>
        <w:jc w:val="left"/>
      </w:pPr>
      <w:r>
        <w:rPr>
          <w:rFonts w:ascii="Arial" w:hAnsi="Arial" w:eastAsia="等线" w:cs="Arial"/>
          <w:sz w:val="22"/>
        </w:rPr>
        <w:t>不能向券商融券卖空（Short Selling）。</w:t>
      </w:r>
    </w:p>
    <w:p w14:paraId="70483489">
      <w:pPr>
        <w:spacing w:before="120" w:after="120" w:line="288" w:lineRule="auto"/>
        <w:ind w:left="0"/>
        <w:jc w:val="left"/>
      </w:pPr>
    </w:p>
    <w:p w14:paraId="50521202">
      <w:pPr>
        <w:spacing w:before="320" w:after="120" w:line="288" w:lineRule="auto"/>
        <w:ind w:left="0"/>
        <w:jc w:val="left"/>
        <w:outlineLvl w:val="1"/>
      </w:pPr>
      <w:bookmarkStart w:id="16" w:name="heading_16"/>
      <w:r>
        <w:rPr>
          <w:rFonts w:ascii="Arial" w:hAnsi="Arial" w:eastAsia="等线" w:cs="Arial"/>
          <w:color w:val="3370FF"/>
          <w:sz w:val="32"/>
        </w:rPr>
        <w:t xml:space="preserve">2.3 </w:t>
      </w:r>
      <w:r>
        <w:rPr>
          <w:rFonts w:ascii="Arial" w:hAnsi="Arial" w:eastAsia="等线" w:cs="Arial"/>
          <w:b/>
          <w:sz w:val="32"/>
        </w:rPr>
        <w:t>保证金账户（Margin Account）</w:t>
      </w:r>
      <w:bookmarkEnd w:id="16"/>
    </w:p>
    <w:p w14:paraId="54F799C4">
      <w:pPr>
        <w:spacing w:before="120" w:after="120" w:line="288" w:lineRule="auto"/>
        <w:ind w:left="0"/>
        <w:jc w:val="left"/>
      </w:pPr>
      <w:r>
        <w:rPr>
          <w:rFonts w:ascii="Arial" w:hAnsi="Arial" w:eastAsia="等线" w:cs="Arial"/>
          <w:sz w:val="22"/>
        </w:rPr>
        <w:t>保证金账户（Margin Account）允许投资者向券商融资融券进行杠杆交易。</w:t>
      </w:r>
    </w:p>
    <w:p w14:paraId="27BEE8E6">
      <w:pPr>
        <w:spacing w:before="120" w:after="120" w:line="288" w:lineRule="auto"/>
        <w:ind w:left="0"/>
        <w:jc w:val="left"/>
      </w:pPr>
    </w:p>
    <w:p w14:paraId="080E4B05">
      <w:pPr>
        <w:spacing w:before="120" w:after="120" w:line="288" w:lineRule="auto"/>
        <w:ind w:left="0"/>
        <w:jc w:val="left"/>
      </w:pPr>
      <w:r>
        <w:rPr>
          <w:rFonts w:ascii="Arial" w:hAnsi="Arial" w:eastAsia="等线" w:cs="Arial"/>
          <w:sz w:val="22"/>
        </w:rPr>
        <w:t>主要特点：</w:t>
      </w:r>
    </w:p>
    <w:p w14:paraId="48D4AC37">
      <w:pPr>
        <w:numPr>
          <w:ilvl w:val="0"/>
          <w:numId w:val="45"/>
        </w:numPr>
        <w:spacing w:before="120" w:after="120" w:line="288" w:lineRule="auto"/>
        <w:ind w:left="0"/>
        <w:jc w:val="left"/>
      </w:pPr>
      <w:r>
        <w:rPr>
          <w:rFonts w:ascii="Arial" w:hAnsi="Arial" w:eastAsia="等线" w:cs="Arial"/>
          <w:sz w:val="22"/>
        </w:rPr>
        <w:t>融资买入：可以借入资金买入更多证券；</w:t>
      </w:r>
    </w:p>
    <w:p w14:paraId="763CA480">
      <w:pPr>
        <w:numPr>
          <w:ilvl w:val="0"/>
          <w:numId w:val="46"/>
        </w:numPr>
        <w:spacing w:before="120" w:after="120" w:line="288" w:lineRule="auto"/>
        <w:ind w:left="0"/>
        <w:jc w:val="left"/>
      </w:pPr>
      <w:r>
        <w:rPr>
          <w:rFonts w:ascii="Arial" w:hAnsi="Arial" w:eastAsia="等线" w:cs="Arial"/>
          <w:sz w:val="22"/>
        </w:rPr>
        <w:t>融券卖空：可以借入证券进行卖空操作。</w:t>
      </w:r>
    </w:p>
    <w:p w14:paraId="676364C8">
      <w:pPr>
        <w:spacing w:before="300" w:after="120" w:line="288" w:lineRule="auto"/>
        <w:ind w:left="0"/>
        <w:jc w:val="left"/>
        <w:outlineLvl w:val="2"/>
      </w:pPr>
      <w:bookmarkStart w:id="17" w:name="heading_17"/>
      <w:r>
        <w:rPr>
          <w:rFonts w:ascii="Arial" w:hAnsi="Arial" w:eastAsia="等线" w:cs="Arial"/>
          <w:color w:val="3370FF"/>
          <w:sz w:val="30"/>
        </w:rPr>
        <w:t xml:space="preserve">2.3.1 </w:t>
      </w:r>
      <w:r>
        <w:rPr>
          <w:rFonts w:ascii="Arial" w:hAnsi="Arial" w:eastAsia="等线" w:cs="Arial"/>
          <w:b/>
          <w:sz w:val="30"/>
        </w:rPr>
        <w:t>披露与协议</w:t>
      </w:r>
      <w:bookmarkEnd w:id="17"/>
    </w:p>
    <w:p w14:paraId="15BF85AF">
      <w:pPr>
        <w:spacing w:before="120" w:after="120" w:line="288" w:lineRule="auto"/>
        <w:ind w:left="0"/>
        <w:jc w:val="left"/>
      </w:pPr>
      <w:r>
        <w:rPr>
          <w:rFonts w:ascii="Arial" w:hAnsi="Arial" w:eastAsia="等线" w:cs="Arial"/>
          <w:sz w:val="22"/>
        </w:rPr>
        <w:t>由于融资买入或融券卖空有额外风险，所有客户都必须收到并签署一份风险披露文件（Risk Disclosure Document），其中概述了这些风险以及经纪交易商的一些规则。</w:t>
      </w:r>
    </w:p>
    <w:p w14:paraId="3402CC2F">
      <w:pPr>
        <w:spacing w:before="120" w:after="120" w:line="288" w:lineRule="auto"/>
        <w:ind w:left="0"/>
        <w:jc w:val="left"/>
      </w:pPr>
    </w:p>
    <w:p w14:paraId="29FB8D61">
      <w:pPr>
        <w:spacing w:before="120" w:after="120" w:line="288" w:lineRule="auto"/>
        <w:ind w:left="0"/>
        <w:jc w:val="left"/>
      </w:pPr>
      <w:r>
        <w:rPr>
          <w:rFonts w:ascii="Arial" w:hAnsi="Arial" w:eastAsia="等线" w:cs="Arial"/>
          <w:sz w:val="22"/>
        </w:rPr>
        <w:t>除了收到风险披露文件外，客户必须签署融资融券协议（Margin Agreement）。</w:t>
      </w:r>
    </w:p>
    <w:p w14:paraId="38D828A6">
      <w:pPr>
        <w:spacing w:before="120" w:after="120" w:line="288" w:lineRule="auto"/>
        <w:ind w:left="0"/>
        <w:jc w:val="left"/>
      </w:pPr>
    </w:p>
    <w:p w14:paraId="3027A350">
      <w:pPr>
        <w:spacing w:before="120" w:after="120" w:line="288" w:lineRule="auto"/>
        <w:ind w:left="0"/>
        <w:jc w:val="left"/>
      </w:pPr>
      <w:r>
        <w:rPr>
          <w:rFonts w:ascii="Arial" w:hAnsi="Arial" w:eastAsia="等线" w:cs="Arial"/>
          <w:sz w:val="22"/>
        </w:rPr>
        <w:t>融资融券协议分为三个主要部分：</w:t>
      </w:r>
    </w:p>
    <w:p w14:paraId="0F86E547">
      <w:pPr>
        <w:spacing w:before="120" w:after="120" w:line="288" w:lineRule="auto"/>
        <w:ind w:left="0"/>
        <w:jc w:val="left"/>
      </w:pPr>
    </w:p>
    <w:p w14:paraId="18217A7A">
      <w:pPr>
        <w:numPr>
          <w:ilvl w:val="0"/>
          <w:numId w:val="47"/>
        </w:numPr>
        <w:spacing w:before="120" w:after="120" w:line="288" w:lineRule="auto"/>
        <w:ind w:left="0"/>
        <w:jc w:val="left"/>
      </w:pPr>
      <w:r>
        <w:rPr>
          <w:rFonts w:ascii="Arial" w:hAnsi="Arial" w:eastAsia="等线" w:cs="Arial"/>
          <w:sz w:val="22"/>
        </w:rPr>
        <w:t>信贷协议（Credit Agreement）</w:t>
      </w:r>
    </w:p>
    <w:p w14:paraId="58DD5062">
      <w:pPr>
        <w:spacing w:before="120" w:after="120" w:line="288" w:lineRule="auto"/>
        <w:ind w:left="0"/>
        <w:jc w:val="left"/>
      </w:pPr>
      <w:r>
        <w:rPr>
          <w:rFonts w:ascii="Arial" w:hAnsi="Arial" w:eastAsia="等线" w:cs="Arial"/>
          <w:sz w:val="22"/>
        </w:rPr>
        <w:t>由于投资者是从经纪交易商那里借钱购买证券，他们需要为所借资金支付利息。必要的信贷协议会披露借款条款，包括所收取的利率、经纪交易商的计算方法以及利率可能发生变化的情况。</w:t>
      </w:r>
    </w:p>
    <w:p w14:paraId="7EDCBF4E">
      <w:pPr>
        <w:spacing w:before="120" w:after="120" w:line="288" w:lineRule="auto"/>
        <w:ind w:left="0"/>
        <w:jc w:val="left"/>
      </w:pPr>
    </w:p>
    <w:p w14:paraId="79657643">
      <w:pPr>
        <w:numPr>
          <w:ilvl w:val="0"/>
          <w:numId w:val="48"/>
        </w:numPr>
        <w:spacing w:before="120" w:after="120" w:line="288" w:lineRule="auto"/>
        <w:ind w:left="0"/>
        <w:jc w:val="left"/>
      </w:pPr>
      <w:r>
        <w:rPr>
          <w:rFonts w:ascii="Arial" w:hAnsi="Arial" w:eastAsia="等线" w:cs="Arial"/>
          <w:sz w:val="22"/>
        </w:rPr>
        <w:t>质押协议（Hypothecation Agreement）</w:t>
      </w:r>
    </w:p>
    <w:p w14:paraId="4592DBDF">
      <w:pPr>
        <w:spacing w:before="120" w:after="120" w:line="288" w:lineRule="auto"/>
        <w:ind w:left="0"/>
        <w:jc w:val="left"/>
      </w:pPr>
      <w:r>
        <w:rPr>
          <w:rFonts w:ascii="Arial" w:hAnsi="Arial" w:eastAsia="等线" w:cs="Arial"/>
          <w:sz w:val="22"/>
        </w:rPr>
        <w:t>这份必需的协议规定，所有保证金证券必须以街名（street name）以经纪交易商的名义（in the name of the broker-dealer）为客户的利益持有）持有。此外，它允许经纪交易商将客户部分保证金证券用作银行贷款的抵押品（再质押）。质押协议还允许在客户权益低于特定水平时，经纪交易商出售账户中的证券。当保证金账户中持有的证券走势不利时，客户权益的损失速度要比以现金购买证券的客户快得多。</w:t>
      </w:r>
    </w:p>
    <w:p w14:paraId="0789CB62">
      <w:pPr>
        <w:spacing w:before="120" w:after="120" w:line="288" w:lineRule="auto"/>
        <w:ind w:left="0"/>
        <w:jc w:val="left"/>
      </w:pPr>
    </w:p>
    <w:p w14:paraId="02272DBC">
      <w:pPr>
        <w:numPr>
          <w:ilvl w:val="0"/>
          <w:numId w:val="49"/>
        </w:numPr>
        <w:spacing w:before="120" w:after="120" w:line="288" w:lineRule="auto"/>
        <w:ind w:left="0"/>
        <w:jc w:val="left"/>
      </w:pPr>
      <w:r>
        <w:rPr>
          <w:rFonts w:ascii="Arial" w:hAnsi="Arial" w:eastAsia="等线" w:cs="Arial"/>
          <w:sz w:val="22"/>
        </w:rPr>
        <w:t>贷款同意书（Loan Consent Form）</w:t>
      </w:r>
    </w:p>
    <w:p w14:paraId="317FDAEA">
      <w:pPr>
        <w:spacing w:before="120" w:after="120" w:line="288" w:lineRule="auto"/>
        <w:ind w:left="0"/>
        <w:jc w:val="left"/>
      </w:pPr>
      <w:r>
        <w:rPr>
          <w:rFonts w:ascii="Arial" w:hAnsi="Arial" w:eastAsia="等线" w:cs="Arial"/>
          <w:sz w:val="22"/>
        </w:rPr>
        <w:t>这份可选的贷款同意书允许经纪交易商将客户的融资融券证券借给其他投资者或经纪交易商，通常用于证券的卖空交易。</w:t>
      </w:r>
    </w:p>
    <w:p w14:paraId="7DBA0C31">
      <w:pPr>
        <w:spacing w:before="120" w:after="120" w:line="288" w:lineRule="auto"/>
        <w:ind w:left="0"/>
        <w:jc w:val="left"/>
      </w:pPr>
    </w:p>
    <w:p w14:paraId="4AA3A7CD">
      <w:pPr>
        <w:spacing w:before="300" w:after="120" w:line="288" w:lineRule="auto"/>
        <w:ind w:left="0"/>
        <w:jc w:val="left"/>
        <w:outlineLvl w:val="2"/>
      </w:pPr>
      <w:bookmarkStart w:id="18" w:name="heading_18"/>
      <w:r>
        <w:rPr>
          <w:rFonts w:ascii="Arial" w:hAnsi="Arial" w:eastAsia="等线" w:cs="Arial"/>
          <w:color w:val="3370FF"/>
          <w:sz w:val="30"/>
        </w:rPr>
        <w:t xml:space="preserve">2.3.2 </w:t>
      </w:r>
      <w:r>
        <w:rPr>
          <w:rFonts w:ascii="Arial" w:hAnsi="Arial" w:eastAsia="等线" w:cs="Arial"/>
          <w:b/>
          <w:sz w:val="30"/>
        </w:rPr>
        <w:t>多头与空头账户</w:t>
      </w:r>
      <w:bookmarkEnd w:id="18"/>
    </w:p>
    <w:p w14:paraId="19C12453">
      <w:pPr>
        <w:spacing w:before="120" w:after="120" w:line="288" w:lineRule="auto"/>
        <w:ind w:left="0"/>
        <w:jc w:val="left"/>
      </w:pPr>
      <w:r>
        <w:rPr>
          <w:rFonts w:ascii="Arial" w:hAnsi="Arial" w:eastAsia="等线" w:cs="Arial"/>
          <w:sz w:val="22"/>
        </w:rPr>
        <w:t>保证金账户分为两种类型：</w:t>
      </w:r>
    </w:p>
    <w:p w14:paraId="4CB760F8">
      <w:pPr>
        <w:numPr>
          <w:ilvl w:val="0"/>
          <w:numId w:val="50"/>
        </w:numPr>
        <w:spacing w:before="120" w:after="120" w:line="288" w:lineRule="auto"/>
        <w:ind w:left="0"/>
        <w:jc w:val="left"/>
      </w:pPr>
      <w:r>
        <w:rPr>
          <w:rFonts w:ascii="Arial" w:hAnsi="Arial" w:eastAsia="等线" w:cs="Arial"/>
          <w:sz w:val="22"/>
        </w:rPr>
        <w:t>多头账户（Long Accounts）：您的行为是先买后卖。您是证券的实际所有者，希望市场上涨。</w:t>
      </w:r>
    </w:p>
    <w:p w14:paraId="5A109017">
      <w:pPr>
        <w:numPr>
          <w:ilvl w:val="0"/>
          <w:numId w:val="51"/>
        </w:numPr>
        <w:spacing w:before="120" w:after="120" w:line="288" w:lineRule="auto"/>
        <w:ind w:left="0"/>
        <w:jc w:val="left"/>
      </w:pPr>
      <w:r>
        <w:rPr>
          <w:rFonts w:ascii="Arial" w:hAnsi="Arial" w:eastAsia="等线" w:cs="Arial"/>
          <w:sz w:val="22"/>
        </w:rPr>
        <w:t>空头账户（Short Accounts）：您的行为是“先卖后买”。您是证券的临时借用者，希望市场下跌。等待证券价格下跌后，再买入归还，赚取差价。</w:t>
      </w:r>
    </w:p>
    <w:p w14:paraId="57F0008A">
      <w:pPr>
        <w:spacing w:before="120" w:after="120" w:line="288" w:lineRule="auto"/>
        <w:ind w:left="0"/>
        <w:jc w:val="left"/>
      </w:pPr>
    </w:p>
    <w:p w14:paraId="7AF3B91B">
      <w:pPr>
        <w:spacing w:before="300" w:after="120" w:line="288" w:lineRule="auto"/>
        <w:ind w:left="0"/>
        <w:jc w:val="left"/>
        <w:outlineLvl w:val="2"/>
      </w:pPr>
      <w:bookmarkStart w:id="19" w:name="heading_19"/>
      <w:r>
        <w:rPr>
          <w:rFonts w:ascii="Arial" w:hAnsi="Arial" w:eastAsia="等线" w:cs="Arial"/>
          <w:color w:val="3370FF"/>
          <w:sz w:val="30"/>
        </w:rPr>
        <w:t xml:space="preserve">2.3.3 </w:t>
      </w:r>
      <w:r>
        <w:rPr>
          <w:rFonts w:ascii="Arial" w:hAnsi="Arial" w:eastAsia="等线" w:cs="Arial"/>
          <w:b/>
          <w:sz w:val="30"/>
        </w:rPr>
        <w:t>Regulation T</w:t>
      </w:r>
      <w:bookmarkEnd w:id="19"/>
    </w:p>
    <w:p w14:paraId="37C143CF">
      <w:pPr>
        <w:spacing w:before="120" w:after="120" w:line="288" w:lineRule="auto"/>
        <w:ind w:left="0"/>
        <w:jc w:val="left"/>
      </w:pPr>
      <w:r>
        <w:rPr>
          <w:rFonts w:ascii="Arial" w:hAnsi="Arial" w:eastAsia="等线" w:cs="Arial"/>
          <w:sz w:val="22"/>
        </w:rPr>
        <w:t>《1934年证券交易法》赋予美联储（Federal Reserve Board）监管证券行业向客户授信的权力。</w:t>
      </w:r>
    </w:p>
    <w:p w14:paraId="31E5DD6C">
      <w:pPr>
        <w:spacing w:before="120" w:after="120" w:line="288" w:lineRule="auto"/>
        <w:ind w:left="0"/>
        <w:jc w:val="left"/>
      </w:pPr>
    </w:p>
    <w:p w14:paraId="70C6C414">
      <w:pPr>
        <w:spacing w:before="120" w:after="120" w:line="288" w:lineRule="auto"/>
        <w:ind w:left="0"/>
        <w:jc w:val="left"/>
      </w:pPr>
      <w:r>
        <w:rPr>
          <w:rFonts w:ascii="Arial" w:hAnsi="Arial" w:eastAsia="等线" w:cs="Arial"/>
          <w:sz w:val="22"/>
        </w:rPr>
        <w:t>除了 T 条例，美联储还负责决定哪些证券可以进行保证金购买。</w:t>
      </w:r>
    </w:p>
    <w:p w14:paraId="6C38D106">
      <w:pPr>
        <w:spacing w:before="120" w:after="120" w:line="288" w:lineRule="auto"/>
        <w:ind w:left="0"/>
        <w:jc w:val="left"/>
      </w:pPr>
    </w:p>
    <w:p w14:paraId="3326A32A">
      <w:pPr>
        <w:spacing w:before="120" w:after="120" w:line="288" w:lineRule="auto"/>
        <w:ind w:left="0"/>
        <w:jc w:val="left"/>
      </w:pPr>
      <w:r>
        <w:rPr>
          <w:rFonts w:ascii="Arial" w:hAnsi="Arial" w:eastAsia="等线" w:cs="Arial"/>
          <w:sz w:val="22"/>
        </w:rPr>
        <w:t>核心内容：规定了券商向客户提供贷款（用于购买证券）时的初始保证金要求。</w:t>
      </w:r>
    </w:p>
    <w:p w14:paraId="5D54196C">
      <w:pPr>
        <w:spacing w:before="120" w:after="120" w:line="288" w:lineRule="auto"/>
        <w:ind w:left="0"/>
        <w:jc w:val="left"/>
      </w:pPr>
    </w:p>
    <w:p w14:paraId="6116FE05">
      <w:pPr>
        <w:spacing w:before="120" w:after="120" w:line="288" w:lineRule="auto"/>
        <w:ind w:left="0"/>
        <w:jc w:val="left"/>
      </w:pPr>
      <w:r>
        <w:rPr>
          <w:rFonts w:ascii="Arial" w:hAnsi="Arial" w:eastAsia="等线" w:cs="Arial"/>
          <w:sz w:val="22"/>
        </w:rPr>
        <w:t>具体规则：客户想用保证金账户买股票，不能全部借钱。Reg T 规定，客户自己必须至少支付购买额的50%（即初始保证金比例为50%），券商最多只能借给客户另外的50%。</w:t>
      </w:r>
    </w:p>
    <w:p w14:paraId="35089ADB">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348A6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2471C06A">
            <w:pPr>
              <w:spacing w:before="120" w:after="120" w:line="288" w:lineRule="auto"/>
              <w:ind w:left="0"/>
              <w:jc w:val="left"/>
            </w:pPr>
            <w:r>
              <w:rPr>
                <w:rFonts w:ascii="Arial" w:hAnsi="Arial" w:eastAsia="等线" w:cs="Arial"/>
                <w:sz w:val="22"/>
              </w:rPr>
              <w:t>T 条例目前设定为50%；然而，不愿承担过多风险的公司可能会将自有保证金要求提高到 55%、60%、65% 等等。在参加SIE及后续考试时，除非题目中规定了不同的百分比，否则你应假设为50%。</w:t>
            </w:r>
          </w:p>
        </w:tc>
      </w:tr>
    </w:tbl>
    <w:p w14:paraId="0DA0319E">
      <w:pPr>
        <w:spacing w:before="120" w:after="120" w:line="288" w:lineRule="auto"/>
        <w:ind w:left="0"/>
        <w:jc w:val="left"/>
      </w:pPr>
    </w:p>
    <w:p w14:paraId="398422DD">
      <w:pPr>
        <w:spacing w:before="300" w:after="120" w:line="288" w:lineRule="auto"/>
        <w:ind w:left="0"/>
        <w:jc w:val="left"/>
        <w:outlineLvl w:val="2"/>
      </w:pPr>
      <w:bookmarkStart w:id="20" w:name="heading_20"/>
      <w:r>
        <w:rPr>
          <w:rFonts w:ascii="Arial" w:hAnsi="Arial" w:eastAsia="等线" w:cs="Arial"/>
          <w:color w:val="3370FF"/>
          <w:sz w:val="30"/>
        </w:rPr>
        <w:t xml:space="preserve">2.3.4 </w:t>
      </w:r>
      <w:r>
        <w:rPr>
          <w:rFonts w:ascii="Arial" w:hAnsi="Arial" w:eastAsia="等线" w:cs="Arial"/>
          <w:b/>
          <w:sz w:val="30"/>
        </w:rPr>
        <w:t>开设保证金账户：初始要求</w:t>
      </w:r>
      <w:bookmarkEnd w:id="20"/>
    </w:p>
    <w:p w14:paraId="4AD97299">
      <w:pPr>
        <w:spacing w:before="120" w:after="120" w:line="288" w:lineRule="auto"/>
        <w:ind w:left="0"/>
        <w:jc w:val="left"/>
      </w:pPr>
      <w:r>
        <w:rPr>
          <w:rFonts w:ascii="Arial" w:hAnsi="Arial" w:eastAsia="等线" w:cs="Arial"/>
          <w:sz w:val="22"/>
        </w:rPr>
        <w:t>初始保证金（Initial Margin）指保证金账户第一笔交易必须存入最低金额</w:t>
      </w:r>
    </w:p>
    <w:p w14:paraId="7670C965">
      <w:pPr>
        <w:spacing w:before="120" w:after="120" w:line="288" w:lineRule="auto"/>
        <w:ind w:left="0"/>
        <w:jc w:val="left"/>
      </w:pPr>
    </w:p>
    <w:p w14:paraId="69D52C0D">
      <w:pPr>
        <w:spacing w:before="120" w:after="120" w:line="288" w:lineRule="auto"/>
        <w:ind w:left="0"/>
        <w:jc w:val="left"/>
      </w:pPr>
      <w:r>
        <w:rPr>
          <w:rFonts w:ascii="Arial" w:hAnsi="Arial" w:eastAsia="等线" w:cs="Arial"/>
          <w:sz w:val="22"/>
        </w:rPr>
        <w:t>账户设立后，投资者只需存入所购买或卖空证券当前市值的 T 条例规定金额，即可购买或卖空证券。</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46238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shd w:val="clear" w:color="auto" w:fill="FEEAD2"/>
            <w:tcMar>
              <w:top w:w="60" w:type="dxa"/>
              <w:left w:w="120" w:type="dxa"/>
              <w:bottom w:w="30" w:type="dxa"/>
              <w:right w:w="120" w:type="dxa"/>
            </w:tcMar>
          </w:tcPr>
          <w:p w14:paraId="3412EF07">
            <w:pPr>
              <w:spacing w:before="120" w:after="120" w:line="288" w:lineRule="auto"/>
              <w:ind w:left="0"/>
              <w:jc w:val="left"/>
            </w:pPr>
            <w:r>
              <w:rPr>
                <w:rFonts w:ascii="Arial" w:hAnsi="Arial" w:eastAsia="等线" w:cs="Arial"/>
                <w:sz w:val="22"/>
              </w:rPr>
              <w:t>以下部分基于普通多空保证金账户的初始保证金要求。如果投资者想要开设日内交易账户，初始保证金要求为$25,000。</w:t>
            </w:r>
          </w:p>
          <w:p w14:paraId="649E4A71">
            <w:pPr>
              <w:spacing w:before="120" w:after="120" w:line="288" w:lineRule="auto"/>
              <w:ind w:left="0"/>
              <w:jc w:val="left"/>
            </w:pPr>
          </w:p>
          <w:p w14:paraId="5C0C9377">
            <w:pPr>
              <w:spacing w:before="120" w:after="120" w:line="288" w:lineRule="auto"/>
              <w:ind w:left="0"/>
              <w:jc w:val="left"/>
            </w:pPr>
            <w:r>
              <w:rPr>
                <w:rFonts w:ascii="Arial" w:hAnsi="Arial" w:eastAsia="等线" w:cs="Arial"/>
                <w:sz w:val="22"/>
              </w:rPr>
              <w:t>典型日内交易（pattern day trader）账户是指投资者在连续五个交易日内，至少四次在同一天买入并卖出同一证券，或卖空并买入同一证券的账户。</w:t>
            </w:r>
          </w:p>
        </w:tc>
      </w:tr>
    </w:tbl>
    <w:p w14:paraId="56EB61F8">
      <w:pPr>
        <w:spacing w:before="260" w:after="120" w:line="288" w:lineRule="auto"/>
        <w:ind w:left="0"/>
        <w:jc w:val="left"/>
        <w:outlineLvl w:val="3"/>
      </w:pPr>
      <w:bookmarkStart w:id="21" w:name="heading_21"/>
      <w:r>
        <w:rPr>
          <w:rFonts w:ascii="Arial" w:hAnsi="Arial" w:eastAsia="等线" w:cs="Arial"/>
          <w:color w:val="3370FF"/>
          <w:sz w:val="28"/>
        </w:rPr>
        <w:t xml:space="preserve">2.3.4.1 </w:t>
      </w:r>
      <w:r>
        <w:rPr>
          <w:rFonts w:ascii="Arial" w:hAnsi="Arial" w:eastAsia="等线" w:cs="Arial"/>
          <w:b/>
          <w:sz w:val="28"/>
        </w:rPr>
        <w:t>开设多头账户</w:t>
      </w:r>
      <w:bookmarkEnd w:id="21"/>
    </w:p>
    <w:p w14:paraId="29440958">
      <w:pPr>
        <w:spacing w:before="120" w:after="120" w:line="288" w:lineRule="auto"/>
        <w:ind w:left="0"/>
        <w:jc w:val="left"/>
      </w:pPr>
      <w:r>
        <w:rPr>
          <w:rFonts w:ascii="Arial" w:hAnsi="Arial" w:eastAsia="等线" w:cs="Arial"/>
          <w:sz w:val="22"/>
        </w:rPr>
        <w:t>多头账户初始保证金 Reg T 要求最低存入所购买或卖空证券当前市值的50%。</w:t>
      </w:r>
    </w:p>
    <w:p w14:paraId="3AD81A14">
      <w:pPr>
        <w:spacing w:before="120" w:after="120" w:line="288" w:lineRule="auto"/>
        <w:ind w:left="0"/>
        <w:jc w:val="left"/>
      </w:pPr>
    </w:p>
    <w:p w14:paraId="1DEA2649">
      <w:pPr>
        <w:spacing w:before="120" w:after="120" w:line="288" w:lineRule="auto"/>
        <w:ind w:left="0"/>
        <w:jc w:val="left"/>
      </w:pPr>
      <w:r>
        <w:rPr>
          <w:rFonts w:ascii="Arial" w:hAnsi="Arial" w:eastAsia="等线" w:cs="Arial"/>
          <w:sz w:val="22"/>
        </w:rPr>
        <w:t>然而，金融业监管局（FINRA）和纽约证券交易所（NYSE）要求</w:t>
      </w:r>
      <w:r>
        <w:rPr>
          <w:rFonts w:ascii="Arial" w:hAnsi="Arial" w:eastAsia="等线" w:cs="Arial"/>
          <w:b/>
          <w:sz w:val="22"/>
        </w:rPr>
        <w:t>最低存入2000美元或者全额支付证券款项</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390"/>
        <w:gridCol w:w="4890"/>
      </w:tblGrid>
      <w:tr w14:paraId="256F1A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390" w:type="dxa"/>
            <w:tcMar>
              <w:top w:w="60" w:type="dxa"/>
              <w:left w:w="120" w:type="dxa"/>
              <w:bottom w:w="30" w:type="dxa"/>
              <w:right w:w="120" w:type="dxa"/>
            </w:tcMar>
          </w:tcPr>
          <w:p w14:paraId="651D90D6">
            <w:pPr>
              <w:spacing w:before="120" w:after="120" w:line="288" w:lineRule="auto"/>
              <w:ind w:left="0"/>
              <w:jc w:val="left"/>
            </w:pPr>
            <w:r>
              <w:rPr>
                <w:rFonts w:ascii="Arial" w:hAnsi="Arial" w:eastAsia="等线" w:cs="Arial"/>
                <w:b/>
                <w:sz w:val="22"/>
              </w:rPr>
              <w:t>Purchase Price</w:t>
            </w:r>
          </w:p>
        </w:tc>
        <w:tc>
          <w:tcPr>
            <w:tcW w:w="4890" w:type="dxa"/>
            <w:tcMar>
              <w:top w:w="60" w:type="dxa"/>
              <w:left w:w="120" w:type="dxa"/>
              <w:bottom w:w="30" w:type="dxa"/>
              <w:right w:w="120" w:type="dxa"/>
            </w:tcMar>
          </w:tcPr>
          <w:p w14:paraId="4758BBAE">
            <w:pPr>
              <w:spacing w:before="120" w:after="120" w:line="288" w:lineRule="auto"/>
              <w:ind w:left="0"/>
              <w:jc w:val="left"/>
            </w:pPr>
            <w:r>
              <w:rPr>
                <w:rFonts w:ascii="Arial" w:hAnsi="Arial" w:eastAsia="等线" w:cs="Arial"/>
                <w:b/>
                <w:sz w:val="22"/>
              </w:rPr>
              <w:t>Amount Owed</w:t>
            </w:r>
          </w:p>
        </w:tc>
      </w:tr>
      <w:tr w14:paraId="113CAD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390" w:type="dxa"/>
            <w:tcMar>
              <w:top w:w="60" w:type="dxa"/>
              <w:left w:w="120" w:type="dxa"/>
              <w:bottom w:w="30" w:type="dxa"/>
              <w:right w:w="120" w:type="dxa"/>
            </w:tcMar>
          </w:tcPr>
          <w:p w14:paraId="18AD4018">
            <w:pPr>
              <w:spacing w:before="120" w:after="120" w:line="288" w:lineRule="auto"/>
              <w:ind w:left="0"/>
              <w:jc w:val="left"/>
            </w:pPr>
            <w:r>
              <w:rPr>
                <w:rFonts w:ascii="Arial" w:hAnsi="Arial" w:eastAsia="等线" w:cs="Arial"/>
                <w:color w:val="D83931"/>
                <w:sz w:val="22"/>
              </w:rPr>
              <w:t xml:space="preserve">Initial purchase &lt; $2,000 </w:t>
            </w:r>
          </w:p>
        </w:tc>
        <w:tc>
          <w:tcPr>
            <w:tcW w:w="4890" w:type="dxa"/>
            <w:tcMar>
              <w:top w:w="60" w:type="dxa"/>
              <w:left w:w="120" w:type="dxa"/>
              <w:bottom w:w="30" w:type="dxa"/>
              <w:right w:w="120" w:type="dxa"/>
            </w:tcMar>
          </w:tcPr>
          <w:p w14:paraId="068B6823">
            <w:pPr>
              <w:spacing w:before="120" w:after="120" w:line="288" w:lineRule="auto"/>
              <w:ind w:left="0"/>
              <w:jc w:val="left"/>
            </w:pPr>
            <w:r>
              <w:rPr>
                <w:rFonts w:ascii="Arial" w:hAnsi="Arial" w:eastAsia="等线" w:cs="Arial"/>
                <w:color w:val="D83931"/>
                <w:sz w:val="22"/>
              </w:rPr>
              <w:t>Full purchase price</w:t>
            </w:r>
          </w:p>
        </w:tc>
      </w:tr>
      <w:tr w14:paraId="000152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390" w:type="dxa"/>
            <w:tcMar>
              <w:top w:w="60" w:type="dxa"/>
              <w:left w:w="120" w:type="dxa"/>
              <w:bottom w:w="30" w:type="dxa"/>
              <w:right w:w="120" w:type="dxa"/>
            </w:tcMar>
          </w:tcPr>
          <w:p w14:paraId="58DA6C6F">
            <w:pPr>
              <w:spacing w:before="120" w:after="120" w:line="288" w:lineRule="auto"/>
              <w:ind w:left="0"/>
              <w:jc w:val="left"/>
            </w:pPr>
            <w:r>
              <w:rPr>
                <w:rFonts w:ascii="Arial" w:hAnsi="Arial" w:eastAsia="等线" w:cs="Arial"/>
                <w:sz w:val="22"/>
              </w:rPr>
              <w:t xml:space="preserve">$2,000 ≤ initial purchase ≤ $4,000 </w:t>
            </w:r>
          </w:p>
        </w:tc>
        <w:tc>
          <w:tcPr>
            <w:tcW w:w="4890" w:type="dxa"/>
            <w:tcMar>
              <w:top w:w="60" w:type="dxa"/>
              <w:left w:w="120" w:type="dxa"/>
              <w:bottom w:w="30" w:type="dxa"/>
              <w:right w:w="120" w:type="dxa"/>
            </w:tcMar>
          </w:tcPr>
          <w:p w14:paraId="61701969">
            <w:pPr>
              <w:spacing w:before="120" w:after="120" w:line="288" w:lineRule="auto"/>
              <w:ind w:left="0"/>
              <w:jc w:val="left"/>
            </w:pPr>
            <w:r>
              <w:rPr>
                <w:rFonts w:ascii="Arial" w:hAnsi="Arial" w:eastAsia="等线" w:cs="Arial"/>
                <w:sz w:val="22"/>
              </w:rPr>
              <w:t>$2,000</w:t>
            </w:r>
          </w:p>
        </w:tc>
      </w:tr>
      <w:tr w14:paraId="109238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390" w:type="dxa"/>
            <w:tcMar>
              <w:top w:w="60" w:type="dxa"/>
              <w:left w:w="120" w:type="dxa"/>
              <w:bottom w:w="30" w:type="dxa"/>
              <w:right w:w="120" w:type="dxa"/>
            </w:tcMar>
          </w:tcPr>
          <w:p w14:paraId="602C4E3A">
            <w:pPr>
              <w:spacing w:before="120" w:after="120" w:line="288" w:lineRule="auto"/>
              <w:ind w:left="0"/>
              <w:jc w:val="left"/>
            </w:pPr>
            <w:r>
              <w:rPr>
                <w:rFonts w:ascii="Arial" w:hAnsi="Arial" w:eastAsia="等线" w:cs="Arial"/>
                <w:sz w:val="22"/>
              </w:rPr>
              <w:t>Initial purchase &gt; $4,000</w:t>
            </w:r>
          </w:p>
        </w:tc>
        <w:tc>
          <w:tcPr>
            <w:tcW w:w="4890" w:type="dxa"/>
            <w:tcMar>
              <w:top w:w="60" w:type="dxa"/>
              <w:left w:w="120" w:type="dxa"/>
              <w:bottom w:w="30" w:type="dxa"/>
              <w:right w:w="120" w:type="dxa"/>
            </w:tcMar>
          </w:tcPr>
          <w:p w14:paraId="309E3CAB">
            <w:pPr>
              <w:spacing w:before="120" w:after="120" w:line="288" w:lineRule="auto"/>
              <w:ind w:left="0"/>
              <w:jc w:val="left"/>
            </w:pPr>
            <w:r>
              <w:rPr>
                <w:rFonts w:ascii="Arial" w:hAnsi="Arial" w:eastAsia="等线" w:cs="Arial"/>
                <w:sz w:val="22"/>
              </w:rPr>
              <w:t>Reg T (50% of market value)</w:t>
            </w:r>
          </w:p>
        </w:tc>
      </w:tr>
    </w:tbl>
    <w:p w14:paraId="4697F5A2">
      <w:pPr>
        <w:spacing w:before="260" w:after="120" w:line="288" w:lineRule="auto"/>
        <w:ind w:left="0"/>
        <w:jc w:val="left"/>
        <w:outlineLvl w:val="3"/>
      </w:pPr>
      <w:bookmarkStart w:id="22" w:name="heading_22"/>
      <w:r>
        <w:rPr>
          <w:rFonts w:ascii="Arial" w:hAnsi="Arial" w:eastAsia="等线" w:cs="Arial"/>
          <w:color w:val="3370FF"/>
          <w:sz w:val="28"/>
        </w:rPr>
        <w:t xml:space="preserve">2.3.4.2 </w:t>
      </w:r>
      <w:r>
        <w:rPr>
          <w:rFonts w:ascii="Arial" w:hAnsi="Arial" w:eastAsia="等线" w:cs="Arial"/>
          <w:b/>
          <w:sz w:val="28"/>
        </w:rPr>
        <w:t>开设空头账户</w:t>
      </w:r>
      <w:bookmarkEnd w:id="22"/>
    </w:p>
    <w:p w14:paraId="6FDC264E">
      <w:pPr>
        <w:spacing w:before="120" w:after="120" w:line="288" w:lineRule="auto"/>
        <w:ind w:left="0"/>
        <w:jc w:val="left"/>
      </w:pPr>
      <w:r>
        <w:rPr>
          <w:rFonts w:ascii="Arial" w:hAnsi="Arial" w:eastAsia="等线" w:cs="Arial"/>
          <w:sz w:val="22"/>
        </w:rPr>
        <w:t>空头账户初始保证金与多头账户略有不同：</w:t>
      </w:r>
      <w:r>
        <w:rPr>
          <w:rFonts w:ascii="Arial" w:hAnsi="Arial" w:eastAsia="等线" w:cs="Arial"/>
          <w:b/>
          <w:sz w:val="22"/>
        </w:rPr>
        <w:t>最低存入2000美元。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975"/>
        <w:gridCol w:w="4305"/>
      </w:tblGrid>
      <w:tr w14:paraId="37CBA2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75" w:type="dxa"/>
            <w:tcMar>
              <w:top w:w="60" w:type="dxa"/>
              <w:left w:w="120" w:type="dxa"/>
              <w:bottom w:w="30" w:type="dxa"/>
              <w:right w:w="120" w:type="dxa"/>
            </w:tcMar>
          </w:tcPr>
          <w:p w14:paraId="66B75105">
            <w:pPr>
              <w:spacing w:before="120" w:after="120" w:line="288" w:lineRule="auto"/>
              <w:ind w:left="0"/>
              <w:jc w:val="left"/>
            </w:pPr>
            <w:r>
              <w:rPr>
                <w:rFonts w:ascii="Arial" w:hAnsi="Arial" w:eastAsia="等线" w:cs="Arial"/>
                <w:b/>
                <w:sz w:val="22"/>
              </w:rPr>
              <w:t>Purchase Price</w:t>
            </w:r>
          </w:p>
        </w:tc>
        <w:tc>
          <w:tcPr>
            <w:tcW w:w="4305" w:type="dxa"/>
            <w:tcMar>
              <w:top w:w="60" w:type="dxa"/>
              <w:left w:w="120" w:type="dxa"/>
              <w:bottom w:w="30" w:type="dxa"/>
              <w:right w:w="120" w:type="dxa"/>
            </w:tcMar>
          </w:tcPr>
          <w:p w14:paraId="4F02D4D3">
            <w:pPr>
              <w:spacing w:before="120" w:after="120" w:line="288" w:lineRule="auto"/>
              <w:ind w:left="0"/>
              <w:jc w:val="left"/>
            </w:pPr>
            <w:r>
              <w:rPr>
                <w:rFonts w:ascii="Arial" w:hAnsi="Arial" w:eastAsia="等线" w:cs="Arial"/>
                <w:b/>
                <w:sz w:val="22"/>
              </w:rPr>
              <w:t>Amount Owed</w:t>
            </w:r>
          </w:p>
        </w:tc>
      </w:tr>
      <w:tr w14:paraId="5C3D28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75" w:type="dxa"/>
            <w:tcMar>
              <w:top w:w="60" w:type="dxa"/>
              <w:left w:w="120" w:type="dxa"/>
              <w:bottom w:w="30" w:type="dxa"/>
              <w:right w:w="120" w:type="dxa"/>
            </w:tcMar>
          </w:tcPr>
          <w:p w14:paraId="211B7DAA">
            <w:pPr>
              <w:spacing w:before="120" w:after="120" w:line="288" w:lineRule="auto"/>
              <w:ind w:left="0"/>
              <w:jc w:val="left"/>
            </w:pPr>
            <w:r>
              <w:rPr>
                <w:rFonts w:ascii="Arial" w:hAnsi="Arial" w:eastAsia="等线" w:cs="Arial"/>
                <w:sz w:val="22"/>
              </w:rPr>
              <w:t xml:space="preserve">Initial purchase ≤ $4,000 </w:t>
            </w:r>
          </w:p>
        </w:tc>
        <w:tc>
          <w:tcPr>
            <w:tcW w:w="4305" w:type="dxa"/>
            <w:tcMar>
              <w:top w:w="60" w:type="dxa"/>
              <w:left w:w="120" w:type="dxa"/>
              <w:bottom w:w="30" w:type="dxa"/>
              <w:right w:w="120" w:type="dxa"/>
            </w:tcMar>
          </w:tcPr>
          <w:p w14:paraId="63A370C5">
            <w:pPr>
              <w:spacing w:before="120" w:after="120" w:line="288" w:lineRule="auto"/>
              <w:ind w:left="0"/>
              <w:jc w:val="left"/>
            </w:pPr>
            <w:r>
              <w:rPr>
                <w:rFonts w:ascii="Arial" w:hAnsi="Arial" w:eastAsia="等线" w:cs="Arial"/>
                <w:sz w:val="22"/>
              </w:rPr>
              <w:t>$2,000</w:t>
            </w:r>
          </w:p>
        </w:tc>
      </w:tr>
      <w:tr w14:paraId="24968D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75" w:type="dxa"/>
            <w:tcMar>
              <w:top w:w="60" w:type="dxa"/>
              <w:left w:w="120" w:type="dxa"/>
              <w:bottom w:w="30" w:type="dxa"/>
              <w:right w:w="120" w:type="dxa"/>
            </w:tcMar>
          </w:tcPr>
          <w:p w14:paraId="172C3F5C">
            <w:pPr>
              <w:spacing w:before="120" w:after="120" w:line="288" w:lineRule="auto"/>
              <w:ind w:left="0"/>
              <w:jc w:val="left"/>
            </w:pPr>
            <w:r>
              <w:rPr>
                <w:rFonts w:ascii="Arial" w:hAnsi="Arial" w:eastAsia="等线" w:cs="Arial"/>
                <w:sz w:val="22"/>
              </w:rPr>
              <w:t>Initial purchase &gt; $4,000</w:t>
            </w:r>
          </w:p>
        </w:tc>
        <w:tc>
          <w:tcPr>
            <w:tcW w:w="4305" w:type="dxa"/>
            <w:tcMar>
              <w:top w:w="60" w:type="dxa"/>
              <w:left w:w="120" w:type="dxa"/>
              <w:bottom w:w="30" w:type="dxa"/>
              <w:right w:w="120" w:type="dxa"/>
            </w:tcMar>
          </w:tcPr>
          <w:p w14:paraId="3DBA4EF7">
            <w:pPr>
              <w:spacing w:before="120" w:after="120" w:line="288" w:lineRule="auto"/>
              <w:ind w:left="0"/>
              <w:jc w:val="left"/>
            </w:pPr>
            <w:r>
              <w:rPr>
                <w:rFonts w:ascii="Arial" w:hAnsi="Arial" w:eastAsia="等线" w:cs="Arial"/>
                <w:sz w:val="22"/>
              </w:rPr>
              <w:t>Reg T (50% of market value)</w:t>
            </w:r>
          </w:p>
        </w:tc>
      </w:tr>
    </w:tbl>
    <w:p w14:paraId="333AFE3C">
      <w:pPr>
        <w:spacing w:before="300" w:after="120" w:line="288" w:lineRule="auto"/>
        <w:ind w:left="0"/>
        <w:jc w:val="left"/>
        <w:outlineLvl w:val="2"/>
      </w:pPr>
      <w:bookmarkStart w:id="23" w:name="heading_23"/>
      <w:r>
        <w:rPr>
          <w:rFonts w:ascii="Arial" w:hAnsi="Arial" w:eastAsia="等线" w:cs="Arial"/>
          <w:color w:val="3370FF"/>
          <w:sz w:val="30"/>
        </w:rPr>
        <w:t xml:space="preserve">2.3.5 </w:t>
      </w:r>
      <w:r>
        <w:rPr>
          <w:rFonts w:ascii="Arial" w:hAnsi="Arial" w:eastAsia="等线" w:cs="Arial"/>
          <w:b/>
          <w:sz w:val="30"/>
        </w:rPr>
        <w:t>维持保证金</w:t>
      </w:r>
      <w:bookmarkEnd w:id="23"/>
    </w:p>
    <w:p w14:paraId="49B13630">
      <w:pPr>
        <w:spacing w:before="120" w:after="120" w:line="288" w:lineRule="auto"/>
        <w:ind w:left="0"/>
        <w:jc w:val="left"/>
      </w:pPr>
      <w:r>
        <w:rPr>
          <w:rFonts w:ascii="Arial" w:hAnsi="Arial" w:eastAsia="等线" w:cs="Arial"/>
          <w:sz w:val="22"/>
        </w:rPr>
        <w:t>维持保证金（Maintenance Margin）是投资者保证金账户中的权益在总市场价值中的最小比率。</w:t>
      </w:r>
    </w:p>
    <w:p w14:paraId="209E91A1">
      <w:pPr>
        <w:spacing w:before="120" w:after="120" w:line="288" w:lineRule="auto"/>
        <w:ind w:left="0"/>
        <w:jc w:val="left"/>
      </w:pPr>
    </w:p>
    <w:p w14:paraId="160D12B2">
      <w:pPr>
        <w:spacing w:before="120" w:after="120" w:line="288" w:lineRule="auto"/>
        <w:ind w:left="0"/>
        <w:jc w:val="left"/>
      </w:pPr>
      <w:r>
        <w:rPr>
          <w:rFonts w:ascii="Arial" w:hAnsi="Arial" w:eastAsia="等线" w:cs="Arial"/>
          <w:sz w:val="22"/>
        </w:rPr>
        <w:t>初始保证金（initial margin）50% 是首次开仓时的要求，而维持保证金是开仓后，为了维持持仓必须满足的资产水平。</w:t>
      </w:r>
    </w:p>
    <w:p w14:paraId="5F7938DB">
      <w:pPr>
        <w:spacing w:before="120" w:after="120" w:line="288" w:lineRule="auto"/>
        <w:ind w:left="0"/>
        <w:jc w:val="left"/>
      </w:pPr>
    </w:p>
    <w:p w14:paraId="04254055">
      <w:pPr>
        <w:spacing w:before="120" w:after="120" w:line="288" w:lineRule="auto"/>
        <w:ind w:left="0"/>
        <w:jc w:val="left"/>
      </w:pPr>
      <w:r>
        <w:rPr>
          <w:rFonts w:ascii="Arial" w:hAnsi="Arial" w:eastAsia="等线" w:cs="Arial"/>
          <w:sz w:val="22"/>
        </w:rPr>
        <w:t>这是由金融业监管局（FINRA）和交易所（如NYSE）设定的全行业统一的最低标准，券商必须遵守。</w:t>
      </w:r>
    </w:p>
    <w:p w14:paraId="57E20B2E">
      <w:pPr>
        <w:spacing w:before="120" w:after="120" w:line="288" w:lineRule="auto"/>
        <w:ind w:left="0"/>
        <w:jc w:val="left"/>
      </w:pPr>
    </w:p>
    <w:p w14:paraId="1C9EFACF">
      <w:pPr>
        <w:numPr>
          <w:ilvl w:val="0"/>
          <w:numId w:val="52"/>
        </w:numPr>
        <w:spacing w:before="120" w:after="120" w:line="288" w:lineRule="auto"/>
        <w:ind w:left="0"/>
        <w:jc w:val="left"/>
      </w:pPr>
      <w:r>
        <w:rPr>
          <w:rFonts w:ascii="Arial" w:hAnsi="Arial" w:eastAsia="等线" w:cs="Arial"/>
          <w:sz w:val="22"/>
        </w:rPr>
        <w:t>多头保证金账户：25%</w:t>
      </w:r>
    </w:p>
    <w:p w14:paraId="2D903ED7">
      <w:pPr>
        <w:spacing w:before="120" w:after="120" w:line="288" w:lineRule="auto"/>
        <w:ind w:left="0"/>
        <w:jc w:val="left"/>
      </w:pPr>
      <w:r>
        <w:rPr>
          <w:rFonts w:ascii="Arial" w:hAnsi="Arial" w:eastAsia="等线" w:cs="Arial"/>
          <w:sz w:val="22"/>
        </w:rPr>
        <w:t>当你借钱做多后，你的账户总资产（股票市值）减去负债（贷款）后的权益部分，必须始终不低于股票总市值的25%。</w:t>
      </w:r>
    </w:p>
    <w:p w14:paraId="401683CD">
      <w:pPr>
        <w:spacing w:before="120" w:after="120" w:line="288" w:lineRule="auto"/>
        <w:ind w:left="0"/>
        <w:jc w:val="left"/>
      </w:pPr>
    </w:p>
    <w:p w14:paraId="504BA5CB">
      <w:pPr>
        <w:numPr>
          <w:ilvl w:val="0"/>
          <w:numId w:val="53"/>
        </w:numPr>
        <w:spacing w:before="120" w:after="120" w:line="288" w:lineRule="auto"/>
        <w:ind w:left="0"/>
        <w:jc w:val="left"/>
      </w:pPr>
      <w:r>
        <w:rPr>
          <w:rFonts w:ascii="Arial" w:hAnsi="Arial" w:eastAsia="等线" w:cs="Arial"/>
          <w:sz w:val="22"/>
        </w:rPr>
        <w:t>空头保证金账户：30%</w:t>
      </w:r>
    </w:p>
    <w:p w14:paraId="70724640">
      <w:pPr>
        <w:spacing w:before="120" w:after="120" w:line="288" w:lineRule="auto"/>
        <w:ind w:left="0"/>
        <w:jc w:val="left"/>
      </w:pPr>
      <w:r>
        <w:rPr>
          <w:rFonts w:ascii="Arial" w:hAnsi="Arial" w:eastAsia="等线" w:cs="Arial"/>
          <w:sz w:val="22"/>
        </w:rPr>
        <w:t>当你借入股票做空后，你的账户权益必须始终不低于空头头寸总市值的30%。做空的风险理论上是无限的（股价可以无限上涨），因此维持保证金要求比做多更高。</w:t>
      </w:r>
    </w:p>
    <w:p w14:paraId="6F1EA1D2">
      <w:pPr>
        <w:spacing w:before="120" w:after="120" w:line="288" w:lineRule="auto"/>
        <w:ind w:left="0"/>
        <w:jc w:val="left"/>
      </w:pPr>
    </w:p>
    <w:p w14:paraId="0B15D902">
      <w:pPr>
        <w:spacing w:before="120" w:after="120" w:line="288" w:lineRule="auto"/>
        <w:ind w:left="0"/>
        <w:jc w:val="left"/>
      </w:pPr>
      <w:r>
        <w:rPr>
          <w:rFonts w:ascii="Arial" w:hAnsi="Arial" w:eastAsia="等线" w:cs="Arial"/>
          <w:sz w:val="22"/>
        </w:rPr>
        <w:t>如果券商觉得这样有风险可以自己加，</w:t>
      </w:r>
      <w:r>
        <w:rPr>
          <w:rFonts w:ascii="Arial" w:hAnsi="Arial" w:eastAsia="等线" w:cs="Arial"/>
          <w:b/>
          <w:sz w:val="22"/>
        </w:rPr>
        <w:t>25%和30%是监管底线。</w:t>
      </w:r>
    </w:p>
    <w:p w14:paraId="0333CF97">
      <w:pPr>
        <w:spacing w:before="120" w:after="120" w:line="288" w:lineRule="auto"/>
        <w:ind w:left="0"/>
        <w:jc w:val="left"/>
      </w:pPr>
    </w:p>
    <w:p w14:paraId="1C0E0627">
      <w:pPr>
        <w:spacing w:before="120" w:after="120" w:line="288" w:lineRule="auto"/>
        <w:ind w:left="0"/>
        <w:jc w:val="left"/>
      </w:pPr>
      <w:r>
        <w:rPr>
          <w:rFonts w:ascii="Arial" w:hAnsi="Arial" w:eastAsia="等线" w:cs="Arial"/>
          <w:sz w:val="22"/>
        </w:rPr>
        <w:t>各家券商有权制定比监管要求更严格的内控政策。这在业内非常普遍。如一家保守的券商可能会将多头维持保证金率设置为30%甚至40%，空头设置为40%或50%。目的是：</w:t>
      </w:r>
    </w:p>
    <w:p w14:paraId="47CB678F">
      <w:pPr>
        <w:numPr>
          <w:ilvl w:val="0"/>
          <w:numId w:val="54"/>
        </w:numPr>
        <w:spacing w:before="120" w:after="120" w:line="288" w:lineRule="auto"/>
        <w:ind w:left="0"/>
        <w:jc w:val="left"/>
      </w:pPr>
      <w:r>
        <w:rPr>
          <w:rFonts w:ascii="Arial" w:hAnsi="Arial" w:eastAsia="等线" w:cs="Arial"/>
          <w:sz w:val="22"/>
        </w:rPr>
        <w:t>为自己提供更大的安全垫，防止市场剧烈波动时客户来不及追加保证金而穿仓，导致券商亏损。</w:t>
      </w:r>
    </w:p>
    <w:p w14:paraId="7C534007">
      <w:pPr>
        <w:numPr>
          <w:ilvl w:val="0"/>
          <w:numId w:val="55"/>
        </w:numPr>
        <w:spacing w:before="120" w:after="120" w:line="288" w:lineRule="auto"/>
        <w:ind w:left="0"/>
        <w:jc w:val="left"/>
      </w:pPr>
      <w:r>
        <w:rPr>
          <w:rFonts w:ascii="Arial" w:hAnsi="Arial" w:eastAsia="等线" w:cs="Arial"/>
          <w:sz w:val="22"/>
        </w:rPr>
        <w:t>更好地管理风险集中度高的账户。</w:t>
      </w:r>
    </w:p>
    <w:p w14:paraId="1868C97D">
      <w:pPr>
        <w:spacing w:before="120" w:after="120" w:line="288" w:lineRule="auto"/>
        <w:ind w:left="0"/>
        <w:jc w:val="left"/>
      </w:pPr>
    </w:p>
    <w:p w14:paraId="0F75D1A6">
      <w:pPr>
        <w:spacing w:before="120" w:after="120" w:line="288" w:lineRule="auto"/>
        <w:ind w:left="0"/>
        <w:jc w:val="left"/>
      </w:pPr>
      <w:r>
        <w:rPr>
          <w:rFonts w:ascii="Arial" w:hAnsi="Arial" w:eastAsia="等线" w:cs="Arial"/>
          <w:b/>
          <w:sz w:val="22"/>
        </w:rPr>
        <w:t>注意：如果账户权益低于维持保证金，则会触发追加保证金通知（margin call）。</w:t>
      </w:r>
    </w:p>
    <w:p w14:paraId="4F9232A5">
      <w:pPr>
        <w:spacing w:before="120" w:after="120" w:line="288" w:lineRule="auto"/>
        <w:ind w:left="0"/>
        <w:jc w:val="left"/>
      </w:pPr>
    </w:p>
    <w:p w14:paraId="73E3E54C">
      <w:pPr>
        <w:spacing w:before="120" w:after="120" w:line="288" w:lineRule="auto"/>
        <w:ind w:left="0"/>
        <w:jc w:val="left"/>
      </w:pPr>
      <w:r>
        <w:rPr>
          <w:rFonts w:ascii="Arial" w:hAnsi="Arial" w:eastAsia="等线" w:cs="Arial"/>
          <w:sz w:val="22"/>
        </w:rPr>
        <w:t>结果：客户需在规定时间内补足资金 / 证券，否则券商有权强制平仓（liquidate）部分或全部证券，以恢复账户权益至安全水平。</w:t>
      </w:r>
    </w:p>
    <w:p w14:paraId="1750F3EC">
      <w:pPr>
        <w:spacing w:before="320" w:after="120" w:line="288" w:lineRule="auto"/>
        <w:ind w:left="0"/>
        <w:jc w:val="left"/>
        <w:outlineLvl w:val="1"/>
      </w:pPr>
      <w:bookmarkStart w:id="24" w:name="heading_24"/>
      <w:r>
        <w:rPr>
          <w:rFonts w:ascii="Arial" w:hAnsi="Arial" w:eastAsia="等线" w:cs="Arial"/>
          <w:color w:val="3370FF"/>
          <w:sz w:val="32"/>
        </w:rPr>
        <w:t xml:space="preserve">2.4 </w:t>
      </w:r>
      <w:r>
        <w:rPr>
          <w:rFonts w:ascii="Arial" w:hAnsi="Arial" w:eastAsia="等线" w:cs="Arial"/>
          <w:b/>
          <w:sz w:val="32"/>
        </w:rPr>
        <w:t>《1991年电话法》</w:t>
      </w:r>
      <w:bookmarkEnd w:id="24"/>
    </w:p>
    <w:p w14:paraId="1049F6CC">
      <w:pPr>
        <w:spacing w:before="120" w:after="120" w:line="288" w:lineRule="auto"/>
        <w:ind w:left="0"/>
        <w:jc w:val="left"/>
      </w:pPr>
      <w:r>
        <w:rPr>
          <w:rFonts w:ascii="Arial" w:hAnsi="Arial" w:eastAsia="等线" w:cs="Arial"/>
          <w:sz w:val="22"/>
        </w:rPr>
        <w:t>当你通过电话与潜在客户打交道时，需要了解《1991年电话法》（Telephone Act of 1991）的一些规则：</w:t>
      </w:r>
    </w:p>
    <w:p w14:paraId="359DBB2C">
      <w:pPr>
        <w:numPr>
          <w:ilvl w:val="0"/>
          <w:numId w:val="56"/>
        </w:numPr>
        <w:spacing w:before="120" w:after="120" w:line="288" w:lineRule="auto"/>
        <w:ind w:left="0"/>
        <w:jc w:val="left"/>
      </w:pPr>
      <w:r>
        <w:rPr>
          <w:rFonts w:ascii="Arial" w:hAnsi="Arial" w:eastAsia="等线" w:cs="Arial"/>
          <w:sz w:val="22"/>
        </w:rPr>
        <w:t>不得在潜在客户当地时间上午8点前（before 8 a.m.）或晚上9点后（after 9 p.m.）打电话；</w:t>
      </w:r>
    </w:p>
    <w:p w14:paraId="33F63D82">
      <w:pPr>
        <w:numPr>
          <w:ilvl w:val="0"/>
          <w:numId w:val="57"/>
        </w:numPr>
        <w:spacing w:before="120" w:after="120" w:line="288" w:lineRule="auto"/>
        <w:ind w:left="0"/>
        <w:jc w:val="left"/>
      </w:pPr>
      <w:r>
        <w:rPr>
          <w:rFonts w:ascii="Arial" w:hAnsi="Arial" w:eastAsia="等线" w:cs="Arial"/>
          <w:sz w:val="22"/>
        </w:rPr>
        <w:t>你必须提供你的姓名、公司名称、公司地址和电话号码；</w:t>
      </w:r>
    </w:p>
    <w:p w14:paraId="16ED4E99">
      <w:pPr>
        <w:numPr>
          <w:ilvl w:val="0"/>
          <w:numId w:val="58"/>
        </w:numPr>
        <w:spacing w:before="120" w:after="120" w:line="288" w:lineRule="auto"/>
        <w:ind w:left="0"/>
        <w:jc w:val="left"/>
      </w:pPr>
      <w:r>
        <w:rPr>
          <w:rFonts w:ascii="Arial" w:hAnsi="Arial" w:eastAsia="等线" w:cs="Arial"/>
          <w:sz w:val="22"/>
        </w:rPr>
        <w:t>如果你遇到一个厌倦了被电话打扰的潜在客户，你应该把这个人列入禁拨名单。每个公司都必须维护自己的禁拨名单，并且要能获取美国政府的全国禁拨名单（U.S. government's National Do Not Call List）；</w:t>
      </w:r>
    </w:p>
    <w:p w14:paraId="2E043F08">
      <w:pPr>
        <w:numPr>
          <w:ilvl w:val="0"/>
          <w:numId w:val="59"/>
        </w:numPr>
        <w:spacing w:before="120" w:after="120" w:line="288" w:lineRule="auto"/>
        <w:ind w:left="0"/>
        <w:jc w:val="left"/>
      </w:pPr>
      <w:r>
        <w:rPr>
          <w:rFonts w:ascii="Arial" w:hAnsi="Arial" w:eastAsia="等线" w:cs="Arial"/>
          <w:sz w:val="22"/>
        </w:rPr>
        <w:t>您不得通过传真（fax machine）发送未经请求的广告（unsolicited ads）。</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A1941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DAC7F3C">
            <w:pPr>
              <w:spacing w:before="120" w:after="120" w:line="288" w:lineRule="auto"/>
              <w:ind w:left="0"/>
              <w:jc w:val="left"/>
            </w:pPr>
            <w:r>
              <w:rPr>
                <w:rFonts w:ascii="Arial" w:hAnsi="Arial" w:eastAsia="等线" w:cs="Arial"/>
                <w:sz w:val="22"/>
              </w:rPr>
              <w:t>《1991年电话法》不适用于现有客户（existing customers）（过去18个月内已执行交易或在公司账户中持有证券的客户）或非营利组织（nonprofit organizations）的来电。开户后希望被列入请勿来电名单（do not call list）的现有客户不会收到推销，但可以获取其账户状态的更新信息。</w:t>
            </w:r>
          </w:p>
          <w:p w14:paraId="5BE523B2">
            <w:pPr>
              <w:spacing w:before="120" w:after="120" w:line="288" w:lineRule="auto"/>
              <w:ind w:left="0"/>
              <w:jc w:val="left"/>
            </w:pPr>
          </w:p>
          <w:p w14:paraId="3ADA9448">
            <w:pPr>
              <w:spacing w:before="120" w:after="120" w:line="288" w:lineRule="auto"/>
              <w:ind w:left="0"/>
              <w:jc w:val="left"/>
            </w:pPr>
            <w:r>
              <w:rPr>
                <w:rFonts w:ascii="Arial" w:hAnsi="Arial" w:eastAsia="等线" w:cs="Arial"/>
                <w:sz w:val="22"/>
              </w:rPr>
              <w:t>联邦禁拨名单（Do Not Call List）有效期为永久（indefinitely），除非号码被运营商注销（disconnected）、重新分配给新用户（reassigned）或用户主动申请移除（requests removal）时，才会从名单中删除。</w:t>
            </w:r>
          </w:p>
        </w:tc>
      </w:tr>
    </w:tbl>
    <w:p w14:paraId="75C7850C">
      <w:pPr>
        <w:spacing w:before="120" w:after="120" w:line="288" w:lineRule="auto"/>
        <w:ind w:left="0"/>
        <w:jc w:val="left"/>
      </w:pPr>
    </w:p>
    <w:p w14:paraId="3F75C163">
      <w:pPr>
        <w:spacing w:before="380" w:after="140" w:line="288" w:lineRule="auto"/>
        <w:ind w:left="0"/>
        <w:jc w:val="left"/>
        <w:outlineLvl w:val="0"/>
      </w:pPr>
      <w:bookmarkStart w:id="25" w:name="heading_25"/>
      <w:r>
        <w:rPr>
          <w:rFonts w:ascii="Arial" w:hAnsi="Arial" w:eastAsia="等线" w:cs="Arial"/>
          <w:color w:val="3370FF"/>
          <w:sz w:val="36"/>
        </w:rPr>
        <w:t xml:space="preserve">3. </w:t>
      </w:r>
      <w:r>
        <w:rPr>
          <w:rFonts w:ascii="Arial" w:hAnsi="Arial" w:eastAsia="等线" w:cs="Arial"/>
          <w:b/>
          <w:sz w:val="36"/>
        </w:rPr>
        <w:t>核心考点</w:t>
      </w:r>
      <w:bookmarkEnd w:id="25"/>
    </w:p>
    <w:p w14:paraId="6AF04A2D">
      <w:pPr>
        <w:numPr>
          <w:ilvl w:val="0"/>
          <w:numId w:val="60"/>
        </w:numPr>
        <w:spacing w:before="120" w:after="120" w:line="288" w:lineRule="auto"/>
        <w:ind w:left="0"/>
        <w:jc w:val="left"/>
      </w:pPr>
      <w:r>
        <w:rPr>
          <w:rFonts w:ascii="Arial" w:hAnsi="Arial" w:eastAsia="等线" w:cs="Arial"/>
          <w:sz w:val="22"/>
        </w:rPr>
        <w:t>账户类型辨析题</w:t>
      </w:r>
    </w:p>
    <w:p w14:paraId="6F960F51">
      <w:pPr>
        <w:numPr>
          <w:ilvl w:val="0"/>
          <w:numId w:val="61"/>
        </w:numPr>
        <w:spacing w:before="120" w:after="120" w:line="288" w:lineRule="auto"/>
        <w:ind w:left="453"/>
        <w:jc w:val="left"/>
      </w:pPr>
      <w:r>
        <w:rPr>
          <w:rFonts w:ascii="Arial" w:hAnsi="Arial" w:eastAsia="等线" w:cs="Arial"/>
          <w:sz w:val="22"/>
        </w:rPr>
        <w:t>最常见考点: 给你一个场景，问你应该开立什么账户。</w:t>
      </w:r>
    </w:p>
    <w:p w14:paraId="7F272A01">
      <w:pPr>
        <w:numPr>
          <w:ilvl w:val="0"/>
          <w:numId w:val="62"/>
        </w:numPr>
        <w:spacing w:before="120" w:after="120" w:line="288" w:lineRule="auto"/>
        <w:ind w:left="907"/>
        <w:jc w:val="left"/>
      </w:pPr>
      <w:r>
        <w:rPr>
          <w:rFonts w:ascii="Arial" w:hAnsi="Arial" w:eastAsia="等线" w:cs="Arial"/>
          <w:sz w:val="22"/>
        </w:rPr>
        <w:t>一对夫妇想开一个账户，其中一人去世后资产自动归另一人所有？-&gt; 联合账户（With Rights of Survivorship）</w:t>
      </w:r>
    </w:p>
    <w:p w14:paraId="72B85567">
      <w:pPr>
        <w:numPr>
          <w:ilvl w:val="0"/>
          <w:numId w:val="63"/>
        </w:numPr>
        <w:spacing w:before="120" w:after="120" w:line="288" w:lineRule="auto"/>
        <w:ind w:left="907"/>
        <w:jc w:val="left"/>
      </w:pPr>
      <w:r>
        <w:rPr>
          <w:rFonts w:ascii="Arial" w:hAnsi="Arial" w:eastAsia="等线" w:cs="Arial"/>
          <w:sz w:val="22"/>
        </w:rPr>
        <w:t>爷爷奶奶想为孙子存钱买大学基金？ -&gt; 监护账户（UGMA/UTMA）</w:t>
      </w:r>
    </w:p>
    <w:p w14:paraId="2FE85FEC">
      <w:pPr>
        <w:numPr>
          <w:ilvl w:val="0"/>
          <w:numId w:val="64"/>
        </w:numPr>
        <w:spacing w:before="120" w:after="120" w:line="288" w:lineRule="auto"/>
        <w:ind w:left="907"/>
        <w:jc w:val="left"/>
      </w:pPr>
      <w:r>
        <w:rPr>
          <w:rFonts w:ascii="Arial" w:hAnsi="Arial" w:eastAsia="等线" w:cs="Arial"/>
          <w:sz w:val="22"/>
        </w:rPr>
        <w:t>客户想用杠杆买入更多股票？-&gt; 保证金账户（Margin Account）</w:t>
      </w:r>
    </w:p>
    <w:p w14:paraId="1EE86937">
      <w:pPr>
        <w:numPr>
          <w:ilvl w:val="0"/>
          <w:numId w:val="65"/>
        </w:numPr>
        <w:spacing w:before="120" w:after="120" w:line="288" w:lineRule="auto"/>
        <w:ind w:left="453"/>
        <w:jc w:val="left"/>
      </w:pPr>
      <w:r>
        <w:rPr>
          <w:rFonts w:ascii="Arial" w:hAnsi="Arial" w:eastAsia="等线" w:cs="Arial"/>
          <w:sz w:val="22"/>
        </w:rPr>
        <w:t>一定会考监护账户的不可撤销和税收特征（kiddie tax）。</w:t>
      </w:r>
    </w:p>
    <w:p w14:paraId="3554D97B">
      <w:pPr>
        <w:numPr>
          <w:ilvl w:val="0"/>
          <w:numId w:val="66"/>
        </w:numPr>
        <w:spacing w:before="120" w:after="120" w:line="288" w:lineRule="auto"/>
        <w:ind w:left="0"/>
        <w:jc w:val="left"/>
      </w:pPr>
      <w:r>
        <w:rPr>
          <w:rFonts w:ascii="Arial" w:hAnsi="Arial" w:eastAsia="等线" w:cs="Arial"/>
          <w:sz w:val="22"/>
        </w:rPr>
        <w:t>账户开立流程题</w:t>
      </w:r>
    </w:p>
    <w:p w14:paraId="482B24EB">
      <w:pPr>
        <w:numPr>
          <w:ilvl w:val="0"/>
          <w:numId w:val="67"/>
        </w:numPr>
        <w:spacing w:before="120" w:after="120" w:line="288" w:lineRule="auto"/>
        <w:ind w:left="453"/>
        <w:jc w:val="left"/>
      </w:pPr>
      <w:r>
        <w:rPr>
          <w:rFonts w:ascii="Arial" w:hAnsi="Arial" w:eastAsia="等线" w:cs="Arial"/>
          <w:sz w:val="22"/>
        </w:rPr>
        <w:t>开立新账户时，必须首先做什么？-&gt; 签署新账户协议并收集客户信息。</w:t>
      </w:r>
    </w:p>
    <w:p w14:paraId="4FD9DD54">
      <w:pPr>
        <w:numPr>
          <w:ilvl w:val="0"/>
          <w:numId w:val="68"/>
        </w:numPr>
        <w:spacing w:before="120" w:after="120" w:line="288" w:lineRule="auto"/>
        <w:ind w:left="453"/>
        <w:jc w:val="left"/>
      </w:pPr>
      <w:r>
        <w:rPr>
          <w:rFonts w:ascii="Arial" w:hAnsi="Arial" w:eastAsia="等线" w:cs="Arial"/>
          <w:sz w:val="22"/>
        </w:rPr>
        <w:t>考查“了解你的客户”和“适合性”原则。券商必须根据客户的财务状况和投资目标推荐合适的产品。</w:t>
      </w:r>
    </w:p>
    <w:p w14:paraId="30637314">
      <w:pPr>
        <w:numPr>
          <w:ilvl w:val="0"/>
          <w:numId w:val="69"/>
        </w:numPr>
        <w:spacing w:before="120" w:after="120" w:line="288" w:lineRule="auto"/>
        <w:ind w:left="0"/>
        <w:jc w:val="left"/>
      </w:pPr>
      <w:r>
        <w:rPr>
          <w:rFonts w:ascii="Arial" w:hAnsi="Arial" w:eastAsia="等线" w:cs="Arial"/>
          <w:sz w:val="22"/>
        </w:rPr>
        <w:t>规则与合规题</w:t>
      </w:r>
    </w:p>
    <w:p w14:paraId="2C5C73B1">
      <w:pPr>
        <w:numPr>
          <w:ilvl w:val="0"/>
          <w:numId w:val="70"/>
        </w:numPr>
        <w:spacing w:before="120" w:after="120" w:line="288" w:lineRule="auto"/>
        <w:ind w:left="453"/>
        <w:jc w:val="left"/>
      </w:pPr>
      <w:r>
        <w:rPr>
          <w:rFonts w:ascii="Arial" w:hAnsi="Arial" w:eastAsia="等线" w:cs="Arial"/>
          <w:sz w:val="22"/>
        </w:rPr>
        <w:t>公司账户开立需要什么文件？-&gt; 公司决议等授权文件。</w:t>
      </w:r>
    </w:p>
    <w:p w14:paraId="4A7BF38A">
      <w:pPr>
        <w:numPr>
          <w:ilvl w:val="0"/>
          <w:numId w:val="71"/>
        </w:numPr>
        <w:spacing w:before="120" w:after="120" w:line="288" w:lineRule="auto"/>
        <w:ind w:left="453"/>
        <w:jc w:val="left"/>
      </w:pPr>
      <w:r>
        <w:rPr>
          <w:rFonts w:ascii="Arial" w:hAnsi="Arial" w:eastAsia="等线" w:cs="Arial"/>
          <w:sz w:val="22"/>
        </w:rPr>
        <w:t>谁可以合法地为监护账户下达交易指令？-&gt; 监护人。</w:t>
      </w:r>
    </w:p>
    <w:p w14:paraId="5460D99C">
      <w:pPr>
        <w:numPr>
          <w:ilvl w:val="0"/>
          <w:numId w:val="72"/>
        </w:numPr>
        <w:spacing w:before="120" w:after="120" w:line="288" w:lineRule="auto"/>
        <w:ind w:left="453"/>
        <w:jc w:val="left"/>
      </w:pPr>
      <w:r>
        <w:rPr>
          <w:rFonts w:ascii="Arial" w:hAnsi="Arial" w:eastAsia="等线" w:cs="Arial"/>
          <w:sz w:val="22"/>
        </w:rPr>
        <w:t>根据 Regulation T，保证金账户开立首次交易初始保证金计算；</w:t>
      </w:r>
    </w:p>
    <w:p w14:paraId="765BB0EE">
      <w:pPr>
        <w:numPr>
          <w:ilvl w:val="0"/>
          <w:numId w:val="73"/>
        </w:numPr>
        <w:spacing w:before="120" w:after="120" w:line="288" w:lineRule="auto"/>
        <w:ind w:left="453"/>
        <w:jc w:val="left"/>
      </w:pPr>
      <w:r>
        <w:rPr>
          <w:rFonts w:ascii="Arial" w:hAnsi="Arial" w:eastAsia="等线" w:cs="Arial"/>
          <w:sz w:val="22"/>
        </w:rPr>
        <w:t>保证金账户开立必须签署什么文件？-&gt; 融资融券风险披露与协议（Disclosures and Agreements）。</w:t>
      </w:r>
    </w:p>
    <w:p w14:paraId="2FC6E7F5">
      <w:pPr>
        <w:numPr>
          <w:ilvl w:val="0"/>
          <w:numId w:val="74"/>
        </w:numPr>
        <w:spacing w:before="120" w:after="120" w:line="288" w:lineRule="auto"/>
        <w:ind w:left="0"/>
        <w:jc w:val="left"/>
      </w:pPr>
      <w:r>
        <w:rPr>
          <w:rFonts w:ascii="Arial" w:hAnsi="Arial" w:eastAsia="等线" w:cs="Arial"/>
          <w:sz w:val="22"/>
        </w:rPr>
        <w:t>《1991年电话法》的一些规则</w:t>
      </w:r>
    </w:p>
    <w:p w14:paraId="4E5DAF52">
      <w:pPr>
        <w:numPr>
          <w:ilvl w:val="0"/>
          <w:numId w:val="75"/>
        </w:numPr>
        <w:spacing w:before="120" w:after="120" w:line="288" w:lineRule="auto"/>
        <w:ind w:left="453"/>
        <w:jc w:val="left"/>
      </w:pPr>
      <w:r>
        <w:rPr>
          <w:rFonts w:ascii="Arial" w:hAnsi="Arial" w:eastAsia="等线" w:cs="Arial"/>
          <w:sz w:val="22"/>
        </w:rPr>
        <w:t>不得在潜在客户当地的什么时间范围外拨打推销电话；</w:t>
      </w:r>
    </w:p>
    <w:p w14:paraId="7F803F21">
      <w:pPr>
        <w:numPr>
          <w:ilvl w:val="0"/>
          <w:numId w:val="76"/>
        </w:numPr>
        <w:spacing w:before="120" w:after="120" w:line="288" w:lineRule="auto"/>
        <w:ind w:left="453"/>
        <w:jc w:val="left"/>
      </w:pPr>
      <w:r>
        <w:rPr>
          <w:rFonts w:ascii="Arial" w:hAnsi="Arial" w:eastAsia="等线" w:cs="Arial"/>
          <w:sz w:val="22"/>
        </w:rPr>
        <w:t>联邦禁拨名单（Federal Do Not Call List）的有效期为永久有效（indefinitely）。</w:t>
      </w:r>
    </w:p>
    <w:p w14:paraId="55DFB9AD">
      <w:pPr>
        <w:spacing w:before="380" w:after="140" w:line="288" w:lineRule="auto"/>
        <w:ind w:left="0"/>
        <w:jc w:val="left"/>
        <w:outlineLvl w:val="0"/>
      </w:pPr>
      <w:bookmarkStart w:id="26" w:name="heading_26"/>
      <w:r>
        <w:rPr>
          <w:rFonts w:ascii="Arial" w:hAnsi="Arial" w:eastAsia="等线" w:cs="Arial"/>
          <w:color w:val="3370FF"/>
          <w:sz w:val="36"/>
        </w:rPr>
        <w:t xml:space="preserve">4. </w:t>
      </w:r>
      <w:r>
        <w:rPr>
          <w:rFonts w:ascii="Arial" w:hAnsi="Arial" w:eastAsia="等线" w:cs="Arial"/>
          <w:b/>
          <w:sz w:val="36"/>
        </w:rPr>
        <w:t>英文词汇表</w:t>
      </w:r>
      <w:bookmarkEnd w:id="26"/>
    </w:p>
    <w:p w14:paraId="5105CB7D">
      <w:pPr>
        <w:spacing w:before="320" w:after="120" w:line="288" w:lineRule="auto"/>
        <w:ind w:left="0"/>
        <w:jc w:val="left"/>
        <w:outlineLvl w:val="1"/>
      </w:pPr>
      <w:bookmarkStart w:id="27" w:name="heading_27"/>
      <w:r>
        <w:rPr>
          <w:rFonts w:ascii="Arial" w:hAnsi="Arial" w:eastAsia="等线" w:cs="Arial"/>
          <w:color w:val="3370FF"/>
          <w:sz w:val="32"/>
        </w:rPr>
        <w:t xml:space="preserve">4.1 </w:t>
      </w:r>
      <w:r>
        <w:rPr>
          <w:rFonts w:ascii="Arial" w:hAnsi="Arial" w:eastAsia="等线" w:cs="Arial"/>
          <w:b/>
          <w:sz w:val="32"/>
        </w:rPr>
        <w:t>账户类型与基本要素</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215"/>
        <w:gridCol w:w="5310"/>
      </w:tblGrid>
      <w:tr w14:paraId="205192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49F1EEAE">
            <w:pPr>
              <w:spacing w:before="120" w:after="120" w:line="288" w:lineRule="auto"/>
              <w:ind w:left="0"/>
              <w:jc w:val="left"/>
            </w:pPr>
            <w:r>
              <w:rPr>
                <w:rFonts w:ascii="Arial" w:hAnsi="Arial" w:eastAsia="等线" w:cs="Arial"/>
                <w:b/>
                <w:sz w:val="22"/>
              </w:rPr>
              <w:t>英文词汇</w:t>
            </w:r>
          </w:p>
        </w:tc>
        <w:tc>
          <w:tcPr>
            <w:tcW w:w="1215" w:type="dxa"/>
            <w:tcMar>
              <w:top w:w="60" w:type="dxa"/>
              <w:left w:w="120" w:type="dxa"/>
              <w:bottom w:w="30" w:type="dxa"/>
              <w:right w:w="120" w:type="dxa"/>
            </w:tcMar>
          </w:tcPr>
          <w:p w14:paraId="5FF5F353">
            <w:pPr>
              <w:spacing w:before="120" w:after="120" w:line="288" w:lineRule="auto"/>
              <w:ind w:left="0"/>
              <w:jc w:val="left"/>
            </w:pPr>
            <w:r>
              <w:rPr>
                <w:rFonts w:ascii="Arial" w:hAnsi="Arial" w:eastAsia="等线" w:cs="Arial"/>
                <w:b/>
                <w:sz w:val="22"/>
              </w:rPr>
              <w:t>中文释义</w:t>
            </w:r>
          </w:p>
        </w:tc>
        <w:tc>
          <w:tcPr>
            <w:tcW w:w="5310" w:type="dxa"/>
            <w:tcMar>
              <w:top w:w="60" w:type="dxa"/>
              <w:left w:w="120" w:type="dxa"/>
              <w:bottom w:w="30" w:type="dxa"/>
              <w:right w:w="120" w:type="dxa"/>
            </w:tcMar>
          </w:tcPr>
          <w:p w14:paraId="14EEE842">
            <w:pPr>
              <w:spacing w:before="120" w:after="120" w:line="288" w:lineRule="auto"/>
              <w:ind w:left="0"/>
              <w:jc w:val="left"/>
            </w:pPr>
            <w:r>
              <w:rPr>
                <w:rFonts w:ascii="Arial" w:hAnsi="Arial" w:eastAsia="等线" w:cs="Arial"/>
                <w:b/>
                <w:sz w:val="22"/>
              </w:rPr>
              <w:t>核心要点</w:t>
            </w:r>
          </w:p>
        </w:tc>
      </w:tr>
      <w:tr w14:paraId="652174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B450926">
            <w:pPr>
              <w:spacing w:before="120" w:after="120" w:line="288" w:lineRule="auto"/>
              <w:ind w:left="0"/>
              <w:jc w:val="left"/>
            </w:pPr>
            <w:r>
              <w:rPr>
                <w:rFonts w:ascii="Arial" w:hAnsi="Arial" w:eastAsia="等线" w:cs="Arial"/>
                <w:b/>
                <w:sz w:val="22"/>
              </w:rPr>
              <w:t>Customer Account</w:t>
            </w:r>
          </w:p>
        </w:tc>
        <w:tc>
          <w:tcPr>
            <w:tcW w:w="1215" w:type="dxa"/>
            <w:tcMar>
              <w:top w:w="60" w:type="dxa"/>
              <w:left w:w="120" w:type="dxa"/>
              <w:bottom w:w="30" w:type="dxa"/>
              <w:right w:w="120" w:type="dxa"/>
            </w:tcMar>
          </w:tcPr>
          <w:p w14:paraId="3D036457">
            <w:pPr>
              <w:spacing w:before="120" w:after="120" w:line="288" w:lineRule="auto"/>
              <w:ind w:left="0"/>
              <w:jc w:val="left"/>
            </w:pPr>
            <w:r>
              <w:rPr>
                <w:rFonts w:ascii="Arial" w:hAnsi="Arial" w:eastAsia="等线" w:cs="Arial"/>
                <w:sz w:val="22"/>
              </w:rPr>
              <w:t>客户账户</w:t>
            </w:r>
          </w:p>
        </w:tc>
        <w:tc>
          <w:tcPr>
            <w:tcW w:w="5310" w:type="dxa"/>
            <w:tcMar>
              <w:top w:w="60" w:type="dxa"/>
              <w:left w:w="120" w:type="dxa"/>
              <w:bottom w:w="30" w:type="dxa"/>
              <w:right w:w="120" w:type="dxa"/>
            </w:tcMar>
          </w:tcPr>
          <w:p w14:paraId="03479F0F">
            <w:pPr>
              <w:spacing w:before="120" w:after="120" w:line="288" w:lineRule="auto"/>
              <w:ind w:left="0"/>
              <w:jc w:val="left"/>
            </w:pPr>
            <w:r>
              <w:rPr>
                <w:rFonts w:ascii="Arial" w:hAnsi="Arial" w:eastAsia="等线" w:cs="Arial"/>
                <w:sz w:val="22"/>
              </w:rPr>
              <w:t>券商为投资者开设的用于交易证券、期权等金融产品的账户，需记录客户身份、财务状况、交易偏好等信息。</w:t>
            </w:r>
          </w:p>
        </w:tc>
      </w:tr>
      <w:tr w14:paraId="7238AA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0FE1A4FE">
            <w:pPr>
              <w:spacing w:before="120" w:after="120" w:line="288" w:lineRule="auto"/>
              <w:ind w:left="0"/>
              <w:jc w:val="left"/>
            </w:pPr>
            <w:r>
              <w:rPr>
                <w:rFonts w:ascii="Arial" w:hAnsi="Arial" w:eastAsia="等线" w:cs="Arial"/>
                <w:b/>
                <w:sz w:val="22"/>
              </w:rPr>
              <w:t>Cash Account</w:t>
            </w:r>
          </w:p>
        </w:tc>
        <w:tc>
          <w:tcPr>
            <w:tcW w:w="1215" w:type="dxa"/>
            <w:tcMar>
              <w:top w:w="60" w:type="dxa"/>
              <w:left w:w="120" w:type="dxa"/>
              <w:bottom w:w="30" w:type="dxa"/>
              <w:right w:w="120" w:type="dxa"/>
            </w:tcMar>
          </w:tcPr>
          <w:p w14:paraId="4CB4BB76">
            <w:pPr>
              <w:spacing w:before="120" w:after="120" w:line="288" w:lineRule="auto"/>
              <w:ind w:left="0"/>
              <w:jc w:val="left"/>
            </w:pPr>
            <w:r>
              <w:rPr>
                <w:rFonts w:ascii="Arial" w:hAnsi="Arial" w:eastAsia="等线" w:cs="Arial"/>
                <w:sz w:val="22"/>
              </w:rPr>
              <w:t>现金账户</w:t>
            </w:r>
          </w:p>
        </w:tc>
        <w:tc>
          <w:tcPr>
            <w:tcW w:w="5310" w:type="dxa"/>
            <w:tcMar>
              <w:top w:w="60" w:type="dxa"/>
              <w:left w:w="120" w:type="dxa"/>
              <w:bottom w:w="30" w:type="dxa"/>
              <w:right w:w="120" w:type="dxa"/>
            </w:tcMar>
          </w:tcPr>
          <w:p w14:paraId="1460E375">
            <w:pPr>
              <w:spacing w:before="120" w:after="120" w:line="288" w:lineRule="auto"/>
              <w:ind w:left="0"/>
              <w:jc w:val="left"/>
            </w:pPr>
            <w:r>
              <w:rPr>
                <w:rFonts w:ascii="Arial" w:hAnsi="Arial" w:eastAsia="等线" w:cs="Arial"/>
                <w:sz w:val="22"/>
              </w:rPr>
              <w:t>投资者必须用自有资金交易的账户，不允许融资（如透支买入）或卖空，适合风险承受能力较低的投资者。</w:t>
            </w:r>
          </w:p>
        </w:tc>
      </w:tr>
      <w:tr w14:paraId="7D80C4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B0D942A">
            <w:pPr>
              <w:spacing w:before="120" w:after="120" w:line="288" w:lineRule="auto"/>
              <w:ind w:left="0"/>
              <w:jc w:val="left"/>
            </w:pPr>
            <w:r>
              <w:rPr>
                <w:rFonts w:ascii="Arial" w:hAnsi="Arial" w:eastAsia="等线" w:cs="Arial"/>
                <w:b/>
                <w:sz w:val="22"/>
              </w:rPr>
              <w:t>Margin Account</w:t>
            </w:r>
          </w:p>
        </w:tc>
        <w:tc>
          <w:tcPr>
            <w:tcW w:w="1215" w:type="dxa"/>
            <w:tcMar>
              <w:top w:w="60" w:type="dxa"/>
              <w:left w:w="120" w:type="dxa"/>
              <w:bottom w:w="30" w:type="dxa"/>
              <w:right w:w="120" w:type="dxa"/>
            </w:tcMar>
          </w:tcPr>
          <w:p w14:paraId="2CAB510B">
            <w:pPr>
              <w:spacing w:before="120" w:after="120" w:line="288" w:lineRule="auto"/>
              <w:ind w:left="0"/>
              <w:jc w:val="left"/>
            </w:pPr>
            <w:r>
              <w:rPr>
                <w:rFonts w:ascii="Arial" w:hAnsi="Arial" w:eastAsia="等线" w:cs="Arial"/>
                <w:sz w:val="22"/>
              </w:rPr>
              <w:t>保证金账户</w:t>
            </w:r>
          </w:p>
        </w:tc>
        <w:tc>
          <w:tcPr>
            <w:tcW w:w="5310" w:type="dxa"/>
            <w:tcMar>
              <w:top w:w="60" w:type="dxa"/>
              <w:left w:w="120" w:type="dxa"/>
              <w:bottom w:w="30" w:type="dxa"/>
              <w:right w:w="120" w:type="dxa"/>
            </w:tcMar>
          </w:tcPr>
          <w:p w14:paraId="4C6FA4D3">
            <w:pPr>
              <w:spacing w:before="120" w:after="120" w:line="288" w:lineRule="auto"/>
              <w:ind w:left="0"/>
              <w:jc w:val="left"/>
            </w:pPr>
            <w:r>
              <w:rPr>
                <w:rFonts w:ascii="Arial" w:hAnsi="Arial" w:eastAsia="等线" w:cs="Arial"/>
                <w:sz w:val="22"/>
              </w:rPr>
              <w:t>投资者可通过向券商借入资金（买多）或证券（卖空）进行交易的账户，需满足保证金要求（缴纳一定比例自有资金）。</w:t>
            </w:r>
          </w:p>
        </w:tc>
      </w:tr>
      <w:tr w14:paraId="5382F5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A8F64BD">
            <w:pPr>
              <w:spacing w:before="120" w:after="120" w:line="288" w:lineRule="auto"/>
              <w:ind w:left="0"/>
              <w:jc w:val="left"/>
            </w:pPr>
            <w:r>
              <w:rPr>
                <w:rFonts w:ascii="Arial" w:hAnsi="Arial" w:eastAsia="等线" w:cs="Arial"/>
                <w:b/>
                <w:sz w:val="22"/>
              </w:rPr>
              <w:t>Discretionary Account</w:t>
            </w:r>
          </w:p>
        </w:tc>
        <w:tc>
          <w:tcPr>
            <w:tcW w:w="1215" w:type="dxa"/>
            <w:tcMar>
              <w:top w:w="60" w:type="dxa"/>
              <w:left w:w="120" w:type="dxa"/>
              <w:bottom w:w="30" w:type="dxa"/>
              <w:right w:w="120" w:type="dxa"/>
            </w:tcMar>
          </w:tcPr>
          <w:p w14:paraId="4E7671F3">
            <w:pPr>
              <w:spacing w:before="120" w:after="120" w:line="288" w:lineRule="auto"/>
              <w:ind w:left="0"/>
              <w:jc w:val="left"/>
            </w:pPr>
            <w:r>
              <w:rPr>
                <w:rFonts w:ascii="Arial" w:hAnsi="Arial" w:eastAsia="等线" w:cs="Arial"/>
                <w:sz w:val="22"/>
              </w:rPr>
              <w:t>全权委托账户</w:t>
            </w:r>
          </w:p>
        </w:tc>
        <w:tc>
          <w:tcPr>
            <w:tcW w:w="5310" w:type="dxa"/>
            <w:tcMar>
              <w:top w:w="60" w:type="dxa"/>
              <w:left w:w="120" w:type="dxa"/>
              <w:bottom w:w="30" w:type="dxa"/>
              <w:right w:w="120" w:type="dxa"/>
            </w:tcMar>
          </w:tcPr>
          <w:p w14:paraId="19437B4B">
            <w:pPr>
              <w:spacing w:before="120" w:after="120" w:line="288" w:lineRule="auto"/>
              <w:ind w:left="0"/>
              <w:jc w:val="left"/>
            </w:pPr>
            <w:r>
              <w:rPr>
                <w:rFonts w:ascii="Arial" w:hAnsi="Arial" w:eastAsia="等线" w:cs="Arial"/>
                <w:sz w:val="22"/>
              </w:rPr>
              <w:t>客户授权券商（或经纪人）在无需事先通知的情况下，自主决定交易品种、数量和价格的账户，需签订正式授权协议。</w:t>
            </w:r>
          </w:p>
        </w:tc>
      </w:tr>
      <w:tr w14:paraId="3F46AE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E61EE48">
            <w:pPr>
              <w:spacing w:before="120" w:after="120" w:line="288" w:lineRule="auto"/>
              <w:ind w:left="0"/>
              <w:jc w:val="left"/>
            </w:pPr>
            <w:r>
              <w:rPr>
                <w:rFonts w:ascii="Arial" w:hAnsi="Arial" w:eastAsia="等线" w:cs="Arial"/>
                <w:b/>
                <w:sz w:val="22"/>
              </w:rPr>
              <w:t>Joint Account</w:t>
            </w:r>
          </w:p>
          <w:p w14:paraId="67A76CB9">
            <w:pPr>
              <w:spacing w:before="120" w:after="120" w:line="288" w:lineRule="auto"/>
              <w:ind w:left="0"/>
              <w:jc w:val="left"/>
            </w:pPr>
          </w:p>
        </w:tc>
        <w:tc>
          <w:tcPr>
            <w:tcW w:w="1215" w:type="dxa"/>
            <w:tcMar>
              <w:top w:w="60" w:type="dxa"/>
              <w:left w:w="120" w:type="dxa"/>
              <w:bottom w:w="30" w:type="dxa"/>
              <w:right w:w="120" w:type="dxa"/>
            </w:tcMar>
          </w:tcPr>
          <w:p w14:paraId="00816DC7">
            <w:pPr>
              <w:spacing w:before="120" w:after="120" w:line="288" w:lineRule="auto"/>
              <w:ind w:left="0"/>
              <w:jc w:val="left"/>
            </w:pPr>
            <w:r>
              <w:rPr>
                <w:rFonts w:ascii="Arial" w:hAnsi="Arial" w:eastAsia="等线" w:cs="Arial"/>
                <w:sz w:val="22"/>
              </w:rPr>
              <w:t>联名账户</w:t>
            </w:r>
          </w:p>
        </w:tc>
        <w:tc>
          <w:tcPr>
            <w:tcW w:w="5310" w:type="dxa"/>
            <w:tcMar>
              <w:top w:w="60" w:type="dxa"/>
              <w:left w:w="120" w:type="dxa"/>
              <w:bottom w:w="30" w:type="dxa"/>
              <w:right w:w="120" w:type="dxa"/>
            </w:tcMar>
          </w:tcPr>
          <w:p w14:paraId="6776D536">
            <w:pPr>
              <w:spacing w:before="120" w:after="120" w:line="288" w:lineRule="auto"/>
              <w:ind w:left="0"/>
              <w:jc w:val="left"/>
            </w:pPr>
            <w:r>
              <w:rPr>
                <w:rFonts w:ascii="Arial" w:hAnsi="Arial" w:eastAsia="等线" w:cs="Arial"/>
                <w:sz w:val="22"/>
              </w:rPr>
              <w:t>由两个或多个个人共同拥有的账户，常见形式包括 “Joint Tenants with Rights of Survivorship (JTWROS)”（生存者获得全部权益）和 “Tenants in Common (TIC)”（按份额继承）。</w:t>
            </w:r>
          </w:p>
        </w:tc>
      </w:tr>
      <w:tr w14:paraId="7410AC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0470615">
            <w:pPr>
              <w:spacing w:before="120" w:after="120" w:line="288" w:lineRule="auto"/>
              <w:ind w:left="0"/>
              <w:jc w:val="left"/>
            </w:pPr>
            <w:r>
              <w:rPr>
                <w:rFonts w:ascii="Arial" w:hAnsi="Arial" w:eastAsia="等线" w:cs="Arial"/>
                <w:b/>
                <w:sz w:val="22"/>
              </w:rPr>
              <w:t>Custodial Account</w:t>
            </w:r>
          </w:p>
          <w:p w14:paraId="714DE3C9">
            <w:pPr>
              <w:spacing w:before="120" w:after="120" w:line="288" w:lineRule="auto"/>
              <w:ind w:left="0"/>
              <w:jc w:val="left"/>
            </w:pPr>
          </w:p>
        </w:tc>
        <w:tc>
          <w:tcPr>
            <w:tcW w:w="1215" w:type="dxa"/>
            <w:tcMar>
              <w:top w:w="60" w:type="dxa"/>
              <w:left w:w="120" w:type="dxa"/>
              <w:bottom w:w="30" w:type="dxa"/>
              <w:right w:w="120" w:type="dxa"/>
            </w:tcMar>
          </w:tcPr>
          <w:p w14:paraId="159309C6">
            <w:pPr>
              <w:spacing w:before="120" w:after="120" w:line="288" w:lineRule="auto"/>
              <w:ind w:left="0"/>
              <w:jc w:val="left"/>
            </w:pPr>
            <w:r>
              <w:rPr>
                <w:rFonts w:ascii="Arial" w:hAnsi="Arial" w:eastAsia="等线" w:cs="Arial"/>
                <w:sz w:val="22"/>
              </w:rPr>
              <w:t>托管账户</w:t>
            </w:r>
          </w:p>
        </w:tc>
        <w:tc>
          <w:tcPr>
            <w:tcW w:w="5310" w:type="dxa"/>
            <w:tcMar>
              <w:top w:w="60" w:type="dxa"/>
              <w:left w:w="120" w:type="dxa"/>
              <w:bottom w:w="30" w:type="dxa"/>
              <w:right w:w="120" w:type="dxa"/>
            </w:tcMar>
          </w:tcPr>
          <w:p w14:paraId="35E411CF">
            <w:pPr>
              <w:spacing w:before="120" w:after="120" w:line="288" w:lineRule="auto"/>
              <w:ind w:left="0"/>
              <w:jc w:val="left"/>
            </w:pPr>
            <w:r>
              <w:rPr>
                <w:rFonts w:ascii="Arial" w:hAnsi="Arial" w:eastAsia="等线" w:cs="Arial"/>
                <w:sz w:val="22"/>
              </w:rPr>
              <w:t>为未成年人（或无行为能力人）设立的账户，由监护人（custodian）代为管理，符合 “Uniform Gifts to Minors Act (UGMA)” 等法规。</w:t>
            </w:r>
          </w:p>
        </w:tc>
      </w:tr>
      <w:tr w14:paraId="426906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2D7220C2">
            <w:pPr>
              <w:spacing w:before="120" w:after="120" w:line="288" w:lineRule="auto"/>
              <w:ind w:left="0"/>
              <w:jc w:val="left"/>
            </w:pPr>
            <w:r>
              <w:rPr>
                <w:rFonts w:ascii="Arial" w:hAnsi="Arial" w:eastAsia="等线" w:cs="Arial"/>
                <w:b/>
                <w:sz w:val="22"/>
              </w:rPr>
              <w:t>Trust accounts</w:t>
            </w:r>
          </w:p>
        </w:tc>
        <w:tc>
          <w:tcPr>
            <w:tcW w:w="1215" w:type="dxa"/>
            <w:tcMar>
              <w:top w:w="60" w:type="dxa"/>
              <w:left w:w="120" w:type="dxa"/>
              <w:bottom w:w="30" w:type="dxa"/>
              <w:right w:w="120" w:type="dxa"/>
            </w:tcMar>
          </w:tcPr>
          <w:p w14:paraId="75B68A1C">
            <w:pPr>
              <w:spacing w:before="120" w:after="120" w:line="288" w:lineRule="auto"/>
              <w:ind w:left="0"/>
              <w:jc w:val="left"/>
            </w:pPr>
            <w:r>
              <w:rPr>
                <w:rFonts w:ascii="Arial" w:hAnsi="Arial" w:eastAsia="等线" w:cs="Arial"/>
                <w:sz w:val="22"/>
              </w:rPr>
              <w:t>信托账户</w:t>
            </w:r>
          </w:p>
        </w:tc>
        <w:tc>
          <w:tcPr>
            <w:tcW w:w="5310" w:type="dxa"/>
            <w:tcMar>
              <w:top w:w="60" w:type="dxa"/>
              <w:left w:w="120" w:type="dxa"/>
              <w:bottom w:w="30" w:type="dxa"/>
              <w:right w:w="120" w:type="dxa"/>
            </w:tcMar>
          </w:tcPr>
          <w:p w14:paraId="1A3663E8">
            <w:pPr>
              <w:spacing w:before="120" w:after="120" w:line="288" w:lineRule="auto"/>
              <w:ind w:left="0"/>
              <w:jc w:val="left"/>
            </w:pPr>
            <w:r>
              <w:rPr>
                <w:rFonts w:ascii="Arial" w:hAnsi="Arial" w:eastAsia="等线" w:cs="Arial"/>
                <w:sz w:val="22"/>
              </w:rPr>
              <w:t>是指受托人签订信托文件或者承诺信托后在银行或其他机构开立的信托专用账户。信托账户具有资产隔离、风险防控等功能，其资金进出全程处于监管中，一般包括信托募集账户、信托保管账户和信托结算账户等，可用于遗产规划、慈善事业、教育基金等多种目的。</w:t>
            </w:r>
          </w:p>
        </w:tc>
      </w:tr>
      <w:tr w14:paraId="0F68BD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0C69B29">
            <w:pPr>
              <w:spacing w:before="120" w:after="120" w:line="288" w:lineRule="auto"/>
              <w:ind w:left="0"/>
              <w:jc w:val="left"/>
            </w:pPr>
            <w:r>
              <w:rPr>
                <w:rFonts w:ascii="Arial" w:hAnsi="Arial" w:eastAsia="等线" w:cs="Arial"/>
                <w:b/>
                <w:sz w:val="22"/>
              </w:rPr>
              <w:t>Corporate Accounts</w:t>
            </w:r>
          </w:p>
        </w:tc>
        <w:tc>
          <w:tcPr>
            <w:tcW w:w="1215" w:type="dxa"/>
            <w:tcMar>
              <w:top w:w="60" w:type="dxa"/>
              <w:left w:w="120" w:type="dxa"/>
              <w:bottom w:w="30" w:type="dxa"/>
              <w:right w:w="120" w:type="dxa"/>
            </w:tcMar>
          </w:tcPr>
          <w:p w14:paraId="2DE46C4E">
            <w:pPr>
              <w:spacing w:before="120" w:after="120" w:line="288" w:lineRule="auto"/>
              <w:ind w:left="0"/>
              <w:jc w:val="left"/>
            </w:pPr>
            <w:r>
              <w:rPr>
                <w:rFonts w:ascii="Arial" w:hAnsi="Arial" w:eastAsia="等线" w:cs="Arial"/>
                <w:sz w:val="22"/>
              </w:rPr>
              <w:t>公司账户</w:t>
            </w:r>
          </w:p>
          <w:p w14:paraId="3B156280">
            <w:pPr>
              <w:spacing w:before="120" w:after="120" w:line="288" w:lineRule="auto"/>
              <w:ind w:left="0"/>
              <w:jc w:val="left"/>
            </w:pPr>
          </w:p>
        </w:tc>
        <w:tc>
          <w:tcPr>
            <w:tcW w:w="5310" w:type="dxa"/>
            <w:tcMar>
              <w:top w:w="60" w:type="dxa"/>
              <w:left w:w="120" w:type="dxa"/>
              <w:bottom w:w="30" w:type="dxa"/>
              <w:right w:w="120" w:type="dxa"/>
            </w:tcMar>
          </w:tcPr>
          <w:p w14:paraId="60D7A54D">
            <w:pPr>
              <w:spacing w:before="120" w:after="120" w:line="288" w:lineRule="auto"/>
              <w:ind w:left="0"/>
              <w:jc w:val="left"/>
            </w:pPr>
            <w:r>
              <w:rPr>
                <w:rFonts w:ascii="Arial" w:hAnsi="Arial" w:eastAsia="等线" w:cs="Arial"/>
                <w:sz w:val="22"/>
              </w:rPr>
              <w:t>由公司开设的银行账户，用于管理公司的资金和财务事务，可接收业务收入，方便各种商业交易。开设时通常需要提供公司注册文件、营业地址证明、董事会决议、股东身份证明等。</w:t>
            </w:r>
          </w:p>
        </w:tc>
      </w:tr>
      <w:tr w14:paraId="5FD6E9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7C1CC24">
            <w:pPr>
              <w:spacing w:before="120" w:after="120" w:line="288" w:lineRule="auto"/>
              <w:ind w:left="0"/>
              <w:jc w:val="left"/>
            </w:pPr>
            <w:r>
              <w:rPr>
                <w:rFonts w:ascii="Arial" w:hAnsi="Arial" w:eastAsia="等线" w:cs="Arial"/>
                <w:b/>
                <w:sz w:val="22"/>
              </w:rPr>
              <w:t>Institutional Accounts</w:t>
            </w:r>
          </w:p>
        </w:tc>
        <w:tc>
          <w:tcPr>
            <w:tcW w:w="1215" w:type="dxa"/>
            <w:tcMar>
              <w:top w:w="60" w:type="dxa"/>
              <w:left w:w="120" w:type="dxa"/>
              <w:bottom w:w="30" w:type="dxa"/>
              <w:right w:w="120" w:type="dxa"/>
            </w:tcMar>
          </w:tcPr>
          <w:p w14:paraId="618F27D3">
            <w:pPr>
              <w:spacing w:before="120" w:after="120" w:line="288" w:lineRule="auto"/>
              <w:ind w:left="0"/>
              <w:jc w:val="left"/>
            </w:pPr>
            <w:r>
              <w:rPr>
                <w:rFonts w:ascii="Arial" w:hAnsi="Arial" w:eastAsia="等线" w:cs="Arial"/>
                <w:sz w:val="22"/>
              </w:rPr>
              <w:t>机构账户</w:t>
            </w:r>
          </w:p>
        </w:tc>
        <w:tc>
          <w:tcPr>
            <w:tcW w:w="5310" w:type="dxa"/>
            <w:tcMar>
              <w:top w:w="60" w:type="dxa"/>
              <w:left w:w="120" w:type="dxa"/>
              <w:bottom w:w="30" w:type="dxa"/>
              <w:right w:w="120" w:type="dxa"/>
            </w:tcMar>
          </w:tcPr>
          <w:p w14:paraId="63BB56C0">
            <w:pPr>
              <w:spacing w:before="120" w:after="120" w:line="288" w:lineRule="auto"/>
              <w:ind w:left="0"/>
              <w:jc w:val="left"/>
            </w:pPr>
            <w:r>
              <w:rPr>
                <w:rFonts w:ascii="Arial" w:hAnsi="Arial" w:eastAsia="等线" w:cs="Arial"/>
                <w:sz w:val="22"/>
              </w:rPr>
              <w:t>通常是指银行、保险公司、投资公司、注册投资顾问等机构的账户，也包括资产规模超过一定金额（如 50 万美元）的自然人账户。此类账户可处理大量交易，常享有较低的交易成本和更先进的交易平台。</w:t>
            </w:r>
          </w:p>
        </w:tc>
      </w:tr>
      <w:tr w14:paraId="51896A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D2557DB">
            <w:pPr>
              <w:spacing w:before="120" w:after="120" w:line="288" w:lineRule="auto"/>
              <w:ind w:left="0"/>
              <w:jc w:val="left"/>
            </w:pPr>
            <w:r>
              <w:rPr>
                <w:rFonts w:ascii="Arial" w:hAnsi="Arial" w:eastAsia="等线" w:cs="Arial"/>
                <w:b/>
                <w:sz w:val="22"/>
              </w:rPr>
              <w:t>Partnership Accounts</w:t>
            </w:r>
          </w:p>
        </w:tc>
        <w:tc>
          <w:tcPr>
            <w:tcW w:w="1215" w:type="dxa"/>
            <w:tcMar>
              <w:top w:w="60" w:type="dxa"/>
              <w:left w:w="120" w:type="dxa"/>
              <w:bottom w:w="30" w:type="dxa"/>
              <w:right w:w="120" w:type="dxa"/>
            </w:tcMar>
          </w:tcPr>
          <w:p w14:paraId="4026B845">
            <w:pPr>
              <w:spacing w:before="120" w:after="120" w:line="288" w:lineRule="auto"/>
              <w:ind w:left="0"/>
              <w:jc w:val="left"/>
            </w:pPr>
            <w:r>
              <w:rPr>
                <w:rFonts w:ascii="Arial" w:hAnsi="Arial" w:eastAsia="等线" w:cs="Arial"/>
                <w:sz w:val="22"/>
              </w:rPr>
              <w:t>合伙账户</w:t>
            </w:r>
          </w:p>
        </w:tc>
        <w:tc>
          <w:tcPr>
            <w:tcW w:w="5310" w:type="dxa"/>
            <w:tcMar>
              <w:top w:w="60" w:type="dxa"/>
              <w:left w:w="120" w:type="dxa"/>
              <w:bottom w:w="30" w:type="dxa"/>
              <w:right w:w="120" w:type="dxa"/>
            </w:tcMar>
          </w:tcPr>
          <w:p w14:paraId="23D4CB98">
            <w:pPr>
              <w:spacing w:before="120" w:after="120" w:line="288" w:lineRule="auto"/>
              <w:ind w:left="0"/>
              <w:jc w:val="left"/>
            </w:pPr>
            <w:r>
              <w:rPr>
                <w:rFonts w:ascii="Arial" w:hAnsi="Arial" w:eastAsia="等线" w:cs="Arial"/>
                <w:sz w:val="22"/>
              </w:rPr>
              <w:t>用于记录合伙企业财务交易和余额的账户。每个合伙人都有资本账户和往来账户，资本账户用于核算资本出资、商誉和重估价值等，往来账户用于记录利润分配、提款等其他交易，利润根据合伙协议在合伙人之间进行分配。</w:t>
            </w:r>
          </w:p>
        </w:tc>
      </w:tr>
    </w:tbl>
    <w:p w14:paraId="065BD1F4">
      <w:pPr>
        <w:spacing w:before="320" w:after="120" w:line="288" w:lineRule="auto"/>
        <w:ind w:left="0"/>
        <w:jc w:val="left"/>
        <w:outlineLvl w:val="1"/>
      </w:pPr>
      <w:bookmarkStart w:id="28" w:name="heading_28"/>
      <w:r>
        <w:rPr>
          <w:rFonts w:ascii="Arial" w:hAnsi="Arial" w:eastAsia="等线" w:cs="Arial"/>
          <w:color w:val="3370FF"/>
          <w:sz w:val="32"/>
        </w:rPr>
        <w:t xml:space="preserve">4.2 </w:t>
      </w:r>
      <w:r>
        <w:rPr>
          <w:rFonts w:ascii="Arial" w:hAnsi="Arial" w:eastAsia="等线" w:cs="Arial"/>
          <w:b/>
          <w:sz w:val="32"/>
        </w:rPr>
        <w:t>账户开立与合规要求</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60"/>
        <w:gridCol w:w="1200"/>
        <w:gridCol w:w="5220"/>
      </w:tblGrid>
      <w:tr w14:paraId="264CE0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455AB627">
            <w:pPr>
              <w:spacing w:before="120" w:after="120" w:line="288" w:lineRule="auto"/>
              <w:ind w:left="0"/>
              <w:jc w:val="left"/>
            </w:pPr>
            <w:r>
              <w:rPr>
                <w:rFonts w:ascii="Arial" w:hAnsi="Arial" w:eastAsia="等线" w:cs="Arial"/>
                <w:b/>
                <w:sz w:val="22"/>
              </w:rPr>
              <w:t>英文词汇</w:t>
            </w:r>
          </w:p>
        </w:tc>
        <w:tc>
          <w:tcPr>
            <w:tcW w:w="1200" w:type="dxa"/>
            <w:tcMar>
              <w:top w:w="60" w:type="dxa"/>
              <w:left w:w="120" w:type="dxa"/>
              <w:bottom w:w="30" w:type="dxa"/>
              <w:right w:w="120" w:type="dxa"/>
            </w:tcMar>
          </w:tcPr>
          <w:p w14:paraId="74478FBE">
            <w:pPr>
              <w:spacing w:before="120" w:after="120" w:line="288" w:lineRule="auto"/>
              <w:ind w:left="0"/>
              <w:jc w:val="left"/>
            </w:pPr>
            <w:r>
              <w:rPr>
                <w:rFonts w:ascii="Arial" w:hAnsi="Arial" w:eastAsia="等线" w:cs="Arial"/>
                <w:b/>
                <w:sz w:val="22"/>
              </w:rPr>
              <w:t>中文释义</w:t>
            </w:r>
          </w:p>
        </w:tc>
        <w:tc>
          <w:tcPr>
            <w:tcW w:w="5220" w:type="dxa"/>
            <w:tcMar>
              <w:top w:w="60" w:type="dxa"/>
              <w:left w:w="120" w:type="dxa"/>
              <w:bottom w:w="30" w:type="dxa"/>
              <w:right w:w="120" w:type="dxa"/>
            </w:tcMar>
          </w:tcPr>
          <w:p w14:paraId="42311CBB">
            <w:pPr>
              <w:spacing w:before="120" w:after="120" w:line="288" w:lineRule="auto"/>
              <w:ind w:left="0"/>
              <w:jc w:val="left"/>
            </w:pPr>
            <w:r>
              <w:rPr>
                <w:rFonts w:ascii="Arial" w:hAnsi="Arial" w:eastAsia="等线" w:cs="Arial"/>
                <w:b/>
                <w:sz w:val="22"/>
              </w:rPr>
              <w:t>核心要点</w:t>
            </w:r>
          </w:p>
        </w:tc>
      </w:tr>
      <w:tr w14:paraId="52401F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50BCC3F2">
            <w:pPr>
              <w:spacing w:before="120" w:after="120" w:line="288" w:lineRule="auto"/>
              <w:ind w:left="0"/>
              <w:jc w:val="left"/>
            </w:pPr>
            <w:r>
              <w:rPr>
                <w:rFonts w:ascii="Arial" w:hAnsi="Arial" w:eastAsia="等线" w:cs="Arial"/>
                <w:b/>
                <w:sz w:val="22"/>
              </w:rPr>
              <w:t>Know Your Customer (KYC)</w:t>
            </w:r>
          </w:p>
        </w:tc>
        <w:tc>
          <w:tcPr>
            <w:tcW w:w="1200" w:type="dxa"/>
            <w:tcMar>
              <w:top w:w="60" w:type="dxa"/>
              <w:left w:w="120" w:type="dxa"/>
              <w:bottom w:w="30" w:type="dxa"/>
              <w:right w:w="120" w:type="dxa"/>
            </w:tcMar>
          </w:tcPr>
          <w:p w14:paraId="07EA6086">
            <w:pPr>
              <w:spacing w:before="120" w:after="120" w:line="288" w:lineRule="auto"/>
              <w:ind w:left="0"/>
              <w:jc w:val="left"/>
            </w:pPr>
            <w:r>
              <w:rPr>
                <w:rFonts w:ascii="Arial" w:hAnsi="Arial" w:eastAsia="等线" w:cs="Arial"/>
                <w:sz w:val="22"/>
              </w:rPr>
              <w:t>了解你的客户</w:t>
            </w:r>
          </w:p>
        </w:tc>
        <w:tc>
          <w:tcPr>
            <w:tcW w:w="5220" w:type="dxa"/>
            <w:tcMar>
              <w:top w:w="60" w:type="dxa"/>
              <w:left w:w="120" w:type="dxa"/>
              <w:bottom w:w="30" w:type="dxa"/>
              <w:right w:w="120" w:type="dxa"/>
            </w:tcMar>
          </w:tcPr>
          <w:p w14:paraId="5E7A9A5E">
            <w:pPr>
              <w:spacing w:before="120" w:after="120" w:line="288" w:lineRule="auto"/>
              <w:ind w:left="0"/>
              <w:jc w:val="left"/>
            </w:pPr>
            <w:r>
              <w:rPr>
                <w:rFonts w:ascii="Arial" w:hAnsi="Arial" w:eastAsia="等线" w:cs="Arial"/>
                <w:sz w:val="22"/>
              </w:rPr>
              <w:t>券商在开立账户前对客户身份、投资经验、财务状况、风险承受能力等进行核实的监管要求，是防范洗钱、欺诈的基础。</w:t>
            </w:r>
          </w:p>
        </w:tc>
      </w:tr>
      <w:tr w14:paraId="57955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0AD67B8">
            <w:pPr>
              <w:spacing w:before="120" w:after="120" w:line="288" w:lineRule="auto"/>
              <w:ind w:left="0"/>
              <w:jc w:val="left"/>
            </w:pPr>
            <w:r>
              <w:rPr>
                <w:rFonts w:ascii="Arial" w:hAnsi="Arial" w:eastAsia="等线" w:cs="Arial"/>
                <w:b/>
                <w:sz w:val="22"/>
              </w:rPr>
              <w:t>Customer Identification Program (CIP)</w:t>
            </w:r>
          </w:p>
        </w:tc>
        <w:tc>
          <w:tcPr>
            <w:tcW w:w="1200" w:type="dxa"/>
            <w:tcMar>
              <w:top w:w="60" w:type="dxa"/>
              <w:left w:w="120" w:type="dxa"/>
              <w:bottom w:w="30" w:type="dxa"/>
              <w:right w:w="120" w:type="dxa"/>
            </w:tcMar>
          </w:tcPr>
          <w:p w14:paraId="76204C58">
            <w:pPr>
              <w:spacing w:before="120" w:after="120" w:line="288" w:lineRule="auto"/>
              <w:ind w:left="0"/>
              <w:jc w:val="left"/>
            </w:pPr>
            <w:r>
              <w:rPr>
                <w:rFonts w:ascii="Arial" w:hAnsi="Arial" w:eastAsia="等线" w:cs="Arial"/>
                <w:sz w:val="22"/>
              </w:rPr>
              <w:t>客户身份识别程序</w:t>
            </w:r>
          </w:p>
        </w:tc>
        <w:tc>
          <w:tcPr>
            <w:tcW w:w="5220" w:type="dxa"/>
            <w:tcMar>
              <w:top w:w="60" w:type="dxa"/>
              <w:left w:w="120" w:type="dxa"/>
              <w:bottom w:w="30" w:type="dxa"/>
              <w:right w:w="120" w:type="dxa"/>
            </w:tcMar>
          </w:tcPr>
          <w:p w14:paraId="05796743">
            <w:pPr>
              <w:spacing w:before="120" w:after="120" w:line="288" w:lineRule="auto"/>
              <w:ind w:left="0"/>
              <w:jc w:val="left"/>
            </w:pPr>
            <w:r>
              <w:rPr>
                <w:rFonts w:ascii="Arial" w:hAnsi="Arial" w:eastAsia="等线" w:cs="Arial"/>
                <w:sz w:val="22"/>
              </w:rPr>
              <w:t>券商根据反洗钱法规（如美国《爱国者法案》）实施的身份验证流程，通常要求客户提供身份证、地址证明等文件。</w:t>
            </w:r>
          </w:p>
        </w:tc>
      </w:tr>
      <w:tr w14:paraId="262690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DB19862">
            <w:pPr>
              <w:spacing w:before="120" w:after="120" w:line="288" w:lineRule="auto"/>
              <w:ind w:left="0"/>
              <w:jc w:val="left"/>
            </w:pPr>
            <w:r>
              <w:rPr>
                <w:rFonts w:ascii="Arial" w:hAnsi="Arial" w:eastAsia="等线" w:cs="Arial"/>
                <w:b/>
                <w:sz w:val="22"/>
              </w:rPr>
              <w:t>Account Application</w:t>
            </w:r>
          </w:p>
          <w:p w14:paraId="38F0B125">
            <w:pPr>
              <w:spacing w:before="120" w:after="120" w:line="288" w:lineRule="auto"/>
              <w:ind w:left="0"/>
              <w:jc w:val="left"/>
            </w:pPr>
          </w:p>
        </w:tc>
        <w:tc>
          <w:tcPr>
            <w:tcW w:w="1200" w:type="dxa"/>
            <w:tcMar>
              <w:top w:w="60" w:type="dxa"/>
              <w:left w:w="120" w:type="dxa"/>
              <w:bottom w:w="30" w:type="dxa"/>
              <w:right w:w="120" w:type="dxa"/>
            </w:tcMar>
          </w:tcPr>
          <w:p w14:paraId="502FDBC8">
            <w:pPr>
              <w:spacing w:before="120" w:after="120" w:line="288" w:lineRule="auto"/>
              <w:ind w:left="0"/>
              <w:jc w:val="left"/>
            </w:pPr>
            <w:r>
              <w:rPr>
                <w:rFonts w:ascii="Arial" w:hAnsi="Arial" w:eastAsia="等线" w:cs="Arial"/>
                <w:sz w:val="22"/>
              </w:rPr>
              <w:t>账户申请表</w:t>
            </w:r>
          </w:p>
        </w:tc>
        <w:tc>
          <w:tcPr>
            <w:tcW w:w="5220" w:type="dxa"/>
            <w:tcMar>
              <w:top w:w="60" w:type="dxa"/>
              <w:left w:w="120" w:type="dxa"/>
              <w:bottom w:w="30" w:type="dxa"/>
              <w:right w:w="120" w:type="dxa"/>
            </w:tcMar>
          </w:tcPr>
          <w:p w14:paraId="59F9D6F1">
            <w:pPr>
              <w:spacing w:before="120" w:after="120" w:line="288" w:lineRule="auto"/>
              <w:ind w:left="0"/>
              <w:jc w:val="left"/>
            </w:pPr>
            <w:r>
              <w:rPr>
                <w:rFonts w:ascii="Arial" w:hAnsi="Arial" w:eastAsia="等线" w:cs="Arial"/>
                <w:sz w:val="22"/>
              </w:rPr>
              <w:t>客户开立账户时填写的表格，包含个人信息、投资目标、交易权限申请（如期权交易权限）等内容，是账户管理的基础文件。</w:t>
            </w:r>
          </w:p>
        </w:tc>
      </w:tr>
      <w:tr w14:paraId="773255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63385A66">
            <w:pPr>
              <w:spacing w:before="120" w:after="120" w:line="288" w:lineRule="auto"/>
              <w:ind w:left="0"/>
              <w:jc w:val="left"/>
            </w:pPr>
            <w:r>
              <w:rPr>
                <w:rFonts w:ascii="Arial" w:hAnsi="Arial" w:eastAsia="等线" w:cs="Arial"/>
                <w:b/>
                <w:sz w:val="22"/>
              </w:rPr>
              <w:t>Suitability</w:t>
            </w:r>
          </w:p>
          <w:p w14:paraId="52896F6E">
            <w:pPr>
              <w:spacing w:before="120" w:after="120" w:line="288" w:lineRule="auto"/>
              <w:ind w:left="0"/>
              <w:jc w:val="left"/>
            </w:pPr>
          </w:p>
        </w:tc>
        <w:tc>
          <w:tcPr>
            <w:tcW w:w="1200" w:type="dxa"/>
            <w:tcMar>
              <w:top w:w="60" w:type="dxa"/>
              <w:left w:w="120" w:type="dxa"/>
              <w:bottom w:w="30" w:type="dxa"/>
              <w:right w:w="120" w:type="dxa"/>
            </w:tcMar>
          </w:tcPr>
          <w:p w14:paraId="4A89F6A0">
            <w:pPr>
              <w:spacing w:before="120" w:after="120" w:line="288" w:lineRule="auto"/>
              <w:ind w:left="0"/>
              <w:jc w:val="left"/>
            </w:pPr>
            <w:r>
              <w:rPr>
                <w:rFonts w:ascii="Arial" w:hAnsi="Arial" w:eastAsia="等线" w:cs="Arial"/>
                <w:sz w:val="22"/>
              </w:rPr>
              <w:t>适当性原则</w:t>
            </w:r>
          </w:p>
        </w:tc>
        <w:tc>
          <w:tcPr>
            <w:tcW w:w="5220" w:type="dxa"/>
            <w:tcMar>
              <w:top w:w="60" w:type="dxa"/>
              <w:left w:w="120" w:type="dxa"/>
              <w:bottom w:w="30" w:type="dxa"/>
              <w:right w:w="120" w:type="dxa"/>
            </w:tcMar>
          </w:tcPr>
          <w:p w14:paraId="1E39B5FE">
            <w:pPr>
              <w:spacing w:before="120" w:after="120" w:line="288" w:lineRule="auto"/>
              <w:ind w:left="0"/>
              <w:jc w:val="left"/>
            </w:pPr>
            <w:r>
              <w:rPr>
                <w:rFonts w:ascii="Arial" w:hAnsi="Arial" w:eastAsia="等线" w:cs="Arial"/>
                <w:sz w:val="22"/>
              </w:rPr>
              <w:t>券商需确保推荐的金融产品或交易策略与客户的投资目标、风险承受能力、经验水平相匹配，禁止向客户推荐 “不适合” 的产品。</w:t>
            </w:r>
          </w:p>
        </w:tc>
      </w:tr>
      <w:tr w14:paraId="1D15BE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67FAE5D">
            <w:pPr>
              <w:spacing w:before="120" w:after="120" w:line="288" w:lineRule="auto"/>
              <w:ind w:left="0"/>
              <w:jc w:val="left"/>
            </w:pPr>
            <w:r>
              <w:rPr>
                <w:rFonts w:ascii="Arial" w:hAnsi="Arial" w:eastAsia="等线" w:cs="Arial"/>
                <w:b/>
                <w:sz w:val="22"/>
              </w:rPr>
              <w:t>Anti-Money Laundering (AML)</w:t>
            </w:r>
          </w:p>
        </w:tc>
        <w:tc>
          <w:tcPr>
            <w:tcW w:w="1200" w:type="dxa"/>
            <w:tcMar>
              <w:top w:w="60" w:type="dxa"/>
              <w:left w:w="120" w:type="dxa"/>
              <w:bottom w:w="30" w:type="dxa"/>
              <w:right w:w="120" w:type="dxa"/>
            </w:tcMar>
          </w:tcPr>
          <w:p w14:paraId="6AC31BD2">
            <w:pPr>
              <w:spacing w:before="120" w:after="120" w:line="288" w:lineRule="auto"/>
              <w:ind w:left="0"/>
              <w:jc w:val="left"/>
            </w:pPr>
            <w:r>
              <w:rPr>
                <w:rFonts w:ascii="Arial" w:hAnsi="Arial" w:eastAsia="等线" w:cs="Arial"/>
                <w:sz w:val="22"/>
              </w:rPr>
              <w:t>反洗钱</w:t>
            </w:r>
          </w:p>
        </w:tc>
        <w:tc>
          <w:tcPr>
            <w:tcW w:w="5220" w:type="dxa"/>
            <w:tcMar>
              <w:top w:w="60" w:type="dxa"/>
              <w:left w:w="120" w:type="dxa"/>
              <w:bottom w:w="30" w:type="dxa"/>
              <w:right w:w="120" w:type="dxa"/>
            </w:tcMar>
          </w:tcPr>
          <w:p w14:paraId="783580E0">
            <w:pPr>
              <w:spacing w:before="120" w:after="120" w:line="288" w:lineRule="auto"/>
              <w:ind w:left="0"/>
              <w:jc w:val="left"/>
            </w:pPr>
            <w:r>
              <w:rPr>
                <w:rFonts w:ascii="Arial" w:hAnsi="Arial" w:eastAsia="等线" w:cs="Arial"/>
                <w:sz w:val="22"/>
              </w:rPr>
              <w:t>券商为防止客户利用账户进行洗钱、恐怖融资等违法活动而采取的措施，包括交易监控、大额交易报告等。</w:t>
            </w:r>
          </w:p>
        </w:tc>
      </w:tr>
      <w:tr w14:paraId="695B9F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39DDAF23">
            <w:pPr>
              <w:spacing w:before="120" w:after="120" w:line="288" w:lineRule="auto"/>
              <w:ind w:left="0"/>
              <w:jc w:val="left"/>
            </w:pPr>
            <w:r>
              <w:rPr>
                <w:rFonts w:ascii="Arial" w:hAnsi="Arial" w:eastAsia="等线" w:cs="Arial"/>
                <w:b/>
                <w:sz w:val="22"/>
              </w:rPr>
              <w:t>Regulation S-P</w:t>
            </w:r>
          </w:p>
        </w:tc>
        <w:tc>
          <w:tcPr>
            <w:tcW w:w="1200" w:type="dxa"/>
            <w:tcMar>
              <w:top w:w="60" w:type="dxa"/>
              <w:left w:w="120" w:type="dxa"/>
              <w:bottom w:w="30" w:type="dxa"/>
              <w:right w:w="120" w:type="dxa"/>
            </w:tcMar>
          </w:tcPr>
          <w:p w14:paraId="3F3DABA0">
            <w:pPr>
              <w:spacing w:before="120" w:after="120" w:line="288" w:lineRule="auto"/>
              <w:ind w:left="0"/>
              <w:jc w:val="left"/>
            </w:pPr>
            <w:r>
              <w:rPr>
                <w:rFonts w:ascii="Arial" w:hAnsi="Arial" w:eastAsia="等线" w:cs="Arial"/>
                <w:sz w:val="22"/>
              </w:rPr>
              <w:t>S-P 条例</w:t>
            </w:r>
          </w:p>
        </w:tc>
        <w:tc>
          <w:tcPr>
            <w:tcW w:w="5220" w:type="dxa"/>
            <w:tcMar>
              <w:top w:w="60" w:type="dxa"/>
              <w:left w:w="120" w:type="dxa"/>
              <w:bottom w:w="30" w:type="dxa"/>
              <w:right w:w="120" w:type="dxa"/>
            </w:tcMar>
          </w:tcPr>
          <w:p w14:paraId="09E3181B">
            <w:pPr>
              <w:spacing w:before="120" w:after="120" w:line="288" w:lineRule="auto"/>
              <w:ind w:left="0"/>
              <w:jc w:val="left"/>
            </w:pPr>
            <w:r>
              <w:rPr>
                <w:rFonts w:ascii="Arial" w:hAnsi="Arial" w:eastAsia="等线" w:cs="Arial"/>
                <w:sz w:val="22"/>
              </w:rPr>
              <w:t>美国 SEC 制定的隐私保护法规，要求券商保护客户非公开个人信息（如财务数据），并向客户披露信息共享政策。</w:t>
            </w:r>
          </w:p>
        </w:tc>
      </w:tr>
    </w:tbl>
    <w:p w14:paraId="6C3C5605">
      <w:pPr>
        <w:spacing w:before="320" w:after="120" w:line="288" w:lineRule="auto"/>
        <w:ind w:left="0"/>
        <w:jc w:val="left"/>
        <w:outlineLvl w:val="1"/>
      </w:pPr>
      <w:bookmarkStart w:id="29" w:name="heading_29"/>
      <w:r>
        <w:rPr>
          <w:rFonts w:ascii="Arial" w:hAnsi="Arial" w:eastAsia="等线" w:cs="Arial"/>
          <w:color w:val="3370FF"/>
          <w:sz w:val="32"/>
        </w:rPr>
        <w:t xml:space="preserve">4.3 </w:t>
      </w:r>
      <w:r>
        <w:rPr>
          <w:rFonts w:ascii="Arial" w:hAnsi="Arial" w:eastAsia="等线" w:cs="Arial"/>
          <w:b/>
          <w:sz w:val="32"/>
        </w:rPr>
        <w:t>账户操作与管理</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1050"/>
        <w:gridCol w:w="5385"/>
      </w:tblGrid>
      <w:tr w14:paraId="1BBA00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C6C4759">
            <w:pPr>
              <w:spacing w:before="120" w:after="120" w:line="288" w:lineRule="auto"/>
              <w:ind w:left="0"/>
              <w:jc w:val="left"/>
            </w:pPr>
            <w:r>
              <w:rPr>
                <w:rFonts w:ascii="Arial" w:hAnsi="Arial" w:eastAsia="等线" w:cs="Arial"/>
                <w:b/>
                <w:sz w:val="22"/>
              </w:rPr>
              <w:t>英文词汇</w:t>
            </w:r>
          </w:p>
        </w:tc>
        <w:tc>
          <w:tcPr>
            <w:tcW w:w="1050" w:type="dxa"/>
            <w:tcMar>
              <w:top w:w="60" w:type="dxa"/>
              <w:left w:w="120" w:type="dxa"/>
              <w:bottom w:w="30" w:type="dxa"/>
              <w:right w:w="120" w:type="dxa"/>
            </w:tcMar>
          </w:tcPr>
          <w:p w14:paraId="45F06F6A">
            <w:pPr>
              <w:spacing w:before="120" w:after="120" w:line="288" w:lineRule="auto"/>
              <w:ind w:left="0"/>
              <w:jc w:val="left"/>
            </w:pPr>
            <w:r>
              <w:rPr>
                <w:rFonts w:ascii="Arial" w:hAnsi="Arial" w:eastAsia="等线" w:cs="Arial"/>
                <w:b/>
                <w:sz w:val="22"/>
              </w:rPr>
              <w:t>中文释义</w:t>
            </w:r>
          </w:p>
        </w:tc>
        <w:tc>
          <w:tcPr>
            <w:tcW w:w="5385" w:type="dxa"/>
            <w:tcMar>
              <w:top w:w="60" w:type="dxa"/>
              <w:left w:w="120" w:type="dxa"/>
              <w:bottom w:w="30" w:type="dxa"/>
              <w:right w:w="120" w:type="dxa"/>
            </w:tcMar>
          </w:tcPr>
          <w:p w14:paraId="33C1C051">
            <w:pPr>
              <w:spacing w:before="120" w:after="120" w:line="288" w:lineRule="auto"/>
              <w:ind w:left="0"/>
              <w:jc w:val="left"/>
            </w:pPr>
            <w:r>
              <w:rPr>
                <w:rFonts w:ascii="Arial" w:hAnsi="Arial" w:eastAsia="等线" w:cs="Arial"/>
                <w:b/>
                <w:sz w:val="22"/>
              </w:rPr>
              <w:t>核心要点</w:t>
            </w:r>
          </w:p>
        </w:tc>
      </w:tr>
      <w:tr w14:paraId="5C71E5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E8397E5">
            <w:pPr>
              <w:spacing w:before="120" w:after="120" w:line="288" w:lineRule="auto"/>
              <w:ind w:left="0"/>
              <w:jc w:val="left"/>
            </w:pPr>
            <w:r>
              <w:rPr>
                <w:rFonts w:ascii="Arial" w:hAnsi="Arial" w:eastAsia="等线" w:cs="Arial"/>
                <w:b/>
                <w:sz w:val="22"/>
              </w:rPr>
              <w:t>Account Maintenance</w:t>
            </w:r>
          </w:p>
        </w:tc>
        <w:tc>
          <w:tcPr>
            <w:tcW w:w="1050" w:type="dxa"/>
            <w:tcMar>
              <w:top w:w="60" w:type="dxa"/>
              <w:left w:w="120" w:type="dxa"/>
              <w:bottom w:w="30" w:type="dxa"/>
              <w:right w:w="120" w:type="dxa"/>
            </w:tcMar>
          </w:tcPr>
          <w:p w14:paraId="3CE17D3D">
            <w:pPr>
              <w:spacing w:before="120" w:after="120" w:line="288" w:lineRule="auto"/>
              <w:ind w:left="0"/>
              <w:jc w:val="left"/>
            </w:pPr>
            <w:r>
              <w:rPr>
                <w:rFonts w:ascii="Arial" w:hAnsi="Arial" w:eastAsia="等线" w:cs="Arial"/>
                <w:sz w:val="22"/>
              </w:rPr>
              <w:t>账户维护</w:t>
            </w:r>
          </w:p>
        </w:tc>
        <w:tc>
          <w:tcPr>
            <w:tcW w:w="5385" w:type="dxa"/>
            <w:tcMar>
              <w:top w:w="60" w:type="dxa"/>
              <w:left w:w="120" w:type="dxa"/>
              <w:bottom w:w="30" w:type="dxa"/>
              <w:right w:w="120" w:type="dxa"/>
            </w:tcMar>
          </w:tcPr>
          <w:p w14:paraId="396EC3A0">
            <w:pPr>
              <w:spacing w:before="120" w:after="120" w:line="288" w:lineRule="auto"/>
              <w:ind w:left="0"/>
              <w:jc w:val="left"/>
            </w:pPr>
            <w:r>
              <w:rPr>
                <w:rFonts w:ascii="Arial" w:hAnsi="Arial" w:eastAsia="等线" w:cs="Arial"/>
                <w:sz w:val="22"/>
              </w:rPr>
              <w:t>券商对客户账户信息的持续更新与管理，包括地址变更、联系方式更新、财务状况复核等。</w:t>
            </w:r>
          </w:p>
        </w:tc>
      </w:tr>
      <w:tr w14:paraId="0AC8F2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B768DFD">
            <w:pPr>
              <w:spacing w:before="120" w:after="120" w:line="288" w:lineRule="auto"/>
              <w:ind w:left="0"/>
              <w:jc w:val="left"/>
            </w:pPr>
            <w:r>
              <w:rPr>
                <w:rFonts w:ascii="Arial" w:hAnsi="Arial" w:eastAsia="等线" w:cs="Arial"/>
                <w:b/>
                <w:sz w:val="22"/>
              </w:rPr>
              <w:t>Transaction Confirmation</w:t>
            </w:r>
          </w:p>
          <w:p w14:paraId="66B3B6B2">
            <w:pPr>
              <w:spacing w:before="120" w:after="120" w:line="288" w:lineRule="auto"/>
              <w:ind w:left="0"/>
              <w:jc w:val="left"/>
            </w:pPr>
          </w:p>
        </w:tc>
        <w:tc>
          <w:tcPr>
            <w:tcW w:w="1050" w:type="dxa"/>
            <w:tcMar>
              <w:top w:w="60" w:type="dxa"/>
              <w:left w:w="120" w:type="dxa"/>
              <w:bottom w:w="30" w:type="dxa"/>
              <w:right w:w="120" w:type="dxa"/>
            </w:tcMar>
          </w:tcPr>
          <w:p w14:paraId="563C5DF9">
            <w:pPr>
              <w:spacing w:before="120" w:after="120" w:line="288" w:lineRule="auto"/>
              <w:ind w:left="0"/>
              <w:jc w:val="left"/>
            </w:pPr>
            <w:r>
              <w:rPr>
                <w:rFonts w:ascii="Arial" w:hAnsi="Arial" w:eastAsia="等线" w:cs="Arial"/>
                <w:sz w:val="22"/>
              </w:rPr>
              <w:t>交易确认单</w:t>
            </w:r>
          </w:p>
        </w:tc>
        <w:tc>
          <w:tcPr>
            <w:tcW w:w="5385" w:type="dxa"/>
            <w:tcMar>
              <w:top w:w="60" w:type="dxa"/>
              <w:left w:w="120" w:type="dxa"/>
              <w:bottom w:w="30" w:type="dxa"/>
              <w:right w:w="120" w:type="dxa"/>
            </w:tcMar>
          </w:tcPr>
          <w:p w14:paraId="2CD22E09">
            <w:pPr>
              <w:spacing w:before="120" w:after="120" w:line="288" w:lineRule="auto"/>
              <w:ind w:left="0"/>
              <w:jc w:val="left"/>
            </w:pPr>
            <w:r>
              <w:rPr>
                <w:rFonts w:ascii="Arial" w:hAnsi="Arial" w:eastAsia="等线" w:cs="Arial"/>
                <w:sz w:val="22"/>
              </w:rPr>
              <w:t>每笔交易完成后，券商向客户发送的书面或电子凭证，包含交易品种、价格、数量、费用等详情，供客户核对。</w:t>
            </w:r>
          </w:p>
        </w:tc>
      </w:tr>
      <w:tr w14:paraId="0E30C4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630C1BA0">
            <w:pPr>
              <w:spacing w:before="120" w:after="120" w:line="288" w:lineRule="auto"/>
              <w:ind w:left="0"/>
              <w:jc w:val="left"/>
            </w:pPr>
            <w:r>
              <w:rPr>
                <w:rFonts w:ascii="Arial" w:hAnsi="Arial" w:eastAsia="等线" w:cs="Arial"/>
                <w:b/>
                <w:sz w:val="22"/>
              </w:rPr>
              <w:t>Account Statement</w:t>
            </w:r>
          </w:p>
          <w:p w14:paraId="5348AE7D">
            <w:pPr>
              <w:spacing w:before="120" w:after="120" w:line="288" w:lineRule="auto"/>
              <w:ind w:left="0"/>
              <w:jc w:val="left"/>
            </w:pPr>
          </w:p>
        </w:tc>
        <w:tc>
          <w:tcPr>
            <w:tcW w:w="1050" w:type="dxa"/>
            <w:tcMar>
              <w:top w:w="60" w:type="dxa"/>
              <w:left w:w="120" w:type="dxa"/>
              <w:bottom w:w="30" w:type="dxa"/>
              <w:right w:w="120" w:type="dxa"/>
            </w:tcMar>
          </w:tcPr>
          <w:p w14:paraId="02640866">
            <w:pPr>
              <w:spacing w:before="120" w:after="120" w:line="288" w:lineRule="auto"/>
              <w:ind w:left="0"/>
              <w:jc w:val="left"/>
            </w:pPr>
            <w:r>
              <w:rPr>
                <w:rFonts w:ascii="Arial" w:hAnsi="Arial" w:eastAsia="等线" w:cs="Arial"/>
                <w:sz w:val="22"/>
              </w:rPr>
              <w:t>账户对账单</w:t>
            </w:r>
          </w:p>
        </w:tc>
        <w:tc>
          <w:tcPr>
            <w:tcW w:w="5385" w:type="dxa"/>
            <w:tcMar>
              <w:top w:w="60" w:type="dxa"/>
              <w:left w:w="120" w:type="dxa"/>
              <w:bottom w:w="30" w:type="dxa"/>
              <w:right w:w="120" w:type="dxa"/>
            </w:tcMar>
          </w:tcPr>
          <w:p w14:paraId="00D809EE">
            <w:pPr>
              <w:spacing w:before="120" w:after="120" w:line="288" w:lineRule="auto"/>
              <w:ind w:left="0"/>
              <w:jc w:val="left"/>
            </w:pPr>
            <w:r>
              <w:rPr>
                <w:rFonts w:ascii="Arial" w:hAnsi="Arial" w:eastAsia="等线" w:cs="Arial"/>
                <w:sz w:val="22"/>
              </w:rPr>
              <w:t>券商向客户定期（如季度 Quaterly）提供的财务报告，核心作用是披露账户内的资产状况、交易记录及相关费用，帮助客户跟踪投资情况、核对交易细节。</w:t>
            </w:r>
          </w:p>
        </w:tc>
      </w:tr>
      <w:tr w14:paraId="2935C3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4576ABC">
            <w:pPr>
              <w:spacing w:before="120" w:after="120" w:line="288" w:lineRule="auto"/>
              <w:ind w:left="0"/>
              <w:jc w:val="left"/>
            </w:pPr>
            <w:r>
              <w:rPr>
                <w:rFonts w:ascii="Arial" w:hAnsi="Arial" w:eastAsia="等线" w:cs="Arial"/>
                <w:b/>
                <w:sz w:val="22"/>
              </w:rPr>
              <w:t>Power of Attorney (POA)</w:t>
            </w:r>
          </w:p>
          <w:p w14:paraId="3BA82E90">
            <w:pPr>
              <w:spacing w:before="120" w:after="120" w:line="288" w:lineRule="auto"/>
              <w:ind w:left="0"/>
              <w:jc w:val="left"/>
            </w:pPr>
          </w:p>
        </w:tc>
        <w:tc>
          <w:tcPr>
            <w:tcW w:w="1050" w:type="dxa"/>
            <w:tcMar>
              <w:top w:w="60" w:type="dxa"/>
              <w:left w:w="120" w:type="dxa"/>
              <w:bottom w:w="30" w:type="dxa"/>
              <w:right w:w="120" w:type="dxa"/>
            </w:tcMar>
          </w:tcPr>
          <w:p w14:paraId="2B182846">
            <w:pPr>
              <w:spacing w:before="120" w:after="120" w:line="288" w:lineRule="auto"/>
              <w:ind w:left="0"/>
              <w:jc w:val="left"/>
            </w:pPr>
            <w:r>
              <w:rPr>
                <w:rFonts w:ascii="Arial" w:hAnsi="Arial" w:eastAsia="等线" w:cs="Arial"/>
                <w:sz w:val="22"/>
              </w:rPr>
              <w:t>授权委托书</w:t>
            </w:r>
          </w:p>
          <w:p w14:paraId="7E8A7745">
            <w:pPr>
              <w:spacing w:before="120" w:after="120" w:line="288" w:lineRule="auto"/>
              <w:ind w:left="0"/>
              <w:jc w:val="left"/>
            </w:pPr>
          </w:p>
        </w:tc>
        <w:tc>
          <w:tcPr>
            <w:tcW w:w="5385" w:type="dxa"/>
            <w:tcMar>
              <w:top w:w="60" w:type="dxa"/>
              <w:left w:w="120" w:type="dxa"/>
              <w:bottom w:w="30" w:type="dxa"/>
              <w:right w:w="120" w:type="dxa"/>
            </w:tcMar>
          </w:tcPr>
          <w:p w14:paraId="18278BED">
            <w:pPr>
              <w:spacing w:before="120" w:after="120" w:line="288" w:lineRule="auto"/>
              <w:ind w:left="0"/>
              <w:jc w:val="left"/>
            </w:pPr>
            <w:r>
              <w:rPr>
                <w:rFonts w:ascii="Arial" w:hAnsi="Arial" w:eastAsia="等线" w:cs="Arial"/>
                <w:sz w:val="22"/>
              </w:rPr>
              <w:t>客户出具的允许第三方（如经纪人、律师）代为处理账户事务的法律文件，分为 “有限授权”（仅特定操作）和 “全权授权”（全部操作）。</w:t>
            </w:r>
          </w:p>
        </w:tc>
      </w:tr>
      <w:tr w14:paraId="5D3403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67F35E3">
            <w:pPr>
              <w:spacing w:before="120" w:after="120" w:line="288" w:lineRule="auto"/>
              <w:ind w:left="0"/>
              <w:jc w:val="left"/>
            </w:pPr>
            <w:r>
              <w:rPr>
                <w:rFonts w:ascii="Arial" w:hAnsi="Arial" w:eastAsia="等线" w:cs="Arial"/>
                <w:b/>
                <w:sz w:val="22"/>
              </w:rPr>
              <w:t>Margin Requirement</w:t>
            </w:r>
          </w:p>
          <w:p w14:paraId="69F0CD11">
            <w:pPr>
              <w:spacing w:before="120" w:after="120" w:line="288" w:lineRule="auto"/>
              <w:ind w:left="0"/>
              <w:jc w:val="left"/>
            </w:pPr>
          </w:p>
        </w:tc>
        <w:tc>
          <w:tcPr>
            <w:tcW w:w="1050" w:type="dxa"/>
            <w:tcMar>
              <w:top w:w="60" w:type="dxa"/>
              <w:left w:w="120" w:type="dxa"/>
              <w:bottom w:w="30" w:type="dxa"/>
              <w:right w:w="120" w:type="dxa"/>
            </w:tcMar>
          </w:tcPr>
          <w:p w14:paraId="06274471">
            <w:pPr>
              <w:spacing w:before="120" w:after="120" w:line="288" w:lineRule="auto"/>
              <w:ind w:left="0"/>
              <w:jc w:val="left"/>
            </w:pPr>
            <w:r>
              <w:rPr>
                <w:rFonts w:ascii="Arial" w:hAnsi="Arial" w:eastAsia="等线" w:cs="Arial"/>
                <w:sz w:val="22"/>
              </w:rPr>
              <w:t>保证金要求</w:t>
            </w:r>
          </w:p>
        </w:tc>
        <w:tc>
          <w:tcPr>
            <w:tcW w:w="5385" w:type="dxa"/>
            <w:tcMar>
              <w:top w:w="60" w:type="dxa"/>
              <w:left w:w="120" w:type="dxa"/>
              <w:bottom w:w="30" w:type="dxa"/>
              <w:right w:w="120" w:type="dxa"/>
            </w:tcMar>
          </w:tcPr>
          <w:p w14:paraId="4F654022">
            <w:pPr>
              <w:spacing w:before="120" w:after="120" w:line="288" w:lineRule="auto"/>
              <w:ind w:left="0"/>
              <w:jc w:val="left"/>
            </w:pPr>
            <w:r>
              <w:rPr>
                <w:rFonts w:ascii="Arial" w:hAnsi="Arial" w:eastAsia="等线" w:cs="Arial"/>
                <w:sz w:val="22"/>
              </w:rPr>
              <w:t>保证金账户中，投资者需维持的最低自有资金比例（如初始保证金、维持保证金），低于要求时需补缴资金（margin call）。</w:t>
            </w:r>
          </w:p>
        </w:tc>
      </w:tr>
      <w:tr w14:paraId="2D9840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08EB50D7">
            <w:pPr>
              <w:spacing w:before="120" w:after="120" w:line="288" w:lineRule="auto"/>
              <w:ind w:left="0"/>
              <w:jc w:val="left"/>
            </w:pPr>
            <w:r>
              <w:rPr>
                <w:rFonts w:ascii="Arial" w:hAnsi="Arial" w:eastAsia="等线" w:cs="Arial"/>
                <w:b/>
                <w:sz w:val="22"/>
              </w:rPr>
              <w:t>Restricted Account</w:t>
            </w:r>
          </w:p>
        </w:tc>
        <w:tc>
          <w:tcPr>
            <w:tcW w:w="1050" w:type="dxa"/>
            <w:tcMar>
              <w:top w:w="60" w:type="dxa"/>
              <w:left w:w="120" w:type="dxa"/>
              <w:bottom w:w="30" w:type="dxa"/>
              <w:right w:w="120" w:type="dxa"/>
            </w:tcMar>
          </w:tcPr>
          <w:p w14:paraId="35704389">
            <w:pPr>
              <w:spacing w:before="120" w:after="120" w:line="288" w:lineRule="auto"/>
              <w:ind w:left="0"/>
              <w:jc w:val="left"/>
            </w:pPr>
            <w:r>
              <w:rPr>
                <w:rFonts w:ascii="Arial" w:hAnsi="Arial" w:eastAsia="等线" w:cs="Arial"/>
                <w:sz w:val="22"/>
              </w:rPr>
              <w:t>受限账户</w:t>
            </w:r>
          </w:p>
        </w:tc>
        <w:tc>
          <w:tcPr>
            <w:tcW w:w="5385" w:type="dxa"/>
            <w:tcMar>
              <w:top w:w="60" w:type="dxa"/>
              <w:left w:w="120" w:type="dxa"/>
              <w:bottom w:w="30" w:type="dxa"/>
              <w:right w:w="120" w:type="dxa"/>
            </w:tcMar>
          </w:tcPr>
          <w:p w14:paraId="4E65864C">
            <w:pPr>
              <w:spacing w:before="120" w:after="120" w:line="288" w:lineRule="auto"/>
              <w:ind w:left="0"/>
              <w:jc w:val="left"/>
            </w:pPr>
            <w:r>
              <w:rPr>
                <w:rFonts w:ascii="Arial" w:hAnsi="Arial" w:eastAsia="等线" w:cs="Arial"/>
                <w:sz w:val="22"/>
              </w:rPr>
              <w:t>保证金账户中，自有资金比例低于初始保证金但高于维持保证金时的状态，此时投资者仍可交易，但需满足新增交易的保证金要求。</w:t>
            </w:r>
          </w:p>
        </w:tc>
      </w:tr>
    </w:tbl>
    <w:p w14:paraId="63025543">
      <w:pPr>
        <w:spacing w:before="320" w:after="120" w:line="288" w:lineRule="auto"/>
        <w:ind w:left="0"/>
        <w:jc w:val="left"/>
        <w:outlineLvl w:val="1"/>
      </w:pPr>
      <w:bookmarkStart w:id="30" w:name="heading_30"/>
      <w:r>
        <w:rPr>
          <w:rFonts w:ascii="Arial" w:hAnsi="Arial" w:eastAsia="等线" w:cs="Arial"/>
          <w:color w:val="3370FF"/>
          <w:sz w:val="32"/>
        </w:rPr>
        <w:t xml:space="preserve">4.4 </w:t>
      </w:r>
      <w:r>
        <w:rPr>
          <w:rFonts w:ascii="Arial" w:hAnsi="Arial" w:eastAsia="等线" w:cs="Arial"/>
          <w:b/>
          <w:sz w:val="32"/>
        </w:rPr>
        <w:t>账户监管与风险控制</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1170"/>
        <w:gridCol w:w="5295"/>
      </w:tblGrid>
      <w:tr w14:paraId="32C3E0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10CE9962">
            <w:pPr>
              <w:spacing w:before="120" w:after="120" w:line="288" w:lineRule="auto"/>
              <w:ind w:left="0"/>
              <w:jc w:val="left"/>
            </w:pPr>
            <w:r>
              <w:rPr>
                <w:rFonts w:ascii="Arial" w:hAnsi="Arial" w:eastAsia="等线" w:cs="Arial"/>
                <w:b/>
                <w:sz w:val="22"/>
              </w:rPr>
              <w:t>英文词汇</w:t>
            </w:r>
          </w:p>
        </w:tc>
        <w:tc>
          <w:tcPr>
            <w:tcW w:w="1170" w:type="dxa"/>
            <w:tcMar>
              <w:top w:w="60" w:type="dxa"/>
              <w:left w:w="120" w:type="dxa"/>
              <w:bottom w:w="30" w:type="dxa"/>
              <w:right w:w="120" w:type="dxa"/>
            </w:tcMar>
          </w:tcPr>
          <w:p w14:paraId="0084D451">
            <w:pPr>
              <w:spacing w:before="120" w:after="120" w:line="288" w:lineRule="auto"/>
              <w:ind w:left="0"/>
              <w:jc w:val="left"/>
            </w:pPr>
            <w:r>
              <w:rPr>
                <w:rFonts w:ascii="Arial" w:hAnsi="Arial" w:eastAsia="等线" w:cs="Arial"/>
                <w:b/>
                <w:sz w:val="22"/>
              </w:rPr>
              <w:t>中文释义</w:t>
            </w:r>
          </w:p>
        </w:tc>
        <w:tc>
          <w:tcPr>
            <w:tcW w:w="5295" w:type="dxa"/>
            <w:tcMar>
              <w:top w:w="60" w:type="dxa"/>
              <w:left w:w="120" w:type="dxa"/>
              <w:bottom w:w="30" w:type="dxa"/>
              <w:right w:w="120" w:type="dxa"/>
            </w:tcMar>
          </w:tcPr>
          <w:p w14:paraId="555DC9CD">
            <w:pPr>
              <w:spacing w:before="120" w:after="120" w:line="288" w:lineRule="auto"/>
              <w:ind w:left="0"/>
              <w:jc w:val="left"/>
            </w:pPr>
            <w:r>
              <w:rPr>
                <w:rFonts w:ascii="Arial" w:hAnsi="Arial" w:eastAsia="等线" w:cs="Arial"/>
                <w:b/>
                <w:sz w:val="22"/>
              </w:rPr>
              <w:t>核心要点</w:t>
            </w:r>
          </w:p>
        </w:tc>
      </w:tr>
      <w:tr w14:paraId="1803B5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302C4B4D">
            <w:pPr>
              <w:spacing w:before="120" w:after="120" w:line="288" w:lineRule="auto"/>
              <w:ind w:left="0"/>
              <w:jc w:val="left"/>
            </w:pPr>
            <w:r>
              <w:rPr>
                <w:rFonts w:ascii="Arial" w:hAnsi="Arial" w:eastAsia="等线" w:cs="Arial"/>
                <w:b/>
                <w:sz w:val="22"/>
              </w:rPr>
              <w:t>Regulation T (Reg T)</w:t>
            </w:r>
          </w:p>
        </w:tc>
        <w:tc>
          <w:tcPr>
            <w:tcW w:w="1170" w:type="dxa"/>
            <w:tcMar>
              <w:top w:w="60" w:type="dxa"/>
              <w:left w:w="120" w:type="dxa"/>
              <w:bottom w:w="30" w:type="dxa"/>
              <w:right w:w="120" w:type="dxa"/>
            </w:tcMar>
          </w:tcPr>
          <w:p w14:paraId="59E7740D">
            <w:pPr>
              <w:spacing w:before="120" w:after="120" w:line="288" w:lineRule="auto"/>
              <w:ind w:left="0"/>
              <w:jc w:val="left"/>
            </w:pPr>
            <w:r>
              <w:rPr>
                <w:rFonts w:ascii="Arial" w:hAnsi="Arial" w:eastAsia="等线" w:cs="Arial"/>
                <w:sz w:val="22"/>
              </w:rPr>
              <w:t>T 条例</w:t>
            </w:r>
          </w:p>
        </w:tc>
        <w:tc>
          <w:tcPr>
            <w:tcW w:w="5295" w:type="dxa"/>
            <w:tcMar>
              <w:top w:w="60" w:type="dxa"/>
              <w:left w:w="120" w:type="dxa"/>
              <w:bottom w:w="30" w:type="dxa"/>
              <w:right w:w="120" w:type="dxa"/>
            </w:tcMar>
          </w:tcPr>
          <w:p w14:paraId="35261B63">
            <w:pPr>
              <w:spacing w:before="120" w:after="120" w:line="288" w:lineRule="auto"/>
              <w:ind w:left="0"/>
              <w:jc w:val="left"/>
            </w:pPr>
            <w:r>
              <w:rPr>
                <w:rFonts w:ascii="Arial" w:hAnsi="Arial" w:eastAsia="等线" w:cs="Arial"/>
                <w:sz w:val="22"/>
              </w:rPr>
              <w:t>美联储制定的规则，规定了保证金交易的初始保证金比例（通常为 50%），以及现金账户中交易结算的时间要求（如 T+2 结算）。</w:t>
            </w:r>
          </w:p>
        </w:tc>
      </w:tr>
      <w:tr w14:paraId="37129C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20E9AC49">
            <w:pPr>
              <w:spacing w:before="120" w:after="120" w:line="288" w:lineRule="auto"/>
              <w:ind w:left="0"/>
              <w:jc w:val="left"/>
            </w:pPr>
            <w:r>
              <w:rPr>
                <w:rFonts w:ascii="Arial" w:hAnsi="Arial" w:eastAsia="等线" w:cs="Arial"/>
                <w:b/>
                <w:sz w:val="22"/>
              </w:rPr>
              <w:t>Pattern Day Trader (PDT)</w:t>
            </w:r>
          </w:p>
        </w:tc>
        <w:tc>
          <w:tcPr>
            <w:tcW w:w="1170" w:type="dxa"/>
            <w:tcMar>
              <w:top w:w="60" w:type="dxa"/>
              <w:left w:w="120" w:type="dxa"/>
              <w:bottom w:w="30" w:type="dxa"/>
              <w:right w:w="120" w:type="dxa"/>
            </w:tcMar>
          </w:tcPr>
          <w:p w14:paraId="43DED75D">
            <w:pPr>
              <w:spacing w:before="120" w:after="120" w:line="288" w:lineRule="auto"/>
              <w:ind w:left="0"/>
              <w:jc w:val="left"/>
            </w:pPr>
            <w:r>
              <w:rPr>
                <w:rFonts w:ascii="Arial" w:hAnsi="Arial" w:eastAsia="等线" w:cs="Arial"/>
                <w:sz w:val="22"/>
              </w:rPr>
              <w:t>模式日内交易者</w:t>
            </w:r>
          </w:p>
        </w:tc>
        <w:tc>
          <w:tcPr>
            <w:tcW w:w="5295" w:type="dxa"/>
            <w:tcMar>
              <w:top w:w="60" w:type="dxa"/>
              <w:left w:w="120" w:type="dxa"/>
              <w:bottom w:w="30" w:type="dxa"/>
              <w:right w:w="120" w:type="dxa"/>
            </w:tcMar>
          </w:tcPr>
          <w:p w14:paraId="295F9080">
            <w:pPr>
              <w:spacing w:before="120" w:after="120" w:line="288" w:lineRule="auto"/>
              <w:ind w:left="0"/>
              <w:jc w:val="left"/>
            </w:pPr>
            <w:r>
              <w:rPr>
                <w:rFonts w:ascii="Arial" w:hAnsi="Arial" w:eastAsia="等线" w:cs="Arial"/>
                <w:sz w:val="22"/>
              </w:rPr>
              <w:t>在 5 个工作日内进行 4 次或以上日内交易（当天买入并卖出同一证券）的投资者，需满足最低账户净值要求（如 25,000 美元），否则受限。</w:t>
            </w:r>
          </w:p>
        </w:tc>
      </w:tr>
      <w:tr w14:paraId="17444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65CDCB59">
            <w:pPr>
              <w:spacing w:before="120" w:after="120" w:line="288" w:lineRule="auto"/>
              <w:ind w:left="0"/>
              <w:jc w:val="left"/>
            </w:pPr>
            <w:r>
              <w:rPr>
                <w:rFonts w:ascii="Arial" w:hAnsi="Arial" w:eastAsia="等线" w:cs="Arial"/>
                <w:b/>
                <w:sz w:val="22"/>
              </w:rPr>
              <w:t>Free Riding</w:t>
            </w:r>
          </w:p>
          <w:p w14:paraId="2C4EC9CD">
            <w:pPr>
              <w:spacing w:before="120" w:after="120" w:line="288" w:lineRule="auto"/>
              <w:ind w:left="0"/>
              <w:jc w:val="left"/>
            </w:pPr>
          </w:p>
        </w:tc>
        <w:tc>
          <w:tcPr>
            <w:tcW w:w="1170" w:type="dxa"/>
            <w:tcMar>
              <w:top w:w="60" w:type="dxa"/>
              <w:left w:w="120" w:type="dxa"/>
              <w:bottom w:w="30" w:type="dxa"/>
              <w:right w:w="120" w:type="dxa"/>
            </w:tcMar>
          </w:tcPr>
          <w:p w14:paraId="37EEE30A">
            <w:pPr>
              <w:spacing w:before="120" w:after="120" w:line="288" w:lineRule="auto"/>
              <w:ind w:left="0"/>
              <w:jc w:val="left"/>
            </w:pPr>
            <w:r>
              <w:rPr>
                <w:rFonts w:ascii="Arial" w:hAnsi="Arial" w:eastAsia="等线" w:cs="Arial"/>
                <w:sz w:val="22"/>
              </w:rPr>
              <w:t>违规透支交易</w:t>
            </w:r>
          </w:p>
        </w:tc>
        <w:tc>
          <w:tcPr>
            <w:tcW w:w="5295" w:type="dxa"/>
            <w:tcMar>
              <w:top w:w="60" w:type="dxa"/>
              <w:left w:w="120" w:type="dxa"/>
              <w:bottom w:w="30" w:type="dxa"/>
              <w:right w:w="120" w:type="dxa"/>
            </w:tcMar>
          </w:tcPr>
          <w:p w14:paraId="6F924146">
            <w:pPr>
              <w:spacing w:before="120" w:after="120" w:line="288" w:lineRule="auto"/>
              <w:ind w:left="0"/>
              <w:jc w:val="left"/>
            </w:pPr>
            <w:r>
              <w:rPr>
                <w:rFonts w:ascii="Arial" w:hAnsi="Arial" w:eastAsia="等线" w:cs="Arial"/>
                <w:sz w:val="22"/>
              </w:rPr>
              <w:t>现金账户中，投资者用尚未完成结算的资金买入证券，并在资金到账前卖出该证券的行为，属于违规，可能导致账户限制。</w:t>
            </w:r>
          </w:p>
        </w:tc>
      </w:tr>
      <w:tr w14:paraId="3D192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F24A3C1">
            <w:pPr>
              <w:spacing w:before="120" w:after="120" w:line="288" w:lineRule="auto"/>
              <w:ind w:left="0"/>
              <w:jc w:val="left"/>
            </w:pPr>
            <w:r>
              <w:rPr>
                <w:rFonts w:ascii="Arial" w:hAnsi="Arial" w:eastAsia="等线" w:cs="Arial"/>
                <w:b/>
                <w:sz w:val="22"/>
              </w:rPr>
              <w:t>Margin Call</w:t>
            </w:r>
          </w:p>
          <w:p w14:paraId="3905C18A">
            <w:pPr>
              <w:spacing w:before="120" w:after="120" w:line="288" w:lineRule="auto"/>
              <w:ind w:left="0"/>
              <w:jc w:val="left"/>
            </w:pPr>
          </w:p>
        </w:tc>
        <w:tc>
          <w:tcPr>
            <w:tcW w:w="1170" w:type="dxa"/>
            <w:tcMar>
              <w:top w:w="60" w:type="dxa"/>
              <w:left w:w="120" w:type="dxa"/>
              <w:bottom w:w="30" w:type="dxa"/>
              <w:right w:w="120" w:type="dxa"/>
            </w:tcMar>
          </w:tcPr>
          <w:p w14:paraId="3281CA40">
            <w:pPr>
              <w:spacing w:before="120" w:after="120" w:line="288" w:lineRule="auto"/>
              <w:ind w:left="0"/>
              <w:jc w:val="left"/>
            </w:pPr>
            <w:r>
              <w:rPr>
                <w:rFonts w:ascii="Arial" w:hAnsi="Arial" w:eastAsia="等线" w:cs="Arial"/>
                <w:sz w:val="22"/>
              </w:rPr>
              <w:t>保证金催缴</w:t>
            </w:r>
          </w:p>
        </w:tc>
        <w:tc>
          <w:tcPr>
            <w:tcW w:w="5295" w:type="dxa"/>
            <w:tcMar>
              <w:top w:w="60" w:type="dxa"/>
              <w:left w:w="120" w:type="dxa"/>
              <w:bottom w:w="30" w:type="dxa"/>
              <w:right w:w="120" w:type="dxa"/>
            </w:tcMar>
          </w:tcPr>
          <w:p w14:paraId="408605C0">
            <w:pPr>
              <w:spacing w:before="120" w:after="120" w:line="288" w:lineRule="auto"/>
              <w:ind w:left="0"/>
              <w:jc w:val="left"/>
            </w:pPr>
            <w:r>
              <w:rPr>
                <w:rFonts w:ascii="Arial" w:hAnsi="Arial" w:eastAsia="等线" w:cs="Arial"/>
                <w:sz w:val="22"/>
              </w:rPr>
              <w:t>当保证金账户的自有资金比例低于维持保证金时，券商要求投资者补缴资金或证券的通知，未及时补缴可能导致券商强制平仓。</w:t>
            </w:r>
          </w:p>
        </w:tc>
      </w:tr>
      <w:tr w14:paraId="5A328F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1956957B">
            <w:pPr>
              <w:spacing w:before="120" w:after="120" w:line="288" w:lineRule="auto"/>
              <w:ind w:left="0"/>
              <w:jc w:val="left"/>
            </w:pPr>
            <w:r>
              <w:rPr>
                <w:rFonts w:ascii="Arial" w:hAnsi="Arial" w:eastAsia="等线" w:cs="Arial"/>
                <w:b/>
                <w:sz w:val="22"/>
              </w:rPr>
              <w:t>Liquidation</w:t>
            </w:r>
          </w:p>
        </w:tc>
        <w:tc>
          <w:tcPr>
            <w:tcW w:w="1170" w:type="dxa"/>
            <w:tcMar>
              <w:top w:w="60" w:type="dxa"/>
              <w:left w:w="120" w:type="dxa"/>
              <w:bottom w:w="30" w:type="dxa"/>
              <w:right w:w="120" w:type="dxa"/>
            </w:tcMar>
          </w:tcPr>
          <w:p w14:paraId="67F9A1AD">
            <w:pPr>
              <w:spacing w:before="120" w:after="120" w:line="288" w:lineRule="auto"/>
              <w:ind w:left="0"/>
              <w:jc w:val="left"/>
            </w:pPr>
            <w:r>
              <w:rPr>
                <w:rFonts w:ascii="Arial" w:hAnsi="Arial" w:eastAsia="等线" w:cs="Arial"/>
                <w:sz w:val="22"/>
              </w:rPr>
              <w:t>平仓</w:t>
            </w:r>
          </w:p>
          <w:p w14:paraId="284CFD9E">
            <w:pPr>
              <w:spacing w:before="120" w:after="120" w:line="288" w:lineRule="auto"/>
              <w:ind w:left="0"/>
              <w:jc w:val="left"/>
            </w:pPr>
          </w:p>
        </w:tc>
        <w:tc>
          <w:tcPr>
            <w:tcW w:w="5295" w:type="dxa"/>
            <w:tcMar>
              <w:top w:w="60" w:type="dxa"/>
              <w:left w:w="120" w:type="dxa"/>
              <w:bottom w:w="30" w:type="dxa"/>
              <w:right w:w="120" w:type="dxa"/>
            </w:tcMar>
          </w:tcPr>
          <w:p w14:paraId="6B5E9B49">
            <w:pPr>
              <w:spacing w:before="120" w:after="120" w:line="288" w:lineRule="auto"/>
              <w:ind w:left="0"/>
              <w:jc w:val="left"/>
            </w:pPr>
            <w:r>
              <w:rPr>
                <w:rFonts w:ascii="Arial" w:hAnsi="Arial" w:eastAsia="等线" w:cs="Arial"/>
                <w:sz w:val="22"/>
              </w:rPr>
              <w:t>券商为满足保证金要求或应对客户违约，强制卖出客户账户中证券的行为，通常按 “最佳执行” 原则进行，以降低客户损失。</w:t>
            </w:r>
          </w:p>
        </w:tc>
      </w:tr>
      <w:tr w14:paraId="001454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F79B62D">
            <w:pPr>
              <w:spacing w:before="120" w:after="120" w:line="288" w:lineRule="auto"/>
              <w:ind w:left="0"/>
              <w:jc w:val="left"/>
            </w:pPr>
            <w:r>
              <w:rPr>
                <w:rFonts w:ascii="Arial" w:hAnsi="Arial" w:eastAsia="等线" w:cs="Arial"/>
                <w:b/>
                <w:sz w:val="22"/>
              </w:rPr>
              <w:t>Customer Complaint</w:t>
            </w:r>
          </w:p>
        </w:tc>
        <w:tc>
          <w:tcPr>
            <w:tcW w:w="1170" w:type="dxa"/>
            <w:tcMar>
              <w:top w:w="60" w:type="dxa"/>
              <w:left w:w="120" w:type="dxa"/>
              <w:bottom w:w="30" w:type="dxa"/>
              <w:right w:w="120" w:type="dxa"/>
            </w:tcMar>
          </w:tcPr>
          <w:p w14:paraId="2DF3F263">
            <w:pPr>
              <w:spacing w:before="120" w:after="120" w:line="288" w:lineRule="auto"/>
              <w:ind w:left="0"/>
              <w:jc w:val="left"/>
            </w:pPr>
            <w:r>
              <w:rPr>
                <w:rFonts w:ascii="Arial" w:hAnsi="Arial" w:eastAsia="等线" w:cs="Arial"/>
                <w:sz w:val="22"/>
              </w:rPr>
              <w:t>客户投诉</w:t>
            </w:r>
          </w:p>
        </w:tc>
        <w:tc>
          <w:tcPr>
            <w:tcW w:w="5295" w:type="dxa"/>
            <w:tcMar>
              <w:top w:w="60" w:type="dxa"/>
              <w:left w:w="120" w:type="dxa"/>
              <w:bottom w:w="30" w:type="dxa"/>
              <w:right w:w="120" w:type="dxa"/>
            </w:tcMar>
          </w:tcPr>
          <w:p w14:paraId="23FB8580">
            <w:pPr>
              <w:spacing w:before="120" w:after="120" w:line="288" w:lineRule="auto"/>
              <w:ind w:left="0"/>
              <w:jc w:val="left"/>
            </w:pPr>
            <w:r>
              <w:rPr>
                <w:rFonts w:ascii="Arial" w:hAnsi="Arial" w:eastAsia="等线" w:cs="Arial"/>
                <w:sz w:val="22"/>
              </w:rPr>
              <w:t>客户对账户服务、交易执行、收费等方面的不满反馈，券商需按监管要求记录、调查并妥善处理，部分投诉需上报监管机构。</w:t>
            </w:r>
          </w:p>
        </w:tc>
      </w:tr>
    </w:tbl>
    <w:p w14:paraId="02FE1D66">
      <w:pPr>
        <w:spacing w:before="320" w:after="120" w:line="288" w:lineRule="auto"/>
        <w:ind w:left="0"/>
        <w:jc w:val="left"/>
        <w:outlineLvl w:val="1"/>
      </w:pPr>
      <w:bookmarkStart w:id="31" w:name="heading_31"/>
      <w:r>
        <w:rPr>
          <w:rFonts w:ascii="Arial" w:hAnsi="Arial" w:eastAsia="等线" w:cs="Arial"/>
          <w:color w:val="3370FF"/>
          <w:sz w:val="32"/>
        </w:rPr>
        <w:t xml:space="preserve">4.5 </w:t>
      </w:r>
      <w:r>
        <w:rPr>
          <w:rFonts w:ascii="Arial" w:hAnsi="Arial" w:eastAsia="等线" w:cs="Arial"/>
          <w:b/>
          <w:sz w:val="32"/>
        </w:rPr>
        <w:t>账户文件与记录保存</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1170"/>
        <w:gridCol w:w="5295"/>
      </w:tblGrid>
      <w:tr w14:paraId="200FC5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89F36CB">
            <w:pPr>
              <w:spacing w:before="120" w:after="120" w:line="288" w:lineRule="auto"/>
              <w:ind w:left="0"/>
              <w:jc w:val="left"/>
            </w:pPr>
            <w:r>
              <w:rPr>
                <w:rFonts w:ascii="Arial" w:hAnsi="Arial" w:eastAsia="等线" w:cs="Arial"/>
                <w:b/>
                <w:sz w:val="22"/>
              </w:rPr>
              <w:t>英文词汇</w:t>
            </w:r>
          </w:p>
        </w:tc>
        <w:tc>
          <w:tcPr>
            <w:tcW w:w="1170" w:type="dxa"/>
            <w:tcMar>
              <w:top w:w="60" w:type="dxa"/>
              <w:left w:w="120" w:type="dxa"/>
              <w:bottom w:w="30" w:type="dxa"/>
              <w:right w:w="120" w:type="dxa"/>
            </w:tcMar>
          </w:tcPr>
          <w:p w14:paraId="3B680067">
            <w:pPr>
              <w:spacing w:before="120" w:after="120" w:line="288" w:lineRule="auto"/>
              <w:ind w:left="0"/>
              <w:jc w:val="left"/>
            </w:pPr>
            <w:r>
              <w:rPr>
                <w:rFonts w:ascii="Arial" w:hAnsi="Arial" w:eastAsia="等线" w:cs="Arial"/>
                <w:b/>
                <w:sz w:val="22"/>
              </w:rPr>
              <w:t>中文释义</w:t>
            </w:r>
          </w:p>
        </w:tc>
        <w:tc>
          <w:tcPr>
            <w:tcW w:w="5295" w:type="dxa"/>
            <w:tcMar>
              <w:top w:w="60" w:type="dxa"/>
              <w:left w:w="120" w:type="dxa"/>
              <w:bottom w:w="30" w:type="dxa"/>
              <w:right w:w="120" w:type="dxa"/>
            </w:tcMar>
          </w:tcPr>
          <w:p w14:paraId="17A017FB">
            <w:pPr>
              <w:spacing w:before="120" w:after="120" w:line="288" w:lineRule="auto"/>
              <w:ind w:left="0"/>
              <w:jc w:val="left"/>
            </w:pPr>
            <w:r>
              <w:rPr>
                <w:rFonts w:ascii="Arial" w:hAnsi="Arial" w:eastAsia="等线" w:cs="Arial"/>
                <w:b/>
                <w:sz w:val="22"/>
              </w:rPr>
              <w:t>核心要点</w:t>
            </w:r>
          </w:p>
        </w:tc>
      </w:tr>
      <w:tr w14:paraId="5C4372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4AFF4E9">
            <w:pPr>
              <w:spacing w:before="120" w:after="120" w:line="288" w:lineRule="auto"/>
              <w:ind w:left="0"/>
              <w:jc w:val="left"/>
            </w:pPr>
            <w:r>
              <w:rPr>
                <w:rFonts w:ascii="Arial" w:hAnsi="Arial" w:eastAsia="等线" w:cs="Arial"/>
                <w:b/>
                <w:sz w:val="22"/>
              </w:rPr>
              <w:t>Account Records</w:t>
            </w:r>
          </w:p>
          <w:p w14:paraId="28F8CE95">
            <w:pPr>
              <w:spacing w:before="120" w:after="120" w:line="288" w:lineRule="auto"/>
              <w:ind w:left="0"/>
              <w:jc w:val="left"/>
            </w:pPr>
          </w:p>
        </w:tc>
        <w:tc>
          <w:tcPr>
            <w:tcW w:w="1170" w:type="dxa"/>
            <w:tcMar>
              <w:top w:w="60" w:type="dxa"/>
              <w:left w:w="120" w:type="dxa"/>
              <w:bottom w:w="30" w:type="dxa"/>
              <w:right w:w="120" w:type="dxa"/>
            </w:tcMar>
          </w:tcPr>
          <w:p w14:paraId="39326039">
            <w:pPr>
              <w:spacing w:before="120" w:after="120" w:line="288" w:lineRule="auto"/>
              <w:ind w:left="0"/>
              <w:jc w:val="left"/>
            </w:pPr>
            <w:r>
              <w:rPr>
                <w:rFonts w:ascii="Arial" w:hAnsi="Arial" w:eastAsia="等线" w:cs="Arial"/>
                <w:sz w:val="22"/>
              </w:rPr>
              <w:t>账户记录</w:t>
            </w:r>
          </w:p>
        </w:tc>
        <w:tc>
          <w:tcPr>
            <w:tcW w:w="5295" w:type="dxa"/>
            <w:tcMar>
              <w:top w:w="60" w:type="dxa"/>
              <w:left w:w="120" w:type="dxa"/>
              <w:bottom w:w="30" w:type="dxa"/>
              <w:right w:w="120" w:type="dxa"/>
            </w:tcMar>
          </w:tcPr>
          <w:p w14:paraId="3FC330D5">
            <w:pPr>
              <w:spacing w:before="120" w:after="120" w:line="288" w:lineRule="auto"/>
              <w:ind w:left="0"/>
              <w:jc w:val="left"/>
            </w:pPr>
            <w:r>
              <w:rPr>
                <w:rFonts w:ascii="Arial" w:hAnsi="Arial" w:eastAsia="等线" w:cs="Arial"/>
                <w:sz w:val="22"/>
              </w:rPr>
              <w:t>券商保存的与客户账户相关的所有文件，包括申请表、交易记录、对账单、授权文件等，需按监管要求保留一定年限（如美国通常为 6 年）。</w:t>
            </w:r>
          </w:p>
        </w:tc>
      </w:tr>
      <w:tr w14:paraId="5C6E5D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1B3731BD">
            <w:pPr>
              <w:spacing w:before="120" w:after="120" w:line="288" w:lineRule="auto"/>
              <w:ind w:left="0"/>
              <w:jc w:val="left"/>
            </w:pPr>
            <w:r>
              <w:rPr>
                <w:rFonts w:ascii="Arial" w:hAnsi="Arial" w:eastAsia="等线" w:cs="Arial"/>
                <w:b/>
                <w:sz w:val="22"/>
              </w:rPr>
              <w:t>Trade Ticket</w:t>
            </w:r>
          </w:p>
          <w:p w14:paraId="4DC9B65E">
            <w:pPr>
              <w:spacing w:before="120" w:after="120" w:line="288" w:lineRule="auto"/>
              <w:ind w:left="0"/>
              <w:jc w:val="left"/>
            </w:pPr>
          </w:p>
        </w:tc>
        <w:tc>
          <w:tcPr>
            <w:tcW w:w="1170" w:type="dxa"/>
            <w:tcMar>
              <w:top w:w="60" w:type="dxa"/>
              <w:left w:w="120" w:type="dxa"/>
              <w:bottom w:w="30" w:type="dxa"/>
              <w:right w:w="120" w:type="dxa"/>
            </w:tcMar>
          </w:tcPr>
          <w:p w14:paraId="5D87FBA7">
            <w:pPr>
              <w:spacing w:before="120" w:after="120" w:line="288" w:lineRule="auto"/>
              <w:ind w:left="0"/>
              <w:jc w:val="left"/>
            </w:pPr>
            <w:r>
              <w:rPr>
                <w:rFonts w:ascii="Arial" w:hAnsi="Arial" w:eastAsia="等线" w:cs="Arial"/>
                <w:sz w:val="22"/>
              </w:rPr>
              <w:t>交易指令单</w:t>
            </w:r>
          </w:p>
        </w:tc>
        <w:tc>
          <w:tcPr>
            <w:tcW w:w="5295" w:type="dxa"/>
            <w:tcMar>
              <w:top w:w="60" w:type="dxa"/>
              <w:left w:w="120" w:type="dxa"/>
              <w:bottom w:w="30" w:type="dxa"/>
              <w:right w:w="120" w:type="dxa"/>
            </w:tcMar>
          </w:tcPr>
          <w:p w14:paraId="5371507A">
            <w:pPr>
              <w:spacing w:before="120" w:after="120" w:line="288" w:lineRule="auto"/>
              <w:ind w:left="0"/>
              <w:jc w:val="left"/>
            </w:pPr>
            <w:r>
              <w:rPr>
                <w:rFonts w:ascii="Arial" w:hAnsi="Arial" w:eastAsia="等线" w:cs="Arial"/>
                <w:sz w:val="22"/>
              </w:rPr>
              <w:t>记录客户交易指令详情的文件（如买入 / 卖出、品种、数量、价格类型），是交易执行的原始凭证，需准确无误并妥善存档。</w:t>
            </w:r>
          </w:p>
        </w:tc>
      </w:tr>
      <w:tr w14:paraId="3DDCE5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253E670">
            <w:pPr>
              <w:spacing w:before="120" w:after="120" w:line="288" w:lineRule="auto"/>
              <w:ind w:left="0"/>
              <w:jc w:val="left"/>
            </w:pPr>
            <w:r>
              <w:rPr>
                <w:rFonts w:ascii="Arial" w:hAnsi="Arial" w:eastAsia="等线" w:cs="Arial"/>
                <w:b/>
                <w:sz w:val="22"/>
              </w:rPr>
              <w:t>Risk Disclosure Document</w:t>
            </w:r>
          </w:p>
        </w:tc>
        <w:tc>
          <w:tcPr>
            <w:tcW w:w="1170" w:type="dxa"/>
            <w:tcMar>
              <w:top w:w="60" w:type="dxa"/>
              <w:left w:w="120" w:type="dxa"/>
              <w:bottom w:w="30" w:type="dxa"/>
              <w:right w:w="120" w:type="dxa"/>
            </w:tcMar>
          </w:tcPr>
          <w:p w14:paraId="6AFD96FC">
            <w:pPr>
              <w:spacing w:before="120" w:after="120" w:line="288" w:lineRule="auto"/>
              <w:ind w:left="0"/>
              <w:jc w:val="left"/>
            </w:pPr>
            <w:r>
              <w:rPr>
                <w:rFonts w:ascii="Arial" w:hAnsi="Arial" w:eastAsia="等线" w:cs="Arial"/>
                <w:sz w:val="22"/>
              </w:rPr>
              <w:t>风险披露文件</w:t>
            </w:r>
          </w:p>
        </w:tc>
        <w:tc>
          <w:tcPr>
            <w:tcW w:w="5295" w:type="dxa"/>
            <w:tcMar>
              <w:top w:w="60" w:type="dxa"/>
              <w:left w:w="120" w:type="dxa"/>
              <w:bottom w:w="30" w:type="dxa"/>
              <w:right w:w="120" w:type="dxa"/>
            </w:tcMar>
          </w:tcPr>
          <w:p w14:paraId="1C0E0EC7">
            <w:pPr>
              <w:spacing w:before="120" w:after="120" w:line="288" w:lineRule="auto"/>
              <w:ind w:left="0"/>
              <w:jc w:val="left"/>
            </w:pPr>
            <w:r>
              <w:rPr>
                <w:rFonts w:ascii="Arial" w:hAnsi="Arial" w:eastAsia="等线" w:cs="Arial"/>
                <w:sz w:val="22"/>
              </w:rPr>
              <w:t>券商向客户提供的说明投资风险、费用结构、服务条款等内容的文件（如期权披露文件 ODD），确保客户充分知情。</w:t>
            </w:r>
          </w:p>
        </w:tc>
      </w:tr>
      <w:tr w14:paraId="00FBAB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4121F64D">
            <w:pPr>
              <w:spacing w:before="120" w:after="120" w:line="288" w:lineRule="auto"/>
              <w:ind w:left="0"/>
              <w:jc w:val="left"/>
            </w:pPr>
            <w:r>
              <w:rPr>
                <w:rFonts w:ascii="Arial" w:hAnsi="Arial" w:eastAsia="等线" w:cs="Arial"/>
                <w:b/>
                <w:sz w:val="22"/>
              </w:rPr>
              <w:t>Consent Form</w:t>
            </w:r>
          </w:p>
          <w:p w14:paraId="129BA95A">
            <w:pPr>
              <w:spacing w:before="120" w:after="120" w:line="288" w:lineRule="auto"/>
              <w:ind w:left="0"/>
              <w:jc w:val="left"/>
            </w:pPr>
          </w:p>
        </w:tc>
        <w:tc>
          <w:tcPr>
            <w:tcW w:w="1170" w:type="dxa"/>
            <w:tcMar>
              <w:top w:w="60" w:type="dxa"/>
              <w:left w:w="120" w:type="dxa"/>
              <w:bottom w:w="30" w:type="dxa"/>
              <w:right w:w="120" w:type="dxa"/>
            </w:tcMar>
          </w:tcPr>
          <w:p w14:paraId="6C252522">
            <w:pPr>
              <w:spacing w:before="120" w:after="120" w:line="288" w:lineRule="auto"/>
              <w:ind w:left="0"/>
              <w:jc w:val="left"/>
            </w:pPr>
            <w:r>
              <w:rPr>
                <w:rFonts w:ascii="Arial" w:hAnsi="Arial" w:eastAsia="等线" w:cs="Arial"/>
                <w:sz w:val="22"/>
              </w:rPr>
              <w:t>同意书</w:t>
            </w:r>
          </w:p>
        </w:tc>
        <w:tc>
          <w:tcPr>
            <w:tcW w:w="5295" w:type="dxa"/>
            <w:tcMar>
              <w:top w:w="60" w:type="dxa"/>
              <w:left w:w="120" w:type="dxa"/>
              <w:bottom w:w="30" w:type="dxa"/>
              <w:right w:w="120" w:type="dxa"/>
            </w:tcMar>
          </w:tcPr>
          <w:p w14:paraId="69F25428">
            <w:pPr>
              <w:spacing w:before="120" w:after="120" w:line="288" w:lineRule="auto"/>
              <w:ind w:left="0"/>
              <w:jc w:val="left"/>
            </w:pPr>
            <w:r>
              <w:rPr>
                <w:rFonts w:ascii="Arial" w:hAnsi="Arial" w:eastAsia="等线" w:cs="Arial"/>
                <w:sz w:val="22"/>
              </w:rPr>
              <w:t>客户对特定账户操作（如电子对账单替代纸质对账单、信息共享）表示同意的书面文件，是合规操作的必要依据。</w:t>
            </w:r>
          </w:p>
        </w:tc>
      </w:tr>
    </w:tbl>
    <w:p w14:paraId="4BC57658">
      <w:pPr>
        <w:spacing w:before="120" w:after="120" w:line="288" w:lineRule="auto"/>
        <w:ind w:left="0"/>
        <w:jc w:val="left"/>
      </w:pPr>
    </w:p>
    <w:p w14:paraId="0EDB2584">
      <w:pPr>
        <w:spacing w:before="380" w:after="140" w:line="288" w:lineRule="auto"/>
        <w:ind w:left="0"/>
        <w:jc w:val="left"/>
        <w:outlineLvl w:val="0"/>
      </w:pPr>
      <w:bookmarkStart w:id="32" w:name="heading_32"/>
      <w:r>
        <w:rPr>
          <w:rFonts w:ascii="Arial" w:hAnsi="Arial" w:eastAsia="等线" w:cs="Arial"/>
          <w:color w:val="3370FF"/>
          <w:sz w:val="36"/>
        </w:rPr>
        <w:t xml:space="preserve">5. </w:t>
      </w:r>
      <w:r>
        <w:rPr>
          <w:rFonts w:ascii="Arial" w:hAnsi="Arial" w:eastAsia="等线" w:cs="Arial"/>
          <w:b/>
          <w:sz w:val="36"/>
        </w:rPr>
        <w:t>例题及答案</w:t>
      </w:r>
      <w:bookmarkEnd w:id="32"/>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EA958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40FC93C0">
            <w:pPr>
              <w:numPr>
                <w:ilvl w:val="0"/>
                <w:numId w:val="77"/>
              </w:numPr>
              <w:spacing w:before="120" w:after="120" w:line="288" w:lineRule="auto"/>
              <w:ind w:left="0"/>
              <w:jc w:val="left"/>
            </w:pPr>
            <w:r>
              <w:rPr>
                <w:rFonts w:ascii="Arial" w:hAnsi="Arial" w:eastAsia="等线" w:cs="Arial"/>
                <w:sz w:val="22"/>
              </w:rPr>
              <w:t>Which of the following people must sign a new account form?</w:t>
            </w:r>
          </w:p>
          <w:p w14:paraId="089D9387">
            <w:pPr>
              <w:spacing w:before="120" w:after="120" w:line="288" w:lineRule="auto"/>
              <w:ind w:left="0"/>
              <w:jc w:val="left"/>
            </w:pPr>
            <w:r>
              <w:rPr>
                <w:rFonts w:ascii="Arial" w:hAnsi="Arial" w:eastAsia="等线" w:cs="Arial"/>
                <w:sz w:val="22"/>
              </w:rPr>
              <w:t>I. The customer</w:t>
            </w:r>
          </w:p>
          <w:p w14:paraId="350CF2B3">
            <w:pPr>
              <w:spacing w:before="120" w:after="120" w:line="288" w:lineRule="auto"/>
              <w:ind w:left="0"/>
              <w:jc w:val="left"/>
            </w:pPr>
            <w:r>
              <w:rPr>
                <w:rFonts w:ascii="Arial" w:hAnsi="Arial" w:eastAsia="等线" w:cs="Arial"/>
                <w:sz w:val="22"/>
              </w:rPr>
              <w:t>II. The customer’s spouse</w:t>
            </w:r>
          </w:p>
          <w:p w14:paraId="442CB16B">
            <w:pPr>
              <w:spacing w:before="120" w:after="120" w:line="288" w:lineRule="auto"/>
              <w:ind w:left="0"/>
              <w:jc w:val="left"/>
            </w:pPr>
            <w:r>
              <w:rPr>
                <w:rFonts w:ascii="Arial" w:hAnsi="Arial" w:eastAsia="等线" w:cs="Arial"/>
                <w:sz w:val="22"/>
              </w:rPr>
              <w:t>III. The registered representative</w:t>
            </w:r>
          </w:p>
          <w:p w14:paraId="0155A4FD">
            <w:pPr>
              <w:spacing w:before="120" w:after="120" w:line="288" w:lineRule="auto"/>
              <w:ind w:left="0"/>
              <w:jc w:val="left"/>
            </w:pPr>
            <w:r>
              <w:rPr>
                <w:rFonts w:ascii="Arial" w:hAnsi="Arial" w:eastAsia="等线" w:cs="Arial"/>
                <w:sz w:val="22"/>
              </w:rPr>
              <w:t>IV. A principal</w:t>
            </w:r>
          </w:p>
          <w:p w14:paraId="223C58E9">
            <w:pPr>
              <w:spacing w:before="120" w:after="120" w:line="288" w:lineRule="auto"/>
              <w:ind w:left="0"/>
              <w:jc w:val="left"/>
            </w:pPr>
            <w:r>
              <w:rPr>
                <w:rFonts w:ascii="Arial" w:hAnsi="Arial" w:eastAsia="等线" w:cs="Arial"/>
                <w:sz w:val="22"/>
              </w:rPr>
              <w:t>(A) I and II only</w:t>
            </w:r>
          </w:p>
          <w:p w14:paraId="192C91D7">
            <w:pPr>
              <w:spacing w:before="120" w:after="120" w:line="288" w:lineRule="auto"/>
              <w:ind w:left="0"/>
              <w:jc w:val="left"/>
            </w:pPr>
            <w:r>
              <w:rPr>
                <w:rFonts w:ascii="Arial" w:hAnsi="Arial" w:eastAsia="等线" w:cs="Arial"/>
                <w:sz w:val="22"/>
              </w:rPr>
              <w:t>(B) IV only</w:t>
            </w:r>
          </w:p>
          <w:p w14:paraId="522ABE50">
            <w:pPr>
              <w:spacing w:before="120" w:after="120" w:line="288" w:lineRule="auto"/>
              <w:ind w:left="0"/>
              <w:jc w:val="left"/>
            </w:pPr>
            <w:r>
              <w:rPr>
                <w:rFonts w:ascii="Arial" w:hAnsi="Arial" w:eastAsia="等线" w:cs="Arial"/>
                <w:sz w:val="22"/>
              </w:rPr>
              <w:t>(C) I and IV only</w:t>
            </w:r>
          </w:p>
          <w:p w14:paraId="00E04266">
            <w:pPr>
              <w:spacing w:before="120" w:after="120" w:line="288" w:lineRule="auto"/>
              <w:ind w:left="0"/>
              <w:jc w:val="left"/>
            </w:pPr>
            <w:r>
              <w:rPr>
                <w:rFonts w:ascii="Arial" w:hAnsi="Arial" w:eastAsia="等线" w:cs="Arial"/>
                <w:sz w:val="22"/>
              </w:rPr>
              <w:t>(D) I, III, and IV only</w:t>
            </w:r>
          </w:p>
          <w:p w14:paraId="52E4C2F9">
            <w:pPr>
              <w:spacing w:before="120" w:after="120" w:line="288" w:lineRule="auto"/>
              <w:ind w:left="0"/>
              <w:jc w:val="left"/>
            </w:pPr>
          </w:p>
          <w:p w14:paraId="7E3F4AEC">
            <w:pPr>
              <w:numPr>
                <w:ilvl w:val="0"/>
                <w:numId w:val="78"/>
              </w:numPr>
              <w:spacing w:before="120" w:after="120" w:line="288" w:lineRule="auto"/>
              <w:ind w:left="0"/>
              <w:jc w:val="left"/>
            </w:pPr>
            <w:r>
              <w:rPr>
                <w:rFonts w:ascii="Arial" w:hAnsi="Arial" w:eastAsia="等线" w:cs="Arial"/>
                <w:sz w:val="22"/>
              </w:rPr>
              <w:t>All the following people may open a joint account EXCEPT</w:t>
            </w:r>
          </w:p>
          <w:p w14:paraId="003EBD04">
            <w:pPr>
              <w:spacing w:before="120" w:after="120" w:line="288" w:lineRule="auto"/>
              <w:ind w:left="0"/>
              <w:jc w:val="left"/>
            </w:pPr>
            <w:r>
              <w:rPr>
                <w:rFonts w:ascii="Arial" w:hAnsi="Arial" w:eastAsia="等线" w:cs="Arial"/>
                <w:sz w:val="22"/>
              </w:rPr>
              <w:t>A) two friends</w:t>
            </w:r>
          </w:p>
          <w:p w14:paraId="02FC8B1E">
            <w:pPr>
              <w:spacing w:before="120" w:after="120" w:line="288" w:lineRule="auto"/>
              <w:ind w:left="0"/>
              <w:jc w:val="left"/>
            </w:pPr>
            <w:r>
              <w:rPr>
                <w:rFonts w:ascii="Arial" w:hAnsi="Arial" w:eastAsia="等线" w:cs="Arial"/>
                <w:sz w:val="22"/>
              </w:rPr>
              <w:t>(B) a husband and wife</w:t>
            </w:r>
          </w:p>
          <w:p w14:paraId="734BA9C6">
            <w:pPr>
              <w:spacing w:before="120" w:after="120" w:line="288" w:lineRule="auto"/>
              <w:ind w:left="0"/>
              <w:jc w:val="left"/>
            </w:pPr>
            <w:r>
              <w:rPr>
                <w:rFonts w:ascii="Arial" w:hAnsi="Arial" w:eastAsia="等线" w:cs="Arial"/>
                <w:sz w:val="22"/>
              </w:rPr>
              <w:t>(C) a parent and minor son</w:t>
            </w:r>
          </w:p>
          <w:p w14:paraId="4F25E275">
            <w:pPr>
              <w:spacing w:before="120" w:after="120" w:line="288" w:lineRule="auto"/>
              <w:ind w:left="0"/>
              <w:jc w:val="left"/>
            </w:pPr>
            <w:r>
              <w:rPr>
                <w:rFonts w:ascii="Arial" w:hAnsi="Arial" w:eastAsia="等线" w:cs="Arial"/>
                <w:sz w:val="22"/>
              </w:rPr>
              <w:t>(D) three people who work together</w:t>
            </w:r>
          </w:p>
          <w:p w14:paraId="605C5A24">
            <w:pPr>
              <w:spacing w:before="120" w:after="120" w:line="288" w:lineRule="auto"/>
              <w:ind w:left="0"/>
              <w:jc w:val="left"/>
            </w:pPr>
          </w:p>
          <w:p w14:paraId="22E7A9BE">
            <w:pPr>
              <w:numPr>
                <w:ilvl w:val="0"/>
                <w:numId w:val="79"/>
              </w:numPr>
              <w:spacing w:before="120" w:after="120" w:line="288" w:lineRule="auto"/>
              <w:ind w:left="0"/>
              <w:jc w:val="left"/>
            </w:pPr>
            <w:r>
              <w:rPr>
                <w:rFonts w:ascii="Arial" w:hAnsi="Arial" w:eastAsia="等线" w:cs="Arial"/>
                <w:sz w:val="22"/>
              </w:rPr>
              <w:t>AylDec Corporation would like to open a margin account at Guess Right Broker–Dealer. To open</w:t>
            </w:r>
          </w:p>
          <w:p w14:paraId="125BAD50">
            <w:pPr>
              <w:spacing w:before="120" w:after="120" w:line="288" w:lineRule="auto"/>
              <w:ind w:left="0"/>
              <w:jc w:val="left"/>
            </w:pPr>
            <w:r>
              <w:rPr>
                <w:rFonts w:ascii="Arial" w:hAnsi="Arial" w:eastAsia="等线" w:cs="Arial"/>
                <w:sz w:val="22"/>
              </w:rPr>
              <w:t>the account, Guess Right would need</w:t>
            </w:r>
          </w:p>
          <w:p w14:paraId="6F822EA5">
            <w:pPr>
              <w:spacing w:before="120" w:after="120" w:line="288" w:lineRule="auto"/>
              <w:ind w:left="0"/>
              <w:jc w:val="left"/>
            </w:pPr>
            <w:r>
              <w:rPr>
                <w:rFonts w:ascii="Arial" w:hAnsi="Arial" w:eastAsia="等线" w:cs="Arial"/>
                <w:sz w:val="22"/>
              </w:rPr>
              <w:t>I. to fill out a new account form</w:t>
            </w:r>
          </w:p>
          <w:p w14:paraId="1943AA2B">
            <w:pPr>
              <w:spacing w:before="120" w:after="120" w:line="288" w:lineRule="auto"/>
              <w:ind w:left="0"/>
              <w:jc w:val="left"/>
            </w:pPr>
            <w:r>
              <w:rPr>
                <w:rFonts w:ascii="Arial" w:hAnsi="Arial" w:eastAsia="等线" w:cs="Arial"/>
                <w:sz w:val="22"/>
              </w:rPr>
              <w:t>II. a copy of the corporate resolution from AylDec</w:t>
            </w:r>
          </w:p>
          <w:p w14:paraId="6A090361">
            <w:pPr>
              <w:spacing w:before="120" w:after="120" w:line="288" w:lineRule="auto"/>
              <w:ind w:left="0"/>
              <w:jc w:val="left"/>
            </w:pPr>
            <w:r>
              <w:rPr>
                <w:rFonts w:ascii="Arial" w:hAnsi="Arial" w:eastAsia="等线" w:cs="Arial"/>
                <w:sz w:val="22"/>
              </w:rPr>
              <w:t>III. a copy of the corporate charter from AylDec</w:t>
            </w:r>
          </w:p>
          <w:p w14:paraId="1AA7D852">
            <w:pPr>
              <w:spacing w:before="120" w:after="120" w:line="288" w:lineRule="auto"/>
              <w:ind w:left="0"/>
              <w:jc w:val="left"/>
            </w:pPr>
            <w:r>
              <w:rPr>
                <w:rFonts w:ascii="Arial" w:hAnsi="Arial" w:eastAsia="等线" w:cs="Arial"/>
                <w:sz w:val="22"/>
              </w:rPr>
              <w:t>IV. a signed copy of the margin agreement</w:t>
            </w:r>
          </w:p>
          <w:p w14:paraId="1D58F525">
            <w:pPr>
              <w:spacing w:before="120" w:after="120" w:line="288" w:lineRule="auto"/>
              <w:ind w:left="0"/>
              <w:jc w:val="left"/>
            </w:pPr>
            <w:r>
              <w:rPr>
                <w:rFonts w:ascii="Arial" w:hAnsi="Arial" w:eastAsia="等线" w:cs="Arial"/>
                <w:sz w:val="22"/>
              </w:rPr>
              <w:t>(A) II and IV</w:t>
            </w:r>
          </w:p>
          <w:p w14:paraId="03807F1B">
            <w:pPr>
              <w:spacing w:before="120" w:after="120" w:line="288" w:lineRule="auto"/>
              <w:ind w:left="0"/>
              <w:jc w:val="left"/>
            </w:pPr>
            <w:r>
              <w:rPr>
                <w:rFonts w:ascii="Arial" w:hAnsi="Arial" w:eastAsia="等线" w:cs="Arial"/>
                <w:sz w:val="22"/>
              </w:rPr>
              <w:t>(B) I and IV</w:t>
            </w:r>
          </w:p>
          <w:p w14:paraId="3ED05B5D">
            <w:pPr>
              <w:spacing w:before="120" w:after="120" w:line="288" w:lineRule="auto"/>
              <w:ind w:left="0"/>
              <w:jc w:val="left"/>
            </w:pPr>
            <w:r>
              <w:rPr>
                <w:rFonts w:ascii="Arial" w:hAnsi="Arial" w:eastAsia="等线" w:cs="Arial"/>
                <w:sz w:val="22"/>
              </w:rPr>
              <w:t>(C) I, II, and IV</w:t>
            </w:r>
          </w:p>
          <w:p w14:paraId="3426255E">
            <w:pPr>
              <w:spacing w:before="120" w:after="120" w:line="288" w:lineRule="auto"/>
              <w:ind w:left="0"/>
              <w:jc w:val="left"/>
            </w:pPr>
            <w:r>
              <w:rPr>
                <w:rFonts w:ascii="Arial" w:hAnsi="Arial" w:eastAsia="等线" w:cs="Arial"/>
                <w:sz w:val="22"/>
              </w:rPr>
              <w:t>(D) I, II, III, and IV</w:t>
            </w:r>
          </w:p>
          <w:p w14:paraId="5A595CB4">
            <w:pPr>
              <w:spacing w:before="120" w:after="120" w:line="288" w:lineRule="auto"/>
              <w:ind w:left="0"/>
              <w:jc w:val="left"/>
            </w:pPr>
          </w:p>
          <w:p w14:paraId="048AC80B">
            <w:pPr>
              <w:numPr>
                <w:ilvl w:val="0"/>
                <w:numId w:val="80"/>
              </w:numPr>
              <w:spacing w:before="120" w:after="120" w:line="288" w:lineRule="auto"/>
              <w:ind w:left="0"/>
              <w:jc w:val="left"/>
            </w:pPr>
            <w:r>
              <w:rPr>
                <w:rFonts w:ascii="Arial" w:hAnsi="Arial" w:eastAsia="等线" w:cs="Arial"/>
                <w:sz w:val="22"/>
              </w:rPr>
              <w:t>In an initial transaction in a margin account, Alyssa Hudson purchases 100 shares of Hopeful</w:t>
            </w:r>
          </w:p>
          <w:p w14:paraId="0B9EC860">
            <w:pPr>
              <w:spacing w:before="120" w:after="120" w:line="288" w:lineRule="auto"/>
              <w:ind w:left="0"/>
              <w:jc w:val="left"/>
            </w:pPr>
            <w:r>
              <w:rPr>
                <w:rFonts w:ascii="Arial" w:hAnsi="Arial" w:eastAsia="等线" w:cs="Arial"/>
                <w:sz w:val="22"/>
              </w:rPr>
              <w:t>Corporation common stock at $12 per share. How much must Alyssa deposit to meet the margin</w:t>
            </w:r>
          </w:p>
          <w:p w14:paraId="5A1BB613">
            <w:pPr>
              <w:spacing w:before="120" w:after="120" w:line="288" w:lineRule="auto"/>
              <w:ind w:left="0"/>
              <w:jc w:val="left"/>
            </w:pPr>
            <w:r>
              <w:rPr>
                <w:rFonts w:ascii="Arial" w:hAnsi="Arial" w:eastAsia="等线" w:cs="Arial"/>
                <w:sz w:val="22"/>
              </w:rPr>
              <w:t>requirement?</w:t>
            </w:r>
          </w:p>
          <w:p w14:paraId="0A4C18D4">
            <w:pPr>
              <w:spacing w:before="120" w:after="120" w:line="288" w:lineRule="auto"/>
              <w:ind w:left="0"/>
              <w:jc w:val="left"/>
            </w:pPr>
            <w:r>
              <w:rPr>
                <w:rFonts w:ascii="Arial" w:hAnsi="Arial" w:eastAsia="等线" w:cs="Arial"/>
                <w:sz w:val="22"/>
              </w:rPr>
              <w:t>(A) $600</w:t>
            </w:r>
          </w:p>
          <w:p w14:paraId="66B19335">
            <w:pPr>
              <w:spacing w:before="120" w:after="120" w:line="288" w:lineRule="auto"/>
              <w:ind w:left="0"/>
              <w:jc w:val="left"/>
            </w:pPr>
            <w:r>
              <w:rPr>
                <w:rFonts w:ascii="Arial" w:hAnsi="Arial" w:eastAsia="等线" w:cs="Arial"/>
                <w:sz w:val="22"/>
              </w:rPr>
              <w:t>(B) $1,200</w:t>
            </w:r>
          </w:p>
          <w:p w14:paraId="77689203">
            <w:pPr>
              <w:spacing w:before="120" w:after="120" w:line="288" w:lineRule="auto"/>
              <w:ind w:left="0"/>
              <w:jc w:val="left"/>
            </w:pPr>
            <w:r>
              <w:rPr>
                <w:rFonts w:ascii="Arial" w:hAnsi="Arial" w:eastAsia="等线" w:cs="Arial"/>
                <w:sz w:val="22"/>
              </w:rPr>
              <w:t>(C) $2,000</w:t>
            </w:r>
          </w:p>
          <w:p w14:paraId="187D264D">
            <w:pPr>
              <w:spacing w:before="120" w:after="120" w:line="288" w:lineRule="auto"/>
              <w:ind w:left="0"/>
              <w:jc w:val="left"/>
            </w:pPr>
            <w:r>
              <w:rPr>
                <w:rFonts w:ascii="Arial" w:hAnsi="Arial" w:eastAsia="等线" w:cs="Arial"/>
                <w:sz w:val="22"/>
              </w:rPr>
              <w:t>(D) Cannot be determine</w:t>
            </w:r>
          </w:p>
          <w:p w14:paraId="6480E8D2">
            <w:pPr>
              <w:spacing w:before="120" w:after="120" w:line="288" w:lineRule="auto"/>
              <w:ind w:left="0"/>
              <w:jc w:val="left"/>
            </w:pPr>
          </w:p>
          <w:p w14:paraId="20C482A8">
            <w:pPr>
              <w:numPr>
                <w:ilvl w:val="0"/>
                <w:numId w:val="81"/>
              </w:numPr>
              <w:spacing w:before="120" w:after="120" w:line="288" w:lineRule="auto"/>
              <w:ind w:left="0"/>
              <w:jc w:val="left"/>
            </w:pPr>
            <w:r>
              <w:rPr>
                <w:rFonts w:ascii="Arial" w:hAnsi="Arial" w:eastAsia="等线" w:cs="Arial"/>
                <w:sz w:val="22"/>
              </w:rPr>
              <w:t>All of the following are true about UGMA accounts EXCEPT</w:t>
            </w:r>
          </w:p>
          <w:p w14:paraId="49A08E21">
            <w:pPr>
              <w:spacing w:before="120" w:after="120" w:line="288" w:lineRule="auto"/>
              <w:ind w:left="0"/>
              <w:jc w:val="left"/>
            </w:pPr>
            <w:r>
              <w:rPr>
                <w:rFonts w:ascii="Arial" w:hAnsi="Arial" w:eastAsia="等线" w:cs="Arial"/>
                <w:sz w:val="22"/>
              </w:rPr>
              <w:t>(A) parents of a minor can be joint custodians.</w:t>
            </w:r>
          </w:p>
          <w:p w14:paraId="20F6435D">
            <w:pPr>
              <w:spacing w:before="120" w:after="120" w:line="288" w:lineRule="auto"/>
              <w:ind w:left="0"/>
              <w:jc w:val="left"/>
            </w:pPr>
            <w:r>
              <w:rPr>
                <w:rFonts w:ascii="Arial" w:hAnsi="Arial" w:eastAsia="等线" w:cs="Arial"/>
                <w:sz w:val="22"/>
              </w:rPr>
              <w:t>(B) securities held in the account cannot be sold short or traded on margin.</w:t>
            </w:r>
          </w:p>
          <w:p w14:paraId="5BD862D0">
            <w:pPr>
              <w:spacing w:before="120" w:after="120" w:line="288" w:lineRule="auto"/>
              <w:ind w:left="0"/>
              <w:jc w:val="left"/>
            </w:pPr>
            <w:r>
              <w:rPr>
                <w:rFonts w:ascii="Arial" w:hAnsi="Arial" w:eastAsia="等线" w:cs="Arial"/>
                <w:sz w:val="22"/>
              </w:rPr>
              <w:t>(C) gifts of securities to the minor are irrevocable.</w:t>
            </w:r>
          </w:p>
          <w:p w14:paraId="7BC2829C">
            <w:pPr>
              <w:spacing w:before="120" w:after="120" w:line="288" w:lineRule="auto"/>
              <w:ind w:left="0"/>
              <w:jc w:val="left"/>
            </w:pPr>
            <w:r>
              <w:rPr>
                <w:rFonts w:ascii="Arial" w:hAnsi="Arial" w:eastAsia="等线" w:cs="Arial"/>
                <w:sz w:val="22"/>
              </w:rPr>
              <w:t>(D) they can’t be held in street name.</w:t>
            </w:r>
          </w:p>
          <w:p w14:paraId="34A96FE1">
            <w:pPr>
              <w:spacing w:before="120" w:after="120" w:line="288" w:lineRule="auto"/>
              <w:ind w:left="0"/>
              <w:jc w:val="left"/>
            </w:pPr>
          </w:p>
          <w:p w14:paraId="5A22B9E2">
            <w:pPr>
              <w:numPr>
                <w:ilvl w:val="0"/>
                <w:numId w:val="82"/>
              </w:numPr>
              <w:spacing w:before="120" w:after="120" w:line="288" w:lineRule="auto"/>
              <w:ind w:left="0"/>
              <w:jc w:val="left"/>
            </w:pPr>
            <w:r>
              <w:rPr>
                <w:rFonts w:ascii="Arial" w:hAnsi="Arial" w:eastAsia="等线" w:cs="Arial"/>
                <w:sz w:val="22"/>
              </w:rPr>
              <w:t>Which of the following DOES NOT have to be included on a new account form?</w:t>
            </w:r>
          </w:p>
          <w:p w14:paraId="5629DA1D">
            <w:pPr>
              <w:spacing w:before="120" w:after="120" w:line="288" w:lineRule="auto"/>
              <w:ind w:left="0"/>
              <w:jc w:val="left"/>
            </w:pPr>
            <w:r>
              <w:rPr>
                <w:rFonts w:ascii="Arial" w:hAnsi="Arial" w:eastAsia="等线" w:cs="Arial"/>
                <w:sz w:val="22"/>
              </w:rPr>
              <w:t>(A) The customer’s signature</w:t>
            </w:r>
          </w:p>
          <w:p w14:paraId="77203361">
            <w:pPr>
              <w:spacing w:before="120" w:after="120" w:line="288" w:lineRule="auto"/>
              <w:ind w:left="0"/>
              <w:jc w:val="left"/>
            </w:pPr>
            <w:r>
              <w:rPr>
                <w:rFonts w:ascii="Arial" w:hAnsi="Arial" w:eastAsia="等线" w:cs="Arial"/>
                <w:sz w:val="22"/>
              </w:rPr>
              <w:t>(B) The registered representative’s signature</w:t>
            </w:r>
          </w:p>
          <w:p w14:paraId="1780EA96">
            <w:pPr>
              <w:spacing w:before="120" w:after="120" w:line="288" w:lineRule="auto"/>
              <w:ind w:left="0"/>
              <w:jc w:val="left"/>
            </w:pPr>
            <w:r>
              <w:rPr>
                <w:rFonts w:ascii="Arial" w:hAnsi="Arial" w:eastAsia="等线" w:cs="Arial"/>
                <w:sz w:val="22"/>
              </w:rPr>
              <w:t>(C) The customer’s marital status and number of dependents</w:t>
            </w:r>
          </w:p>
          <w:p w14:paraId="139599E8">
            <w:pPr>
              <w:spacing w:before="120" w:after="120" w:line="288" w:lineRule="auto"/>
              <w:ind w:left="0"/>
              <w:jc w:val="left"/>
            </w:pPr>
            <w:r>
              <w:rPr>
                <w:rFonts w:ascii="Arial" w:hAnsi="Arial" w:eastAsia="等线" w:cs="Arial"/>
                <w:sz w:val="22"/>
              </w:rPr>
              <w:t>(D) The customer’s bank references</w:t>
            </w:r>
          </w:p>
          <w:p w14:paraId="178D85E0">
            <w:pPr>
              <w:spacing w:before="120" w:after="120" w:line="288" w:lineRule="auto"/>
              <w:ind w:left="0"/>
              <w:jc w:val="left"/>
            </w:pPr>
          </w:p>
          <w:p w14:paraId="55834EA8">
            <w:pPr>
              <w:numPr>
                <w:ilvl w:val="0"/>
                <w:numId w:val="83"/>
              </w:numPr>
              <w:spacing w:before="120" w:after="120" w:line="288" w:lineRule="auto"/>
              <w:ind w:left="0"/>
              <w:jc w:val="left"/>
            </w:pPr>
            <w:r>
              <w:rPr>
                <w:rFonts w:ascii="Arial" w:hAnsi="Arial" w:eastAsia="等线" w:cs="Arial"/>
                <w:sz w:val="22"/>
              </w:rPr>
              <w:t>According to the Telephone Act of 1991, which of the following is TRUE?</w:t>
            </w:r>
          </w:p>
          <w:p w14:paraId="6A9C34BA">
            <w:pPr>
              <w:spacing w:before="120" w:after="120" w:line="288" w:lineRule="auto"/>
              <w:ind w:left="0"/>
              <w:jc w:val="left"/>
            </w:pPr>
            <w:r>
              <w:rPr>
                <w:rFonts w:ascii="Arial" w:hAnsi="Arial" w:eastAsia="等线" w:cs="Arial"/>
                <w:sz w:val="22"/>
              </w:rPr>
              <w:t>(A) You may not make calls to potential customers before 8 a.m. or after 9 p.m.</w:t>
            </w:r>
          </w:p>
          <w:p w14:paraId="79C68EE5">
            <w:pPr>
              <w:spacing w:before="120" w:after="120" w:line="288" w:lineRule="auto"/>
              <w:ind w:left="0"/>
              <w:jc w:val="left"/>
            </w:pPr>
            <w:r>
              <w:rPr>
                <w:rFonts w:ascii="Arial" w:hAnsi="Arial" w:eastAsia="等线" w:cs="Arial"/>
                <w:sz w:val="22"/>
              </w:rPr>
              <w:t>(B) You may not make calls to potential customers before 8 a.m. or after 9 p.m. local time of</w:t>
            </w:r>
          </w:p>
          <w:p w14:paraId="3C58CC6A">
            <w:pPr>
              <w:spacing w:before="120" w:after="120" w:line="288" w:lineRule="auto"/>
              <w:ind w:left="0"/>
              <w:jc w:val="left"/>
            </w:pPr>
            <w:r>
              <w:rPr>
                <w:rFonts w:ascii="Arial" w:hAnsi="Arial" w:eastAsia="等线" w:cs="Arial"/>
                <w:sz w:val="22"/>
              </w:rPr>
              <w:t>the customer.</w:t>
            </w:r>
          </w:p>
          <w:p w14:paraId="377D5A58">
            <w:pPr>
              <w:spacing w:before="120" w:after="120" w:line="288" w:lineRule="auto"/>
              <w:ind w:left="0"/>
              <w:jc w:val="left"/>
            </w:pPr>
            <w:r>
              <w:rPr>
                <w:rFonts w:ascii="Arial" w:hAnsi="Arial" w:eastAsia="等线" w:cs="Arial"/>
                <w:sz w:val="22"/>
              </w:rPr>
              <w:t>(C) You may not make calls to potential customers before 9 a.m. or after 8 p.m.</w:t>
            </w:r>
          </w:p>
          <w:p w14:paraId="4D76B27E">
            <w:pPr>
              <w:spacing w:before="120" w:after="120" w:line="288" w:lineRule="auto"/>
              <w:ind w:left="0"/>
              <w:jc w:val="left"/>
            </w:pPr>
            <w:r>
              <w:rPr>
                <w:rFonts w:ascii="Arial" w:hAnsi="Arial" w:eastAsia="等线" w:cs="Arial"/>
                <w:sz w:val="22"/>
              </w:rPr>
              <w:t>(D) You may not make calls to potential customers before 9 a.m. or after 8 p.m. local time of the customer.</w:t>
            </w:r>
          </w:p>
          <w:p w14:paraId="0F0371B7">
            <w:pPr>
              <w:spacing w:before="120" w:after="120" w:line="288" w:lineRule="auto"/>
              <w:ind w:left="0"/>
              <w:jc w:val="left"/>
            </w:pPr>
          </w:p>
          <w:p w14:paraId="111CE15F">
            <w:pPr>
              <w:numPr>
                <w:ilvl w:val="0"/>
                <w:numId w:val="84"/>
              </w:numPr>
              <w:spacing w:before="120" w:after="120" w:line="288" w:lineRule="auto"/>
              <w:ind w:left="0"/>
              <w:jc w:val="left"/>
            </w:pPr>
            <w:r>
              <w:rPr>
                <w:rFonts w:ascii="Arial" w:hAnsi="Arial" w:eastAsia="等线" w:cs="Arial"/>
                <w:sz w:val="22"/>
              </w:rPr>
              <w:t>Which of the following documents are required for an investor opening a margin account?</w:t>
            </w:r>
          </w:p>
          <w:p w14:paraId="3C27F6D6">
            <w:pPr>
              <w:spacing w:before="120" w:after="120" w:line="288" w:lineRule="auto"/>
              <w:ind w:left="0"/>
              <w:jc w:val="left"/>
            </w:pPr>
            <w:r>
              <w:rPr>
                <w:rFonts w:ascii="Arial" w:hAnsi="Arial" w:eastAsia="等线" w:cs="Arial"/>
                <w:sz w:val="22"/>
              </w:rPr>
              <w:t>I. A credit agreement</w:t>
            </w:r>
          </w:p>
          <w:p w14:paraId="64B4C105">
            <w:pPr>
              <w:spacing w:before="120" w:after="120" w:line="288" w:lineRule="auto"/>
              <w:ind w:left="0"/>
              <w:jc w:val="left"/>
            </w:pPr>
            <w:r>
              <w:rPr>
                <w:rFonts w:ascii="Arial" w:hAnsi="Arial" w:eastAsia="等线" w:cs="Arial"/>
                <w:sz w:val="22"/>
              </w:rPr>
              <w:t>II. A hypothecation agreement</w:t>
            </w:r>
          </w:p>
          <w:p w14:paraId="77E7CE79">
            <w:pPr>
              <w:spacing w:before="120" w:after="120" w:line="288" w:lineRule="auto"/>
              <w:ind w:left="0"/>
              <w:jc w:val="left"/>
            </w:pPr>
            <w:r>
              <w:rPr>
                <w:rFonts w:ascii="Arial" w:hAnsi="Arial" w:eastAsia="等线" w:cs="Arial"/>
                <w:sz w:val="22"/>
              </w:rPr>
              <w:t>III. A loan consent form</w:t>
            </w:r>
          </w:p>
          <w:p w14:paraId="1131AEED">
            <w:pPr>
              <w:spacing w:before="120" w:after="120" w:line="288" w:lineRule="auto"/>
              <w:ind w:left="0"/>
              <w:jc w:val="left"/>
            </w:pPr>
            <w:r>
              <w:rPr>
                <w:rFonts w:ascii="Arial" w:hAnsi="Arial" w:eastAsia="等线" w:cs="Arial"/>
                <w:sz w:val="22"/>
              </w:rPr>
              <w:t>(A) I and II</w:t>
            </w:r>
          </w:p>
          <w:p w14:paraId="7EFAEE97">
            <w:pPr>
              <w:spacing w:before="120" w:after="120" w:line="288" w:lineRule="auto"/>
              <w:ind w:left="0"/>
              <w:jc w:val="left"/>
            </w:pPr>
            <w:r>
              <w:rPr>
                <w:rFonts w:ascii="Arial" w:hAnsi="Arial" w:eastAsia="等线" w:cs="Arial"/>
                <w:sz w:val="22"/>
              </w:rPr>
              <w:t>(B) I and III</w:t>
            </w:r>
          </w:p>
          <w:p w14:paraId="2530A211">
            <w:pPr>
              <w:spacing w:before="120" w:after="120" w:line="288" w:lineRule="auto"/>
              <w:ind w:left="0"/>
              <w:jc w:val="left"/>
            </w:pPr>
            <w:r>
              <w:rPr>
                <w:rFonts w:ascii="Arial" w:hAnsi="Arial" w:eastAsia="等线" w:cs="Arial"/>
                <w:sz w:val="22"/>
              </w:rPr>
              <w:t>(C) II and III</w:t>
            </w:r>
          </w:p>
          <w:p w14:paraId="79522FAB">
            <w:pPr>
              <w:spacing w:before="120" w:after="120" w:line="288" w:lineRule="auto"/>
              <w:ind w:left="0"/>
              <w:jc w:val="left"/>
            </w:pPr>
            <w:r>
              <w:rPr>
                <w:rFonts w:ascii="Arial" w:hAnsi="Arial" w:eastAsia="等线" w:cs="Arial"/>
                <w:sz w:val="22"/>
              </w:rPr>
              <w:t>(D) I, II, and III</w:t>
            </w:r>
          </w:p>
          <w:p w14:paraId="241C6518">
            <w:pPr>
              <w:spacing w:before="120" w:after="120" w:line="288" w:lineRule="auto"/>
              <w:ind w:left="0"/>
              <w:jc w:val="left"/>
            </w:pPr>
          </w:p>
          <w:p w14:paraId="5A1695C6">
            <w:pPr>
              <w:numPr>
                <w:ilvl w:val="0"/>
                <w:numId w:val="85"/>
              </w:numPr>
              <w:spacing w:before="120" w:after="120" w:line="288" w:lineRule="auto"/>
              <w:ind w:left="0"/>
              <w:jc w:val="left"/>
            </w:pPr>
            <w:r>
              <w:rPr>
                <w:rFonts w:ascii="Arial" w:hAnsi="Arial" w:eastAsia="等线" w:cs="Arial"/>
                <w:sz w:val="22"/>
              </w:rPr>
              <w:t>Which of the following are TRUE?</w:t>
            </w:r>
          </w:p>
          <w:p w14:paraId="69D36985">
            <w:pPr>
              <w:spacing w:before="120" w:after="120" w:line="288" w:lineRule="auto"/>
              <w:ind w:left="0"/>
              <w:jc w:val="left"/>
            </w:pPr>
            <w:r>
              <w:rPr>
                <w:rFonts w:ascii="Arial" w:hAnsi="Arial" w:eastAsia="等线" w:cs="Arial"/>
                <w:sz w:val="22"/>
              </w:rPr>
              <w:t>I. If an investor of a joint tenants with rights of survivorship account dies, their portion of</w:t>
            </w:r>
          </w:p>
          <w:p w14:paraId="64AB1409">
            <w:pPr>
              <w:spacing w:before="120" w:after="120" w:line="288" w:lineRule="auto"/>
              <w:ind w:left="0"/>
              <w:jc w:val="left"/>
            </w:pPr>
            <w:r>
              <w:rPr>
                <w:rFonts w:ascii="Arial" w:hAnsi="Arial" w:eastAsia="等线" w:cs="Arial"/>
                <w:sz w:val="22"/>
              </w:rPr>
              <w:t>the account is transferred to their estate.</w:t>
            </w:r>
          </w:p>
          <w:p w14:paraId="6301DB1C">
            <w:pPr>
              <w:spacing w:before="120" w:after="120" w:line="288" w:lineRule="auto"/>
              <w:ind w:left="0"/>
              <w:jc w:val="left"/>
            </w:pPr>
            <w:r>
              <w:rPr>
                <w:rFonts w:ascii="Arial" w:hAnsi="Arial" w:eastAsia="等线" w:cs="Arial"/>
                <w:sz w:val="22"/>
              </w:rPr>
              <w:t>II. If an investor of a joint tenants with rights of survivorship account dies, their portion of</w:t>
            </w:r>
          </w:p>
          <w:p w14:paraId="345A518E">
            <w:pPr>
              <w:spacing w:before="120" w:after="120" w:line="288" w:lineRule="auto"/>
              <w:ind w:left="0"/>
              <w:jc w:val="left"/>
            </w:pPr>
            <w:r>
              <w:rPr>
                <w:rFonts w:ascii="Arial" w:hAnsi="Arial" w:eastAsia="等线" w:cs="Arial"/>
                <w:sz w:val="22"/>
              </w:rPr>
              <w:t>the account is transferred to the remaining account holder(s).</w:t>
            </w:r>
          </w:p>
          <w:p w14:paraId="5FDDBBA9">
            <w:pPr>
              <w:spacing w:before="120" w:after="120" w:line="288" w:lineRule="auto"/>
              <w:ind w:left="0"/>
              <w:jc w:val="left"/>
            </w:pPr>
            <w:r>
              <w:rPr>
                <w:rFonts w:ascii="Arial" w:hAnsi="Arial" w:eastAsia="等线" w:cs="Arial"/>
                <w:sz w:val="22"/>
              </w:rPr>
              <w:t>III. If an investor of a joint tenants in common account dies, their portion of the account is</w:t>
            </w:r>
          </w:p>
          <w:p w14:paraId="6CCC8660">
            <w:pPr>
              <w:spacing w:before="120" w:after="120" w:line="288" w:lineRule="auto"/>
              <w:ind w:left="0"/>
              <w:jc w:val="left"/>
            </w:pPr>
            <w:r>
              <w:rPr>
                <w:rFonts w:ascii="Arial" w:hAnsi="Arial" w:eastAsia="等线" w:cs="Arial"/>
                <w:sz w:val="22"/>
              </w:rPr>
              <w:t>transferred to their estate.</w:t>
            </w:r>
          </w:p>
          <w:p w14:paraId="63494912">
            <w:pPr>
              <w:spacing w:before="120" w:after="120" w:line="288" w:lineRule="auto"/>
              <w:ind w:left="0"/>
              <w:jc w:val="left"/>
            </w:pPr>
            <w:r>
              <w:rPr>
                <w:rFonts w:ascii="Arial" w:hAnsi="Arial" w:eastAsia="等线" w:cs="Arial"/>
                <w:sz w:val="22"/>
              </w:rPr>
              <w:t>IV. If an investor of a joint tenants in common account dies, their portion of the account is</w:t>
            </w:r>
          </w:p>
          <w:p w14:paraId="3E7D3C2A">
            <w:pPr>
              <w:spacing w:before="120" w:after="120" w:line="288" w:lineRule="auto"/>
              <w:ind w:left="0"/>
              <w:jc w:val="left"/>
            </w:pPr>
            <w:r>
              <w:rPr>
                <w:rFonts w:ascii="Arial" w:hAnsi="Arial" w:eastAsia="等线" w:cs="Arial"/>
                <w:sz w:val="22"/>
              </w:rPr>
              <w:t>transferred to the remaining account holder(s).</w:t>
            </w:r>
          </w:p>
          <w:p w14:paraId="79B612E3">
            <w:pPr>
              <w:spacing w:before="120" w:after="120" w:line="288" w:lineRule="auto"/>
              <w:ind w:left="0"/>
              <w:jc w:val="left"/>
            </w:pPr>
            <w:r>
              <w:rPr>
                <w:rFonts w:ascii="Arial" w:hAnsi="Arial" w:eastAsia="等线" w:cs="Arial"/>
                <w:sz w:val="22"/>
              </w:rPr>
              <w:t>(A) II and IV</w:t>
            </w:r>
          </w:p>
          <w:p w14:paraId="7972E8EC">
            <w:pPr>
              <w:spacing w:before="120" w:after="120" w:line="288" w:lineRule="auto"/>
              <w:ind w:left="0"/>
              <w:jc w:val="left"/>
            </w:pPr>
            <w:r>
              <w:rPr>
                <w:rFonts w:ascii="Arial" w:hAnsi="Arial" w:eastAsia="等线" w:cs="Arial"/>
                <w:sz w:val="22"/>
              </w:rPr>
              <w:t>(B) I and IV</w:t>
            </w:r>
          </w:p>
          <w:p w14:paraId="45BE7CFE">
            <w:pPr>
              <w:spacing w:before="120" w:after="120" w:line="288" w:lineRule="auto"/>
              <w:ind w:left="0"/>
              <w:jc w:val="left"/>
            </w:pPr>
            <w:r>
              <w:rPr>
                <w:rFonts w:ascii="Arial" w:hAnsi="Arial" w:eastAsia="等线" w:cs="Arial"/>
                <w:sz w:val="22"/>
              </w:rPr>
              <w:t>(C) II and III</w:t>
            </w:r>
          </w:p>
          <w:p w14:paraId="1C3B2A89">
            <w:pPr>
              <w:spacing w:before="120" w:after="120" w:line="288" w:lineRule="auto"/>
              <w:ind w:left="0"/>
              <w:jc w:val="left"/>
            </w:pPr>
            <w:r>
              <w:rPr>
                <w:rFonts w:ascii="Arial" w:hAnsi="Arial" w:eastAsia="等线" w:cs="Arial"/>
                <w:sz w:val="22"/>
              </w:rPr>
              <w:t>(D) II and IV</w:t>
            </w:r>
          </w:p>
          <w:p w14:paraId="60A7B2A8">
            <w:pPr>
              <w:spacing w:before="120" w:after="120" w:line="288" w:lineRule="auto"/>
              <w:ind w:left="0"/>
              <w:jc w:val="left"/>
            </w:pPr>
          </w:p>
          <w:p w14:paraId="367F50F3">
            <w:pPr>
              <w:numPr>
                <w:ilvl w:val="0"/>
                <w:numId w:val="86"/>
              </w:numPr>
              <w:spacing w:before="120" w:after="120" w:line="288" w:lineRule="auto"/>
              <w:ind w:left="0"/>
              <w:jc w:val="left"/>
            </w:pPr>
            <w:r>
              <w:rPr>
                <w:rFonts w:ascii="Arial" w:hAnsi="Arial" w:eastAsia="等线" w:cs="Arial"/>
                <w:sz w:val="22"/>
              </w:rPr>
              <w:t>A customer opens a short margin account by selling short 200 shares of DIM common stock at</w:t>
            </w:r>
          </w:p>
          <w:p w14:paraId="2195DB6B">
            <w:pPr>
              <w:spacing w:before="120" w:after="120" w:line="288" w:lineRule="auto"/>
              <w:ind w:left="0"/>
              <w:jc w:val="left"/>
            </w:pPr>
            <w:r>
              <w:rPr>
                <w:rFonts w:ascii="Arial" w:hAnsi="Arial" w:eastAsia="等线" w:cs="Arial"/>
                <w:sz w:val="22"/>
              </w:rPr>
              <w:t>$17 per share. What is the margin call?</w:t>
            </w:r>
          </w:p>
          <w:p w14:paraId="6DE69D21">
            <w:pPr>
              <w:spacing w:before="120" w:after="120" w:line="288" w:lineRule="auto"/>
              <w:ind w:left="0"/>
              <w:jc w:val="left"/>
            </w:pPr>
            <w:r>
              <w:rPr>
                <w:rFonts w:ascii="Arial" w:hAnsi="Arial" w:eastAsia="等线" w:cs="Arial"/>
                <w:sz w:val="22"/>
              </w:rPr>
              <w:t>(A) $1,700</w:t>
            </w:r>
          </w:p>
          <w:p w14:paraId="68F7ED27">
            <w:pPr>
              <w:spacing w:before="120" w:after="120" w:line="288" w:lineRule="auto"/>
              <w:ind w:left="0"/>
              <w:jc w:val="left"/>
            </w:pPr>
            <w:r>
              <w:rPr>
                <w:rFonts w:ascii="Arial" w:hAnsi="Arial" w:eastAsia="等线" w:cs="Arial"/>
                <w:sz w:val="22"/>
              </w:rPr>
              <w:t>(B) $2,000</w:t>
            </w:r>
          </w:p>
          <w:p w14:paraId="7CD453E1">
            <w:pPr>
              <w:spacing w:before="120" w:after="120" w:line="288" w:lineRule="auto"/>
              <w:ind w:left="0"/>
              <w:jc w:val="left"/>
            </w:pPr>
            <w:r>
              <w:rPr>
                <w:rFonts w:ascii="Arial" w:hAnsi="Arial" w:eastAsia="等线" w:cs="Arial"/>
                <w:sz w:val="22"/>
              </w:rPr>
              <w:t>(C) $3,400</w:t>
            </w:r>
          </w:p>
          <w:p w14:paraId="2E32A92C">
            <w:pPr>
              <w:spacing w:before="120" w:after="120" w:line="288" w:lineRule="auto"/>
              <w:ind w:left="0"/>
              <w:jc w:val="left"/>
            </w:pPr>
            <w:r>
              <w:rPr>
                <w:rFonts w:ascii="Arial" w:hAnsi="Arial" w:eastAsia="等线" w:cs="Arial"/>
                <w:sz w:val="22"/>
              </w:rPr>
              <w:t>(D) Cannot be determined</w:t>
            </w:r>
          </w:p>
          <w:p w14:paraId="566EB28C">
            <w:pPr>
              <w:spacing w:before="120" w:after="120" w:line="288" w:lineRule="auto"/>
              <w:ind w:left="0"/>
              <w:jc w:val="left"/>
            </w:pPr>
          </w:p>
          <w:p w14:paraId="1F27C244">
            <w:pPr>
              <w:numPr>
                <w:ilvl w:val="0"/>
                <w:numId w:val="87"/>
              </w:numPr>
              <w:spacing w:before="120" w:after="120" w:line="288" w:lineRule="auto"/>
              <w:ind w:left="0"/>
              <w:jc w:val="left"/>
            </w:pPr>
            <w:r>
              <w:rPr>
                <w:rFonts w:ascii="Arial" w:hAnsi="Arial" w:eastAsia="等线" w:cs="Arial"/>
                <w:sz w:val="22"/>
              </w:rPr>
              <w:t>To make proper recommendations to a client, you should know their</w:t>
            </w:r>
          </w:p>
          <w:p w14:paraId="45085481">
            <w:pPr>
              <w:spacing w:before="120" w:after="120" w:line="288" w:lineRule="auto"/>
              <w:ind w:left="0"/>
              <w:jc w:val="left"/>
            </w:pPr>
            <w:r>
              <w:rPr>
                <w:rFonts w:ascii="Arial" w:hAnsi="Arial" w:eastAsia="等线" w:cs="Arial"/>
                <w:sz w:val="22"/>
              </w:rPr>
              <w:t>I. age</w:t>
            </w:r>
          </w:p>
          <w:p w14:paraId="468839B4">
            <w:pPr>
              <w:spacing w:before="120" w:after="120" w:line="288" w:lineRule="auto"/>
              <w:ind w:left="0"/>
              <w:jc w:val="left"/>
            </w:pPr>
            <w:r>
              <w:rPr>
                <w:rFonts w:ascii="Arial" w:hAnsi="Arial" w:eastAsia="等线" w:cs="Arial"/>
                <w:sz w:val="22"/>
              </w:rPr>
              <w:t>II. time horizon</w:t>
            </w:r>
          </w:p>
          <w:p w14:paraId="3F01777B">
            <w:pPr>
              <w:spacing w:before="120" w:after="120" w:line="288" w:lineRule="auto"/>
              <w:ind w:left="0"/>
              <w:jc w:val="left"/>
            </w:pPr>
            <w:r>
              <w:rPr>
                <w:rFonts w:ascii="Arial" w:hAnsi="Arial" w:eastAsia="等线" w:cs="Arial"/>
                <w:sz w:val="22"/>
              </w:rPr>
              <w:t>III. tax bracket</w:t>
            </w:r>
          </w:p>
          <w:p w14:paraId="6285D1C1">
            <w:pPr>
              <w:spacing w:before="120" w:after="120" w:line="288" w:lineRule="auto"/>
              <w:ind w:left="0"/>
              <w:jc w:val="left"/>
            </w:pPr>
            <w:r>
              <w:rPr>
                <w:rFonts w:ascii="Arial" w:hAnsi="Arial" w:eastAsia="等线" w:cs="Arial"/>
                <w:sz w:val="22"/>
              </w:rPr>
              <w:t>IV. liquidity needs</w:t>
            </w:r>
          </w:p>
          <w:p w14:paraId="097D10FF">
            <w:pPr>
              <w:spacing w:before="120" w:after="120" w:line="288" w:lineRule="auto"/>
              <w:ind w:left="0"/>
              <w:jc w:val="left"/>
            </w:pPr>
            <w:r>
              <w:rPr>
                <w:rFonts w:ascii="Arial" w:hAnsi="Arial" w:eastAsia="等线" w:cs="Arial"/>
                <w:sz w:val="22"/>
              </w:rPr>
              <w:t>(A) I and IV</w:t>
            </w:r>
          </w:p>
          <w:p w14:paraId="6B4DD23C">
            <w:pPr>
              <w:spacing w:before="120" w:after="120" w:line="288" w:lineRule="auto"/>
              <w:ind w:left="0"/>
              <w:jc w:val="left"/>
            </w:pPr>
            <w:r>
              <w:rPr>
                <w:rFonts w:ascii="Arial" w:hAnsi="Arial" w:eastAsia="等线" w:cs="Arial"/>
                <w:sz w:val="22"/>
              </w:rPr>
              <w:t>(B) II and III</w:t>
            </w:r>
          </w:p>
          <w:p w14:paraId="4DFDD822">
            <w:pPr>
              <w:spacing w:before="120" w:after="120" w:line="288" w:lineRule="auto"/>
              <w:ind w:left="0"/>
              <w:jc w:val="left"/>
            </w:pPr>
            <w:r>
              <w:rPr>
                <w:rFonts w:ascii="Arial" w:hAnsi="Arial" w:eastAsia="等线" w:cs="Arial"/>
                <w:sz w:val="22"/>
              </w:rPr>
              <w:t>(C) I, III, and IV</w:t>
            </w:r>
          </w:p>
          <w:p w14:paraId="1E4D3982">
            <w:pPr>
              <w:spacing w:before="120" w:after="120" w:line="288" w:lineRule="auto"/>
              <w:ind w:left="0"/>
              <w:jc w:val="left"/>
            </w:pPr>
            <w:r>
              <w:rPr>
                <w:rFonts w:ascii="Arial" w:hAnsi="Arial" w:eastAsia="等线" w:cs="Arial"/>
                <w:sz w:val="22"/>
              </w:rPr>
              <w:t>(D) I, II, III, and IV</w:t>
            </w:r>
          </w:p>
          <w:p w14:paraId="205188D5">
            <w:pPr>
              <w:spacing w:before="120" w:after="120" w:line="288" w:lineRule="auto"/>
              <w:ind w:left="0"/>
              <w:jc w:val="left"/>
            </w:pPr>
          </w:p>
          <w:p w14:paraId="0ABE2301">
            <w:pPr>
              <w:numPr>
                <w:ilvl w:val="0"/>
                <w:numId w:val="88"/>
              </w:numPr>
              <w:spacing w:before="120" w:after="120" w:line="288" w:lineRule="auto"/>
              <w:ind w:left="0"/>
              <w:jc w:val="left"/>
            </w:pPr>
            <w:r>
              <w:rPr>
                <w:rFonts w:ascii="Arial" w:hAnsi="Arial" w:eastAsia="等线" w:cs="Arial"/>
                <w:sz w:val="22"/>
              </w:rPr>
              <w:t>The Patriot Act requires broker–dealers to identify their investors through</w:t>
            </w:r>
          </w:p>
          <w:p w14:paraId="1FB33661">
            <w:pPr>
              <w:spacing w:before="120" w:after="120" w:line="288" w:lineRule="auto"/>
              <w:ind w:left="0"/>
              <w:jc w:val="left"/>
            </w:pPr>
            <w:r>
              <w:rPr>
                <w:rFonts w:ascii="Arial" w:hAnsi="Arial" w:eastAsia="等线" w:cs="Arial"/>
                <w:sz w:val="22"/>
              </w:rPr>
              <w:t>(A) CIPs</w:t>
            </w:r>
          </w:p>
          <w:p w14:paraId="795EF535">
            <w:pPr>
              <w:spacing w:before="120" w:after="120" w:line="288" w:lineRule="auto"/>
              <w:ind w:left="0"/>
              <w:jc w:val="left"/>
            </w:pPr>
            <w:r>
              <w:rPr>
                <w:rFonts w:ascii="Arial" w:hAnsi="Arial" w:eastAsia="等线" w:cs="Arial"/>
                <w:sz w:val="22"/>
              </w:rPr>
              <w:t>(B) DIMs</w:t>
            </w:r>
          </w:p>
          <w:p w14:paraId="0CAD8761">
            <w:pPr>
              <w:spacing w:before="120" w:after="120" w:line="288" w:lineRule="auto"/>
              <w:ind w:left="0"/>
              <w:jc w:val="left"/>
            </w:pPr>
            <w:r>
              <w:rPr>
                <w:rFonts w:ascii="Arial" w:hAnsi="Arial" w:eastAsia="等线" w:cs="Arial"/>
                <w:sz w:val="22"/>
              </w:rPr>
              <w:t>(C) LLPs</w:t>
            </w:r>
          </w:p>
          <w:p w14:paraId="7B8AF3CF">
            <w:pPr>
              <w:spacing w:before="120" w:after="120" w:line="288" w:lineRule="auto"/>
              <w:ind w:left="0"/>
              <w:jc w:val="left"/>
            </w:pPr>
            <w:r>
              <w:rPr>
                <w:rFonts w:ascii="Arial" w:hAnsi="Arial" w:eastAsia="等线" w:cs="Arial"/>
                <w:sz w:val="22"/>
              </w:rPr>
              <w:t>(D) All of the above</w:t>
            </w:r>
          </w:p>
          <w:p w14:paraId="64C1925D">
            <w:pPr>
              <w:spacing w:before="120" w:after="120" w:line="288" w:lineRule="auto"/>
              <w:ind w:left="0"/>
              <w:jc w:val="left"/>
            </w:pPr>
          </w:p>
          <w:p w14:paraId="08399290">
            <w:pPr>
              <w:numPr>
                <w:ilvl w:val="0"/>
                <w:numId w:val="89"/>
              </w:numPr>
              <w:spacing w:before="120" w:after="120" w:line="288" w:lineRule="auto"/>
              <w:ind w:left="0"/>
              <w:jc w:val="left"/>
            </w:pPr>
            <w:r>
              <w:rPr>
                <w:rFonts w:ascii="Arial" w:hAnsi="Arial" w:eastAsia="等线" w:cs="Arial"/>
                <w:sz w:val="22"/>
              </w:rPr>
              <w:t>The tax ID of ___ is required for the opening of an UTMA account.</w:t>
            </w:r>
          </w:p>
          <w:p w14:paraId="7F4F0CCF">
            <w:pPr>
              <w:spacing w:before="120" w:after="120" w:line="288" w:lineRule="auto"/>
              <w:ind w:left="0"/>
              <w:jc w:val="left"/>
            </w:pPr>
            <w:r>
              <w:rPr>
                <w:rFonts w:ascii="Arial" w:hAnsi="Arial" w:eastAsia="等线" w:cs="Arial"/>
                <w:sz w:val="22"/>
              </w:rPr>
              <w:t>(A) both parents</w:t>
            </w:r>
          </w:p>
          <w:p w14:paraId="5A36F65A">
            <w:pPr>
              <w:spacing w:before="120" w:after="120" w:line="288" w:lineRule="auto"/>
              <w:ind w:left="0"/>
              <w:jc w:val="left"/>
            </w:pPr>
            <w:r>
              <w:rPr>
                <w:rFonts w:ascii="Arial" w:hAnsi="Arial" w:eastAsia="等线" w:cs="Arial"/>
                <w:sz w:val="22"/>
              </w:rPr>
              <w:t>(B) at least one parent</w:t>
            </w:r>
          </w:p>
          <w:p w14:paraId="34E4C767">
            <w:pPr>
              <w:spacing w:before="120" w:after="120" w:line="288" w:lineRule="auto"/>
              <w:ind w:left="0"/>
              <w:jc w:val="left"/>
            </w:pPr>
            <w:r>
              <w:rPr>
                <w:rFonts w:ascii="Arial" w:hAnsi="Arial" w:eastAsia="等线" w:cs="Arial"/>
                <w:sz w:val="22"/>
              </w:rPr>
              <w:t>(C) the minor</w:t>
            </w:r>
          </w:p>
          <w:p w14:paraId="1CEDB50C">
            <w:pPr>
              <w:spacing w:before="120" w:after="120" w:line="288" w:lineRule="auto"/>
              <w:ind w:left="0"/>
              <w:jc w:val="left"/>
            </w:pPr>
            <w:r>
              <w:rPr>
                <w:rFonts w:ascii="Arial" w:hAnsi="Arial" w:eastAsia="等线" w:cs="Arial"/>
                <w:sz w:val="22"/>
              </w:rPr>
              <w:t>(D) the custodian</w:t>
            </w:r>
          </w:p>
          <w:p w14:paraId="72B40916">
            <w:pPr>
              <w:spacing w:before="120" w:after="120" w:line="288" w:lineRule="auto"/>
              <w:ind w:left="0"/>
              <w:jc w:val="left"/>
            </w:pPr>
          </w:p>
          <w:p w14:paraId="15DE8930">
            <w:pPr>
              <w:numPr>
                <w:ilvl w:val="0"/>
                <w:numId w:val="90"/>
              </w:numPr>
              <w:spacing w:before="120" w:after="120" w:line="288" w:lineRule="auto"/>
              <w:ind w:left="0"/>
              <w:jc w:val="left"/>
            </w:pPr>
            <w:r>
              <w:rPr>
                <w:rFonts w:ascii="Arial" w:hAnsi="Arial" w:eastAsia="等线" w:cs="Arial"/>
                <w:sz w:val="22"/>
              </w:rPr>
              <w:t>John Smith has a joint account with sisters Mirabelle and Elyse. If the account was set up as a</w:t>
            </w:r>
          </w:p>
          <w:p w14:paraId="0880C8AE">
            <w:pPr>
              <w:spacing w:before="120" w:after="120" w:line="288" w:lineRule="auto"/>
              <w:ind w:left="0"/>
              <w:jc w:val="left"/>
            </w:pPr>
            <w:r>
              <w:rPr>
                <w:rFonts w:ascii="Arial" w:hAnsi="Arial" w:eastAsia="等线" w:cs="Arial"/>
                <w:sz w:val="22"/>
              </w:rPr>
              <w:t>joint with tenants in common, which of the following is true?</w:t>
            </w:r>
          </w:p>
          <w:p w14:paraId="3FB39991">
            <w:pPr>
              <w:spacing w:before="120" w:after="120" w:line="288" w:lineRule="auto"/>
              <w:ind w:left="0"/>
              <w:jc w:val="left"/>
            </w:pPr>
            <w:r>
              <w:rPr>
                <w:rFonts w:ascii="Arial" w:hAnsi="Arial" w:eastAsia="等线" w:cs="Arial"/>
                <w:sz w:val="22"/>
              </w:rPr>
              <w:t>(A) Since John and siblings are not married, they could not have set up an account as joint</w:t>
            </w:r>
          </w:p>
          <w:p w14:paraId="00365806">
            <w:pPr>
              <w:spacing w:before="120" w:after="120" w:line="288" w:lineRule="auto"/>
              <w:ind w:left="0"/>
              <w:jc w:val="left"/>
            </w:pPr>
            <w:r>
              <w:rPr>
                <w:rFonts w:ascii="Arial" w:hAnsi="Arial" w:eastAsia="等线" w:cs="Arial"/>
                <w:sz w:val="22"/>
              </w:rPr>
              <w:t>with tenants in common.</w:t>
            </w:r>
          </w:p>
          <w:p w14:paraId="0733038E">
            <w:pPr>
              <w:spacing w:before="120" w:after="120" w:line="288" w:lineRule="auto"/>
              <w:ind w:left="0"/>
              <w:jc w:val="left"/>
            </w:pPr>
            <w:r>
              <w:rPr>
                <w:rFonts w:ascii="Arial" w:hAnsi="Arial" w:eastAsia="等线" w:cs="Arial"/>
                <w:sz w:val="22"/>
              </w:rPr>
              <w:t>(B) John and the two sisters must share equally in the assets of the account.</w:t>
            </w:r>
          </w:p>
          <w:p w14:paraId="01FBDD36">
            <w:pPr>
              <w:spacing w:before="120" w:after="120" w:line="288" w:lineRule="auto"/>
              <w:ind w:left="0"/>
              <w:jc w:val="left"/>
            </w:pPr>
            <w:r>
              <w:rPr>
                <w:rFonts w:ascii="Arial" w:hAnsi="Arial" w:eastAsia="等线" w:cs="Arial"/>
                <w:sz w:val="22"/>
              </w:rPr>
              <w:t>(C) If any of the siblings die, that individual’s portion of the account is divided equally among</w:t>
            </w:r>
          </w:p>
          <w:p w14:paraId="71A126DE">
            <w:pPr>
              <w:spacing w:before="120" w:after="120" w:line="288" w:lineRule="auto"/>
              <w:ind w:left="0"/>
              <w:jc w:val="left"/>
            </w:pPr>
            <w:r>
              <w:rPr>
                <w:rFonts w:ascii="Arial" w:hAnsi="Arial" w:eastAsia="等线" w:cs="Arial"/>
                <w:sz w:val="22"/>
              </w:rPr>
              <w:t>the two remaining siblings.</w:t>
            </w:r>
          </w:p>
          <w:p w14:paraId="2ADBF569">
            <w:pPr>
              <w:spacing w:before="120" w:after="120" w:line="288" w:lineRule="auto"/>
              <w:ind w:left="0"/>
              <w:jc w:val="left"/>
            </w:pPr>
            <w:r>
              <w:rPr>
                <w:rFonts w:ascii="Arial" w:hAnsi="Arial" w:eastAsia="等线" w:cs="Arial"/>
                <w:sz w:val="22"/>
              </w:rPr>
              <w:t>(D) Ownership of the decedent’s assets in the account are governed by their will (if any)</w:t>
            </w:r>
          </w:p>
          <w:p w14:paraId="480F39E9">
            <w:pPr>
              <w:spacing w:before="120" w:after="120" w:line="288" w:lineRule="auto"/>
              <w:ind w:left="0"/>
              <w:jc w:val="left"/>
            </w:pPr>
            <w:r>
              <w:rPr>
                <w:rFonts w:ascii="Arial" w:hAnsi="Arial" w:eastAsia="等线" w:cs="Arial"/>
                <w:sz w:val="22"/>
              </w:rPr>
              <w:t>or by the laws in the state in which they live.</w:t>
            </w:r>
          </w:p>
        </w:tc>
      </w:tr>
    </w:tbl>
    <w:p w14:paraId="44A93D65">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8A26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4FF"/>
            <w:tcMar>
              <w:top w:w="60" w:type="dxa"/>
              <w:left w:w="120" w:type="dxa"/>
              <w:bottom w:w="30" w:type="dxa"/>
              <w:right w:w="120" w:type="dxa"/>
            </w:tcMar>
          </w:tcPr>
          <w:p w14:paraId="620A2118">
            <w:pPr>
              <w:numPr>
                <w:ilvl w:val="0"/>
                <w:numId w:val="91"/>
              </w:numPr>
              <w:spacing w:before="120" w:after="120" w:line="288" w:lineRule="auto"/>
              <w:ind w:left="0"/>
              <w:jc w:val="left"/>
            </w:pPr>
            <w:r>
              <w:rPr>
                <w:rFonts w:ascii="Arial" w:hAnsi="Arial" w:eastAsia="等线" w:cs="Arial"/>
                <w:sz w:val="22"/>
              </w:rPr>
              <w:t>B</w:t>
            </w:r>
          </w:p>
          <w:p w14:paraId="662AD854">
            <w:pPr>
              <w:spacing w:before="120" w:after="120" w:line="288" w:lineRule="auto"/>
              <w:ind w:left="0"/>
              <w:jc w:val="left"/>
            </w:pPr>
            <w:r>
              <w:rPr>
                <w:rFonts w:ascii="Arial" w:hAnsi="Arial" w:eastAsia="等线" w:cs="Arial"/>
                <w:sz w:val="22"/>
              </w:rPr>
              <w:t>The correct answer is (B). When you’re opening a new account for a customer, the new account</w:t>
            </w:r>
          </w:p>
          <w:p w14:paraId="0B2FB8BB">
            <w:pPr>
              <w:spacing w:before="120" w:after="120" w:line="288" w:lineRule="auto"/>
              <w:ind w:left="0"/>
              <w:jc w:val="left"/>
            </w:pPr>
            <w:r>
              <w:rPr>
                <w:rFonts w:ascii="Arial" w:hAnsi="Arial" w:eastAsia="等线" w:cs="Arial"/>
                <w:sz w:val="22"/>
              </w:rPr>
              <w:t>form requires only a principal’s (manager’s) signature. Make sure you don’t assume extenuating</w:t>
            </w:r>
          </w:p>
          <w:p w14:paraId="06D2A40A">
            <w:pPr>
              <w:spacing w:before="120" w:after="120" w:line="288" w:lineRule="auto"/>
              <w:ind w:left="0"/>
              <w:jc w:val="left"/>
            </w:pPr>
            <w:r>
              <w:rPr>
                <w:rFonts w:ascii="Arial" w:hAnsi="Arial" w:eastAsia="等线" w:cs="Arial"/>
                <w:sz w:val="22"/>
              </w:rPr>
              <w:t>circumstances. Surprisingly, you need the customer’s signature on a new account form only if the</w:t>
            </w:r>
          </w:p>
          <w:p w14:paraId="727CA579">
            <w:pPr>
              <w:spacing w:before="120" w:after="120" w:line="288" w:lineRule="auto"/>
              <w:ind w:left="0"/>
              <w:jc w:val="left"/>
            </w:pPr>
            <w:r>
              <w:rPr>
                <w:rFonts w:ascii="Arial" w:hAnsi="Arial" w:eastAsia="等线" w:cs="Arial"/>
                <w:sz w:val="22"/>
              </w:rPr>
              <w:t>customer is opening a margin account. Additionally, you need the spouse’s signature only if the</w:t>
            </w:r>
          </w:p>
          <w:p w14:paraId="1D4426AD">
            <w:pPr>
              <w:spacing w:before="120" w:after="120" w:line="288" w:lineRule="auto"/>
              <w:ind w:left="0"/>
              <w:jc w:val="left"/>
            </w:pPr>
            <w:r>
              <w:rPr>
                <w:rFonts w:ascii="Arial" w:hAnsi="Arial" w:eastAsia="等线" w:cs="Arial"/>
                <w:sz w:val="22"/>
              </w:rPr>
              <w:t>account you’re opening is a joint one. Because the question doesn’t say that the account is a mar-</w:t>
            </w:r>
          </w:p>
          <w:p w14:paraId="79D9ED4D">
            <w:pPr>
              <w:spacing w:before="120" w:after="120" w:line="288" w:lineRule="auto"/>
              <w:ind w:left="0"/>
              <w:jc w:val="left"/>
            </w:pPr>
            <w:r>
              <w:rPr>
                <w:rFonts w:ascii="Arial" w:hAnsi="Arial" w:eastAsia="等线" w:cs="Arial"/>
                <w:sz w:val="22"/>
              </w:rPr>
              <w:t>gin or joint account, you can’t assume that it is.</w:t>
            </w:r>
          </w:p>
          <w:p w14:paraId="378AC87A">
            <w:pPr>
              <w:spacing w:before="120" w:after="120" w:line="288" w:lineRule="auto"/>
              <w:ind w:left="0"/>
              <w:jc w:val="left"/>
            </w:pPr>
            <w:r>
              <w:rPr>
                <w:rFonts w:ascii="Arial" w:hAnsi="Arial" w:eastAsia="等线" w:cs="Arial"/>
                <w:sz w:val="22"/>
              </w:rPr>
              <w:t>正确答案是（B）。为客户开立新账户时，新账户表格只需负责人（经理）签字。注意不要假设存在特殊情况。令人惊讶的是，只有当客户开立的是保证金账户时，新账户表格才需要客户签字。此外，只有当你开立的是联名账户时，才需要配偶签字。由于题目中并未说明该账户是保证金账户或联名账户，因此不能做此假设。</w:t>
            </w:r>
          </w:p>
          <w:p w14:paraId="3A7490D7">
            <w:pPr>
              <w:spacing w:before="120" w:after="120" w:line="288" w:lineRule="auto"/>
              <w:ind w:left="0"/>
              <w:jc w:val="left"/>
            </w:pPr>
          </w:p>
          <w:p w14:paraId="2591C347">
            <w:pPr>
              <w:numPr>
                <w:ilvl w:val="0"/>
                <w:numId w:val="92"/>
              </w:numPr>
              <w:spacing w:before="120" w:after="120" w:line="288" w:lineRule="auto"/>
              <w:ind w:left="0"/>
              <w:jc w:val="left"/>
            </w:pPr>
            <w:r>
              <w:rPr>
                <w:rFonts w:ascii="Arial" w:hAnsi="Arial" w:eastAsia="等线" w:cs="Arial"/>
                <w:sz w:val="22"/>
              </w:rPr>
              <w:t>C</w:t>
            </w:r>
          </w:p>
          <w:p w14:paraId="47603665">
            <w:pPr>
              <w:spacing w:before="120" w:after="120" w:line="288" w:lineRule="auto"/>
              <w:ind w:left="0"/>
              <w:jc w:val="left"/>
            </w:pPr>
            <w:r>
              <w:rPr>
                <w:rFonts w:ascii="Arial" w:hAnsi="Arial" w:eastAsia="等线" w:cs="Arial"/>
                <w:sz w:val="22"/>
              </w:rPr>
              <w:t>The right choice here is (C). A joint account is an account in the name of more than one adult. Choices (A), (B), and (D) are all possible for joint accounts, but an account opened for a minor must be a custodial account, which I discuss in the next section.</w:t>
            </w:r>
          </w:p>
          <w:p w14:paraId="1304CB23">
            <w:pPr>
              <w:spacing w:before="120" w:after="120" w:line="288" w:lineRule="auto"/>
              <w:ind w:left="0"/>
              <w:jc w:val="left"/>
            </w:pPr>
            <w:r>
              <w:rPr>
                <w:rFonts w:ascii="Arial" w:hAnsi="Arial" w:eastAsia="等线" w:cs="Arial"/>
                <w:sz w:val="22"/>
              </w:rPr>
              <w:t>正确的选择是（C）。联名账户是以一名以上成年人的名义开立的账户。选项（A）、（B）和（D）都适用于联名账户，但为未成年人开立的账户必须是托管账户，这一点我将在下一节中讨论。</w:t>
            </w:r>
          </w:p>
          <w:p w14:paraId="01AE50E8">
            <w:pPr>
              <w:spacing w:before="120" w:after="120" w:line="288" w:lineRule="auto"/>
              <w:ind w:left="0"/>
              <w:jc w:val="left"/>
            </w:pPr>
          </w:p>
          <w:p w14:paraId="5FFB02B4">
            <w:pPr>
              <w:numPr>
                <w:ilvl w:val="0"/>
                <w:numId w:val="93"/>
              </w:numPr>
              <w:spacing w:before="120" w:after="120" w:line="288" w:lineRule="auto"/>
              <w:ind w:left="0"/>
              <w:jc w:val="left"/>
            </w:pPr>
            <w:r>
              <w:rPr>
                <w:rFonts w:ascii="Arial" w:hAnsi="Arial" w:eastAsia="等线" w:cs="Arial"/>
                <w:sz w:val="22"/>
              </w:rPr>
              <w:t>D</w:t>
            </w:r>
          </w:p>
          <w:p w14:paraId="321FB0BB">
            <w:pPr>
              <w:spacing w:before="120" w:after="120" w:line="288" w:lineRule="auto"/>
              <w:ind w:left="0"/>
              <w:jc w:val="left"/>
            </w:pPr>
            <w:r>
              <w:rPr>
                <w:rFonts w:ascii="Arial" w:hAnsi="Arial" w:eastAsia="等线" w:cs="Arial"/>
                <w:sz w:val="22"/>
              </w:rPr>
              <w:t>D. For any new account, a new account form must be filled out by the broker–dealer.</w:t>
            </w:r>
          </w:p>
          <w:p w14:paraId="4615B57D">
            <w:pPr>
              <w:spacing w:before="120" w:after="120" w:line="288" w:lineRule="auto"/>
              <w:ind w:left="0"/>
              <w:jc w:val="left"/>
            </w:pPr>
            <w:r>
              <w:rPr>
                <w:rFonts w:ascii="Arial" w:hAnsi="Arial" w:eastAsia="等线" w:cs="Arial"/>
                <w:sz w:val="22"/>
              </w:rPr>
              <w:t>Because this is a margin account, a margin agreement must be signed and the broker–</w:t>
            </w:r>
          </w:p>
          <w:p w14:paraId="5CAA0E39">
            <w:pPr>
              <w:spacing w:before="120" w:after="120" w:line="288" w:lineRule="auto"/>
              <w:ind w:left="0"/>
              <w:jc w:val="left"/>
            </w:pPr>
            <w:r>
              <w:rPr>
                <w:rFonts w:ascii="Arial" w:hAnsi="Arial" w:eastAsia="等线" w:cs="Arial"/>
                <w:sz w:val="22"/>
              </w:rPr>
              <w:t>dealer must obtain a copy of the corporate charter (bylaws), which would need to state</w:t>
            </w:r>
          </w:p>
          <w:p w14:paraId="555E3210">
            <w:pPr>
              <w:spacing w:before="120" w:after="120" w:line="288" w:lineRule="auto"/>
              <w:ind w:left="0"/>
              <w:jc w:val="left"/>
            </w:pPr>
            <w:r>
              <w:rPr>
                <w:rFonts w:ascii="Arial" w:hAnsi="Arial" w:eastAsia="等线" w:cs="Arial"/>
                <w:sz w:val="22"/>
              </w:rPr>
              <w:t>that the corporation is allowed to purchase or sell short on margin. In addition, because the</w:t>
            </w:r>
          </w:p>
          <w:p w14:paraId="3DD4CAEE">
            <w:pPr>
              <w:spacing w:before="120" w:after="120" w:line="288" w:lineRule="auto"/>
              <w:ind w:left="0"/>
              <w:jc w:val="left"/>
            </w:pPr>
            <w:r>
              <w:rPr>
                <w:rFonts w:ascii="Arial" w:hAnsi="Arial" w:eastAsia="等线" w:cs="Arial"/>
                <w:sz w:val="22"/>
              </w:rPr>
              <w:t>account is a corporate account, you need to know who in that corporation has the authority</w:t>
            </w:r>
          </w:p>
          <w:p w14:paraId="32E87646">
            <w:pPr>
              <w:spacing w:before="120" w:after="120" w:line="288" w:lineRule="auto"/>
              <w:ind w:left="0"/>
              <w:jc w:val="left"/>
            </w:pPr>
            <w:r>
              <w:rPr>
                <w:rFonts w:ascii="Arial" w:hAnsi="Arial" w:eastAsia="等线" w:cs="Arial"/>
                <w:sz w:val="22"/>
              </w:rPr>
              <w:t>to trade the account; that’s where the corporate resolution comes in.</w:t>
            </w:r>
          </w:p>
          <w:p w14:paraId="18F1788D">
            <w:pPr>
              <w:spacing w:before="120" w:after="120" w:line="288" w:lineRule="auto"/>
              <w:ind w:left="0"/>
              <w:jc w:val="left"/>
            </w:pPr>
            <w:r>
              <w:rPr>
                <w:rFonts w:ascii="Arial" w:hAnsi="Arial" w:eastAsia="等线" w:cs="Arial"/>
                <w:sz w:val="22"/>
              </w:rPr>
              <w:t>D. 对于任何新账户，经纪交易商都必须填写新账户表格。由于这是一个保证金账户，必须签署保证金协议，且经纪交易商必须获取公司章程（细则）的副本，其中需要说明该公司被允许通过保证金买入或卖空。此外，由于该账户是公司账户，你需要了解公司中谁有权进行账户交易，这就需要公司决议。</w:t>
            </w:r>
          </w:p>
          <w:p w14:paraId="5560EF19">
            <w:pPr>
              <w:spacing w:before="120" w:after="120" w:line="288" w:lineRule="auto"/>
              <w:ind w:left="0"/>
              <w:jc w:val="left"/>
            </w:pPr>
          </w:p>
          <w:p w14:paraId="00EFDD4C">
            <w:pPr>
              <w:numPr>
                <w:ilvl w:val="0"/>
                <w:numId w:val="94"/>
              </w:numPr>
              <w:spacing w:before="120" w:after="120" w:line="288" w:lineRule="auto"/>
              <w:ind w:left="0"/>
              <w:jc w:val="left"/>
            </w:pPr>
            <w:r>
              <w:rPr>
                <w:rFonts w:ascii="Arial" w:hAnsi="Arial" w:eastAsia="等线" w:cs="Arial"/>
                <w:sz w:val="22"/>
              </w:rPr>
              <w:t>B</w:t>
            </w:r>
          </w:p>
          <w:p w14:paraId="2CD4B6E5">
            <w:pPr>
              <w:spacing w:before="120" w:after="120" w:line="288" w:lineRule="auto"/>
              <w:ind w:left="0"/>
              <w:jc w:val="left"/>
            </w:pPr>
            <w:r>
              <w:rPr>
                <w:rFonts w:ascii="Arial" w:hAnsi="Arial" w:eastAsia="等线" w:cs="Arial"/>
                <w:sz w:val="22"/>
              </w:rPr>
              <w:t>B. The key to this question is that it is an initial transaction in a margin account. So in this</w:t>
            </w:r>
          </w:p>
          <w:p w14:paraId="38FBAA3C">
            <w:pPr>
              <w:spacing w:before="120" w:after="120" w:line="288" w:lineRule="auto"/>
              <w:ind w:left="0"/>
              <w:jc w:val="left"/>
            </w:pPr>
            <w:r>
              <w:rPr>
                <w:rFonts w:ascii="Arial" w:hAnsi="Arial" w:eastAsia="等线" w:cs="Arial"/>
                <w:sz w:val="22"/>
              </w:rPr>
              <w:t>case, the customer purchased $1,200 (100 shares × $12) of securities. Reg T (50 percent) of</w:t>
            </w:r>
          </w:p>
          <w:p w14:paraId="27DC3B98">
            <w:pPr>
              <w:spacing w:before="120" w:after="120" w:line="288" w:lineRule="auto"/>
              <w:ind w:left="0"/>
              <w:jc w:val="left"/>
            </w:pPr>
            <w:r>
              <w:rPr>
                <w:rFonts w:ascii="Arial" w:hAnsi="Arial" w:eastAsia="等线" w:cs="Arial"/>
                <w:sz w:val="22"/>
              </w:rPr>
              <w:t>that amount would be $600 ($1,200 × 50%). That would be the correct answer if it were an</w:t>
            </w:r>
          </w:p>
          <w:p w14:paraId="5826FD7C">
            <w:pPr>
              <w:spacing w:before="120" w:after="120" w:line="288" w:lineRule="auto"/>
              <w:ind w:left="0"/>
              <w:jc w:val="left"/>
            </w:pPr>
            <w:r>
              <w:rPr>
                <w:rFonts w:ascii="Arial" w:hAnsi="Arial" w:eastAsia="等线" w:cs="Arial"/>
                <w:sz w:val="22"/>
              </w:rPr>
              <w:t>existing margin account. Because Alyssa is just opening the margin account, however,</w:t>
            </w:r>
          </w:p>
          <w:p w14:paraId="4C203C6B">
            <w:pPr>
              <w:spacing w:before="120" w:after="120" w:line="288" w:lineRule="auto"/>
              <w:ind w:left="0"/>
              <w:jc w:val="left"/>
            </w:pPr>
            <w:r>
              <w:rPr>
                <w:rFonts w:ascii="Arial" w:hAnsi="Arial" w:eastAsia="等线" w:cs="Arial"/>
                <w:sz w:val="22"/>
              </w:rPr>
              <w:t>Alyssa would either have to deposit the Reg T amount if over $2,000, $2,000, or pay in full</w:t>
            </w:r>
          </w:p>
          <w:p w14:paraId="0875E3EB">
            <w:pPr>
              <w:spacing w:before="120" w:after="120" w:line="288" w:lineRule="auto"/>
              <w:ind w:left="0"/>
              <w:jc w:val="left"/>
            </w:pPr>
            <w:r>
              <w:rPr>
                <w:rFonts w:ascii="Arial" w:hAnsi="Arial" w:eastAsia="等线" w:cs="Arial"/>
                <w:sz w:val="22"/>
              </w:rPr>
              <w:t>if the purchase is less than $2,000, which in this case it is. Therefore, Alyssa would have to</w:t>
            </w:r>
          </w:p>
          <w:p w14:paraId="5724829C">
            <w:pPr>
              <w:spacing w:before="120" w:after="120" w:line="288" w:lineRule="auto"/>
              <w:ind w:left="0"/>
              <w:jc w:val="left"/>
            </w:pPr>
            <w:r>
              <w:rPr>
                <w:rFonts w:ascii="Arial" w:hAnsi="Arial" w:eastAsia="等线" w:cs="Arial"/>
                <w:sz w:val="22"/>
              </w:rPr>
              <w:t>deposit $1,200.</w:t>
            </w:r>
          </w:p>
          <w:p w14:paraId="7A497E5B">
            <w:pPr>
              <w:spacing w:before="120" w:after="120" w:line="288" w:lineRule="auto"/>
              <w:ind w:left="0"/>
              <w:jc w:val="left"/>
            </w:pPr>
          </w:p>
          <w:p w14:paraId="0A6A73F0">
            <w:pPr>
              <w:numPr>
                <w:ilvl w:val="0"/>
                <w:numId w:val="95"/>
              </w:numPr>
              <w:spacing w:before="120" w:after="120" w:line="288" w:lineRule="auto"/>
              <w:ind w:left="0"/>
              <w:jc w:val="left"/>
            </w:pPr>
            <w:r>
              <w:rPr>
                <w:rFonts w:ascii="Arial" w:hAnsi="Arial" w:eastAsia="等线" w:cs="Arial"/>
                <w:sz w:val="22"/>
              </w:rPr>
              <w:t>A</w:t>
            </w:r>
          </w:p>
          <w:p w14:paraId="7F37D52E">
            <w:pPr>
              <w:spacing w:before="120" w:after="120" w:line="288" w:lineRule="auto"/>
              <w:ind w:left="0"/>
              <w:jc w:val="left"/>
            </w:pPr>
            <w:r>
              <w:rPr>
                <w:rFonts w:ascii="Arial" w:hAnsi="Arial" w:eastAsia="等线" w:cs="Arial"/>
                <w:sz w:val="22"/>
              </w:rPr>
              <w:t>A. Regarding UGMA (Uniform Gifts to Minors Act), you can only have one minor and one custodian per account. So in this case, even though the minor may have two parents, they can’t be joint custodians.</w:t>
            </w:r>
          </w:p>
          <w:p w14:paraId="2727E80A">
            <w:pPr>
              <w:spacing w:before="120" w:after="120" w:line="288" w:lineRule="auto"/>
              <w:ind w:left="0"/>
              <w:jc w:val="left"/>
            </w:pPr>
            <w:r>
              <w:rPr>
                <w:rFonts w:ascii="Arial" w:hAnsi="Arial" w:eastAsia="等线" w:cs="Arial"/>
                <w:sz w:val="22"/>
              </w:rPr>
              <w:t>A. 关于《统一未成年人赠与法》（UGMA），每个账户只能有一名未成年人和一名监护人。因此，在这种情况下，即使该未成年人可能有父母双方，他们也不能成为共同监护人。</w:t>
            </w:r>
          </w:p>
          <w:p w14:paraId="7FAB2729">
            <w:pPr>
              <w:spacing w:before="120" w:after="120" w:line="288" w:lineRule="auto"/>
              <w:ind w:left="0"/>
              <w:jc w:val="left"/>
            </w:pPr>
          </w:p>
          <w:p w14:paraId="765D7143">
            <w:pPr>
              <w:numPr>
                <w:ilvl w:val="0"/>
                <w:numId w:val="96"/>
              </w:numPr>
              <w:spacing w:before="120" w:after="120" w:line="288" w:lineRule="auto"/>
              <w:ind w:left="0"/>
              <w:jc w:val="left"/>
            </w:pPr>
            <w:r>
              <w:rPr>
                <w:rFonts w:ascii="Arial" w:hAnsi="Arial" w:eastAsia="等线" w:cs="Arial"/>
                <w:sz w:val="22"/>
              </w:rPr>
              <w:t>A</w:t>
            </w:r>
          </w:p>
          <w:p w14:paraId="58E81085">
            <w:pPr>
              <w:spacing w:before="120" w:after="120" w:line="288" w:lineRule="auto"/>
              <w:ind w:left="0"/>
              <w:jc w:val="left"/>
            </w:pPr>
            <w:r>
              <w:rPr>
                <w:rFonts w:ascii="Arial" w:hAnsi="Arial" w:eastAsia="等线" w:cs="Arial"/>
                <w:sz w:val="22"/>
              </w:rPr>
              <w:t>A. Although the registered representative’s and principal’s signatures have to be on a new account form, the customer’s does not. This allows the registered rep to make a trade with a customer right away without having to have the customer fill out, and ideally return, the new account form.</w:t>
            </w:r>
          </w:p>
          <w:p w14:paraId="0CA72BC1">
            <w:pPr>
              <w:spacing w:before="120" w:after="120" w:line="288" w:lineRule="auto"/>
              <w:ind w:left="0"/>
              <w:jc w:val="left"/>
            </w:pPr>
            <w:r>
              <w:rPr>
                <w:rFonts w:ascii="Arial" w:hAnsi="Arial" w:eastAsia="等线" w:cs="Arial"/>
                <w:sz w:val="22"/>
              </w:rPr>
              <w:t>A. 尽管新账户表格上必须有注册代表和负责人的签名，但不需要客户的签名。这使得注册代表可以立即与客户进行交易，而不必等待客户填写新账户表格，并且理想情况下也无需等待客户返还该表格。</w:t>
            </w:r>
          </w:p>
          <w:p w14:paraId="46DD5DB3">
            <w:pPr>
              <w:spacing w:before="120" w:after="120" w:line="288" w:lineRule="auto"/>
              <w:ind w:left="0"/>
              <w:jc w:val="left"/>
            </w:pPr>
          </w:p>
          <w:p w14:paraId="190BD583">
            <w:pPr>
              <w:numPr>
                <w:ilvl w:val="0"/>
                <w:numId w:val="97"/>
              </w:numPr>
              <w:spacing w:before="120" w:after="120" w:line="288" w:lineRule="auto"/>
              <w:ind w:left="0"/>
              <w:jc w:val="left"/>
            </w:pPr>
            <w:r>
              <w:rPr>
                <w:rFonts w:ascii="Arial" w:hAnsi="Arial" w:eastAsia="等线" w:cs="Arial"/>
                <w:sz w:val="22"/>
              </w:rPr>
              <w:t>B</w:t>
            </w:r>
          </w:p>
          <w:p w14:paraId="12684762">
            <w:pPr>
              <w:spacing w:before="120" w:after="120" w:line="288" w:lineRule="auto"/>
              <w:ind w:left="0"/>
              <w:jc w:val="left"/>
            </w:pPr>
            <w:r>
              <w:rPr>
                <w:rFonts w:ascii="Arial" w:hAnsi="Arial" w:eastAsia="等线" w:cs="Arial"/>
                <w:sz w:val="22"/>
              </w:rPr>
              <w:t>B. The rule is that you can’t call potential customers (cold calling) before 8 a.m. or after 9 p.m. local time of the customer. If a potential client doesn’t want to be called anymore, you must place them on your firm’s do not call list.</w:t>
            </w:r>
          </w:p>
          <w:p w14:paraId="73C7CBCF">
            <w:pPr>
              <w:spacing w:before="120" w:after="120" w:line="288" w:lineRule="auto"/>
              <w:ind w:left="0"/>
              <w:jc w:val="left"/>
            </w:pPr>
            <w:r>
              <w:rPr>
                <w:rFonts w:ascii="Arial" w:hAnsi="Arial" w:eastAsia="等线" w:cs="Arial"/>
                <w:sz w:val="22"/>
              </w:rPr>
              <w:t>B. 规则是，在客户当地时间上午8点之前或晚上9点之后，不得给潜在客户打电话（陌生电话推销）。如果潜在客户不想再接到电话，你必须将他们列入公司的禁止呼叫名单。</w:t>
            </w:r>
          </w:p>
          <w:p w14:paraId="3F41924C">
            <w:pPr>
              <w:spacing w:before="120" w:after="120" w:line="288" w:lineRule="auto"/>
              <w:ind w:left="0"/>
              <w:jc w:val="left"/>
            </w:pPr>
          </w:p>
          <w:p w14:paraId="57A9F588">
            <w:pPr>
              <w:numPr>
                <w:ilvl w:val="0"/>
                <w:numId w:val="98"/>
              </w:numPr>
              <w:spacing w:before="120" w:after="120" w:line="288" w:lineRule="auto"/>
              <w:ind w:left="0"/>
              <w:jc w:val="left"/>
            </w:pPr>
            <w:r>
              <w:rPr>
                <w:rFonts w:ascii="Arial" w:hAnsi="Arial" w:eastAsia="等线" w:cs="Arial"/>
                <w:sz w:val="22"/>
              </w:rPr>
              <w:t>D</w:t>
            </w:r>
          </w:p>
          <w:p w14:paraId="3B8D3B9D">
            <w:pPr>
              <w:spacing w:before="120" w:after="120" w:line="288" w:lineRule="auto"/>
              <w:ind w:left="0"/>
              <w:jc w:val="left"/>
            </w:pPr>
            <w:r>
              <w:rPr>
                <w:rFonts w:ascii="Arial" w:hAnsi="Arial" w:eastAsia="等线" w:cs="Arial"/>
                <w:sz w:val="22"/>
              </w:rPr>
              <w:t>D. The credit agreement, hypothecation agreement, and loan consent form are all part of the margin agreement that must be signed by new clients who want to open a margin account. In the event that it is a corporation that is opening the margin account, you would also need a corporate charter (bylaws), which would spell out whether the corporation was allowed to buy or short securities on margin.</w:t>
            </w:r>
          </w:p>
          <w:p w14:paraId="44F91227">
            <w:pPr>
              <w:spacing w:before="120" w:after="120" w:line="288" w:lineRule="auto"/>
              <w:ind w:left="0"/>
              <w:jc w:val="left"/>
            </w:pPr>
            <w:r>
              <w:rPr>
                <w:rFonts w:ascii="Arial" w:hAnsi="Arial" w:eastAsia="等线" w:cs="Arial"/>
                <w:sz w:val="22"/>
              </w:rPr>
              <w:t>D. 信贷协议、质押协议和贷款同意书均为保证金协议的一部分，想要开设保证金账户的新客户必须签署该协议。如果是公司开设保证金账户，还需要公司章程，其中会明确该公司是否获准通过保证金方式买入或卖空证券。</w:t>
            </w:r>
          </w:p>
          <w:p w14:paraId="7F5BA097">
            <w:pPr>
              <w:spacing w:before="120" w:after="120" w:line="288" w:lineRule="auto"/>
              <w:ind w:left="0"/>
              <w:jc w:val="left"/>
            </w:pPr>
          </w:p>
          <w:p w14:paraId="506BAF98">
            <w:pPr>
              <w:numPr>
                <w:ilvl w:val="0"/>
                <w:numId w:val="99"/>
              </w:numPr>
              <w:spacing w:before="120" w:after="120" w:line="288" w:lineRule="auto"/>
              <w:ind w:left="0"/>
              <w:jc w:val="left"/>
            </w:pPr>
            <w:r>
              <w:rPr>
                <w:rFonts w:ascii="Arial" w:hAnsi="Arial" w:eastAsia="等线" w:cs="Arial"/>
                <w:sz w:val="22"/>
              </w:rPr>
              <w:t>C</w:t>
            </w:r>
          </w:p>
          <w:p w14:paraId="1209AD91">
            <w:pPr>
              <w:spacing w:before="120" w:after="120" w:line="288" w:lineRule="auto"/>
              <w:ind w:left="0"/>
              <w:jc w:val="left"/>
            </w:pPr>
            <w:r>
              <w:rPr>
                <w:rFonts w:ascii="Arial" w:hAnsi="Arial" w:eastAsia="等线" w:cs="Arial"/>
                <w:sz w:val="22"/>
              </w:rPr>
              <w:t>C. When an investor of an account set up as joint tenants with rights of survivorship dies, their portion of the account goes to the remaining survivor(s). This is the type of account typically set up by a married couple. If the account is set up as joint with tenants in common, if an investor dies, their portion of the account would go to their estate.</w:t>
            </w:r>
          </w:p>
          <w:p w14:paraId="72D9CD4A">
            <w:pPr>
              <w:spacing w:before="120" w:after="120" w:line="288" w:lineRule="auto"/>
              <w:ind w:left="0"/>
              <w:jc w:val="left"/>
            </w:pPr>
            <w:r>
              <w:rPr>
                <w:rFonts w:ascii="Arial" w:hAnsi="Arial" w:eastAsia="等线" w:cs="Arial"/>
                <w:sz w:val="22"/>
              </w:rPr>
              <w:t>C. 当以具有生存者权利的联名账户形式设立的账户的一位投资者去世时，其在账户中的份额归剩余的生存者所有。这是已婚夫妇通常设立的账户类型。如果账户是以普通联名账户形式设立的，当一位投资者去世时，其在账户中的份额将归入其遗产。</w:t>
            </w:r>
          </w:p>
          <w:p w14:paraId="1DFAD888">
            <w:pPr>
              <w:spacing w:before="120" w:after="120" w:line="288" w:lineRule="auto"/>
              <w:ind w:left="0"/>
              <w:jc w:val="left"/>
            </w:pPr>
          </w:p>
          <w:p w14:paraId="09F1F992">
            <w:pPr>
              <w:numPr>
                <w:ilvl w:val="0"/>
                <w:numId w:val="100"/>
              </w:numPr>
              <w:spacing w:before="120" w:after="120" w:line="288" w:lineRule="auto"/>
              <w:ind w:left="0"/>
              <w:jc w:val="left"/>
            </w:pPr>
            <w:r>
              <w:rPr>
                <w:rFonts w:ascii="Arial" w:hAnsi="Arial" w:eastAsia="等线" w:cs="Arial"/>
                <w:sz w:val="22"/>
              </w:rPr>
              <w:t>B</w:t>
            </w:r>
          </w:p>
          <w:p w14:paraId="35CBC685">
            <w:pPr>
              <w:spacing w:before="120" w:after="120" w:line="288" w:lineRule="auto"/>
              <w:ind w:left="0"/>
              <w:jc w:val="left"/>
            </w:pPr>
            <w:r>
              <w:rPr>
                <w:rFonts w:ascii="Arial" w:hAnsi="Arial" w:eastAsia="等线" w:cs="Arial"/>
                <w:sz w:val="22"/>
              </w:rPr>
              <w:t>B. Because this investor is opening a short margin account, they must deposit either the Reg T amount or $2,000, whichever is greater. Because 50 percent of the Reg T amount ($3,400 ×50 %=$1,700) is less than $2,000, this investor must come up with $2,000 to meet the call.</w:t>
            </w:r>
          </w:p>
          <w:p w14:paraId="2811D969">
            <w:pPr>
              <w:spacing w:before="120" w:after="120" w:line="288" w:lineRule="auto"/>
              <w:ind w:left="0"/>
              <w:jc w:val="left"/>
            </w:pPr>
            <w:r>
              <w:rPr>
                <w:rFonts w:ascii="Arial" w:hAnsi="Arial" w:eastAsia="等线" w:cs="Arial"/>
                <w:sz w:val="22"/>
              </w:rPr>
              <w:t>因为这个投资者开的是一个空头保证金账户，他们必须存入 Reg T 金额或2000美元中的较高者。由于50% 的 Reg T 金额（$3,400 ×50 %=$1,700）少于2,000美元，因此该投资者必须拿出2,000美元才能满足要求。</w:t>
            </w:r>
          </w:p>
          <w:p w14:paraId="74E0CAEE">
            <w:pPr>
              <w:spacing w:before="120" w:after="120" w:line="288" w:lineRule="auto"/>
              <w:ind w:left="0"/>
              <w:jc w:val="left"/>
            </w:pPr>
          </w:p>
          <w:p w14:paraId="2464A51F">
            <w:pPr>
              <w:numPr>
                <w:ilvl w:val="0"/>
                <w:numId w:val="101"/>
              </w:numPr>
              <w:spacing w:before="120" w:after="120" w:line="288" w:lineRule="auto"/>
              <w:ind w:left="0"/>
              <w:jc w:val="left"/>
            </w:pPr>
            <w:r>
              <w:rPr>
                <w:rFonts w:ascii="Arial" w:hAnsi="Arial" w:eastAsia="等线" w:cs="Arial"/>
                <w:sz w:val="22"/>
              </w:rPr>
              <w:t>D</w:t>
            </w:r>
          </w:p>
          <w:p w14:paraId="14BF37F1">
            <w:pPr>
              <w:spacing w:before="120" w:after="120" w:line="288" w:lineRule="auto"/>
              <w:ind w:left="0"/>
              <w:jc w:val="left"/>
            </w:pPr>
            <w:r>
              <w:rPr>
                <w:rFonts w:ascii="Arial" w:hAnsi="Arial" w:eastAsia="等线" w:cs="Arial"/>
                <w:sz w:val="22"/>
              </w:rPr>
              <w:t>D. Besides the information required on a new account form, you should gain any knowledge about your client that you can to help you make better investment recommendations. The customer’s age is important because, in most cases, the older people get, the less risk they should take. So for older investors, you may want to rebalance their portfolio so they have more debt securities than a younger investor would. The time horizon is typically the amount of time until someone retires, but it could be something like the number of years until the investor plans on buying a house and so on. The tax bracket is important because if the tax bracket is high, you may want to recommend tax-advantaged investments like municipal bonds. Liquidity needs are how easy it is for the investor to sell the securities in a hurry if needed. In this case, you wouldn’t recommend investments like limited partnerships.</w:t>
            </w:r>
          </w:p>
          <w:p w14:paraId="1290CB06">
            <w:pPr>
              <w:spacing w:before="120" w:after="120" w:line="288" w:lineRule="auto"/>
              <w:ind w:left="0"/>
              <w:jc w:val="left"/>
            </w:pPr>
            <w:r>
              <w:rPr>
                <w:rFonts w:ascii="Arial" w:hAnsi="Arial" w:eastAsia="等线" w:cs="Arial"/>
                <w:sz w:val="22"/>
              </w:rPr>
              <w:t>D. 除了新账户表格上要求的信息外，你还应尽可能获取关于客户的任何信息，以帮助你提出更好的投资建议。客户的年龄很重要，因为在大多数情况下，人们年龄越大，他们应该承担的风险就越小。因此，对于年长的投资者，你可能需要重新平衡他们的投资组合，使他们持有的债务证券比年轻投资者更多。投资期限通常是指到退休为止的时间，但也可能是诸如投资者计划购买房屋的年限等情况。税率等级很重要，因为如果税率等级较高，你可能会想要推荐市政债券等具有税收优惠的投资。流动性需求指的是投资者在需要时能快速卖出证券的难易程度。在这种情况下，你不会推荐有限合伙制等类型的投资。</w:t>
            </w:r>
          </w:p>
          <w:p w14:paraId="0C1D5B46">
            <w:pPr>
              <w:spacing w:before="120" w:after="120" w:line="288" w:lineRule="auto"/>
              <w:ind w:left="0"/>
              <w:jc w:val="left"/>
            </w:pPr>
          </w:p>
          <w:p w14:paraId="421F296A">
            <w:pPr>
              <w:numPr>
                <w:ilvl w:val="0"/>
                <w:numId w:val="102"/>
              </w:numPr>
              <w:spacing w:before="120" w:after="120" w:line="288" w:lineRule="auto"/>
              <w:ind w:left="0"/>
              <w:jc w:val="left"/>
            </w:pPr>
            <w:r>
              <w:rPr>
                <w:rFonts w:ascii="Arial" w:hAnsi="Arial" w:eastAsia="等线" w:cs="Arial"/>
                <w:sz w:val="22"/>
              </w:rPr>
              <w:t>A</w:t>
            </w:r>
          </w:p>
          <w:p w14:paraId="5D00DA9C">
            <w:pPr>
              <w:spacing w:before="120" w:after="120" w:line="288" w:lineRule="auto"/>
              <w:ind w:left="0"/>
              <w:jc w:val="left"/>
            </w:pPr>
            <w:r>
              <w:rPr>
                <w:rFonts w:ascii="Arial" w:hAnsi="Arial" w:eastAsia="等线" w:cs="Arial"/>
                <w:sz w:val="22"/>
              </w:rPr>
              <w:t>A. As part of the U.S. Patriot Act, all broker–dealers are required to help identify terrorists or potential terrorists through CIPs (Customer Identification Programs).</w:t>
            </w:r>
          </w:p>
          <w:p w14:paraId="508A198F">
            <w:pPr>
              <w:spacing w:before="120" w:after="120" w:line="288" w:lineRule="auto"/>
              <w:ind w:left="0"/>
              <w:jc w:val="left"/>
            </w:pPr>
            <w:r>
              <w:rPr>
                <w:rFonts w:ascii="Arial" w:hAnsi="Arial" w:eastAsia="等线" w:cs="Arial"/>
                <w:sz w:val="22"/>
              </w:rPr>
              <w:t>A. 作为《美国爱国者法案》的一部分，所有经纪交易商都必须通过客户识别程序（CIPs）协助识别恐怖分子或潜在恐怖分子。</w:t>
            </w:r>
          </w:p>
          <w:p w14:paraId="3423E5A5">
            <w:pPr>
              <w:spacing w:before="120" w:after="120" w:line="288" w:lineRule="auto"/>
              <w:ind w:left="0"/>
              <w:jc w:val="left"/>
            </w:pPr>
          </w:p>
          <w:p w14:paraId="40FFEF4D">
            <w:pPr>
              <w:numPr>
                <w:ilvl w:val="0"/>
                <w:numId w:val="103"/>
              </w:numPr>
              <w:spacing w:before="120" w:after="120" w:line="288" w:lineRule="auto"/>
              <w:ind w:left="0"/>
              <w:jc w:val="left"/>
            </w:pPr>
            <w:r>
              <w:rPr>
                <w:rFonts w:ascii="Arial" w:hAnsi="Arial" w:eastAsia="等线" w:cs="Arial"/>
                <w:sz w:val="22"/>
              </w:rPr>
              <w:t>C</w:t>
            </w:r>
          </w:p>
          <w:p w14:paraId="6CF250DF">
            <w:pPr>
              <w:spacing w:before="120" w:after="120" w:line="288" w:lineRule="auto"/>
              <w:ind w:left="0"/>
              <w:jc w:val="left"/>
            </w:pPr>
            <w:r>
              <w:rPr>
                <w:rFonts w:ascii="Arial" w:hAnsi="Arial" w:eastAsia="等线" w:cs="Arial"/>
                <w:sz w:val="22"/>
              </w:rPr>
              <w:t>C. An UTMA (Uniform Transfer to Minors Act) account is an account set up for a minor who</w:t>
            </w:r>
          </w:p>
          <w:p w14:paraId="3A8CCBA2">
            <w:pPr>
              <w:spacing w:before="120" w:after="120" w:line="288" w:lineRule="auto"/>
              <w:ind w:left="0"/>
              <w:jc w:val="left"/>
            </w:pPr>
            <w:r>
              <w:rPr>
                <w:rFonts w:ascii="Arial" w:hAnsi="Arial" w:eastAsia="等线" w:cs="Arial"/>
                <w:sz w:val="22"/>
              </w:rPr>
              <w:t>(by law) is too young to make investment decisions on their own. It is an account set up for</w:t>
            </w:r>
          </w:p>
          <w:p w14:paraId="34BB0049">
            <w:pPr>
              <w:spacing w:before="120" w:after="120" w:line="288" w:lineRule="auto"/>
              <w:ind w:left="0"/>
              <w:jc w:val="left"/>
            </w:pPr>
            <w:r>
              <w:rPr>
                <w:rFonts w:ascii="Arial" w:hAnsi="Arial" w:eastAsia="等线" w:cs="Arial"/>
                <w:sz w:val="22"/>
              </w:rPr>
              <w:t>one minor and one custodian, who must make investment decisions in the best interest of</w:t>
            </w:r>
          </w:p>
          <w:p w14:paraId="72570F8B">
            <w:pPr>
              <w:spacing w:before="120" w:after="120" w:line="288" w:lineRule="auto"/>
              <w:ind w:left="0"/>
              <w:jc w:val="left"/>
            </w:pPr>
            <w:r>
              <w:rPr>
                <w:rFonts w:ascii="Arial" w:hAnsi="Arial" w:eastAsia="等线" w:cs="Arial"/>
                <w:sz w:val="22"/>
              </w:rPr>
              <w:t>the minor. All profits and/or losses in the account are the minors and, therefore, the firm</w:t>
            </w:r>
          </w:p>
          <w:p w14:paraId="328F800A">
            <w:pPr>
              <w:spacing w:before="120" w:after="120" w:line="288" w:lineRule="auto"/>
              <w:ind w:left="0"/>
              <w:jc w:val="left"/>
            </w:pPr>
            <w:r>
              <w:rPr>
                <w:rFonts w:ascii="Arial" w:hAnsi="Arial" w:eastAsia="等线" w:cs="Arial"/>
                <w:sz w:val="22"/>
              </w:rPr>
              <w:t>is required to have the tax ID of the minor.</w:t>
            </w:r>
          </w:p>
          <w:p w14:paraId="6DB1A3CC">
            <w:pPr>
              <w:spacing w:before="120" w:after="120" w:line="288" w:lineRule="auto"/>
              <w:ind w:left="0"/>
              <w:jc w:val="left"/>
            </w:pPr>
            <w:r>
              <w:rPr>
                <w:rFonts w:ascii="Arial" w:hAnsi="Arial" w:eastAsia="等线" w:cs="Arial"/>
                <w:sz w:val="22"/>
              </w:rPr>
              <w:t>C. 统一未成年人转移法案（UTMA）账户是为未成年人设立的账户，根据法律规定，这类未成年人年龄太小，无法自行做出投资决策。该账户由一名未成年人和一名监护人共同设立，监护人必须以未成年人的最大利益为出发点做出投资决策。账户中的所有盈利和/或亏损都归未成年人所有，因此，公司需要获取该未成年人的税号。</w:t>
            </w:r>
          </w:p>
          <w:p w14:paraId="26F11FDD">
            <w:pPr>
              <w:spacing w:before="120" w:after="120" w:line="288" w:lineRule="auto"/>
              <w:ind w:left="0"/>
              <w:jc w:val="left"/>
            </w:pPr>
          </w:p>
          <w:p w14:paraId="1963418F">
            <w:pPr>
              <w:numPr>
                <w:ilvl w:val="0"/>
                <w:numId w:val="104"/>
              </w:numPr>
              <w:spacing w:before="120" w:after="120" w:line="288" w:lineRule="auto"/>
              <w:ind w:left="0"/>
              <w:jc w:val="left"/>
            </w:pPr>
            <w:r>
              <w:rPr>
                <w:rFonts w:ascii="Arial" w:hAnsi="Arial" w:eastAsia="等线" w:cs="Arial"/>
                <w:sz w:val="22"/>
              </w:rPr>
              <w:t>D</w:t>
            </w:r>
          </w:p>
          <w:p w14:paraId="40713D93">
            <w:pPr>
              <w:spacing w:before="120" w:after="120" w:line="288" w:lineRule="auto"/>
              <w:ind w:left="0"/>
              <w:jc w:val="left"/>
            </w:pPr>
            <w:r>
              <w:rPr>
                <w:rFonts w:ascii="Arial" w:hAnsi="Arial" w:eastAsia="等线" w:cs="Arial"/>
                <w:sz w:val="22"/>
              </w:rPr>
              <w:t>D. With a joint with rights of survivorship account, if one investor dies, the surviving individual(s) of the account would split the individual’s portion of the account. However, with a joint with tenants in common account, if one investor dies, their portion of the account goes to their estate.</w:t>
            </w:r>
          </w:p>
          <w:p w14:paraId="2186318A">
            <w:pPr>
              <w:spacing w:before="120" w:after="120" w:line="288" w:lineRule="auto"/>
              <w:ind w:left="0"/>
              <w:jc w:val="left"/>
            </w:pPr>
            <w:r>
              <w:rPr>
                <w:rFonts w:ascii="Arial" w:hAnsi="Arial" w:eastAsia="等线" w:cs="Arial"/>
                <w:sz w:val="22"/>
              </w:rPr>
              <w:t>D. 在具有生存者权利的联名账户中，如果一名投资者去世，账户的幸存个人将平分该投资者在账户中的份额。然而，在共同共有联名账户中，如果一名投资者去世，其在账户中的份额将归其遗产所有。</w:t>
            </w:r>
          </w:p>
        </w:tc>
      </w:tr>
    </w:tbl>
    <w:p w14:paraId="764CAC13">
      <w:pPr>
        <w:spacing w:before="120" w:after="120" w:line="288" w:lineRule="auto"/>
        <w:ind w:left="0"/>
        <w:jc w:val="left"/>
      </w:pPr>
      <w:bookmarkStart w:id="33" w:name="_GoBack"/>
      <w:bookmarkEnd w:id="33"/>
    </w:p>
    <w:p w14:paraId="6D7FE92F">
      <w:pPr>
        <w:spacing w:before="120" w:after="120" w:line="288" w:lineRule="auto"/>
        <w:ind w:left="0"/>
        <w:jc w:val="left"/>
      </w:pPr>
    </w:p>
    <w:p w14:paraId="765D0FC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DA2A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6B7AB">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6"/>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14"/>
      <w:numFmt w:val="decimal"/>
      <w:lvlText w:val="%1."/>
      <w:lvlJc w:val="left"/>
      <w:rPr>
        <w:color w:val="3370FF"/>
      </w:rPr>
    </w:lvl>
  </w:abstractNum>
  <w:abstractNum w:abstractNumId="7">
    <w:nsid w:val="9239341B"/>
    <w:multiLevelType w:val="singleLevel"/>
    <w:tmpl w:val="9239341B"/>
    <w:lvl w:ilvl="0" w:tentative="0">
      <w:start w:val="0"/>
      <w:numFmt w:val="bullet"/>
      <w:lvlText w:val="•"/>
      <w:lvlJc w:val="left"/>
      <w:rPr>
        <w:color w:val="3370FF"/>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11"/>
      <w:numFmt w:val="decimal"/>
      <w:lvlText w:val="%1."/>
      <w:lvlJc w:val="left"/>
      <w:rPr>
        <w:color w:val="3370FF"/>
      </w:rPr>
    </w:lvl>
  </w:abstractNum>
  <w:abstractNum w:abstractNumId="10">
    <w:nsid w:val="9ACF65A0"/>
    <w:multiLevelType w:val="singleLevel"/>
    <w:tmpl w:val="9ACF65A0"/>
    <w:lvl w:ilvl="0" w:tentative="0">
      <w:start w:val="7"/>
      <w:numFmt w:val="decimal"/>
      <w:lvlText w:val="%1."/>
      <w:lvlJc w:val="left"/>
      <w:rPr>
        <w:color w:val="3370FF"/>
      </w:rPr>
    </w:lvl>
  </w:abstractNum>
  <w:abstractNum w:abstractNumId="11">
    <w:nsid w:val="9C11E984"/>
    <w:multiLevelType w:val="singleLevel"/>
    <w:tmpl w:val="9C11E984"/>
    <w:lvl w:ilvl="0" w:tentative="0">
      <w:start w:val="11"/>
      <w:numFmt w:val="decimal"/>
      <w:lvlText w:val="%1."/>
      <w:lvlJc w:val="left"/>
      <w:rPr>
        <w:color w:val="3370FF"/>
      </w:rPr>
    </w:lvl>
  </w:abstractNum>
  <w:abstractNum w:abstractNumId="12">
    <w:nsid w:val="9C8AC8EF"/>
    <w:multiLevelType w:val="singleLevel"/>
    <w:tmpl w:val="9C8AC8EF"/>
    <w:lvl w:ilvl="0" w:tentative="0">
      <w:start w:val="0"/>
      <w:numFmt w:val="bullet"/>
      <w:lvlText w:val="•"/>
      <w:lvlJc w:val="left"/>
      <w:rPr>
        <w:color w:val="3370FF"/>
      </w:rPr>
    </w:lvl>
  </w:abstractNum>
  <w:abstractNum w:abstractNumId="13">
    <w:nsid w:val="9D5D7490"/>
    <w:multiLevelType w:val="singleLevel"/>
    <w:tmpl w:val="9D5D7490"/>
    <w:lvl w:ilvl="0" w:tentative="0">
      <w:start w:val="12"/>
      <w:numFmt w:val="decimal"/>
      <w:lvlText w:val="%1."/>
      <w:lvlJc w:val="left"/>
      <w:rPr>
        <w:color w:val="3370FF"/>
      </w:rPr>
    </w:lvl>
  </w:abstractNum>
  <w:abstractNum w:abstractNumId="14">
    <w:nsid w:val="A0C93552"/>
    <w:multiLevelType w:val="singleLevel"/>
    <w:tmpl w:val="A0C93552"/>
    <w:lvl w:ilvl="0" w:tentative="0">
      <w:start w:val="1"/>
      <w:numFmt w:val="decimal"/>
      <w:lvlText w:val="%1."/>
      <w:lvlJc w:val="left"/>
      <w:rPr>
        <w:color w:val="3370FF"/>
      </w:rPr>
    </w:lvl>
  </w:abstractNum>
  <w:abstractNum w:abstractNumId="15">
    <w:nsid w:val="A0F05207"/>
    <w:multiLevelType w:val="singleLevel"/>
    <w:tmpl w:val="A0F05207"/>
    <w:lvl w:ilvl="0" w:tentative="0">
      <w:start w:val="3"/>
      <w:numFmt w:val="decimal"/>
      <w:lvlText w:val="%1."/>
      <w:lvlJc w:val="left"/>
      <w:rPr>
        <w:color w:val="3370FF"/>
      </w:rPr>
    </w:lvl>
  </w:abstractNum>
  <w:abstractNum w:abstractNumId="16">
    <w:nsid w:val="AAF3F3FA"/>
    <w:multiLevelType w:val="singleLevel"/>
    <w:tmpl w:val="AAF3F3FA"/>
    <w:lvl w:ilvl="0" w:tentative="0">
      <w:start w:val="13"/>
      <w:numFmt w:val="decimal"/>
      <w:lvlText w:val="%1."/>
      <w:lvlJc w:val="left"/>
      <w:rPr>
        <w:color w:val="3370FF"/>
      </w:rPr>
    </w:lvl>
  </w:abstractNum>
  <w:abstractNum w:abstractNumId="17">
    <w:nsid w:val="B0ED9BEA"/>
    <w:multiLevelType w:val="singleLevel"/>
    <w:tmpl w:val="B0ED9BEA"/>
    <w:lvl w:ilvl="0" w:tentative="0">
      <w:start w:val="10"/>
      <w:numFmt w:val="decimal"/>
      <w:lvlText w:val="%1."/>
      <w:lvlJc w:val="left"/>
      <w:rPr>
        <w:color w:val="3370FF"/>
      </w:rPr>
    </w:lvl>
  </w:abstractNum>
  <w:abstractNum w:abstractNumId="18">
    <w:nsid w:val="B0F1ACD9"/>
    <w:multiLevelType w:val="singleLevel"/>
    <w:tmpl w:val="B0F1ACD9"/>
    <w:lvl w:ilvl="0" w:tentative="0">
      <w:start w:val="0"/>
      <w:numFmt w:val="bullet"/>
      <w:lvlText w:val="•"/>
      <w:lvlJc w:val="left"/>
      <w:rPr>
        <w:color w:val="3370FF"/>
      </w:rPr>
    </w:lvl>
  </w:abstractNum>
  <w:abstractNum w:abstractNumId="19">
    <w:nsid w:val="B23A94A9"/>
    <w:multiLevelType w:val="singleLevel"/>
    <w:tmpl w:val="B23A94A9"/>
    <w:lvl w:ilvl="0" w:tentative="0">
      <w:start w:val="0"/>
      <w:numFmt w:val="bullet"/>
      <w:lvlText w:val="￮"/>
      <w:lvlJc w:val="left"/>
      <w:rPr>
        <w:color w:val="3370FF"/>
      </w:rPr>
    </w:lvl>
  </w:abstractNum>
  <w:abstractNum w:abstractNumId="20">
    <w:nsid w:val="B53F3350"/>
    <w:multiLevelType w:val="singleLevel"/>
    <w:tmpl w:val="B53F3350"/>
    <w:lvl w:ilvl="0" w:tentative="0">
      <w:start w:val="1"/>
      <w:numFmt w:val="decimal"/>
      <w:lvlText w:val="%1."/>
      <w:lvlJc w:val="left"/>
      <w:rPr>
        <w:color w:val="3370FF"/>
      </w:rPr>
    </w:lvl>
  </w:abstractNum>
  <w:abstractNum w:abstractNumId="21">
    <w:nsid w:val="B5E306ED"/>
    <w:multiLevelType w:val="singleLevel"/>
    <w:tmpl w:val="B5E306ED"/>
    <w:lvl w:ilvl="0" w:tentative="0">
      <w:start w:val="0"/>
      <w:numFmt w:val="bullet"/>
      <w:lvlText w:val="•"/>
      <w:lvlJc w:val="left"/>
      <w:rPr>
        <w:color w:val="3370FF"/>
      </w:rPr>
    </w:lvl>
  </w:abstractNum>
  <w:abstractNum w:abstractNumId="22">
    <w:nsid w:val="B88D21A8"/>
    <w:multiLevelType w:val="singleLevel"/>
    <w:tmpl w:val="B88D21A8"/>
    <w:lvl w:ilvl="0" w:tentative="0">
      <w:start w:val="4"/>
      <w:numFmt w:val="decimal"/>
      <w:lvlText w:val="%1."/>
      <w:lvlJc w:val="left"/>
      <w:rPr>
        <w:color w:val="3370FF"/>
      </w:rPr>
    </w:lvl>
  </w:abstractNum>
  <w:abstractNum w:abstractNumId="23">
    <w:nsid w:val="B8CEF35B"/>
    <w:multiLevelType w:val="singleLevel"/>
    <w:tmpl w:val="B8CEF35B"/>
    <w:lvl w:ilvl="0" w:tentative="0">
      <w:start w:val="0"/>
      <w:numFmt w:val="bullet"/>
      <w:lvlText w:val="•"/>
      <w:lvlJc w:val="left"/>
      <w:rPr>
        <w:color w:val="3370FF"/>
      </w:rPr>
    </w:lvl>
  </w:abstractNum>
  <w:abstractNum w:abstractNumId="24">
    <w:nsid w:val="BB64CFA9"/>
    <w:multiLevelType w:val="singleLevel"/>
    <w:tmpl w:val="BB64CFA9"/>
    <w:lvl w:ilvl="0" w:tentative="0">
      <w:start w:val="0"/>
      <w:numFmt w:val="bullet"/>
      <w:lvlText w:val="•"/>
      <w:lvlJc w:val="left"/>
      <w:rPr>
        <w:color w:val="3370FF"/>
      </w:rPr>
    </w:lvl>
  </w:abstractNum>
  <w:abstractNum w:abstractNumId="25">
    <w:nsid w:val="BCECA0B4"/>
    <w:multiLevelType w:val="singleLevel"/>
    <w:tmpl w:val="BCECA0B4"/>
    <w:lvl w:ilvl="0" w:tentative="0">
      <w:start w:val="7"/>
      <w:numFmt w:val="decimal"/>
      <w:lvlText w:val="%1."/>
      <w:lvlJc w:val="left"/>
      <w:rPr>
        <w:color w:val="3370FF"/>
      </w:rPr>
    </w:lvl>
  </w:abstractNum>
  <w:abstractNum w:abstractNumId="26">
    <w:nsid w:val="BDA1395C"/>
    <w:multiLevelType w:val="singleLevel"/>
    <w:tmpl w:val="BDA1395C"/>
    <w:lvl w:ilvl="0" w:tentative="0">
      <w:start w:val="9"/>
      <w:numFmt w:val="decimal"/>
      <w:lvlText w:val="%1."/>
      <w:lvlJc w:val="left"/>
      <w:rPr>
        <w:color w:val="3370FF"/>
      </w:rPr>
    </w:lvl>
  </w:abstractNum>
  <w:abstractNum w:abstractNumId="27">
    <w:nsid w:val="BE8A4F4C"/>
    <w:multiLevelType w:val="singleLevel"/>
    <w:tmpl w:val="BE8A4F4C"/>
    <w:lvl w:ilvl="0" w:tentative="0">
      <w:start w:val="2"/>
      <w:numFmt w:val="decimal"/>
      <w:lvlText w:val="%1."/>
      <w:lvlJc w:val="left"/>
      <w:rPr>
        <w:color w:val="3370FF"/>
      </w:rPr>
    </w:lvl>
  </w:abstractNum>
  <w:abstractNum w:abstractNumId="28">
    <w:nsid w:val="BE923771"/>
    <w:multiLevelType w:val="singleLevel"/>
    <w:tmpl w:val="BE923771"/>
    <w:lvl w:ilvl="0" w:tentative="0">
      <w:start w:val="0"/>
      <w:numFmt w:val="bullet"/>
      <w:lvlText w:val="•"/>
      <w:lvlJc w:val="left"/>
      <w:rPr>
        <w:color w:val="3370FF"/>
      </w:rPr>
    </w:lvl>
  </w:abstractNum>
  <w:abstractNum w:abstractNumId="29">
    <w:nsid w:val="BF205925"/>
    <w:multiLevelType w:val="singleLevel"/>
    <w:tmpl w:val="BF205925"/>
    <w:lvl w:ilvl="0" w:tentative="0">
      <w:start w:val="0"/>
      <w:numFmt w:val="bullet"/>
      <w:lvlText w:val="•"/>
      <w:lvlJc w:val="left"/>
      <w:rPr>
        <w:color w:val="3370FF"/>
      </w:rPr>
    </w:lvl>
  </w:abstractNum>
  <w:abstractNum w:abstractNumId="30">
    <w:nsid w:val="C0915F4F"/>
    <w:multiLevelType w:val="singleLevel"/>
    <w:tmpl w:val="C0915F4F"/>
    <w:lvl w:ilvl="0" w:tentative="0">
      <w:start w:val="0"/>
      <w:numFmt w:val="bullet"/>
      <w:lvlText w:val="￮"/>
      <w:lvlJc w:val="left"/>
      <w:rPr>
        <w:color w:val="3370FF"/>
      </w:rPr>
    </w:lvl>
  </w:abstractNum>
  <w:abstractNum w:abstractNumId="31">
    <w:nsid w:val="C4E0D24A"/>
    <w:multiLevelType w:val="singleLevel"/>
    <w:tmpl w:val="C4E0D24A"/>
    <w:lvl w:ilvl="0" w:tentative="0">
      <w:start w:val="0"/>
      <w:numFmt w:val="bullet"/>
      <w:lvlText w:val="￮"/>
      <w:lvlJc w:val="left"/>
      <w:rPr>
        <w:color w:val="3370FF"/>
      </w:rPr>
    </w:lvl>
  </w:abstractNum>
  <w:abstractNum w:abstractNumId="32">
    <w:nsid w:val="C8879AEF"/>
    <w:multiLevelType w:val="singleLevel"/>
    <w:tmpl w:val="C8879AEF"/>
    <w:lvl w:ilvl="0" w:tentative="0">
      <w:start w:val="0"/>
      <w:numFmt w:val="bullet"/>
      <w:lvlText w:val="•"/>
      <w:lvlJc w:val="left"/>
      <w:rPr>
        <w:color w:val="3370FF"/>
      </w:rPr>
    </w:lvl>
  </w:abstractNum>
  <w:abstractNum w:abstractNumId="33">
    <w:nsid w:val="CF092B84"/>
    <w:multiLevelType w:val="singleLevel"/>
    <w:tmpl w:val="CF092B84"/>
    <w:lvl w:ilvl="0" w:tentative="0">
      <w:start w:val="0"/>
      <w:numFmt w:val="bullet"/>
      <w:lvlText w:val="•"/>
      <w:lvlJc w:val="left"/>
      <w:rPr>
        <w:color w:val="3370FF"/>
      </w:rPr>
    </w:lvl>
  </w:abstractNum>
  <w:abstractNum w:abstractNumId="34">
    <w:nsid w:val="D1EB1714"/>
    <w:multiLevelType w:val="singleLevel"/>
    <w:tmpl w:val="D1EB1714"/>
    <w:lvl w:ilvl="0" w:tentative="0">
      <w:start w:val="4"/>
      <w:numFmt w:val="decimal"/>
      <w:lvlText w:val="%1."/>
      <w:lvlJc w:val="left"/>
      <w:rPr>
        <w:color w:val="3370FF"/>
      </w:rPr>
    </w:lvl>
  </w:abstractNum>
  <w:abstractNum w:abstractNumId="35">
    <w:nsid w:val="D7D140E4"/>
    <w:multiLevelType w:val="singleLevel"/>
    <w:tmpl w:val="D7D140E4"/>
    <w:lvl w:ilvl="0" w:tentative="0">
      <w:start w:val="2"/>
      <w:numFmt w:val="decimal"/>
      <w:lvlText w:val="%1."/>
      <w:lvlJc w:val="left"/>
      <w:rPr>
        <w:color w:val="3370FF"/>
      </w:rPr>
    </w:lvl>
  </w:abstractNum>
  <w:abstractNum w:abstractNumId="36">
    <w:nsid w:val="D7F9FE59"/>
    <w:multiLevelType w:val="singleLevel"/>
    <w:tmpl w:val="D7F9FE59"/>
    <w:lvl w:ilvl="0" w:tentative="0">
      <w:start w:val="0"/>
      <w:numFmt w:val="bullet"/>
      <w:lvlText w:val="•"/>
      <w:lvlJc w:val="left"/>
      <w:rPr>
        <w:color w:val="3370FF"/>
      </w:rPr>
    </w:lvl>
  </w:abstractNum>
  <w:abstractNum w:abstractNumId="37">
    <w:nsid w:val="DAD3A854"/>
    <w:multiLevelType w:val="singleLevel"/>
    <w:tmpl w:val="DAD3A854"/>
    <w:lvl w:ilvl="0" w:tentative="0">
      <w:start w:val="3"/>
      <w:numFmt w:val="decimal"/>
      <w:lvlText w:val="%1."/>
      <w:lvlJc w:val="left"/>
      <w:rPr>
        <w:color w:val="3370FF"/>
      </w:rPr>
    </w:lvl>
  </w:abstractNum>
  <w:abstractNum w:abstractNumId="38">
    <w:nsid w:val="DCBA6B53"/>
    <w:multiLevelType w:val="singleLevel"/>
    <w:tmpl w:val="DCBA6B53"/>
    <w:lvl w:ilvl="0" w:tentative="0">
      <w:start w:val="0"/>
      <w:numFmt w:val="bullet"/>
      <w:lvlText w:val="•"/>
      <w:lvlJc w:val="left"/>
      <w:rPr>
        <w:color w:val="3370FF"/>
      </w:rPr>
    </w:lvl>
  </w:abstractNum>
  <w:abstractNum w:abstractNumId="39">
    <w:nsid w:val="E0294EC7"/>
    <w:multiLevelType w:val="singleLevel"/>
    <w:tmpl w:val="E0294EC7"/>
    <w:lvl w:ilvl="0" w:tentative="0">
      <w:start w:val="12"/>
      <w:numFmt w:val="decimal"/>
      <w:lvlText w:val="%1."/>
      <w:lvlJc w:val="left"/>
      <w:rPr>
        <w:color w:val="3370FF"/>
      </w:rPr>
    </w:lvl>
  </w:abstractNum>
  <w:abstractNum w:abstractNumId="40">
    <w:nsid w:val="E093A4B0"/>
    <w:multiLevelType w:val="singleLevel"/>
    <w:tmpl w:val="E093A4B0"/>
    <w:lvl w:ilvl="0" w:tentative="0">
      <w:start w:val="0"/>
      <w:numFmt w:val="bullet"/>
      <w:lvlText w:val="•"/>
      <w:lvlJc w:val="left"/>
      <w:rPr>
        <w:color w:val="3370FF"/>
      </w:rPr>
    </w:lvl>
  </w:abstractNum>
  <w:abstractNum w:abstractNumId="41">
    <w:nsid w:val="E504947C"/>
    <w:multiLevelType w:val="singleLevel"/>
    <w:tmpl w:val="E504947C"/>
    <w:lvl w:ilvl="0" w:tentative="0">
      <w:start w:val="0"/>
      <w:numFmt w:val="bullet"/>
      <w:lvlText w:val="￮"/>
      <w:lvlJc w:val="left"/>
      <w:rPr>
        <w:color w:val="3370FF"/>
      </w:rPr>
    </w:lvl>
  </w:abstractNum>
  <w:abstractNum w:abstractNumId="42">
    <w:nsid w:val="E7B27C5B"/>
    <w:multiLevelType w:val="singleLevel"/>
    <w:tmpl w:val="E7B27C5B"/>
    <w:lvl w:ilvl="0" w:tentative="0">
      <w:start w:val="6"/>
      <w:numFmt w:val="decimal"/>
      <w:lvlText w:val="%1."/>
      <w:lvlJc w:val="left"/>
      <w:rPr>
        <w:color w:val="3370FF"/>
      </w:rPr>
    </w:lvl>
  </w:abstractNum>
  <w:abstractNum w:abstractNumId="43">
    <w:nsid w:val="F0E89278"/>
    <w:multiLevelType w:val="singleLevel"/>
    <w:tmpl w:val="F0E89278"/>
    <w:lvl w:ilvl="0" w:tentative="0">
      <w:start w:val="0"/>
      <w:numFmt w:val="bullet"/>
      <w:lvlText w:val="•"/>
      <w:lvlJc w:val="left"/>
      <w:rPr>
        <w:color w:val="3370FF"/>
      </w:rPr>
    </w:lvl>
  </w:abstractNum>
  <w:abstractNum w:abstractNumId="44">
    <w:nsid w:val="F4B5D9F5"/>
    <w:multiLevelType w:val="singleLevel"/>
    <w:tmpl w:val="F4B5D9F5"/>
    <w:lvl w:ilvl="0" w:tentative="0">
      <w:start w:val="0"/>
      <w:numFmt w:val="bullet"/>
      <w:lvlText w:val="•"/>
      <w:lvlJc w:val="left"/>
      <w:rPr>
        <w:color w:val="3370FF"/>
      </w:rPr>
    </w:lvl>
  </w:abstractNum>
  <w:abstractNum w:abstractNumId="45">
    <w:nsid w:val="F585BF25"/>
    <w:multiLevelType w:val="singleLevel"/>
    <w:tmpl w:val="F585BF25"/>
    <w:lvl w:ilvl="0" w:tentative="0">
      <w:start w:val="8"/>
      <w:numFmt w:val="decimal"/>
      <w:lvlText w:val="%1."/>
      <w:lvlJc w:val="left"/>
      <w:rPr>
        <w:color w:val="3370FF"/>
      </w:rPr>
    </w:lvl>
  </w:abstractNum>
  <w:abstractNum w:abstractNumId="46">
    <w:nsid w:val="F689643B"/>
    <w:multiLevelType w:val="singleLevel"/>
    <w:tmpl w:val="F689643B"/>
    <w:lvl w:ilvl="0" w:tentative="0">
      <w:start w:val="0"/>
      <w:numFmt w:val="bullet"/>
      <w:lvlText w:val="￮"/>
      <w:lvlJc w:val="left"/>
      <w:rPr>
        <w:color w:val="3370FF"/>
      </w:rPr>
    </w:lvl>
  </w:abstractNum>
  <w:abstractNum w:abstractNumId="47">
    <w:nsid w:val="F7735DC9"/>
    <w:multiLevelType w:val="singleLevel"/>
    <w:tmpl w:val="F7735DC9"/>
    <w:lvl w:ilvl="0" w:tentative="0">
      <w:start w:val="0"/>
      <w:numFmt w:val="bullet"/>
      <w:lvlText w:val="•"/>
      <w:lvlJc w:val="left"/>
      <w:rPr>
        <w:color w:val="3370FF"/>
      </w:rPr>
    </w:lvl>
  </w:abstractNum>
  <w:abstractNum w:abstractNumId="48">
    <w:nsid w:val="FEC2EA36"/>
    <w:multiLevelType w:val="singleLevel"/>
    <w:tmpl w:val="FEC2EA36"/>
    <w:lvl w:ilvl="0" w:tentative="0">
      <w:start w:val="0"/>
      <w:numFmt w:val="bullet"/>
      <w:lvlText w:val="￮"/>
      <w:lvlJc w:val="left"/>
      <w:rPr>
        <w:color w:val="3370FF"/>
      </w:rPr>
    </w:lvl>
  </w:abstractNum>
  <w:abstractNum w:abstractNumId="49">
    <w:nsid w:val="0053208E"/>
    <w:multiLevelType w:val="singleLevel"/>
    <w:tmpl w:val="0053208E"/>
    <w:lvl w:ilvl="0" w:tentative="0">
      <w:start w:val="0"/>
      <w:numFmt w:val="bullet"/>
      <w:lvlText w:val="•"/>
      <w:lvlJc w:val="left"/>
      <w:rPr>
        <w:color w:val="3370FF"/>
      </w:rPr>
    </w:lvl>
  </w:abstractNum>
  <w:abstractNum w:abstractNumId="50">
    <w:nsid w:val="0248C179"/>
    <w:multiLevelType w:val="singleLevel"/>
    <w:tmpl w:val="0248C179"/>
    <w:lvl w:ilvl="0" w:tentative="0">
      <w:start w:val="0"/>
      <w:numFmt w:val="bullet"/>
      <w:lvlText w:val="•"/>
      <w:lvlJc w:val="left"/>
      <w:rPr>
        <w:color w:val="3370FF"/>
      </w:rPr>
    </w:lvl>
  </w:abstractNum>
  <w:abstractNum w:abstractNumId="51">
    <w:nsid w:val="03A63A41"/>
    <w:multiLevelType w:val="singleLevel"/>
    <w:tmpl w:val="03A63A41"/>
    <w:lvl w:ilvl="0" w:tentative="0">
      <w:start w:val="0"/>
      <w:numFmt w:val="bullet"/>
      <w:lvlText w:val="▪"/>
      <w:lvlJc w:val="left"/>
      <w:rPr>
        <w:color w:val="3370FF"/>
        <w:sz w:val="11"/>
      </w:rPr>
    </w:lvl>
  </w:abstractNum>
  <w:abstractNum w:abstractNumId="52">
    <w:nsid w:val="03D62ECE"/>
    <w:multiLevelType w:val="singleLevel"/>
    <w:tmpl w:val="03D62ECE"/>
    <w:lvl w:ilvl="0" w:tentative="0">
      <w:start w:val="0"/>
      <w:numFmt w:val="bullet"/>
      <w:lvlText w:val="•"/>
      <w:lvlJc w:val="left"/>
      <w:rPr>
        <w:color w:val="3370FF"/>
      </w:rPr>
    </w:lvl>
  </w:abstractNum>
  <w:abstractNum w:abstractNumId="53">
    <w:nsid w:val="0709FD3E"/>
    <w:multiLevelType w:val="singleLevel"/>
    <w:tmpl w:val="0709FD3E"/>
    <w:lvl w:ilvl="0" w:tentative="0">
      <w:start w:val="0"/>
      <w:numFmt w:val="bullet"/>
      <w:lvlText w:val="•"/>
      <w:lvlJc w:val="left"/>
      <w:rPr>
        <w:color w:val="3370FF"/>
      </w:rPr>
    </w:lvl>
  </w:abstractNum>
  <w:abstractNum w:abstractNumId="54">
    <w:nsid w:val="0CEF100B"/>
    <w:multiLevelType w:val="singleLevel"/>
    <w:tmpl w:val="0CEF100B"/>
    <w:lvl w:ilvl="0" w:tentative="0">
      <w:start w:val="1"/>
      <w:numFmt w:val="decimal"/>
      <w:lvlText w:val="%1."/>
      <w:lvlJc w:val="left"/>
      <w:rPr>
        <w:color w:val="3370FF"/>
      </w:rPr>
    </w:lvl>
  </w:abstractNum>
  <w:abstractNum w:abstractNumId="55">
    <w:nsid w:val="0E640482"/>
    <w:multiLevelType w:val="singleLevel"/>
    <w:tmpl w:val="0E640482"/>
    <w:lvl w:ilvl="0" w:tentative="0">
      <w:start w:val="0"/>
      <w:numFmt w:val="bullet"/>
      <w:lvlText w:val="•"/>
      <w:lvlJc w:val="left"/>
      <w:rPr>
        <w:color w:val="3370FF"/>
      </w:rPr>
    </w:lvl>
  </w:abstractNum>
  <w:abstractNum w:abstractNumId="56">
    <w:nsid w:val="0F9F9CCA"/>
    <w:multiLevelType w:val="singleLevel"/>
    <w:tmpl w:val="0F9F9CCA"/>
    <w:lvl w:ilvl="0" w:tentative="0">
      <w:start w:val="0"/>
      <w:numFmt w:val="bullet"/>
      <w:lvlText w:val="▪"/>
      <w:lvlJc w:val="left"/>
      <w:rPr>
        <w:color w:val="3370FF"/>
        <w:sz w:val="11"/>
      </w:rPr>
    </w:lvl>
  </w:abstractNum>
  <w:abstractNum w:abstractNumId="57">
    <w:nsid w:val="10D591E5"/>
    <w:multiLevelType w:val="singleLevel"/>
    <w:tmpl w:val="10D591E5"/>
    <w:lvl w:ilvl="0" w:tentative="0">
      <w:start w:val="10"/>
      <w:numFmt w:val="decimal"/>
      <w:lvlText w:val="%1."/>
      <w:lvlJc w:val="left"/>
      <w:rPr>
        <w:color w:val="3370FF"/>
      </w:rPr>
    </w:lvl>
  </w:abstractNum>
  <w:abstractNum w:abstractNumId="58">
    <w:nsid w:val="12EADF99"/>
    <w:multiLevelType w:val="singleLevel"/>
    <w:tmpl w:val="12EADF99"/>
    <w:lvl w:ilvl="0" w:tentative="0">
      <w:start w:val="2"/>
      <w:numFmt w:val="decimal"/>
      <w:lvlText w:val="%1."/>
      <w:lvlJc w:val="left"/>
      <w:rPr>
        <w:color w:val="3370FF"/>
      </w:rPr>
    </w:lvl>
  </w:abstractNum>
  <w:abstractNum w:abstractNumId="59">
    <w:nsid w:val="1450273B"/>
    <w:multiLevelType w:val="singleLevel"/>
    <w:tmpl w:val="1450273B"/>
    <w:lvl w:ilvl="0" w:tentative="0">
      <w:start w:val="3"/>
      <w:numFmt w:val="decimal"/>
      <w:lvlText w:val="%1."/>
      <w:lvlJc w:val="left"/>
      <w:rPr>
        <w:color w:val="3370FF"/>
      </w:rPr>
    </w:lvl>
  </w:abstractNum>
  <w:abstractNum w:abstractNumId="60">
    <w:nsid w:val="18F74015"/>
    <w:multiLevelType w:val="singleLevel"/>
    <w:tmpl w:val="18F74015"/>
    <w:lvl w:ilvl="0" w:tentative="0">
      <w:start w:val="0"/>
      <w:numFmt w:val="bullet"/>
      <w:lvlText w:val="￮"/>
      <w:lvlJc w:val="left"/>
      <w:rPr>
        <w:color w:val="3370FF"/>
      </w:rPr>
    </w:lvl>
  </w:abstractNum>
  <w:abstractNum w:abstractNumId="61">
    <w:nsid w:val="1ACDE60F"/>
    <w:multiLevelType w:val="singleLevel"/>
    <w:tmpl w:val="1ACDE60F"/>
    <w:lvl w:ilvl="0" w:tentative="0">
      <w:start w:val="0"/>
      <w:numFmt w:val="bullet"/>
      <w:lvlText w:val="•"/>
      <w:lvlJc w:val="left"/>
      <w:rPr>
        <w:color w:val="3370FF"/>
      </w:rPr>
    </w:lvl>
  </w:abstractNum>
  <w:abstractNum w:abstractNumId="62">
    <w:nsid w:val="1AD50295"/>
    <w:multiLevelType w:val="singleLevel"/>
    <w:tmpl w:val="1AD50295"/>
    <w:lvl w:ilvl="0" w:tentative="0">
      <w:start w:val="13"/>
      <w:numFmt w:val="decimal"/>
      <w:lvlText w:val="%1."/>
      <w:lvlJc w:val="left"/>
      <w:rPr>
        <w:color w:val="3370FF"/>
      </w:rPr>
    </w:lvl>
  </w:abstractNum>
  <w:abstractNum w:abstractNumId="63">
    <w:nsid w:val="1BCBBCF0"/>
    <w:multiLevelType w:val="singleLevel"/>
    <w:tmpl w:val="1BCBBCF0"/>
    <w:lvl w:ilvl="0" w:tentative="0">
      <w:start w:val="1"/>
      <w:numFmt w:val="decimal"/>
      <w:lvlText w:val="%1."/>
      <w:lvlJc w:val="left"/>
      <w:rPr>
        <w:color w:val="3370FF"/>
      </w:rPr>
    </w:lvl>
  </w:abstractNum>
  <w:abstractNum w:abstractNumId="64">
    <w:nsid w:val="1C257C7B"/>
    <w:multiLevelType w:val="singleLevel"/>
    <w:tmpl w:val="1C257C7B"/>
    <w:lvl w:ilvl="0" w:tentative="0">
      <w:start w:val="0"/>
      <w:numFmt w:val="bullet"/>
      <w:lvlText w:val="•"/>
      <w:lvlJc w:val="left"/>
      <w:rPr>
        <w:color w:val="3370FF"/>
      </w:rPr>
    </w:lvl>
  </w:abstractNum>
  <w:abstractNum w:abstractNumId="65">
    <w:nsid w:val="23E97754"/>
    <w:multiLevelType w:val="singleLevel"/>
    <w:tmpl w:val="23E97754"/>
    <w:lvl w:ilvl="0" w:tentative="0">
      <w:start w:val="0"/>
      <w:numFmt w:val="bullet"/>
      <w:lvlText w:val="•"/>
      <w:lvlJc w:val="left"/>
      <w:rPr>
        <w:color w:val="3370FF"/>
      </w:rPr>
    </w:lvl>
  </w:abstractNum>
  <w:abstractNum w:abstractNumId="66">
    <w:nsid w:val="243FCF68"/>
    <w:multiLevelType w:val="singleLevel"/>
    <w:tmpl w:val="243FCF68"/>
    <w:lvl w:ilvl="0" w:tentative="0">
      <w:start w:val="0"/>
      <w:numFmt w:val="bullet"/>
      <w:lvlText w:val="•"/>
      <w:lvlJc w:val="left"/>
      <w:rPr>
        <w:color w:val="3370FF"/>
      </w:rPr>
    </w:lvl>
  </w:abstractNum>
  <w:abstractNum w:abstractNumId="67">
    <w:nsid w:val="2470EC97"/>
    <w:multiLevelType w:val="singleLevel"/>
    <w:tmpl w:val="2470EC97"/>
    <w:lvl w:ilvl="0" w:tentative="0">
      <w:start w:val="0"/>
      <w:numFmt w:val="bullet"/>
      <w:lvlText w:val="•"/>
      <w:lvlJc w:val="left"/>
      <w:rPr>
        <w:color w:val="3370FF"/>
      </w:rPr>
    </w:lvl>
  </w:abstractNum>
  <w:abstractNum w:abstractNumId="68">
    <w:nsid w:val="25B654F3"/>
    <w:multiLevelType w:val="singleLevel"/>
    <w:tmpl w:val="25B654F3"/>
    <w:lvl w:ilvl="0" w:tentative="0">
      <w:start w:val="0"/>
      <w:numFmt w:val="bullet"/>
      <w:lvlText w:val="•"/>
      <w:lvlJc w:val="left"/>
      <w:rPr>
        <w:color w:val="3370FF"/>
      </w:rPr>
    </w:lvl>
  </w:abstractNum>
  <w:abstractNum w:abstractNumId="69">
    <w:nsid w:val="2A8F537B"/>
    <w:multiLevelType w:val="singleLevel"/>
    <w:tmpl w:val="2A8F537B"/>
    <w:lvl w:ilvl="0" w:tentative="0">
      <w:start w:val="0"/>
      <w:numFmt w:val="bullet"/>
      <w:lvlText w:val="•"/>
      <w:lvlJc w:val="left"/>
      <w:rPr>
        <w:color w:val="3370FF"/>
      </w:rPr>
    </w:lvl>
  </w:abstractNum>
  <w:abstractNum w:abstractNumId="70">
    <w:nsid w:val="2F2D79CE"/>
    <w:multiLevelType w:val="singleLevel"/>
    <w:tmpl w:val="2F2D79CE"/>
    <w:lvl w:ilvl="0" w:tentative="0">
      <w:start w:val="5"/>
      <w:numFmt w:val="decimal"/>
      <w:lvlText w:val="%1."/>
      <w:lvlJc w:val="left"/>
      <w:rPr>
        <w:color w:val="3370FF"/>
      </w:rPr>
    </w:lvl>
  </w:abstractNum>
  <w:abstractNum w:abstractNumId="71">
    <w:nsid w:val="30A0AC00"/>
    <w:multiLevelType w:val="singleLevel"/>
    <w:tmpl w:val="30A0AC00"/>
    <w:lvl w:ilvl="0" w:tentative="0">
      <w:start w:val="0"/>
      <w:numFmt w:val="bullet"/>
      <w:lvlText w:val="￮"/>
      <w:lvlJc w:val="left"/>
      <w:rPr>
        <w:color w:val="3370FF"/>
      </w:rPr>
    </w:lvl>
  </w:abstractNum>
  <w:abstractNum w:abstractNumId="72">
    <w:nsid w:val="30FC5B15"/>
    <w:multiLevelType w:val="singleLevel"/>
    <w:tmpl w:val="30FC5B15"/>
    <w:lvl w:ilvl="0" w:tentative="0">
      <w:start w:val="0"/>
      <w:numFmt w:val="bullet"/>
      <w:lvlText w:val="•"/>
      <w:lvlJc w:val="left"/>
      <w:rPr>
        <w:color w:val="3370FF"/>
      </w:rPr>
    </w:lvl>
  </w:abstractNum>
  <w:abstractNum w:abstractNumId="73">
    <w:nsid w:val="322D85CA"/>
    <w:multiLevelType w:val="singleLevel"/>
    <w:tmpl w:val="322D85CA"/>
    <w:lvl w:ilvl="0" w:tentative="0">
      <w:start w:val="0"/>
      <w:numFmt w:val="bullet"/>
      <w:lvlText w:val="•"/>
      <w:lvlJc w:val="left"/>
      <w:rPr>
        <w:color w:val="3370FF"/>
      </w:rPr>
    </w:lvl>
  </w:abstractNum>
  <w:abstractNum w:abstractNumId="74">
    <w:nsid w:val="32A7AF2D"/>
    <w:multiLevelType w:val="singleLevel"/>
    <w:tmpl w:val="32A7AF2D"/>
    <w:lvl w:ilvl="0" w:tentative="0">
      <w:start w:val="0"/>
      <w:numFmt w:val="bullet"/>
      <w:lvlText w:val="•"/>
      <w:lvlJc w:val="left"/>
      <w:rPr>
        <w:color w:val="3370FF"/>
      </w:rPr>
    </w:lvl>
  </w:abstractNum>
  <w:abstractNum w:abstractNumId="75">
    <w:nsid w:val="35E83B33"/>
    <w:multiLevelType w:val="singleLevel"/>
    <w:tmpl w:val="35E83B33"/>
    <w:lvl w:ilvl="0" w:tentative="0">
      <w:start w:val="0"/>
      <w:numFmt w:val="bullet"/>
      <w:lvlText w:val="▪"/>
      <w:lvlJc w:val="left"/>
      <w:rPr>
        <w:color w:val="3370FF"/>
        <w:sz w:val="11"/>
      </w:rPr>
    </w:lvl>
  </w:abstractNum>
  <w:abstractNum w:abstractNumId="76">
    <w:nsid w:val="39A0D9AC"/>
    <w:multiLevelType w:val="singleLevel"/>
    <w:tmpl w:val="39A0D9AC"/>
    <w:lvl w:ilvl="0" w:tentative="0">
      <w:start w:val="0"/>
      <w:numFmt w:val="bullet"/>
      <w:lvlText w:val="•"/>
      <w:lvlJc w:val="left"/>
      <w:rPr>
        <w:color w:val="3370FF"/>
      </w:rPr>
    </w:lvl>
  </w:abstractNum>
  <w:abstractNum w:abstractNumId="77">
    <w:nsid w:val="3B8127DF"/>
    <w:multiLevelType w:val="singleLevel"/>
    <w:tmpl w:val="3B8127DF"/>
    <w:lvl w:ilvl="0" w:tentative="0">
      <w:start w:val="0"/>
      <w:numFmt w:val="bullet"/>
      <w:lvlText w:val="￮"/>
      <w:lvlJc w:val="left"/>
      <w:rPr>
        <w:color w:val="3370FF"/>
      </w:rPr>
    </w:lvl>
  </w:abstractNum>
  <w:abstractNum w:abstractNumId="78">
    <w:nsid w:val="40B249F9"/>
    <w:multiLevelType w:val="singleLevel"/>
    <w:tmpl w:val="40B249F9"/>
    <w:lvl w:ilvl="0" w:tentative="0">
      <w:start w:val="0"/>
      <w:numFmt w:val="bullet"/>
      <w:lvlText w:val="￮"/>
      <w:lvlJc w:val="left"/>
      <w:rPr>
        <w:color w:val="3370FF"/>
      </w:rPr>
    </w:lvl>
  </w:abstractNum>
  <w:abstractNum w:abstractNumId="79">
    <w:nsid w:val="46A08BB8"/>
    <w:multiLevelType w:val="singleLevel"/>
    <w:tmpl w:val="46A08BB8"/>
    <w:lvl w:ilvl="0" w:tentative="0">
      <w:start w:val="0"/>
      <w:numFmt w:val="bullet"/>
      <w:lvlText w:val="•"/>
      <w:lvlJc w:val="left"/>
      <w:rPr>
        <w:color w:val="3370FF"/>
      </w:rPr>
    </w:lvl>
  </w:abstractNum>
  <w:abstractNum w:abstractNumId="80">
    <w:nsid w:val="4A51D704"/>
    <w:multiLevelType w:val="singleLevel"/>
    <w:tmpl w:val="4A51D704"/>
    <w:lvl w:ilvl="0" w:tentative="0">
      <w:start w:val="14"/>
      <w:numFmt w:val="decimal"/>
      <w:lvlText w:val="%1."/>
      <w:lvlJc w:val="left"/>
      <w:rPr>
        <w:color w:val="3370FF"/>
      </w:rPr>
    </w:lvl>
  </w:abstractNum>
  <w:abstractNum w:abstractNumId="81">
    <w:nsid w:val="4C1BAE26"/>
    <w:multiLevelType w:val="singleLevel"/>
    <w:tmpl w:val="4C1BAE26"/>
    <w:lvl w:ilvl="0" w:tentative="0">
      <w:start w:val="0"/>
      <w:numFmt w:val="bullet"/>
      <w:lvlText w:val="•"/>
      <w:lvlJc w:val="left"/>
      <w:rPr>
        <w:color w:val="3370FF"/>
      </w:rPr>
    </w:lvl>
  </w:abstractNum>
  <w:abstractNum w:abstractNumId="82">
    <w:nsid w:val="4C3D7A74"/>
    <w:multiLevelType w:val="singleLevel"/>
    <w:tmpl w:val="4C3D7A74"/>
    <w:lvl w:ilvl="0" w:tentative="0">
      <w:start w:val="0"/>
      <w:numFmt w:val="bullet"/>
      <w:lvlText w:val="•"/>
      <w:lvlJc w:val="left"/>
      <w:rPr>
        <w:color w:val="3370FF"/>
      </w:rPr>
    </w:lvl>
  </w:abstractNum>
  <w:abstractNum w:abstractNumId="83">
    <w:nsid w:val="4CD1E351"/>
    <w:multiLevelType w:val="singleLevel"/>
    <w:tmpl w:val="4CD1E351"/>
    <w:lvl w:ilvl="0" w:tentative="0">
      <w:start w:val="9"/>
      <w:numFmt w:val="decimal"/>
      <w:lvlText w:val="%1."/>
      <w:lvlJc w:val="left"/>
      <w:rPr>
        <w:color w:val="3370FF"/>
      </w:rPr>
    </w:lvl>
  </w:abstractNum>
  <w:abstractNum w:abstractNumId="84">
    <w:nsid w:val="4D4DC07F"/>
    <w:multiLevelType w:val="singleLevel"/>
    <w:tmpl w:val="4D4DC07F"/>
    <w:lvl w:ilvl="0" w:tentative="0">
      <w:start w:val="0"/>
      <w:numFmt w:val="bullet"/>
      <w:lvlText w:val="•"/>
      <w:lvlJc w:val="left"/>
      <w:rPr>
        <w:color w:val="3370FF"/>
      </w:rPr>
    </w:lvl>
  </w:abstractNum>
  <w:abstractNum w:abstractNumId="85">
    <w:nsid w:val="4D94DA66"/>
    <w:multiLevelType w:val="singleLevel"/>
    <w:tmpl w:val="4D94DA66"/>
    <w:lvl w:ilvl="0" w:tentative="0">
      <w:start w:val="0"/>
      <w:numFmt w:val="bullet"/>
      <w:lvlText w:val="•"/>
      <w:lvlJc w:val="left"/>
      <w:rPr>
        <w:color w:val="3370FF"/>
      </w:rPr>
    </w:lvl>
  </w:abstractNum>
  <w:abstractNum w:abstractNumId="86">
    <w:nsid w:val="58765686"/>
    <w:multiLevelType w:val="singleLevel"/>
    <w:tmpl w:val="58765686"/>
    <w:lvl w:ilvl="0" w:tentative="0">
      <w:start w:val="0"/>
      <w:numFmt w:val="bullet"/>
      <w:lvlText w:val="•"/>
      <w:lvlJc w:val="left"/>
      <w:rPr>
        <w:color w:val="3370FF"/>
      </w:rPr>
    </w:lvl>
  </w:abstractNum>
  <w:abstractNum w:abstractNumId="87">
    <w:nsid w:val="59ADCABA"/>
    <w:multiLevelType w:val="singleLevel"/>
    <w:tmpl w:val="59ADCABA"/>
    <w:lvl w:ilvl="0" w:tentative="0">
      <w:start w:val="0"/>
      <w:numFmt w:val="bullet"/>
      <w:lvlText w:val="•"/>
      <w:lvlJc w:val="left"/>
      <w:rPr>
        <w:color w:val="3370FF"/>
      </w:rPr>
    </w:lvl>
  </w:abstractNum>
  <w:abstractNum w:abstractNumId="88">
    <w:nsid w:val="59EEFD2A"/>
    <w:multiLevelType w:val="singleLevel"/>
    <w:tmpl w:val="59EEFD2A"/>
    <w:lvl w:ilvl="0" w:tentative="0">
      <w:start w:val="8"/>
      <w:numFmt w:val="decimal"/>
      <w:lvlText w:val="%1."/>
      <w:lvlJc w:val="left"/>
      <w:rPr>
        <w:color w:val="3370FF"/>
      </w:rPr>
    </w:lvl>
  </w:abstractNum>
  <w:abstractNum w:abstractNumId="89">
    <w:nsid w:val="5A241D34"/>
    <w:multiLevelType w:val="singleLevel"/>
    <w:tmpl w:val="5A241D34"/>
    <w:lvl w:ilvl="0" w:tentative="0">
      <w:start w:val="0"/>
      <w:numFmt w:val="bullet"/>
      <w:lvlText w:val="•"/>
      <w:lvlJc w:val="left"/>
      <w:rPr>
        <w:color w:val="3370FF"/>
      </w:rPr>
    </w:lvl>
  </w:abstractNum>
  <w:abstractNum w:abstractNumId="90">
    <w:nsid w:val="5E29AB5A"/>
    <w:multiLevelType w:val="singleLevel"/>
    <w:tmpl w:val="5E29AB5A"/>
    <w:lvl w:ilvl="0" w:tentative="0">
      <w:start w:val="0"/>
      <w:numFmt w:val="bullet"/>
      <w:lvlText w:val="•"/>
      <w:lvlJc w:val="left"/>
      <w:rPr>
        <w:color w:val="3370FF"/>
      </w:rPr>
    </w:lvl>
  </w:abstractNum>
  <w:abstractNum w:abstractNumId="91">
    <w:nsid w:val="5FFFB1A7"/>
    <w:multiLevelType w:val="singleLevel"/>
    <w:tmpl w:val="5FFFB1A7"/>
    <w:lvl w:ilvl="0" w:tentative="0">
      <w:start w:val="0"/>
      <w:numFmt w:val="bullet"/>
      <w:lvlText w:val="•"/>
      <w:lvlJc w:val="left"/>
      <w:rPr>
        <w:color w:val="3370FF"/>
      </w:rPr>
    </w:lvl>
  </w:abstractNum>
  <w:abstractNum w:abstractNumId="92">
    <w:nsid w:val="60382F6E"/>
    <w:multiLevelType w:val="singleLevel"/>
    <w:tmpl w:val="60382F6E"/>
    <w:lvl w:ilvl="0" w:tentative="0">
      <w:start w:val="0"/>
      <w:numFmt w:val="bullet"/>
      <w:lvlText w:val="•"/>
      <w:lvlJc w:val="left"/>
      <w:rPr>
        <w:color w:val="3370FF"/>
      </w:rPr>
    </w:lvl>
  </w:abstractNum>
  <w:abstractNum w:abstractNumId="93">
    <w:nsid w:val="629F7852"/>
    <w:multiLevelType w:val="singleLevel"/>
    <w:tmpl w:val="629F7852"/>
    <w:lvl w:ilvl="0" w:tentative="0">
      <w:start w:val="0"/>
      <w:numFmt w:val="bullet"/>
      <w:lvlText w:val="•"/>
      <w:lvlJc w:val="left"/>
      <w:rPr>
        <w:color w:val="3370FF"/>
      </w:rPr>
    </w:lvl>
  </w:abstractNum>
  <w:abstractNum w:abstractNumId="94">
    <w:nsid w:val="65CD0074"/>
    <w:multiLevelType w:val="singleLevel"/>
    <w:tmpl w:val="65CD0074"/>
    <w:lvl w:ilvl="0" w:tentative="0">
      <w:start w:val="0"/>
      <w:numFmt w:val="bullet"/>
      <w:lvlText w:val="•"/>
      <w:lvlJc w:val="left"/>
      <w:rPr>
        <w:color w:val="3370FF"/>
      </w:rPr>
    </w:lvl>
  </w:abstractNum>
  <w:abstractNum w:abstractNumId="95">
    <w:nsid w:val="68B298F7"/>
    <w:multiLevelType w:val="singleLevel"/>
    <w:tmpl w:val="68B298F7"/>
    <w:lvl w:ilvl="0" w:tentative="0">
      <w:start w:val="5"/>
      <w:numFmt w:val="decimal"/>
      <w:lvlText w:val="%1."/>
      <w:lvlJc w:val="left"/>
      <w:rPr>
        <w:color w:val="3370FF"/>
      </w:rPr>
    </w:lvl>
  </w:abstractNum>
  <w:abstractNum w:abstractNumId="96">
    <w:nsid w:val="700FDCEF"/>
    <w:multiLevelType w:val="singleLevel"/>
    <w:tmpl w:val="700FDCEF"/>
    <w:lvl w:ilvl="0" w:tentative="0">
      <w:start w:val="4"/>
      <w:numFmt w:val="decimal"/>
      <w:lvlText w:val="%1."/>
      <w:lvlJc w:val="left"/>
      <w:rPr>
        <w:color w:val="3370FF"/>
      </w:rPr>
    </w:lvl>
  </w:abstractNum>
  <w:abstractNum w:abstractNumId="97">
    <w:nsid w:val="72183CF9"/>
    <w:multiLevelType w:val="singleLevel"/>
    <w:tmpl w:val="72183CF9"/>
    <w:lvl w:ilvl="0" w:tentative="0">
      <w:start w:val="0"/>
      <w:numFmt w:val="bullet"/>
      <w:lvlText w:val="•"/>
      <w:lvlJc w:val="left"/>
      <w:rPr>
        <w:color w:val="3370FF"/>
      </w:rPr>
    </w:lvl>
  </w:abstractNum>
  <w:abstractNum w:abstractNumId="98">
    <w:nsid w:val="74C28B35"/>
    <w:multiLevelType w:val="singleLevel"/>
    <w:tmpl w:val="74C28B35"/>
    <w:lvl w:ilvl="0" w:tentative="0">
      <w:start w:val="0"/>
      <w:numFmt w:val="bullet"/>
      <w:lvlText w:val="•"/>
      <w:lvlJc w:val="left"/>
      <w:rPr>
        <w:color w:val="3370FF"/>
      </w:rPr>
    </w:lvl>
  </w:abstractNum>
  <w:abstractNum w:abstractNumId="99">
    <w:nsid w:val="77633216"/>
    <w:multiLevelType w:val="singleLevel"/>
    <w:tmpl w:val="77633216"/>
    <w:lvl w:ilvl="0" w:tentative="0">
      <w:start w:val="2"/>
      <w:numFmt w:val="decimal"/>
      <w:lvlText w:val="%1."/>
      <w:lvlJc w:val="left"/>
      <w:rPr>
        <w:color w:val="3370FF"/>
      </w:rPr>
    </w:lvl>
  </w:abstractNum>
  <w:abstractNum w:abstractNumId="100">
    <w:nsid w:val="77ECEA79"/>
    <w:multiLevelType w:val="singleLevel"/>
    <w:tmpl w:val="77ECEA79"/>
    <w:lvl w:ilvl="0" w:tentative="0">
      <w:start w:val="0"/>
      <w:numFmt w:val="bullet"/>
      <w:lvlText w:val="•"/>
      <w:lvlJc w:val="left"/>
      <w:rPr>
        <w:color w:val="3370FF"/>
      </w:rPr>
    </w:lvl>
  </w:abstractNum>
  <w:abstractNum w:abstractNumId="101">
    <w:nsid w:val="79AA4FA4"/>
    <w:multiLevelType w:val="singleLevel"/>
    <w:tmpl w:val="79AA4FA4"/>
    <w:lvl w:ilvl="0" w:tentative="0">
      <w:start w:val="0"/>
      <w:numFmt w:val="bullet"/>
      <w:lvlText w:val="•"/>
      <w:lvlJc w:val="left"/>
      <w:rPr>
        <w:color w:val="3370FF"/>
      </w:rPr>
    </w:lvl>
  </w:abstractNum>
  <w:abstractNum w:abstractNumId="102">
    <w:nsid w:val="7C246926"/>
    <w:multiLevelType w:val="singleLevel"/>
    <w:tmpl w:val="7C246926"/>
    <w:lvl w:ilvl="0" w:tentative="0">
      <w:start w:val="0"/>
      <w:numFmt w:val="bullet"/>
      <w:lvlText w:val="•"/>
      <w:lvlJc w:val="left"/>
      <w:rPr>
        <w:color w:val="3370FF"/>
      </w:rPr>
    </w:lvl>
  </w:abstractNum>
  <w:abstractNum w:abstractNumId="103">
    <w:nsid w:val="7DEC2089"/>
    <w:multiLevelType w:val="singleLevel"/>
    <w:tmpl w:val="7DEC2089"/>
    <w:lvl w:ilvl="0" w:tentative="0">
      <w:start w:val="0"/>
      <w:numFmt w:val="bullet"/>
      <w:lvlText w:val="•"/>
      <w:lvlJc w:val="left"/>
      <w:rPr>
        <w:color w:val="3370FF"/>
      </w:rPr>
    </w:lvl>
  </w:abstractNum>
  <w:num w:numId="1">
    <w:abstractNumId w:val="49"/>
  </w:num>
  <w:num w:numId="2">
    <w:abstractNumId w:val="33"/>
  </w:num>
  <w:num w:numId="3">
    <w:abstractNumId w:val="87"/>
  </w:num>
  <w:num w:numId="4">
    <w:abstractNumId w:val="29"/>
  </w:num>
  <w:num w:numId="5">
    <w:abstractNumId w:val="21"/>
  </w:num>
  <w:num w:numId="6">
    <w:abstractNumId w:val="52"/>
  </w:num>
  <w:num w:numId="7">
    <w:abstractNumId w:val="68"/>
  </w:num>
  <w:num w:numId="8">
    <w:abstractNumId w:val="97"/>
  </w:num>
  <w:num w:numId="9">
    <w:abstractNumId w:val="50"/>
  </w:num>
  <w:num w:numId="10">
    <w:abstractNumId w:val="7"/>
  </w:num>
  <w:num w:numId="11">
    <w:abstractNumId w:val="69"/>
  </w:num>
  <w:num w:numId="12">
    <w:abstractNumId w:val="89"/>
  </w:num>
  <w:num w:numId="13">
    <w:abstractNumId w:val="32"/>
  </w:num>
  <w:num w:numId="14">
    <w:abstractNumId w:val="84"/>
  </w:num>
  <w:num w:numId="15">
    <w:abstractNumId w:val="44"/>
  </w:num>
  <w:num w:numId="16">
    <w:abstractNumId w:val="67"/>
  </w:num>
  <w:num w:numId="17">
    <w:abstractNumId w:val="38"/>
  </w:num>
  <w:num w:numId="18">
    <w:abstractNumId w:val="36"/>
  </w:num>
  <w:num w:numId="19">
    <w:abstractNumId w:val="12"/>
  </w:num>
  <w:num w:numId="20">
    <w:abstractNumId w:val="81"/>
  </w:num>
  <w:num w:numId="21">
    <w:abstractNumId w:val="92"/>
  </w:num>
  <w:num w:numId="22">
    <w:abstractNumId w:val="55"/>
  </w:num>
  <w:num w:numId="23">
    <w:abstractNumId w:val="79"/>
  </w:num>
  <w:num w:numId="24">
    <w:abstractNumId w:val="18"/>
  </w:num>
  <w:num w:numId="25">
    <w:abstractNumId w:val="102"/>
  </w:num>
  <w:num w:numId="26">
    <w:abstractNumId w:val="100"/>
  </w:num>
  <w:num w:numId="27">
    <w:abstractNumId w:val="28"/>
  </w:num>
  <w:num w:numId="28">
    <w:abstractNumId w:val="93"/>
  </w:num>
  <w:num w:numId="29">
    <w:abstractNumId w:val="8"/>
  </w:num>
  <w:num w:numId="30">
    <w:abstractNumId w:val="76"/>
  </w:num>
  <w:num w:numId="31">
    <w:abstractNumId w:val="3"/>
  </w:num>
  <w:num w:numId="32">
    <w:abstractNumId w:val="86"/>
  </w:num>
  <w:num w:numId="33">
    <w:abstractNumId w:val="103"/>
  </w:num>
  <w:num w:numId="34">
    <w:abstractNumId w:val="1"/>
  </w:num>
  <w:num w:numId="35">
    <w:abstractNumId w:val="66"/>
  </w:num>
  <w:num w:numId="36">
    <w:abstractNumId w:val="85"/>
  </w:num>
  <w:num w:numId="37">
    <w:abstractNumId w:val="47"/>
  </w:num>
  <w:num w:numId="38">
    <w:abstractNumId w:val="40"/>
  </w:num>
  <w:num w:numId="39">
    <w:abstractNumId w:val="72"/>
  </w:num>
  <w:num w:numId="40">
    <w:abstractNumId w:val="101"/>
  </w:num>
  <w:num w:numId="41">
    <w:abstractNumId w:val="24"/>
  </w:num>
  <w:num w:numId="42">
    <w:abstractNumId w:val="5"/>
  </w:num>
  <w:num w:numId="43">
    <w:abstractNumId w:val="23"/>
  </w:num>
  <w:num w:numId="44">
    <w:abstractNumId w:val="90"/>
  </w:num>
  <w:num w:numId="45">
    <w:abstractNumId w:val="2"/>
  </w:num>
  <w:num w:numId="46">
    <w:abstractNumId w:val="61"/>
  </w:num>
  <w:num w:numId="47">
    <w:abstractNumId w:val="4"/>
  </w:num>
  <w:num w:numId="48">
    <w:abstractNumId w:val="91"/>
  </w:num>
  <w:num w:numId="49">
    <w:abstractNumId w:val="98"/>
  </w:num>
  <w:num w:numId="50">
    <w:abstractNumId w:val="82"/>
  </w:num>
  <w:num w:numId="51">
    <w:abstractNumId w:val="73"/>
  </w:num>
  <w:num w:numId="52">
    <w:abstractNumId w:val="94"/>
  </w:num>
  <w:num w:numId="53">
    <w:abstractNumId w:val="53"/>
  </w:num>
  <w:num w:numId="54">
    <w:abstractNumId w:val="54"/>
  </w:num>
  <w:num w:numId="55">
    <w:abstractNumId w:val="35"/>
  </w:num>
  <w:num w:numId="56">
    <w:abstractNumId w:val="74"/>
  </w:num>
  <w:num w:numId="57">
    <w:abstractNumId w:val="64"/>
  </w:num>
  <w:num w:numId="58">
    <w:abstractNumId w:val="43"/>
  </w:num>
  <w:num w:numId="59">
    <w:abstractNumId w:val="65"/>
  </w:num>
  <w:num w:numId="60">
    <w:abstractNumId w:val="20"/>
  </w:num>
  <w:num w:numId="61">
    <w:abstractNumId w:val="78"/>
  </w:num>
  <w:num w:numId="62">
    <w:abstractNumId w:val="56"/>
  </w:num>
  <w:num w:numId="63">
    <w:abstractNumId w:val="75"/>
  </w:num>
  <w:num w:numId="64">
    <w:abstractNumId w:val="51"/>
  </w:num>
  <w:num w:numId="65">
    <w:abstractNumId w:val="30"/>
  </w:num>
  <w:num w:numId="66">
    <w:abstractNumId w:val="58"/>
  </w:num>
  <w:num w:numId="67">
    <w:abstractNumId w:val="19"/>
  </w:num>
  <w:num w:numId="68">
    <w:abstractNumId w:val="77"/>
  </w:num>
  <w:num w:numId="69">
    <w:abstractNumId w:val="15"/>
  </w:num>
  <w:num w:numId="70">
    <w:abstractNumId w:val="46"/>
  </w:num>
  <w:num w:numId="71">
    <w:abstractNumId w:val="71"/>
  </w:num>
  <w:num w:numId="72">
    <w:abstractNumId w:val="48"/>
  </w:num>
  <w:num w:numId="73">
    <w:abstractNumId w:val="60"/>
  </w:num>
  <w:num w:numId="74">
    <w:abstractNumId w:val="96"/>
  </w:num>
  <w:num w:numId="75">
    <w:abstractNumId w:val="41"/>
  </w:num>
  <w:num w:numId="76">
    <w:abstractNumId w:val="31"/>
  </w:num>
  <w:num w:numId="77">
    <w:abstractNumId w:val="14"/>
  </w:num>
  <w:num w:numId="78">
    <w:abstractNumId w:val="99"/>
  </w:num>
  <w:num w:numId="79">
    <w:abstractNumId w:val="37"/>
  </w:num>
  <w:num w:numId="80">
    <w:abstractNumId w:val="22"/>
  </w:num>
  <w:num w:numId="81">
    <w:abstractNumId w:val="70"/>
  </w:num>
  <w:num w:numId="82">
    <w:abstractNumId w:val="42"/>
  </w:num>
  <w:num w:numId="83">
    <w:abstractNumId w:val="10"/>
  </w:num>
  <w:num w:numId="84">
    <w:abstractNumId w:val="88"/>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3"/>
  </w:num>
  <w:num w:numId="92">
    <w:abstractNumId w:val="27"/>
  </w:num>
  <w:num w:numId="93">
    <w:abstractNumId w:val="59"/>
  </w:num>
  <w:num w:numId="94">
    <w:abstractNumId w:val="34"/>
  </w:num>
  <w:num w:numId="95">
    <w:abstractNumId w:val="95"/>
  </w:num>
  <w:num w:numId="96">
    <w:abstractNumId w:val="0"/>
  </w:num>
  <w:num w:numId="97">
    <w:abstractNumId w:val="25"/>
  </w:num>
  <w:num w:numId="98">
    <w:abstractNumId w:val="45"/>
  </w:num>
  <w:num w:numId="99">
    <w:abstractNumId w:val="83"/>
  </w:num>
  <w:num w:numId="100">
    <w:abstractNumId w:val="57"/>
  </w:num>
  <w:num w:numId="101">
    <w:abstractNumId w:val="11"/>
  </w:num>
  <w:num w:numId="102">
    <w:abstractNumId w:val="39"/>
  </w:num>
  <w:num w:numId="103">
    <w:abstractNumId w:val="62"/>
  </w:num>
  <w:num w:numId="10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11EA00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11411</Words>
  <Characters>20164</Characters>
  <TotalTime>0</TotalTime>
  <ScaleCrop>false</ScaleCrop>
  <LinksUpToDate>false</LinksUpToDate>
  <CharactersWithSpaces>22169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2025-12-28T11:52:00Z</dcterms:created>
  <dc:creator>Apache POI</dc:creator>
  <cp:lastModifiedBy>一缕清风</cp:lastModifiedBy>
  <dcterms:modified xsi:type="dcterms:W3CDTF">2025-12-28T12:09:25Z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C348EBE5EE1E48CB9D989E30C29CC521_12</vt:lpwstr>
  </property>
</Properties>
</file>