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6484E">
      <w:pPr>
        <w:spacing w:before="480" w:after="480" w:line="288" w:lineRule="auto"/>
        <w:ind w:left="0"/>
      </w:pPr>
      <w:r>
        <w:rPr>
          <w:rFonts w:ascii="Arial" w:hAnsi="Arial" w:eastAsia="等线" w:cs="Arial"/>
          <w:b/>
          <w:sz w:val="52"/>
        </w:rPr>
        <w:t>Chapter 13 Securities Analysis: Doing a Little Market Research</w:t>
      </w:r>
    </w:p>
    <w:p w14:paraId="63A9B83A">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49BC7832">
      <w:pPr>
        <w:spacing w:before="120" w:after="120" w:line="288" w:lineRule="auto"/>
        <w:ind w:left="0"/>
        <w:jc w:val="left"/>
      </w:pPr>
      <w:r>
        <w:rPr>
          <w:rFonts w:ascii="Arial" w:hAnsi="Arial" w:eastAsia="等线" w:cs="Arial"/>
          <w:sz w:val="22"/>
        </w:rPr>
        <w:t>券商和投资专业人士如何为客户提供建议的核心思想是：</w:t>
      </w:r>
      <w:r>
        <w:rPr>
          <w:rFonts w:ascii="Arial" w:hAnsi="Arial" w:eastAsia="等线" w:cs="Arial"/>
          <w:b/>
          <w:sz w:val="22"/>
        </w:rPr>
        <w:t>所有投资建议都必须建立在充分且合理的研究基础之上</w:t>
      </w:r>
      <w:r>
        <w:rPr>
          <w:rFonts w:ascii="Arial" w:hAnsi="Arial" w:eastAsia="等线" w:cs="Arial"/>
          <w:sz w:val="22"/>
        </w:rPr>
        <w:t>。</w:t>
      </w:r>
    </w:p>
    <w:p w14:paraId="593B3F5A">
      <w:pPr>
        <w:spacing w:before="120" w:after="120" w:line="288" w:lineRule="auto"/>
        <w:ind w:left="0"/>
        <w:jc w:val="left"/>
      </w:pPr>
    </w:p>
    <w:p w14:paraId="6C2E1EBB">
      <w:pPr>
        <w:spacing w:before="120" w:after="120" w:line="288" w:lineRule="auto"/>
        <w:ind w:left="0"/>
        <w:jc w:val="left"/>
      </w:pPr>
      <w:r>
        <w:rPr>
          <w:rFonts w:ascii="Arial" w:hAnsi="Arial" w:eastAsia="等线" w:cs="Arial"/>
          <w:sz w:val="22"/>
        </w:rPr>
        <w:t>本章主要内容：</w:t>
      </w:r>
    </w:p>
    <w:p w14:paraId="5E2E8473">
      <w:pPr>
        <w:numPr>
          <w:ilvl w:val="0"/>
          <w:numId w:val="1"/>
        </w:numPr>
        <w:spacing w:before="120" w:after="120" w:line="288" w:lineRule="auto"/>
        <w:ind w:left="0"/>
        <w:jc w:val="left"/>
      </w:pPr>
      <w:r>
        <w:rPr>
          <w:rFonts w:ascii="Arial" w:hAnsi="Arial" w:eastAsia="等线" w:cs="Arial"/>
          <w:sz w:val="22"/>
        </w:rPr>
        <w:t>掌握一些证券基本面分析方法</w:t>
      </w:r>
    </w:p>
    <w:p w14:paraId="7EAD1617">
      <w:pPr>
        <w:numPr>
          <w:ilvl w:val="0"/>
          <w:numId w:val="2"/>
        </w:numPr>
        <w:spacing w:before="120" w:after="120" w:line="288" w:lineRule="auto"/>
        <w:ind w:left="0"/>
        <w:jc w:val="left"/>
      </w:pPr>
      <w:r>
        <w:rPr>
          <w:rFonts w:ascii="Arial" w:hAnsi="Arial" w:eastAsia="等线" w:cs="Arial"/>
          <w:sz w:val="22"/>
        </w:rPr>
        <w:t>了解技术分析师的工作内容</w:t>
      </w:r>
    </w:p>
    <w:p w14:paraId="17430B14">
      <w:pPr>
        <w:numPr>
          <w:ilvl w:val="0"/>
          <w:numId w:val="3"/>
        </w:numPr>
        <w:spacing w:before="120" w:after="120" w:line="288" w:lineRule="auto"/>
        <w:ind w:left="0"/>
        <w:jc w:val="left"/>
      </w:pPr>
      <w:r>
        <w:rPr>
          <w:rFonts w:ascii="Arial" w:hAnsi="Arial" w:eastAsia="等线" w:cs="Arial"/>
          <w:sz w:val="22"/>
        </w:rPr>
        <w:t>看懂货币供应量</w:t>
      </w:r>
    </w:p>
    <w:p w14:paraId="26806D05">
      <w:pPr>
        <w:numPr>
          <w:ilvl w:val="0"/>
          <w:numId w:val="4"/>
        </w:numPr>
        <w:spacing w:before="120" w:after="120" w:line="288" w:lineRule="auto"/>
        <w:ind w:left="0"/>
        <w:jc w:val="left"/>
      </w:pPr>
      <w:r>
        <w:rPr>
          <w:rFonts w:ascii="Arial" w:hAnsi="Arial" w:eastAsia="等线" w:cs="Arial"/>
          <w:sz w:val="22"/>
        </w:rPr>
        <w:t>理解经济指标</w:t>
      </w:r>
    </w:p>
    <w:p w14:paraId="56FCE37C">
      <w:pPr>
        <w:numPr>
          <w:ilvl w:val="0"/>
          <w:numId w:val="5"/>
        </w:numPr>
        <w:spacing w:before="120" w:after="120" w:line="288" w:lineRule="auto"/>
        <w:ind w:left="0"/>
        <w:jc w:val="left"/>
      </w:pPr>
      <w:r>
        <w:rPr>
          <w:rFonts w:ascii="Arial" w:hAnsi="Arial" w:eastAsia="等线" w:cs="Arial"/>
          <w:sz w:val="22"/>
        </w:rPr>
        <w:t>复习一些基本的经济术语和原理</w:t>
      </w:r>
    </w:p>
    <w:p w14:paraId="788FEB36">
      <w:pPr>
        <w:spacing w:before="120" w:after="120" w:line="288" w:lineRule="auto"/>
        <w:ind w:left="0"/>
        <w:jc w:val="left"/>
      </w:pPr>
    </w:p>
    <w:p w14:paraId="4700BCA5">
      <w:pPr>
        <w:spacing w:before="120" w:after="120" w:line="288" w:lineRule="auto"/>
        <w:ind w:left="0"/>
        <w:jc w:val="left"/>
      </w:pPr>
      <w:r>
        <w:rPr>
          <w:rFonts w:ascii="Arial" w:hAnsi="Arial" w:eastAsia="等线" w:cs="Arial"/>
          <w:sz w:val="22"/>
        </w:rPr>
        <w:t>注册代表的主要工作之一是根据客户的投资目标和自身的研究，为他们找到最佳投资方案。必须分析每位客户的投资组合和市场，并努力找到最合适的方案。（实际上，公司一般会聘请分析师为注册代表提供投资信息）</w:t>
      </w:r>
    </w:p>
    <w:p w14:paraId="7765D3F0">
      <w:pPr>
        <w:spacing w:before="120" w:after="120" w:line="288" w:lineRule="auto"/>
        <w:ind w:left="0"/>
        <w:jc w:val="left"/>
      </w:pPr>
    </w:p>
    <w:p w14:paraId="69C60F9F">
      <w:pPr>
        <w:spacing w:before="120" w:after="120" w:line="288" w:lineRule="auto"/>
        <w:ind w:left="0"/>
        <w:jc w:val="left"/>
      </w:pPr>
      <w:r>
        <w:rPr>
          <w:rFonts w:ascii="Arial" w:hAnsi="Arial" w:eastAsia="等线" w:cs="Arial"/>
          <w:sz w:val="22"/>
        </w:rPr>
        <w:t>市场主流的研究分析方法分为两大类：</w:t>
      </w:r>
    </w:p>
    <w:p w14:paraId="162CA308">
      <w:pPr>
        <w:numPr>
          <w:ilvl w:val="0"/>
          <w:numId w:val="6"/>
        </w:numPr>
        <w:spacing w:before="120" w:after="120" w:line="288" w:lineRule="auto"/>
        <w:ind w:left="0"/>
        <w:jc w:val="left"/>
      </w:pPr>
      <w:r>
        <w:rPr>
          <w:rFonts w:ascii="Arial" w:hAnsi="Arial" w:eastAsia="等线" w:cs="Arial"/>
          <w:sz w:val="22"/>
        </w:rPr>
        <w:t>基本面分析（Fundamental Analysis）</w:t>
      </w:r>
    </w:p>
    <w:p w14:paraId="52285DBF">
      <w:pPr>
        <w:numPr>
          <w:ilvl w:val="0"/>
          <w:numId w:val="7"/>
        </w:numPr>
        <w:spacing w:before="120" w:after="120" w:line="288" w:lineRule="auto"/>
        <w:ind w:left="0"/>
        <w:jc w:val="left"/>
      </w:pPr>
      <w:r>
        <w:rPr>
          <w:rFonts w:ascii="Arial" w:hAnsi="Arial" w:eastAsia="等线" w:cs="Arial"/>
          <w:sz w:val="22"/>
        </w:rPr>
        <w:t>技术分析（Technical Analysis）</w:t>
      </w:r>
    </w:p>
    <w:p w14:paraId="4B02CDC5">
      <w:pPr>
        <w:spacing w:before="120" w:after="120" w:line="288" w:lineRule="auto"/>
        <w:ind w:left="0"/>
      </w:pPr>
      <w:r>
        <w:object>
          <v:shape id="_x0000_i1025" o:spt="75" type="#_x0000_t75" style="height:158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7FEB152B">
      <w:pPr>
        <w:spacing w:after="120"/>
        <w:ind w:left="0"/>
        <w:jc w:val="center"/>
      </w:pPr>
      <w:r>
        <w:rPr>
          <w:rFonts w:ascii="Arial" w:hAnsi="Arial" w:eastAsia="等线" w:cs="Arial"/>
          <w:b/>
          <w:sz w:val="22"/>
        </w:rPr>
        <w:t>点击图片可查看完整电子表格</w:t>
      </w:r>
    </w:p>
    <w:p w14:paraId="6A10CDD6">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4404426F">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证券分析基础知识</w:t>
      </w:r>
      <w:bookmarkEnd w:id="2"/>
    </w:p>
    <w:p w14:paraId="6DD49FBF">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投资者面临的风险</w:t>
      </w:r>
      <w:bookmarkEnd w:id="3"/>
    </w:p>
    <w:p w14:paraId="76E3A405">
      <w:pPr>
        <w:spacing w:before="120" w:after="120" w:line="288" w:lineRule="auto"/>
        <w:ind w:left="0"/>
        <w:jc w:val="left"/>
      </w:pPr>
      <w:r>
        <w:rPr>
          <w:rFonts w:ascii="Arial" w:hAnsi="Arial" w:eastAsia="等线" w:cs="Arial"/>
          <w:sz w:val="22"/>
        </w:rPr>
        <w:t>投资者面临的风险分为两类：系统性风险（Systematic Risk）和非系统性风险（Nonsystematic Risk）</w:t>
      </w:r>
      <w:r>
        <w:rPr>
          <w:rFonts w:ascii="Arial" w:hAnsi="Arial" w:eastAsia="等线" w:cs="Arial"/>
          <w:b/>
          <w:sz w:val="22"/>
        </w:rPr>
        <w:t>。</w:t>
      </w:r>
    </w:p>
    <w:p w14:paraId="5F93A587">
      <w:pPr>
        <w:spacing w:before="120" w:after="120" w:line="288" w:lineRule="auto"/>
        <w:ind w:left="0"/>
        <w:jc w:val="left"/>
      </w:pPr>
    </w:p>
    <w:p w14:paraId="3768CB0A">
      <w:pPr>
        <w:spacing w:before="260" w:after="120" w:line="288" w:lineRule="auto"/>
        <w:ind w:left="0"/>
        <w:jc w:val="left"/>
        <w:outlineLvl w:val="3"/>
      </w:pPr>
      <w:bookmarkStart w:id="4" w:name="heading_4"/>
      <w:r>
        <w:rPr>
          <w:rFonts w:ascii="Arial" w:hAnsi="Arial" w:eastAsia="等线" w:cs="Arial"/>
          <w:color w:val="3370FF"/>
          <w:sz w:val="28"/>
        </w:rPr>
        <w:t xml:space="preserve">2.1.1.1 </w:t>
      </w:r>
      <w:r>
        <w:rPr>
          <w:rFonts w:ascii="Arial" w:hAnsi="Arial" w:eastAsia="等线" w:cs="Arial"/>
          <w:b/>
          <w:sz w:val="28"/>
        </w:rPr>
        <w:t>系统性风险</w:t>
      </w:r>
      <w:bookmarkEnd w:id="4"/>
    </w:p>
    <w:p w14:paraId="4C3A14DD">
      <w:pPr>
        <w:spacing w:before="120" w:after="120" w:line="288" w:lineRule="auto"/>
        <w:ind w:left="0"/>
        <w:jc w:val="left"/>
      </w:pPr>
      <w:r>
        <w:rPr>
          <w:rFonts w:ascii="Arial" w:hAnsi="Arial" w:eastAsia="等线" w:cs="Arial"/>
          <w:b/>
          <w:sz w:val="22"/>
        </w:rPr>
        <w:t>系统性风险是指可能影响整个市场的风险</w:t>
      </w:r>
      <w:r>
        <w:rPr>
          <w:rFonts w:ascii="Arial" w:hAnsi="Arial" w:eastAsia="等线" w:cs="Arial"/>
          <w:sz w:val="22"/>
        </w:rPr>
        <w:t>，它又被称为“不可分散风险（Undiversifiable Risk）”或“市场风险（Market Risk）”。一般指证券因政治、社会或经济因素（例如经济变化、自然灾害、政府政策等）而下跌的风险。</w:t>
      </w:r>
    </w:p>
    <w:p w14:paraId="6AAA1CCF">
      <w:pPr>
        <w:spacing w:before="120" w:after="120" w:line="288" w:lineRule="auto"/>
        <w:ind w:left="0"/>
        <w:jc w:val="left"/>
      </w:pPr>
    </w:p>
    <w:p w14:paraId="02A45038">
      <w:pPr>
        <w:spacing w:before="120" w:after="120" w:line="288" w:lineRule="auto"/>
        <w:ind w:left="0"/>
        <w:jc w:val="left"/>
      </w:pPr>
      <w:r>
        <w:rPr>
          <w:rFonts w:ascii="Arial" w:hAnsi="Arial" w:eastAsia="等线" w:cs="Arial"/>
          <w:sz w:val="22"/>
        </w:rPr>
        <w:t>系统性风险的例子包括2008年的房地产危机和始于2020年且仍在对经济产生负面影响的新冠疫情。</w:t>
      </w:r>
    </w:p>
    <w:p w14:paraId="28DDA93D">
      <w:pPr>
        <w:spacing w:before="120" w:after="120" w:line="288" w:lineRule="auto"/>
        <w:ind w:left="0"/>
        <w:jc w:val="left"/>
      </w:pPr>
    </w:p>
    <w:p w14:paraId="1AB75A75">
      <w:pPr>
        <w:spacing w:before="120" w:after="120" w:line="288" w:lineRule="auto"/>
        <w:ind w:left="0"/>
        <w:jc w:val="left"/>
      </w:pPr>
      <w:r>
        <w:rPr>
          <w:rFonts w:ascii="Arial" w:hAnsi="Arial" w:eastAsia="等线" w:cs="Arial"/>
          <w:sz w:val="22"/>
        </w:rPr>
        <w:t>系统性主要包括：（重在理解某一种风险是不是“系统性”的，但不用背下来有哪些）</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00"/>
        <w:gridCol w:w="1365"/>
        <w:gridCol w:w="5115"/>
      </w:tblGrid>
      <w:tr w14:paraId="0D4FC5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0861510C">
            <w:pPr>
              <w:spacing w:before="120" w:after="120" w:line="288" w:lineRule="auto"/>
              <w:ind w:left="0"/>
              <w:jc w:val="left"/>
            </w:pPr>
            <w:r>
              <w:rPr>
                <w:rFonts w:ascii="Arial" w:hAnsi="Arial" w:eastAsia="等线" w:cs="Arial"/>
                <w:b/>
                <w:sz w:val="22"/>
              </w:rPr>
              <w:t>风险类型</w:t>
            </w:r>
          </w:p>
        </w:tc>
        <w:tc>
          <w:tcPr>
            <w:tcW w:w="1365" w:type="dxa"/>
            <w:tcMar>
              <w:top w:w="60" w:type="dxa"/>
              <w:left w:w="120" w:type="dxa"/>
              <w:bottom w:w="30" w:type="dxa"/>
              <w:right w:w="120" w:type="dxa"/>
            </w:tcMar>
          </w:tcPr>
          <w:p w14:paraId="2F8FA07C">
            <w:pPr>
              <w:spacing w:before="120" w:after="120" w:line="288" w:lineRule="auto"/>
              <w:ind w:left="0"/>
              <w:jc w:val="left"/>
            </w:pPr>
            <w:r>
              <w:rPr>
                <w:rFonts w:ascii="Arial" w:hAnsi="Arial" w:eastAsia="等线" w:cs="Arial"/>
                <w:b/>
                <w:sz w:val="22"/>
              </w:rPr>
              <w:t>英文术语</w:t>
            </w:r>
          </w:p>
        </w:tc>
        <w:tc>
          <w:tcPr>
            <w:tcW w:w="5115" w:type="dxa"/>
            <w:tcMar>
              <w:top w:w="60" w:type="dxa"/>
              <w:left w:w="120" w:type="dxa"/>
              <w:bottom w:w="30" w:type="dxa"/>
              <w:right w:w="120" w:type="dxa"/>
            </w:tcMar>
          </w:tcPr>
          <w:p w14:paraId="7EBDB377">
            <w:pPr>
              <w:spacing w:before="120" w:after="120" w:line="288" w:lineRule="auto"/>
              <w:ind w:left="0"/>
              <w:jc w:val="left"/>
            </w:pPr>
            <w:r>
              <w:rPr>
                <w:rFonts w:ascii="Arial" w:hAnsi="Arial" w:eastAsia="等线" w:cs="Arial"/>
                <w:b/>
                <w:sz w:val="22"/>
              </w:rPr>
              <w:t>说明</w:t>
            </w:r>
          </w:p>
        </w:tc>
      </w:tr>
      <w:tr w14:paraId="3F6EB1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66DD9632">
            <w:pPr>
              <w:spacing w:before="120" w:after="120" w:line="288" w:lineRule="auto"/>
              <w:ind w:left="0"/>
              <w:jc w:val="left"/>
            </w:pPr>
            <w:r>
              <w:rPr>
                <w:rFonts w:ascii="Arial" w:hAnsi="Arial" w:eastAsia="等线" w:cs="Arial"/>
                <w:sz w:val="22"/>
              </w:rPr>
              <w:t>市场风险</w:t>
            </w:r>
          </w:p>
        </w:tc>
        <w:tc>
          <w:tcPr>
            <w:tcW w:w="1365" w:type="dxa"/>
            <w:tcMar>
              <w:top w:w="60" w:type="dxa"/>
              <w:left w:w="120" w:type="dxa"/>
              <w:bottom w:w="30" w:type="dxa"/>
              <w:right w:w="120" w:type="dxa"/>
            </w:tcMar>
          </w:tcPr>
          <w:p w14:paraId="5909EB6F">
            <w:pPr>
              <w:spacing w:before="120" w:after="120" w:line="288" w:lineRule="auto"/>
              <w:ind w:left="0"/>
              <w:jc w:val="left"/>
            </w:pPr>
            <w:r>
              <w:rPr>
                <w:rFonts w:ascii="Arial" w:hAnsi="Arial" w:eastAsia="等线" w:cs="Arial"/>
                <w:sz w:val="22"/>
              </w:rPr>
              <w:t>Market Risk</w:t>
            </w:r>
          </w:p>
        </w:tc>
        <w:tc>
          <w:tcPr>
            <w:tcW w:w="5115" w:type="dxa"/>
            <w:tcMar>
              <w:top w:w="60" w:type="dxa"/>
              <w:left w:w="120" w:type="dxa"/>
              <w:bottom w:w="30" w:type="dxa"/>
              <w:right w:w="120" w:type="dxa"/>
            </w:tcMar>
          </w:tcPr>
          <w:p w14:paraId="1F62C49A">
            <w:pPr>
              <w:spacing w:before="120" w:after="120" w:line="288" w:lineRule="auto"/>
              <w:ind w:left="0"/>
              <w:jc w:val="left"/>
            </w:pPr>
            <w:r>
              <w:rPr>
                <w:rFonts w:ascii="Arial" w:hAnsi="Arial" w:eastAsia="等线" w:cs="Arial"/>
                <w:sz w:val="22"/>
              </w:rPr>
              <w:t>由于市场波动或不利的市场环境，一种或多种证券的价值可能下跌。</w:t>
            </w:r>
          </w:p>
          <w:p w14:paraId="7D631810">
            <w:pPr>
              <w:spacing w:before="120" w:after="120" w:line="288" w:lineRule="auto"/>
              <w:ind w:left="0"/>
              <w:jc w:val="left"/>
            </w:pPr>
            <w:r>
              <w:rPr>
                <w:rFonts w:ascii="Arial" w:hAnsi="Arial" w:eastAsia="等线" w:cs="Arial"/>
                <w:sz w:val="22"/>
              </w:rPr>
              <w:t>所有证券都存在市场风险。</w:t>
            </w:r>
          </w:p>
        </w:tc>
      </w:tr>
      <w:tr w14:paraId="0604F1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1ED05D60">
            <w:pPr>
              <w:spacing w:before="120" w:after="120" w:line="288" w:lineRule="auto"/>
              <w:ind w:left="0"/>
              <w:jc w:val="left"/>
            </w:pPr>
            <w:r>
              <w:rPr>
                <w:rFonts w:ascii="Arial" w:hAnsi="Arial" w:eastAsia="等线" w:cs="Arial"/>
                <w:sz w:val="22"/>
              </w:rPr>
              <w:t>利率（货币利率）风险</w:t>
            </w:r>
          </w:p>
          <w:p w14:paraId="40C252BF">
            <w:pPr>
              <w:spacing w:before="120" w:after="120" w:line="288" w:lineRule="auto"/>
              <w:ind w:left="0"/>
              <w:jc w:val="left"/>
            </w:pPr>
          </w:p>
        </w:tc>
        <w:tc>
          <w:tcPr>
            <w:tcW w:w="1365" w:type="dxa"/>
            <w:tcMar>
              <w:top w:w="60" w:type="dxa"/>
              <w:left w:w="120" w:type="dxa"/>
              <w:bottom w:w="30" w:type="dxa"/>
              <w:right w:w="120" w:type="dxa"/>
            </w:tcMar>
          </w:tcPr>
          <w:p w14:paraId="653E2C06">
            <w:pPr>
              <w:spacing w:before="120" w:after="120" w:line="288" w:lineRule="auto"/>
              <w:ind w:left="0"/>
              <w:jc w:val="left"/>
            </w:pPr>
            <w:r>
              <w:rPr>
                <w:rFonts w:ascii="Arial" w:hAnsi="Arial" w:eastAsia="等线" w:cs="Arial"/>
                <w:sz w:val="22"/>
              </w:rPr>
              <w:t>Interest (money rate) risk</w:t>
            </w:r>
          </w:p>
        </w:tc>
        <w:tc>
          <w:tcPr>
            <w:tcW w:w="5115" w:type="dxa"/>
            <w:tcMar>
              <w:top w:w="60" w:type="dxa"/>
              <w:left w:w="120" w:type="dxa"/>
              <w:bottom w:w="30" w:type="dxa"/>
              <w:right w:w="120" w:type="dxa"/>
            </w:tcMar>
          </w:tcPr>
          <w:p w14:paraId="11EF9046">
            <w:pPr>
              <w:spacing w:before="120" w:after="120" w:line="288" w:lineRule="auto"/>
              <w:ind w:left="0"/>
              <w:jc w:val="left"/>
            </w:pPr>
            <w:r>
              <w:rPr>
                <w:rFonts w:ascii="Arial" w:hAnsi="Arial" w:eastAsia="等线" w:cs="Arial"/>
                <w:sz w:val="22"/>
              </w:rPr>
              <w:t>债券价格随着利率上升而下跌的风险。（借鉴第七章中跷跷板理论：利率上升时，未偿债券价格下降。）所有债券，即使是零息债券，也存在利率风险。</w:t>
            </w:r>
          </w:p>
        </w:tc>
      </w:tr>
      <w:tr w14:paraId="42BD75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4FA425D4">
            <w:pPr>
              <w:spacing w:before="120" w:after="120" w:line="288" w:lineRule="auto"/>
              <w:ind w:left="0"/>
              <w:jc w:val="left"/>
            </w:pPr>
            <w:r>
              <w:rPr>
                <w:rFonts w:ascii="Arial" w:hAnsi="Arial" w:eastAsia="等线" w:cs="Arial"/>
                <w:sz w:val="22"/>
              </w:rPr>
              <w:t>再投资风险</w:t>
            </w:r>
          </w:p>
        </w:tc>
        <w:tc>
          <w:tcPr>
            <w:tcW w:w="1365" w:type="dxa"/>
            <w:tcMar>
              <w:top w:w="60" w:type="dxa"/>
              <w:left w:w="120" w:type="dxa"/>
              <w:bottom w:w="30" w:type="dxa"/>
              <w:right w:w="120" w:type="dxa"/>
            </w:tcMar>
          </w:tcPr>
          <w:p w14:paraId="2C71CA98">
            <w:pPr>
              <w:spacing w:before="120" w:after="120" w:line="288" w:lineRule="auto"/>
              <w:ind w:left="0"/>
              <w:jc w:val="left"/>
            </w:pPr>
            <w:r>
              <w:rPr>
                <w:rFonts w:ascii="Arial" w:hAnsi="Arial" w:eastAsia="等线" w:cs="Arial"/>
                <w:sz w:val="22"/>
              </w:rPr>
              <w:t>Reinvestment risk</w:t>
            </w:r>
          </w:p>
        </w:tc>
        <w:tc>
          <w:tcPr>
            <w:tcW w:w="5115" w:type="dxa"/>
            <w:tcMar>
              <w:top w:w="60" w:type="dxa"/>
              <w:left w:w="120" w:type="dxa"/>
              <w:bottom w:w="30" w:type="dxa"/>
              <w:right w:w="120" w:type="dxa"/>
            </w:tcMar>
          </w:tcPr>
          <w:p w14:paraId="3012F8BE">
            <w:pPr>
              <w:spacing w:before="120" w:after="120" w:line="288" w:lineRule="auto"/>
              <w:ind w:left="0"/>
              <w:jc w:val="left"/>
            </w:pPr>
            <w:r>
              <w:rPr>
                <w:rFonts w:ascii="Arial" w:hAnsi="Arial" w:eastAsia="等线" w:cs="Arial"/>
                <w:sz w:val="22"/>
              </w:rPr>
              <w:t>收到的利息和股息必须以较低的收益率进行再投资的风险。</w:t>
            </w:r>
          </w:p>
          <w:p w14:paraId="66D8F0DC">
            <w:pPr>
              <w:spacing w:before="120" w:after="120" w:line="288" w:lineRule="auto"/>
              <w:ind w:left="0"/>
              <w:jc w:val="left"/>
            </w:pPr>
            <w:r>
              <w:rPr>
                <w:rFonts w:ascii="Arial" w:hAnsi="Arial" w:eastAsia="等线" w:cs="Arial"/>
                <w:sz w:val="22"/>
              </w:rPr>
              <w:t>零息债券、国库券、国债收益型债券等没有再投资风险，因为它们不收取利息。</w:t>
            </w:r>
          </w:p>
        </w:tc>
      </w:tr>
      <w:tr w14:paraId="08D1F7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2D1D205C">
            <w:pPr>
              <w:spacing w:before="120" w:after="120" w:line="288" w:lineRule="auto"/>
              <w:ind w:left="0"/>
              <w:jc w:val="left"/>
            </w:pPr>
            <w:r>
              <w:rPr>
                <w:rFonts w:ascii="Arial" w:hAnsi="Arial" w:eastAsia="等线" w:cs="Arial"/>
                <w:sz w:val="22"/>
              </w:rPr>
              <w:t>购买力（通货膨胀）风险</w:t>
            </w:r>
          </w:p>
        </w:tc>
        <w:tc>
          <w:tcPr>
            <w:tcW w:w="1365" w:type="dxa"/>
            <w:tcMar>
              <w:top w:w="60" w:type="dxa"/>
              <w:left w:w="120" w:type="dxa"/>
              <w:bottom w:w="30" w:type="dxa"/>
              <w:right w:w="120" w:type="dxa"/>
            </w:tcMar>
          </w:tcPr>
          <w:p w14:paraId="25D810FB">
            <w:pPr>
              <w:spacing w:before="120" w:after="120" w:line="288" w:lineRule="auto"/>
              <w:ind w:left="0"/>
              <w:jc w:val="left"/>
            </w:pPr>
            <w:r>
              <w:rPr>
                <w:rFonts w:ascii="Arial" w:hAnsi="Arial" w:eastAsia="等线" w:cs="Arial"/>
                <w:sz w:val="22"/>
              </w:rPr>
              <w:t>Purchasing Power (inflation) Risk</w:t>
            </w:r>
          </w:p>
        </w:tc>
        <w:tc>
          <w:tcPr>
            <w:tcW w:w="5115" w:type="dxa"/>
            <w:tcMar>
              <w:top w:w="60" w:type="dxa"/>
              <w:left w:w="120" w:type="dxa"/>
              <w:bottom w:w="30" w:type="dxa"/>
              <w:right w:w="120" w:type="dxa"/>
            </w:tcMar>
          </w:tcPr>
          <w:p w14:paraId="5672356B">
            <w:pPr>
              <w:spacing w:before="120" w:after="120" w:line="288" w:lineRule="auto"/>
              <w:ind w:left="0"/>
              <w:jc w:val="left"/>
            </w:pPr>
            <w:r>
              <w:rPr>
                <w:rFonts w:ascii="Arial" w:hAnsi="Arial" w:eastAsia="等线" w:cs="Arial"/>
                <w:sz w:val="22"/>
              </w:rPr>
              <w:t>投资回报低于通货膨胀率的风险。截至撰写本文时，我们正经历40多年来最严重的通货膨胀。长期债券和固定年金具有较高的通货膨胀风险。为了规避通货膨胀风险，投资者应该购买股票和变额年金。</w:t>
            </w:r>
          </w:p>
        </w:tc>
      </w:tr>
    </w:tbl>
    <w:p w14:paraId="2B702EC5">
      <w:pPr>
        <w:spacing w:before="260" w:after="120" w:line="288" w:lineRule="auto"/>
        <w:ind w:left="0"/>
        <w:jc w:val="left"/>
        <w:outlineLvl w:val="3"/>
      </w:pPr>
      <w:bookmarkStart w:id="5" w:name="heading_5"/>
      <w:r>
        <w:rPr>
          <w:rFonts w:ascii="Arial" w:hAnsi="Arial" w:eastAsia="等线" w:cs="Arial"/>
          <w:color w:val="3370FF"/>
          <w:sz w:val="28"/>
        </w:rPr>
        <w:t xml:space="preserve">2.1.1.2 </w:t>
      </w:r>
      <w:r>
        <w:rPr>
          <w:rFonts w:ascii="Arial" w:hAnsi="Arial" w:eastAsia="等线" w:cs="Arial"/>
          <w:b/>
          <w:sz w:val="28"/>
        </w:rPr>
        <w:t>非系统性风险</w:t>
      </w:r>
      <w:bookmarkEnd w:id="5"/>
    </w:p>
    <w:p w14:paraId="1BEA8E65">
      <w:pPr>
        <w:spacing w:before="120" w:after="120" w:line="288" w:lineRule="auto"/>
        <w:ind w:left="0"/>
        <w:jc w:val="left"/>
      </w:pPr>
      <w:r>
        <w:rPr>
          <w:rFonts w:ascii="Arial" w:hAnsi="Arial" w:eastAsia="等线" w:cs="Arial"/>
          <w:b/>
          <w:sz w:val="22"/>
        </w:rPr>
        <w:t>非系统性风险也称为特定风险（Unique Risk）或可分散风险（diversifiable Risk），是指仅对某个特定公司、行业或资产类别产生影响，而不会波及整个市场的风险。</w:t>
      </w:r>
    </w:p>
    <w:p w14:paraId="442071D9">
      <w:pPr>
        <w:spacing w:before="120" w:after="120" w:line="288" w:lineRule="auto"/>
        <w:ind w:left="0"/>
        <w:jc w:val="left"/>
      </w:pPr>
    </w:p>
    <w:p w14:paraId="37FE8D66">
      <w:pPr>
        <w:spacing w:before="120" w:after="120" w:line="288" w:lineRule="auto"/>
        <w:ind w:left="0"/>
        <w:jc w:val="left"/>
      </w:pPr>
      <w:r>
        <w:rPr>
          <w:rFonts w:ascii="Arial" w:hAnsi="Arial" w:eastAsia="等线" w:cs="Arial"/>
          <w:sz w:val="22"/>
        </w:rPr>
        <w:t>这类风险可以通过分散投资来消除，即“不要把所有鸡蛋放在一个篮子里。”</w:t>
      </w:r>
    </w:p>
    <w:p w14:paraId="440F2336">
      <w:pPr>
        <w:spacing w:before="120" w:after="120" w:line="288" w:lineRule="auto"/>
        <w:ind w:left="0"/>
        <w:jc w:val="left"/>
      </w:pPr>
    </w:p>
    <w:p w14:paraId="5B85F43A">
      <w:pPr>
        <w:spacing w:before="120" w:after="120" w:line="288" w:lineRule="auto"/>
        <w:ind w:left="0"/>
        <w:jc w:val="left"/>
      </w:pPr>
      <w:r>
        <w:rPr>
          <w:rFonts w:ascii="Arial" w:hAnsi="Arial" w:eastAsia="等线" w:cs="Arial"/>
          <w:sz w:val="22"/>
        </w:rPr>
        <w:t>非系统性风险主要包括：（重在理解某一种风险是不是“非系统性”的，但不用背下来有哪些）</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50"/>
        <w:gridCol w:w="1800"/>
        <w:gridCol w:w="5145"/>
      </w:tblGrid>
      <w:tr w14:paraId="14A769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7D24B11B">
            <w:pPr>
              <w:spacing w:before="120" w:after="120" w:line="288" w:lineRule="auto"/>
              <w:ind w:left="0"/>
              <w:jc w:val="left"/>
            </w:pPr>
            <w:r>
              <w:rPr>
                <w:rFonts w:ascii="Arial" w:hAnsi="Arial" w:eastAsia="等线" w:cs="Arial"/>
                <w:b/>
                <w:sz w:val="22"/>
              </w:rPr>
              <w:t>风险类型</w:t>
            </w:r>
          </w:p>
        </w:tc>
        <w:tc>
          <w:tcPr>
            <w:tcW w:w="1800" w:type="dxa"/>
            <w:tcMar>
              <w:top w:w="60" w:type="dxa"/>
              <w:left w:w="120" w:type="dxa"/>
              <w:bottom w:w="30" w:type="dxa"/>
              <w:right w:w="120" w:type="dxa"/>
            </w:tcMar>
          </w:tcPr>
          <w:p w14:paraId="779FB982">
            <w:pPr>
              <w:spacing w:before="120" w:after="120" w:line="288" w:lineRule="auto"/>
              <w:ind w:left="0"/>
              <w:jc w:val="left"/>
            </w:pPr>
            <w:r>
              <w:rPr>
                <w:rFonts w:ascii="Arial" w:hAnsi="Arial" w:eastAsia="等线" w:cs="Arial"/>
                <w:b/>
                <w:sz w:val="22"/>
              </w:rPr>
              <w:t>英文术语</w:t>
            </w:r>
          </w:p>
        </w:tc>
        <w:tc>
          <w:tcPr>
            <w:tcW w:w="5145" w:type="dxa"/>
            <w:tcMar>
              <w:top w:w="60" w:type="dxa"/>
              <w:left w:w="120" w:type="dxa"/>
              <w:bottom w:w="30" w:type="dxa"/>
              <w:right w:w="120" w:type="dxa"/>
            </w:tcMar>
          </w:tcPr>
          <w:p w14:paraId="31F6E5D6">
            <w:pPr>
              <w:spacing w:before="120" w:after="120" w:line="288" w:lineRule="auto"/>
              <w:ind w:left="0"/>
              <w:jc w:val="left"/>
            </w:pPr>
            <w:r>
              <w:rPr>
                <w:rFonts w:ascii="Arial" w:hAnsi="Arial" w:eastAsia="等线" w:cs="Arial"/>
                <w:b/>
                <w:sz w:val="22"/>
              </w:rPr>
              <w:t>说明</w:t>
            </w:r>
          </w:p>
        </w:tc>
      </w:tr>
      <w:tr w14:paraId="3D75A3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49A14CF5">
            <w:pPr>
              <w:spacing w:before="120" w:after="120" w:line="288" w:lineRule="auto"/>
              <w:ind w:left="0"/>
              <w:jc w:val="left"/>
            </w:pPr>
            <w:r>
              <w:rPr>
                <w:rFonts w:ascii="Arial" w:hAnsi="Arial" w:eastAsia="等线" w:cs="Arial"/>
                <w:sz w:val="22"/>
              </w:rPr>
              <w:t>商业风险</w:t>
            </w:r>
          </w:p>
        </w:tc>
        <w:tc>
          <w:tcPr>
            <w:tcW w:w="1800" w:type="dxa"/>
            <w:tcMar>
              <w:top w:w="60" w:type="dxa"/>
              <w:left w:w="120" w:type="dxa"/>
              <w:bottom w:w="30" w:type="dxa"/>
              <w:right w:w="120" w:type="dxa"/>
            </w:tcMar>
          </w:tcPr>
          <w:p w14:paraId="2EC1B6AB">
            <w:pPr>
              <w:spacing w:before="120" w:after="120" w:line="288" w:lineRule="auto"/>
              <w:ind w:left="0"/>
              <w:jc w:val="left"/>
            </w:pPr>
            <w:r>
              <w:rPr>
                <w:rFonts w:ascii="Arial" w:hAnsi="Arial" w:eastAsia="等线" w:cs="Arial"/>
                <w:sz w:val="22"/>
              </w:rPr>
              <w:t>Business risk</w:t>
            </w:r>
          </w:p>
        </w:tc>
        <w:tc>
          <w:tcPr>
            <w:tcW w:w="5145" w:type="dxa"/>
            <w:tcMar>
              <w:top w:w="60" w:type="dxa"/>
              <w:left w:w="120" w:type="dxa"/>
              <w:bottom w:w="30" w:type="dxa"/>
              <w:right w:w="120" w:type="dxa"/>
            </w:tcMar>
          </w:tcPr>
          <w:p w14:paraId="35460599">
            <w:pPr>
              <w:spacing w:before="120" w:after="120" w:line="288" w:lineRule="auto"/>
              <w:ind w:left="0"/>
              <w:jc w:val="left"/>
            </w:pPr>
            <w:r>
              <w:rPr>
                <w:rFonts w:ascii="Arial" w:hAnsi="Arial" w:eastAsia="等线" w:cs="Arial"/>
                <w:sz w:val="22"/>
              </w:rPr>
              <w:t>公司业绩未能达到预期的风险</w:t>
            </w:r>
          </w:p>
        </w:tc>
      </w:tr>
      <w:tr w14:paraId="22C9D7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5526329F">
            <w:pPr>
              <w:spacing w:before="120" w:after="120" w:line="288" w:lineRule="auto"/>
              <w:ind w:left="0"/>
              <w:jc w:val="left"/>
            </w:pPr>
            <w:r>
              <w:rPr>
                <w:rFonts w:ascii="Arial" w:hAnsi="Arial" w:eastAsia="等线" w:cs="Arial"/>
                <w:sz w:val="22"/>
              </w:rPr>
              <w:t>政治风险</w:t>
            </w:r>
          </w:p>
          <w:p w14:paraId="667ECF55">
            <w:pPr>
              <w:spacing w:before="120" w:after="120" w:line="288" w:lineRule="auto"/>
              <w:ind w:left="0"/>
              <w:jc w:val="left"/>
            </w:pPr>
          </w:p>
        </w:tc>
        <w:tc>
          <w:tcPr>
            <w:tcW w:w="1800" w:type="dxa"/>
            <w:tcMar>
              <w:top w:w="60" w:type="dxa"/>
              <w:left w:w="120" w:type="dxa"/>
              <w:bottom w:w="30" w:type="dxa"/>
              <w:right w:w="120" w:type="dxa"/>
            </w:tcMar>
          </w:tcPr>
          <w:p w14:paraId="7B5D9EB9">
            <w:pPr>
              <w:spacing w:before="120" w:after="120" w:line="288" w:lineRule="auto"/>
              <w:ind w:left="0"/>
              <w:jc w:val="left"/>
            </w:pPr>
            <w:r>
              <w:rPr>
                <w:rFonts w:ascii="Arial" w:hAnsi="Arial" w:eastAsia="等线" w:cs="Arial"/>
                <w:sz w:val="22"/>
              </w:rPr>
              <w:t>Political risk</w:t>
            </w:r>
          </w:p>
        </w:tc>
        <w:tc>
          <w:tcPr>
            <w:tcW w:w="5145" w:type="dxa"/>
            <w:tcMar>
              <w:top w:w="60" w:type="dxa"/>
              <w:left w:w="120" w:type="dxa"/>
              <w:bottom w:w="30" w:type="dxa"/>
              <w:right w:w="120" w:type="dxa"/>
            </w:tcMar>
          </w:tcPr>
          <w:p w14:paraId="30F34AB1">
            <w:pPr>
              <w:spacing w:before="120" w:after="120" w:line="288" w:lineRule="auto"/>
              <w:ind w:left="0"/>
              <w:jc w:val="left"/>
            </w:pPr>
            <w:r>
              <w:rPr>
                <w:rFonts w:ascii="Arial" w:hAnsi="Arial" w:eastAsia="等线" w:cs="Arial"/>
                <w:sz w:val="22"/>
              </w:rPr>
              <w:t>由于国家不稳定或政治变化（如公司国有化），证券价值可能受到影响的风险。</w:t>
            </w:r>
          </w:p>
          <w:p w14:paraId="49B05B32">
            <w:pPr>
              <w:spacing w:before="120" w:after="120" w:line="288" w:lineRule="auto"/>
              <w:ind w:left="0"/>
              <w:jc w:val="left"/>
            </w:pPr>
          </w:p>
        </w:tc>
      </w:tr>
      <w:tr w14:paraId="2EC0DF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76F5FCBA">
            <w:pPr>
              <w:spacing w:before="120" w:after="120" w:line="288" w:lineRule="auto"/>
              <w:ind w:left="0"/>
              <w:jc w:val="left"/>
            </w:pPr>
            <w:r>
              <w:rPr>
                <w:rFonts w:ascii="Arial" w:hAnsi="Arial" w:eastAsia="等线" w:cs="Arial"/>
                <w:sz w:val="22"/>
              </w:rPr>
              <w:t>信用风险</w:t>
            </w:r>
          </w:p>
        </w:tc>
        <w:tc>
          <w:tcPr>
            <w:tcW w:w="1800" w:type="dxa"/>
            <w:tcMar>
              <w:top w:w="60" w:type="dxa"/>
              <w:left w:w="120" w:type="dxa"/>
              <w:bottom w:w="30" w:type="dxa"/>
              <w:right w:w="120" w:type="dxa"/>
            </w:tcMar>
          </w:tcPr>
          <w:p w14:paraId="11D03F08">
            <w:pPr>
              <w:spacing w:before="120" w:after="120" w:line="288" w:lineRule="auto"/>
              <w:ind w:left="0"/>
              <w:jc w:val="left"/>
            </w:pPr>
            <w:r>
              <w:rPr>
                <w:rFonts w:ascii="Arial" w:hAnsi="Arial" w:eastAsia="等线" w:cs="Arial"/>
                <w:sz w:val="22"/>
              </w:rPr>
              <w:t>Credit risk</w:t>
            </w:r>
          </w:p>
        </w:tc>
        <w:tc>
          <w:tcPr>
            <w:tcW w:w="5145" w:type="dxa"/>
            <w:tcMar>
              <w:top w:w="60" w:type="dxa"/>
              <w:left w:w="120" w:type="dxa"/>
              <w:bottom w:w="30" w:type="dxa"/>
              <w:right w:w="120" w:type="dxa"/>
            </w:tcMar>
          </w:tcPr>
          <w:p w14:paraId="369E2DCF">
            <w:pPr>
              <w:numPr>
                <w:ilvl w:val="0"/>
                <w:numId w:val="8"/>
              </w:numPr>
              <w:spacing w:before="120" w:after="120" w:line="288" w:lineRule="auto"/>
              <w:ind w:left="0"/>
              <w:jc w:val="left"/>
            </w:pPr>
            <w:r>
              <w:rPr>
                <w:rFonts w:ascii="Arial" w:hAnsi="Arial" w:eastAsia="等线" w:cs="Arial"/>
                <w:sz w:val="22"/>
              </w:rPr>
              <w:t>未能按时偿还本金和利息的风险。</w:t>
            </w:r>
          </w:p>
          <w:p w14:paraId="480C8F37">
            <w:pPr>
              <w:numPr>
                <w:ilvl w:val="0"/>
                <w:numId w:val="9"/>
              </w:numPr>
              <w:spacing w:before="120" w:after="120" w:line="288" w:lineRule="auto"/>
              <w:ind w:left="0"/>
              <w:jc w:val="left"/>
            </w:pPr>
            <w:r>
              <w:rPr>
                <w:rFonts w:ascii="Arial" w:hAnsi="Arial" w:eastAsia="等线" w:cs="Arial"/>
                <w:sz w:val="22"/>
              </w:rPr>
              <w:t>穆迪、标准普尔和惠誉是主要的债券评级机构。</w:t>
            </w:r>
          </w:p>
        </w:tc>
      </w:tr>
      <w:tr w14:paraId="17D4C5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61ACEBA9">
            <w:pPr>
              <w:spacing w:before="120" w:after="120" w:line="288" w:lineRule="auto"/>
              <w:ind w:left="0"/>
              <w:jc w:val="left"/>
            </w:pPr>
            <w:r>
              <w:rPr>
                <w:rFonts w:ascii="Arial" w:hAnsi="Arial" w:eastAsia="等线" w:cs="Arial"/>
                <w:sz w:val="22"/>
              </w:rPr>
              <w:t>监管风险</w:t>
            </w:r>
          </w:p>
        </w:tc>
        <w:tc>
          <w:tcPr>
            <w:tcW w:w="1800" w:type="dxa"/>
            <w:tcMar>
              <w:top w:w="60" w:type="dxa"/>
              <w:left w:w="120" w:type="dxa"/>
              <w:bottom w:w="30" w:type="dxa"/>
              <w:right w:w="120" w:type="dxa"/>
            </w:tcMar>
          </w:tcPr>
          <w:p w14:paraId="2DC0EB48">
            <w:pPr>
              <w:spacing w:before="120" w:after="120" w:line="288" w:lineRule="auto"/>
              <w:ind w:left="0"/>
              <w:jc w:val="left"/>
            </w:pPr>
            <w:r>
              <w:rPr>
                <w:rFonts w:ascii="Arial" w:hAnsi="Arial" w:eastAsia="等线" w:cs="Arial"/>
                <w:sz w:val="22"/>
              </w:rPr>
              <w:t>Regulatory risk</w:t>
            </w:r>
          </w:p>
        </w:tc>
        <w:tc>
          <w:tcPr>
            <w:tcW w:w="5145" w:type="dxa"/>
            <w:tcMar>
              <w:top w:w="60" w:type="dxa"/>
              <w:left w:w="120" w:type="dxa"/>
              <w:bottom w:w="30" w:type="dxa"/>
              <w:right w:w="120" w:type="dxa"/>
            </w:tcMar>
          </w:tcPr>
          <w:p w14:paraId="723CD501">
            <w:pPr>
              <w:spacing w:before="120" w:after="120" w:line="288" w:lineRule="auto"/>
              <w:ind w:left="0"/>
              <w:jc w:val="left"/>
            </w:pPr>
            <w:r>
              <w:rPr>
                <w:rFonts w:ascii="Arial" w:hAnsi="Arial" w:eastAsia="等线" w:cs="Arial"/>
                <w:sz w:val="22"/>
              </w:rPr>
              <w:t>监管环境变化（如美国食品药品监督管理局、环境保护局等的裁决）将对市场中的某些证券产生不利影响的风险。</w:t>
            </w:r>
          </w:p>
        </w:tc>
      </w:tr>
      <w:tr w14:paraId="16461D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14623C54">
            <w:pPr>
              <w:spacing w:before="120" w:after="120" w:line="288" w:lineRule="auto"/>
              <w:ind w:left="0"/>
              <w:jc w:val="left"/>
            </w:pPr>
            <w:r>
              <w:rPr>
                <w:rFonts w:ascii="Arial" w:hAnsi="Arial" w:eastAsia="等线" w:cs="Arial"/>
                <w:sz w:val="22"/>
              </w:rPr>
              <w:t>立法风险</w:t>
            </w:r>
          </w:p>
        </w:tc>
        <w:tc>
          <w:tcPr>
            <w:tcW w:w="1800" w:type="dxa"/>
            <w:tcMar>
              <w:top w:w="60" w:type="dxa"/>
              <w:left w:w="120" w:type="dxa"/>
              <w:bottom w:w="30" w:type="dxa"/>
              <w:right w:w="120" w:type="dxa"/>
            </w:tcMar>
          </w:tcPr>
          <w:p w14:paraId="36F4AFA8">
            <w:pPr>
              <w:spacing w:before="120" w:after="120" w:line="288" w:lineRule="auto"/>
              <w:ind w:left="0"/>
              <w:jc w:val="left"/>
            </w:pPr>
            <w:r>
              <w:rPr>
                <w:rFonts w:ascii="Arial" w:hAnsi="Arial" w:eastAsia="等线" w:cs="Arial"/>
                <w:sz w:val="22"/>
              </w:rPr>
              <w:t>Legislative risk</w:t>
            </w:r>
          </w:p>
        </w:tc>
        <w:tc>
          <w:tcPr>
            <w:tcW w:w="5145" w:type="dxa"/>
            <w:tcMar>
              <w:top w:w="60" w:type="dxa"/>
              <w:left w:w="120" w:type="dxa"/>
              <w:bottom w:w="30" w:type="dxa"/>
              <w:right w:w="120" w:type="dxa"/>
            </w:tcMar>
          </w:tcPr>
          <w:p w14:paraId="574DE2C2">
            <w:pPr>
              <w:spacing w:before="120" w:after="120" w:line="288" w:lineRule="auto"/>
              <w:ind w:left="0"/>
              <w:jc w:val="left"/>
            </w:pPr>
            <w:r>
              <w:rPr>
                <w:rFonts w:ascii="Arial" w:hAnsi="Arial" w:eastAsia="等线" w:cs="Arial"/>
                <w:sz w:val="22"/>
              </w:rPr>
              <w:t>州或联邦法律的变化将影响市场中某些证券的风险。</w:t>
            </w:r>
          </w:p>
        </w:tc>
      </w:tr>
      <w:tr w14:paraId="2EB91F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2E1840B9">
            <w:pPr>
              <w:spacing w:before="120" w:after="120" w:line="288" w:lineRule="auto"/>
              <w:ind w:left="0"/>
              <w:jc w:val="left"/>
            </w:pPr>
            <w:r>
              <w:rPr>
                <w:rFonts w:ascii="Arial" w:hAnsi="Arial" w:eastAsia="等线" w:cs="Arial"/>
                <w:sz w:val="22"/>
              </w:rPr>
              <w:t>货币（汇率）汇率风险</w:t>
            </w:r>
          </w:p>
          <w:p w14:paraId="6B211162">
            <w:pPr>
              <w:spacing w:before="120" w:after="120" w:line="288" w:lineRule="auto"/>
              <w:ind w:left="0"/>
              <w:jc w:val="left"/>
            </w:pPr>
          </w:p>
        </w:tc>
        <w:tc>
          <w:tcPr>
            <w:tcW w:w="1800" w:type="dxa"/>
            <w:tcMar>
              <w:top w:w="60" w:type="dxa"/>
              <w:left w:w="120" w:type="dxa"/>
              <w:bottom w:w="30" w:type="dxa"/>
              <w:right w:w="120" w:type="dxa"/>
            </w:tcMar>
          </w:tcPr>
          <w:p w14:paraId="60F5F503">
            <w:pPr>
              <w:spacing w:before="120" w:after="120" w:line="288" w:lineRule="auto"/>
              <w:ind w:left="0"/>
              <w:jc w:val="left"/>
            </w:pPr>
            <w:r>
              <w:rPr>
                <w:rFonts w:ascii="Arial" w:hAnsi="Arial" w:eastAsia="等线" w:cs="Arial"/>
                <w:sz w:val="22"/>
              </w:rPr>
              <w:t>Currency (exchange rate) risk</w:t>
            </w:r>
          </w:p>
        </w:tc>
        <w:tc>
          <w:tcPr>
            <w:tcW w:w="5145" w:type="dxa"/>
            <w:tcMar>
              <w:top w:w="60" w:type="dxa"/>
              <w:left w:w="120" w:type="dxa"/>
              <w:bottom w:w="30" w:type="dxa"/>
              <w:right w:w="120" w:type="dxa"/>
            </w:tcMar>
          </w:tcPr>
          <w:p w14:paraId="497D2168">
            <w:pPr>
              <w:spacing w:before="120" w:after="120" w:line="288" w:lineRule="auto"/>
              <w:ind w:left="0"/>
              <w:jc w:val="left"/>
            </w:pPr>
            <w:r>
              <w:rPr>
                <w:rFonts w:ascii="Arial" w:hAnsi="Arial" w:eastAsia="等线" w:cs="Arial"/>
                <w:sz w:val="22"/>
              </w:rPr>
              <w:t>投资价值受货币汇率变动影响的风险。</w:t>
            </w:r>
          </w:p>
          <w:p w14:paraId="5EE5591E">
            <w:pPr>
              <w:spacing w:before="120" w:after="120" w:line="288" w:lineRule="auto"/>
              <w:ind w:left="0"/>
              <w:jc w:val="left"/>
            </w:pPr>
            <w:r>
              <w:rPr>
                <w:rFonts w:ascii="Arial" w:hAnsi="Arial" w:eastAsia="等线" w:cs="Arial"/>
                <w:sz w:val="22"/>
              </w:rPr>
              <w:t>拥有国际投资的长期投资者受货币风险的影响最大（例如：若国外货币持续贬值，投资者出售海外资产兑换成本国货币后，可能造成亏损）</w:t>
            </w:r>
          </w:p>
        </w:tc>
      </w:tr>
      <w:tr w14:paraId="642189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55C178CF">
            <w:pPr>
              <w:spacing w:before="120" w:after="120" w:line="288" w:lineRule="auto"/>
              <w:ind w:left="0"/>
              <w:jc w:val="left"/>
            </w:pPr>
            <w:r>
              <w:rPr>
                <w:rFonts w:ascii="Arial" w:hAnsi="Arial" w:eastAsia="等线" w:cs="Arial"/>
                <w:sz w:val="22"/>
              </w:rPr>
              <w:t>流动性（市场性）风险</w:t>
            </w:r>
          </w:p>
        </w:tc>
        <w:tc>
          <w:tcPr>
            <w:tcW w:w="1800" w:type="dxa"/>
            <w:tcMar>
              <w:top w:w="60" w:type="dxa"/>
              <w:left w:w="120" w:type="dxa"/>
              <w:bottom w:w="30" w:type="dxa"/>
              <w:right w:w="120" w:type="dxa"/>
            </w:tcMar>
          </w:tcPr>
          <w:p w14:paraId="03654369">
            <w:pPr>
              <w:spacing w:before="120" w:after="120" w:line="288" w:lineRule="auto"/>
              <w:ind w:left="0"/>
              <w:jc w:val="left"/>
            </w:pPr>
            <w:r>
              <w:rPr>
                <w:rFonts w:ascii="Arial" w:hAnsi="Arial" w:eastAsia="等线" w:cs="Arial"/>
                <w:sz w:val="22"/>
              </w:rPr>
              <w:t>Liquidity (marketability) risk</w:t>
            </w:r>
          </w:p>
        </w:tc>
        <w:tc>
          <w:tcPr>
            <w:tcW w:w="5145" w:type="dxa"/>
            <w:tcMar>
              <w:top w:w="60" w:type="dxa"/>
              <w:left w:w="120" w:type="dxa"/>
              <w:bottom w:w="30" w:type="dxa"/>
              <w:right w:w="120" w:type="dxa"/>
            </w:tcMar>
          </w:tcPr>
          <w:p w14:paraId="0A23CF78">
            <w:pPr>
              <w:spacing w:before="120" w:after="120" w:line="288" w:lineRule="auto"/>
              <w:ind w:left="0"/>
              <w:jc w:val="left"/>
            </w:pPr>
            <w:r>
              <w:rPr>
                <w:rFonts w:ascii="Arial" w:hAnsi="Arial" w:eastAsia="等线" w:cs="Arial"/>
                <w:sz w:val="22"/>
              </w:rPr>
              <w:t>证券不容易交易的风险。（长期债券和有限合伙企业的流动性风险更大）</w:t>
            </w:r>
          </w:p>
          <w:p w14:paraId="190FE23B">
            <w:pPr>
              <w:spacing w:before="120" w:after="120" w:line="288" w:lineRule="auto"/>
              <w:ind w:left="0"/>
              <w:jc w:val="left"/>
            </w:pPr>
            <w:r>
              <w:rPr>
                <w:rFonts w:ascii="Arial" w:hAnsi="Arial" w:eastAsia="等线" w:cs="Arial"/>
                <w:sz w:val="22"/>
              </w:rPr>
              <w:t>例如：交易量不活跃，很难短期内买入/卖出大量该证券</w:t>
            </w:r>
          </w:p>
        </w:tc>
      </w:tr>
      <w:tr w14:paraId="64F95C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368EC147">
            <w:pPr>
              <w:spacing w:before="120" w:after="120" w:line="288" w:lineRule="auto"/>
              <w:ind w:left="0"/>
              <w:jc w:val="left"/>
            </w:pPr>
            <w:r>
              <w:rPr>
                <w:rFonts w:ascii="Arial" w:hAnsi="Arial" w:eastAsia="等线" w:cs="Arial"/>
                <w:sz w:val="22"/>
              </w:rPr>
              <w:t>资本风险</w:t>
            </w:r>
          </w:p>
        </w:tc>
        <w:tc>
          <w:tcPr>
            <w:tcW w:w="1800" w:type="dxa"/>
            <w:tcMar>
              <w:top w:w="60" w:type="dxa"/>
              <w:left w:w="120" w:type="dxa"/>
              <w:bottom w:w="30" w:type="dxa"/>
              <w:right w:w="120" w:type="dxa"/>
            </w:tcMar>
          </w:tcPr>
          <w:p w14:paraId="0E4378CC">
            <w:pPr>
              <w:spacing w:before="120" w:after="120" w:line="288" w:lineRule="auto"/>
              <w:ind w:left="0"/>
              <w:jc w:val="left"/>
            </w:pPr>
            <w:r>
              <w:rPr>
                <w:rFonts w:ascii="Arial" w:hAnsi="Arial" w:eastAsia="等线" w:cs="Arial"/>
                <w:sz w:val="22"/>
              </w:rPr>
              <w:t>Capital risk</w:t>
            </w:r>
          </w:p>
        </w:tc>
        <w:tc>
          <w:tcPr>
            <w:tcW w:w="5145" w:type="dxa"/>
            <w:tcMar>
              <w:top w:w="60" w:type="dxa"/>
              <w:left w:w="120" w:type="dxa"/>
              <w:bottom w:w="30" w:type="dxa"/>
              <w:right w:w="120" w:type="dxa"/>
            </w:tcMar>
          </w:tcPr>
          <w:p w14:paraId="66E5E1F9">
            <w:pPr>
              <w:spacing w:before="120" w:after="120" w:line="288" w:lineRule="auto"/>
              <w:ind w:left="0"/>
              <w:jc w:val="left"/>
            </w:pPr>
            <w:r>
              <w:rPr>
                <w:rFonts w:ascii="Arial" w:hAnsi="Arial" w:eastAsia="等线" w:cs="Arial"/>
                <w:sz w:val="22"/>
              </w:rPr>
              <w:t>损失所有投资资金的风险。</w:t>
            </w:r>
          </w:p>
          <w:p w14:paraId="2C3A869F">
            <w:pPr>
              <w:spacing w:before="120" w:after="120" w:line="288" w:lineRule="auto"/>
              <w:ind w:left="0"/>
              <w:jc w:val="left"/>
            </w:pPr>
            <w:r>
              <w:rPr>
                <w:rFonts w:ascii="Arial" w:hAnsi="Arial" w:eastAsia="等线" w:cs="Arial"/>
                <w:sz w:val="22"/>
              </w:rPr>
              <w:t>期权（Options）和认股权证（Warrants）都有到期日，购买者可能在到期时损失所有投资资金。</w:t>
            </w:r>
          </w:p>
          <w:p w14:paraId="0147D5C7">
            <w:pPr>
              <w:spacing w:before="120" w:after="120" w:line="288" w:lineRule="auto"/>
              <w:ind w:left="0"/>
              <w:jc w:val="left"/>
            </w:pPr>
            <w:r>
              <w:rPr>
                <w:rFonts w:ascii="Arial" w:hAnsi="Arial" w:eastAsia="等线" w:cs="Arial"/>
                <w:sz w:val="22"/>
              </w:rPr>
              <w:t>（买恒大股票赶上暴雷，基本也相当于损失所有资金了）</w:t>
            </w:r>
          </w:p>
        </w:tc>
      </w:tr>
      <w:tr w14:paraId="6EFDF6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72C82C01">
            <w:pPr>
              <w:spacing w:before="120" w:after="120" w:line="288" w:lineRule="auto"/>
              <w:ind w:left="0"/>
              <w:jc w:val="left"/>
            </w:pPr>
            <w:r>
              <w:rPr>
                <w:rFonts w:ascii="Arial" w:hAnsi="Arial" w:eastAsia="等线" w:cs="Arial"/>
                <w:sz w:val="22"/>
              </w:rPr>
              <w:t>提前还款风险</w:t>
            </w:r>
          </w:p>
        </w:tc>
        <w:tc>
          <w:tcPr>
            <w:tcW w:w="1800" w:type="dxa"/>
            <w:tcMar>
              <w:top w:w="60" w:type="dxa"/>
              <w:left w:w="120" w:type="dxa"/>
              <w:bottom w:w="30" w:type="dxa"/>
              <w:right w:w="120" w:type="dxa"/>
            </w:tcMar>
          </w:tcPr>
          <w:p w14:paraId="1E9F19C7">
            <w:pPr>
              <w:spacing w:before="120" w:after="120" w:line="288" w:lineRule="auto"/>
              <w:ind w:left="0"/>
              <w:jc w:val="left"/>
            </w:pPr>
            <w:r>
              <w:rPr>
                <w:rFonts w:ascii="Arial" w:hAnsi="Arial" w:eastAsia="等线" w:cs="Arial"/>
                <w:sz w:val="22"/>
              </w:rPr>
              <w:t>Prepayment risk</w:t>
            </w:r>
          </w:p>
        </w:tc>
        <w:tc>
          <w:tcPr>
            <w:tcW w:w="5145" w:type="dxa"/>
            <w:tcMar>
              <w:top w:w="60" w:type="dxa"/>
              <w:left w:w="120" w:type="dxa"/>
              <w:bottom w:w="30" w:type="dxa"/>
              <w:right w:w="120" w:type="dxa"/>
            </w:tcMar>
          </w:tcPr>
          <w:p w14:paraId="570D82D6">
            <w:pPr>
              <w:spacing w:before="120" w:after="120" w:line="288" w:lineRule="auto"/>
              <w:ind w:left="0"/>
              <w:jc w:val="left"/>
            </w:pPr>
            <w:r>
              <w:rPr>
                <w:rFonts w:ascii="Arial" w:hAnsi="Arial" w:eastAsia="等线" w:cs="Arial"/>
                <w:sz w:val="22"/>
              </w:rPr>
              <w:t>这种风险主要与房地产投资相关。例如抵押贷款支持证券（第七章）。抵押贷款支持证券的预期期限较长，但如果抵押贷款利率下降，更多投资者将进行再融资，债券赎回时间也将早于预期。</w:t>
            </w:r>
          </w:p>
        </w:tc>
      </w:tr>
      <w:tr w14:paraId="089A59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50" w:type="dxa"/>
            <w:tcMar>
              <w:top w:w="60" w:type="dxa"/>
              <w:left w:w="120" w:type="dxa"/>
              <w:bottom w:w="30" w:type="dxa"/>
              <w:right w:w="120" w:type="dxa"/>
            </w:tcMar>
          </w:tcPr>
          <w:p w14:paraId="3EA21B03">
            <w:pPr>
              <w:spacing w:before="120" w:after="120" w:line="288" w:lineRule="auto"/>
              <w:ind w:left="0"/>
              <w:jc w:val="left"/>
            </w:pPr>
            <w:r>
              <w:rPr>
                <w:rFonts w:ascii="Arial" w:hAnsi="Arial" w:eastAsia="等线" w:cs="Arial"/>
                <w:sz w:val="22"/>
              </w:rPr>
              <w:t>时机风险</w:t>
            </w:r>
          </w:p>
        </w:tc>
        <w:tc>
          <w:tcPr>
            <w:tcW w:w="1800" w:type="dxa"/>
            <w:tcMar>
              <w:top w:w="60" w:type="dxa"/>
              <w:left w:w="120" w:type="dxa"/>
              <w:bottom w:w="30" w:type="dxa"/>
              <w:right w:w="120" w:type="dxa"/>
            </w:tcMar>
          </w:tcPr>
          <w:p w14:paraId="25F1C5C9">
            <w:pPr>
              <w:spacing w:before="120" w:after="120" w:line="288" w:lineRule="auto"/>
              <w:ind w:left="0"/>
              <w:jc w:val="left"/>
            </w:pPr>
            <w:r>
              <w:rPr>
                <w:rFonts w:ascii="Arial" w:hAnsi="Arial" w:eastAsia="等线" w:cs="Arial"/>
                <w:sz w:val="22"/>
              </w:rPr>
              <w:t>Timing risk</w:t>
            </w:r>
          </w:p>
        </w:tc>
        <w:tc>
          <w:tcPr>
            <w:tcW w:w="5145" w:type="dxa"/>
            <w:tcMar>
              <w:top w:w="60" w:type="dxa"/>
              <w:left w:w="120" w:type="dxa"/>
              <w:bottom w:w="30" w:type="dxa"/>
              <w:right w:w="120" w:type="dxa"/>
            </w:tcMar>
          </w:tcPr>
          <w:p w14:paraId="57D46CCA">
            <w:pPr>
              <w:spacing w:before="120" w:after="120" w:line="288" w:lineRule="auto"/>
              <w:ind w:left="0"/>
              <w:jc w:val="left"/>
            </w:pPr>
            <w:r>
              <w:rPr>
                <w:rFonts w:ascii="Arial" w:hAnsi="Arial" w:eastAsia="等线" w:cs="Arial"/>
                <w:sz w:val="22"/>
              </w:rPr>
              <w:t>投资者在错误的时间买卖证券，从而无法实现利润最大化的风险。</w:t>
            </w:r>
          </w:p>
        </w:tc>
      </w:tr>
    </w:tbl>
    <w:p w14:paraId="44E58429"/>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21811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777861DD">
            <w:pPr>
              <w:spacing w:before="120" w:after="120" w:line="288" w:lineRule="auto"/>
              <w:ind w:left="0"/>
              <w:jc w:val="left"/>
            </w:pPr>
            <w:r>
              <w:rPr>
                <w:rFonts w:ascii="Arial" w:hAnsi="Arial" w:eastAsia="等线" w:cs="Arial"/>
                <w:b/>
                <w:sz w:val="22"/>
              </w:rPr>
              <w:t>系统性风险</w:t>
            </w:r>
            <w:r>
              <w:rPr>
                <w:rFonts w:ascii="Arial" w:hAnsi="Arial" w:eastAsia="等线" w:cs="Arial"/>
                <w:sz w:val="22"/>
              </w:rPr>
              <w:t>是投资者无法避免的，而</w:t>
            </w:r>
            <w:r>
              <w:rPr>
                <w:rFonts w:ascii="Arial" w:hAnsi="Arial" w:eastAsia="等线" w:cs="Arial"/>
                <w:b/>
                <w:sz w:val="22"/>
              </w:rPr>
              <w:t>非系统性风险</w:t>
            </w:r>
            <w:r>
              <w:rPr>
                <w:rFonts w:ascii="Arial" w:hAnsi="Arial" w:eastAsia="等线" w:cs="Arial"/>
                <w:sz w:val="22"/>
              </w:rPr>
              <w:t>则可以通过分散投资（投资于各个相关性较弱的行业/地区的证券，或避免投资于少数个股等方式）来降低，下文会提到。</w:t>
            </w:r>
          </w:p>
          <w:p w14:paraId="5A6FCD5E">
            <w:pPr>
              <w:spacing w:before="120" w:after="120" w:line="288" w:lineRule="auto"/>
              <w:ind w:left="0"/>
              <w:jc w:val="left"/>
            </w:pPr>
            <w:r>
              <w:rPr>
                <w:rFonts w:ascii="Arial" w:hAnsi="Arial" w:eastAsia="等线" w:cs="Arial"/>
                <w:sz w:val="22"/>
              </w:rPr>
              <w:t>重仓少数几只股票，意味着“非系统性风险”较高，若那些公司基本面出现问题，投资者更易遭受损失。若投资若干相关性较高的股票，也算不上是分散了风险，这些股票往往一荣俱荣，一损俱损。</w:t>
            </w:r>
          </w:p>
          <w:p w14:paraId="4A7839B3">
            <w:pPr>
              <w:spacing w:before="120" w:after="120" w:line="288" w:lineRule="auto"/>
              <w:ind w:left="0"/>
              <w:jc w:val="left"/>
            </w:pPr>
            <w:r>
              <w:rPr>
                <w:rFonts w:ascii="Arial" w:hAnsi="Arial" w:eastAsia="等线" w:cs="Arial"/>
                <w:sz w:val="22"/>
              </w:rPr>
              <w:t>例：</w:t>
            </w:r>
          </w:p>
          <w:p w14:paraId="32AE42D5">
            <w:pPr>
              <w:spacing w:before="120" w:after="120" w:line="288" w:lineRule="auto"/>
              <w:ind w:left="453"/>
              <w:jc w:val="left"/>
            </w:pPr>
            <w:r>
              <w:rPr>
                <w:rFonts w:ascii="Arial" w:hAnsi="Arial" w:eastAsia="等线" w:cs="Arial"/>
                <w:sz w:val="22"/>
              </w:rPr>
              <w:t>老白将所有资金投资于标普500ETF（相当于非常分散的投资了500支相关性较弱的股票），那么他仅承担系统性风险；</w:t>
            </w:r>
          </w:p>
          <w:p w14:paraId="42D6B980">
            <w:pPr>
              <w:spacing w:before="120" w:after="120" w:line="288" w:lineRule="auto"/>
              <w:ind w:left="453"/>
              <w:jc w:val="left"/>
            </w:pPr>
            <w:r>
              <w:rPr>
                <w:rFonts w:ascii="Arial" w:hAnsi="Arial" w:eastAsia="等线" w:cs="Arial"/>
                <w:sz w:val="22"/>
              </w:rPr>
              <w:t>小粉将所有资金的80%投资于特斯拉、剩下20%投资于固特异轮胎，他不但要承担系统性风险，还面临非系统性风险（因为这些股票的相关性较高，投资过于集中）。</w:t>
            </w:r>
          </w:p>
        </w:tc>
      </w:tr>
    </w:tbl>
    <w:p w14:paraId="79FB9EF6">
      <w:pPr>
        <w:spacing w:before="300" w:after="120" w:line="288" w:lineRule="auto"/>
        <w:ind w:left="0"/>
        <w:jc w:val="left"/>
        <w:outlineLvl w:val="2"/>
      </w:pPr>
      <w:bookmarkStart w:id="6" w:name="heading_6"/>
      <w:r>
        <w:rPr>
          <w:rFonts w:ascii="Arial" w:hAnsi="Arial" w:eastAsia="等线" w:cs="Arial"/>
          <w:color w:val="3370FF"/>
          <w:sz w:val="30"/>
        </w:rPr>
        <w:t xml:space="preserve">2.1.2 </w:t>
      </w:r>
      <w:r>
        <w:rPr>
          <w:rFonts w:ascii="Arial" w:hAnsi="Arial" w:eastAsia="等线" w:cs="Arial"/>
          <w:b/>
          <w:sz w:val="30"/>
        </w:rPr>
        <w:t>风险缓解策略（Risk mitigation strategies）</w:t>
      </w:r>
      <w:bookmarkEnd w:id="6"/>
    </w:p>
    <w:p w14:paraId="39301F5C">
      <w:pPr>
        <w:spacing w:before="120" w:after="120" w:line="288" w:lineRule="auto"/>
        <w:ind w:left="0"/>
        <w:jc w:val="left"/>
      </w:pPr>
      <w:r>
        <w:rPr>
          <w:rFonts w:ascii="Arial" w:hAnsi="Arial" w:eastAsia="等线" w:cs="Arial"/>
          <w:sz w:val="22"/>
        </w:rPr>
        <w:t>当然，所有投资都存在一定程度的风险。年轻投资者、成熟投资者和富裕投资者都能承担比普通投资者更高的风险。但是，当你与客户沟通时，你应该帮助他们做出有助于降低风险的决策。</w:t>
      </w:r>
    </w:p>
    <w:p w14:paraId="53800B3A">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59AD2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49CAA4D4">
            <w:pPr>
              <w:spacing w:before="120" w:after="120" w:line="288" w:lineRule="auto"/>
              <w:ind w:left="0"/>
              <w:jc w:val="left"/>
            </w:pPr>
            <w:r>
              <w:rPr>
                <w:rFonts w:ascii="Arial" w:hAnsi="Arial" w:eastAsia="等线" w:cs="Arial"/>
                <w:sz w:val="22"/>
              </w:rPr>
              <w:t>什么样的投资者相对更能承担投资风险？</w:t>
            </w:r>
          </w:p>
          <w:p w14:paraId="7598E2BA">
            <w:pPr>
              <w:numPr>
                <w:ilvl w:val="0"/>
                <w:numId w:val="10"/>
              </w:numPr>
              <w:spacing w:before="120" w:after="120" w:line="288" w:lineRule="auto"/>
              <w:ind w:left="0"/>
              <w:jc w:val="left"/>
            </w:pPr>
            <w:r>
              <w:rPr>
                <w:rFonts w:ascii="Arial" w:hAnsi="Arial" w:eastAsia="等线" w:cs="Arial"/>
                <w:sz w:val="22"/>
              </w:rPr>
              <w:t>年轻投资者：用于投资的资金往往较小，且即使全部赔光了，未来还有很多年可以通过老老实实打工挣钱攒退休金，试错空间较大。（反之，一个准备退休的老年投资者要是把原计划养老用的积蓄赔光了，麻烦就大了，他应该使用低风险的保守投资方式）</w:t>
            </w:r>
          </w:p>
          <w:p w14:paraId="5DB8CD80">
            <w:pPr>
              <w:numPr>
                <w:ilvl w:val="0"/>
                <w:numId w:val="11"/>
              </w:numPr>
              <w:spacing w:before="120" w:after="120" w:line="288" w:lineRule="auto"/>
              <w:ind w:left="0"/>
              <w:jc w:val="left"/>
            </w:pPr>
            <w:r>
              <w:rPr>
                <w:rFonts w:ascii="Arial" w:hAnsi="Arial" w:eastAsia="等线" w:cs="Arial"/>
                <w:sz w:val="22"/>
              </w:rPr>
              <w:t>成熟投资者：拥有较丰富的投资知识的老司机，翻车的概率相对较低。</w:t>
            </w:r>
          </w:p>
          <w:p w14:paraId="7023436F">
            <w:pPr>
              <w:numPr>
                <w:ilvl w:val="0"/>
                <w:numId w:val="12"/>
              </w:numPr>
              <w:spacing w:before="120" w:after="120" w:line="288" w:lineRule="auto"/>
              <w:ind w:left="0"/>
              <w:jc w:val="left"/>
            </w:pPr>
            <w:r>
              <w:rPr>
                <w:rFonts w:ascii="Arial" w:hAnsi="Arial" w:eastAsia="等线" w:cs="Arial"/>
                <w:sz w:val="22"/>
              </w:rPr>
              <w:t>富裕投资者：往往更懂得财富是怎么来的，一般不会因为某些投资让自己返贫。</w:t>
            </w:r>
          </w:p>
        </w:tc>
      </w:tr>
    </w:tbl>
    <w:p w14:paraId="333D0E11">
      <w:pPr>
        <w:spacing w:before="260" w:after="120" w:line="288" w:lineRule="auto"/>
        <w:ind w:left="0"/>
        <w:jc w:val="left"/>
        <w:outlineLvl w:val="3"/>
      </w:pPr>
      <w:bookmarkStart w:id="7" w:name="heading_7"/>
      <w:r>
        <w:rPr>
          <w:rFonts w:ascii="Arial" w:hAnsi="Arial" w:eastAsia="等线" w:cs="Arial"/>
          <w:color w:val="3370FF"/>
          <w:sz w:val="28"/>
        </w:rPr>
        <w:t xml:space="preserve">2.1.2.1 </w:t>
      </w:r>
      <w:r>
        <w:rPr>
          <w:rFonts w:ascii="Arial" w:hAnsi="Arial" w:eastAsia="等线" w:cs="Arial"/>
          <w:b/>
          <w:sz w:val="28"/>
        </w:rPr>
        <w:t>分散投资（Diversification）</w:t>
      </w:r>
      <w:bookmarkEnd w:id="7"/>
    </w:p>
    <w:p w14:paraId="25E54B85">
      <w:pPr>
        <w:spacing w:before="120" w:after="120" w:line="288" w:lineRule="auto"/>
        <w:ind w:left="0"/>
        <w:jc w:val="left"/>
      </w:pPr>
      <w:r>
        <w:rPr>
          <w:rFonts w:ascii="Arial" w:hAnsi="Arial" w:eastAsia="等线" w:cs="Arial"/>
          <w:sz w:val="22"/>
        </w:rPr>
        <w:t>2025年8月，中国恒大退市，如果某位投资者将所有资金都投资到这支股票上，他可能会倾家荡产。但是，如果他拥有一个多元化的投资组合，恒大造成的损失只占投资的一小部分，就比较安全。这就是多元化投资组合如此重要的原因。</w:t>
      </w:r>
    </w:p>
    <w:p w14:paraId="51DC3345">
      <w:pPr>
        <w:spacing w:before="120" w:after="120" w:line="288" w:lineRule="auto"/>
        <w:ind w:left="0"/>
        <w:jc w:val="left"/>
      </w:pPr>
    </w:p>
    <w:p w14:paraId="252A2C48">
      <w:pPr>
        <w:spacing w:before="120" w:after="120" w:line="288" w:lineRule="auto"/>
        <w:ind w:left="0"/>
        <w:jc w:val="left"/>
      </w:pPr>
      <w:r>
        <w:rPr>
          <w:rFonts w:ascii="Arial" w:hAnsi="Arial" w:eastAsia="等线" w:cs="Arial"/>
          <w:sz w:val="22"/>
        </w:rPr>
        <w:t>多元化投资有很多方法，包括：</w:t>
      </w:r>
    </w:p>
    <w:p w14:paraId="6FFABC11">
      <w:pPr>
        <w:numPr>
          <w:ilvl w:val="0"/>
          <w:numId w:val="13"/>
        </w:numPr>
        <w:spacing w:before="120" w:after="120" w:line="288" w:lineRule="auto"/>
        <w:ind w:left="0"/>
        <w:jc w:val="left"/>
      </w:pPr>
      <w:r>
        <w:rPr>
          <w:rFonts w:ascii="Arial" w:hAnsi="Arial" w:eastAsia="等线" w:cs="Arial"/>
          <w:sz w:val="22"/>
        </w:rPr>
        <w:t>地域性(Geographical)：投资于国家或世界不同地区的证券。</w:t>
      </w:r>
    </w:p>
    <w:p w14:paraId="56D2FE22">
      <w:pPr>
        <w:numPr>
          <w:ilvl w:val="0"/>
          <w:numId w:val="14"/>
        </w:numPr>
        <w:spacing w:before="120" w:after="120" w:line="288" w:lineRule="auto"/>
        <w:ind w:left="0"/>
        <w:jc w:val="left"/>
      </w:pPr>
      <w:r>
        <w:rPr>
          <w:rFonts w:ascii="Arial" w:hAnsi="Arial" w:eastAsia="等线" w:cs="Arial"/>
          <w:sz w:val="22"/>
        </w:rPr>
        <w:t>购买不同到期日的债券(Buying bonds with different maturity dates)：购买短期、中期和长期债务证券的组合。</w:t>
      </w:r>
    </w:p>
    <w:p w14:paraId="296BA3CB">
      <w:pPr>
        <w:numPr>
          <w:ilvl w:val="0"/>
          <w:numId w:val="15"/>
        </w:numPr>
        <w:spacing w:before="120" w:after="120" w:line="288" w:lineRule="auto"/>
        <w:ind w:left="0"/>
        <w:jc w:val="left"/>
      </w:pPr>
      <w:r>
        <w:rPr>
          <w:rFonts w:ascii="Arial" w:hAnsi="Arial" w:eastAsia="等线" w:cs="Arial"/>
          <w:sz w:val="22"/>
        </w:rPr>
        <w:t>购买不同信用评级的债券(Buying bonds with different credit ratings)：购买高收益债券（信用评级较低的债券，也称为垃圾债券）和评级较高但收益较低的债券，这样您就可以获得高回报和高评级债券安全性的混合。</w:t>
      </w:r>
    </w:p>
    <w:p w14:paraId="35141589">
      <w:pPr>
        <w:numPr>
          <w:ilvl w:val="0"/>
          <w:numId w:val="16"/>
        </w:numPr>
        <w:spacing w:before="120" w:after="120" w:line="288" w:lineRule="auto"/>
        <w:ind w:left="0"/>
        <w:jc w:val="left"/>
      </w:pPr>
      <w:r>
        <w:rPr>
          <w:rFonts w:ascii="Arial" w:hAnsi="Arial" w:eastAsia="等线" w:cs="Arial"/>
          <w:sz w:val="22"/>
        </w:rPr>
        <w:t>投资不同行业的股票(Investing in stocks from different sectors)：购买不同行业的证券，假设不同行业在某些时期的表现可能优于其他行业。通过将这些投资分散到这些不同行业，可以最大限度地降低风险，并在一个或多个行业表现良好时获得理想收益。这些行业包括金融、公用事业、能源、医疗保健、工业、科技等等。</w:t>
      </w:r>
    </w:p>
    <w:p w14:paraId="68C3FEDC">
      <w:pPr>
        <w:numPr>
          <w:ilvl w:val="0"/>
          <w:numId w:val="17"/>
        </w:numPr>
        <w:spacing w:before="120" w:after="120" w:line="288" w:lineRule="auto"/>
        <w:ind w:left="0"/>
        <w:jc w:val="left"/>
      </w:pPr>
      <w:r>
        <w:rPr>
          <w:rFonts w:ascii="Arial" w:hAnsi="Arial" w:eastAsia="等线" w:cs="Arial"/>
          <w:sz w:val="22"/>
        </w:rPr>
        <w:t>投资类型(Type of investment)：投资于不同类型的股票、债券、直接参与计划（DPPs）、房地产、期权等组合。</w:t>
      </w:r>
    </w:p>
    <w:p w14:paraId="55A9A1F2">
      <w:pPr>
        <w:spacing w:before="120" w:after="120" w:line="288" w:lineRule="auto"/>
        <w:ind w:left="0"/>
        <w:jc w:val="left"/>
      </w:pPr>
    </w:p>
    <w:p w14:paraId="0DF6CA43">
      <w:pPr>
        <w:spacing w:before="120" w:after="120" w:line="288" w:lineRule="auto"/>
        <w:ind w:left="0"/>
        <w:jc w:val="left"/>
      </w:pPr>
      <w:r>
        <w:rPr>
          <w:rFonts w:ascii="Arial" w:hAnsi="Arial" w:eastAsia="等线" w:cs="Arial"/>
          <w:sz w:val="22"/>
        </w:rPr>
        <w:t>分散投资组合的方法远不止以上所列，并且这些方法并非互相排斥。共同基金（Mutual Fund）在单个基金中提供了一定程度的分散化。这就是为什么那些可能无法承担分散投资组合成本的小型投资者是共同基金的理想人选。</w:t>
      </w:r>
    </w:p>
    <w:p w14:paraId="0A1AFCD6">
      <w:pPr>
        <w:spacing w:before="120" w:after="120" w:line="288" w:lineRule="auto"/>
        <w:ind w:left="0"/>
        <w:jc w:val="left"/>
      </w:pPr>
    </w:p>
    <w:p w14:paraId="0322FDD5">
      <w:pPr>
        <w:spacing w:before="260" w:after="120" w:line="288" w:lineRule="auto"/>
        <w:ind w:left="0"/>
        <w:jc w:val="left"/>
        <w:outlineLvl w:val="3"/>
      </w:pPr>
      <w:bookmarkStart w:id="8" w:name="heading_8"/>
      <w:r>
        <w:rPr>
          <w:rFonts w:ascii="Arial" w:hAnsi="Arial" w:eastAsia="等线" w:cs="Arial"/>
          <w:color w:val="3370FF"/>
          <w:sz w:val="28"/>
        </w:rPr>
        <w:t xml:space="preserve">2.1.2.2 </w:t>
      </w:r>
      <w:r>
        <w:rPr>
          <w:rFonts w:ascii="Arial" w:hAnsi="Arial" w:eastAsia="等线" w:cs="Arial"/>
          <w:b/>
          <w:sz w:val="28"/>
        </w:rPr>
        <w:t>投资组合再平衡(Portfolio rebalancing)</w:t>
      </w:r>
      <w:bookmarkEnd w:id="8"/>
    </w:p>
    <w:p w14:paraId="2DD19ADB">
      <w:pPr>
        <w:spacing w:before="120" w:after="120" w:line="288" w:lineRule="auto"/>
        <w:ind w:left="0"/>
        <w:jc w:val="left"/>
      </w:pPr>
      <w:r>
        <w:rPr>
          <w:rFonts w:ascii="Arial" w:hAnsi="Arial" w:eastAsia="等线" w:cs="Arial"/>
          <w:sz w:val="22"/>
        </w:rPr>
        <w:t>假设某投资者的最佳投资组合是50%的股票证券和50%的债务证券。在建立并购买该投资组合一年后，由于升值，他的客户持有的股票证券比例达到60%，债务证券比例达到40%。此时，他可以通过出售部分股票证券并购买更多债务证券来重新平衡其投资组合，以维持其最初期望的资产配置水平（50:50）。</w:t>
      </w:r>
    </w:p>
    <w:p w14:paraId="5B97AD16">
      <w:pPr>
        <w:spacing w:before="120" w:after="120" w:line="288" w:lineRule="auto"/>
        <w:ind w:left="0"/>
        <w:jc w:val="left"/>
      </w:pPr>
    </w:p>
    <w:p w14:paraId="5D486718">
      <w:pPr>
        <w:spacing w:before="120" w:after="120" w:line="288" w:lineRule="auto"/>
        <w:ind w:left="0"/>
        <w:jc w:val="left"/>
      </w:pPr>
      <w:r>
        <w:rPr>
          <w:rFonts w:ascii="Arial" w:hAnsi="Arial" w:eastAsia="等线" w:cs="Arial"/>
          <w:sz w:val="22"/>
        </w:rPr>
        <w:t>通常情况下，随着投资者年龄的增长，他们无法承担太大的风险，应该调整其资产配置，减少股票证券的持有量，增加债务证券的持有量。</w:t>
      </w:r>
    </w:p>
    <w:p w14:paraId="54648A21">
      <w:pPr>
        <w:spacing w:before="120" w:after="120" w:line="288" w:lineRule="auto"/>
        <w:ind w:left="0"/>
        <w:jc w:val="left"/>
      </w:pPr>
    </w:p>
    <w:p w14:paraId="2DD62212">
      <w:pPr>
        <w:spacing w:before="260" w:after="120" w:line="288" w:lineRule="auto"/>
        <w:ind w:left="0"/>
        <w:jc w:val="left"/>
        <w:outlineLvl w:val="3"/>
      </w:pPr>
      <w:bookmarkStart w:id="9" w:name="heading_9"/>
      <w:r>
        <w:rPr>
          <w:rFonts w:ascii="Arial" w:hAnsi="Arial" w:eastAsia="等线" w:cs="Arial"/>
          <w:color w:val="3370FF"/>
          <w:sz w:val="28"/>
        </w:rPr>
        <w:t xml:space="preserve">2.1.2.3 </w:t>
      </w:r>
      <w:r>
        <w:rPr>
          <w:rFonts w:ascii="Arial" w:hAnsi="Arial" w:eastAsia="等线" w:cs="Arial"/>
          <w:b/>
          <w:sz w:val="28"/>
        </w:rPr>
        <w:t>对冲（Hedging）</w:t>
      </w:r>
      <w:bookmarkEnd w:id="9"/>
    </w:p>
    <w:p w14:paraId="114569CA">
      <w:pPr>
        <w:spacing w:before="120" w:after="120" w:line="288" w:lineRule="auto"/>
        <w:ind w:left="0"/>
        <w:jc w:val="left"/>
      </w:pPr>
      <w:r>
        <w:rPr>
          <w:rFonts w:ascii="Arial" w:hAnsi="Arial" w:eastAsia="等线" w:cs="Arial"/>
          <w:sz w:val="22"/>
        </w:rPr>
        <w:t>对冲相当于购买一份保险，有可能会限制投资品的上行潜力。</w:t>
      </w:r>
    </w:p>
    <w:p w14:paraId="6203C034">
      <w:pPr>
        <w:spacing w:before="120" w:after="120" w:line="288" w:lineRule="auto"/>
        <w:ind w:left="0"/>
        <w:jc w:val="left"/>
      </w:pPr>
    </w:p>
    <w:p w14:paraId="6FF7261B">
      <w:pPr>
        <w:spacing w:before="120" w:after="120" w:line="288" w:lineRule="auto"/>
        <w:ind w:left="0"/>
        <w:jc w:val="left"/>
      </w:pPr>
      <w:r>
        <w:rPr>
          <w:rFonts w:ascii="Arial" w:hAnsi="Arial" w:eastAsia="等线" w:cs="Arial"/>
          <w:sz w:val="22"/>
        </w:rPr>
        <w:t>对冲有多种方法，具体取决于投资对象：</w:t>
      </w:r>
    </w:p>
    <w:p w14:paraId="451ACB4D">
      <w:pPr>
        <w:numPr>
          <w:ilvl w:val="0"/>
          <w:numId w:val="18"/>
        </w:numPr>
        <w:spacing w:before="120" w:after="120" w:line="288" w:lineRule="auto"/>
        <w:ind w:left="0"/>
        <w:jc w:val="left"/>
      </w:pPr>
      <w:r>
        <w:rPr>
          <w:rFonts w:ascii="Arial" w:hAnsi="Arial" w:eastAsia="等线" w:cs="Arial"/>
          <w:sz w:val="22"/>
        </w:rPr>
        <w:t>可以通过多元化投资组合来对冲（保护）你的投资免受市场波动（市场价格波动的风险）的影响。在这种情况下，虽然你的一些投资可能会受到价格大幅波动的影响，但其他投资将保持稳定，甚至在市场下跌时上涨。一个高度多元化的投资组合可能包括不同信用风险的短期和长期债券、现金等价物（即货币市场基金）、各种股票证券（价值型、成长型、大盘股、小盘股等等）、房地产投资、大宗商品、贵金属等等。</w:t>
      </w:r>
    </w:p>
    <w:p w14:paraId="62FDE6B7">
      <w:pPr>
        <w:numPr>
          <w:ilvl w:val="0"/>
          <w:numId w:val="19"/>
        </w:numPr>
        <w:spacing w:before="120" w:after="120" w:line="288" w:lineRule="auto"/>
        <w:ind w:left="0"/>
        <w:jc w:val="left"/>
      </w:pPr>
      <w:r>
        <w:rPr>
          <w:rFonts w:ascii="Arial" w:hAnsi="Arial" w:eastAsia="等线" w:cs="Arial"/>
          <w:sz w:val="22"/>
        </w:rPr>
        <w:t>对冲信用风险（债券发行人违约风险），你可以购买一些更安全的债务证券，如美国政府发行的债券（国库券T-bills、中期票据 T-notes、国债 T-bonds 等）、地方政府发行的债务证券（市政债券 municipal bonds 和市政票据 municipal note）、高评级公司发行的债务证券等等。</w:t>
      </w:r>
    </w:p>
    <w:p w14:paraId="27DE3BC1">
      <w:pPr>
        <w:numPr>
          <w:ilvl w:val="0"/>
          <w:numId w:val="20"/>
        </w:numPr>
        <w:spacing w:before="120" w:after="120" w:line="288" w:lineRule="auto"/>
        <w:ind w:left="0"/>
        <w:jc w:val="left"/>
      </w:pPr>
      <w:r>
        <w:rPr>
          <w:rFonts w:ascii="Arial" w:hAnsi="Arial" w:eastAsia="等线" w:cs="Arial"/>
          <w:sz w:val="22"/>
        </w:rPr>
        <w:t>对冲证券未能跟上通胀步伐的风险，您可以购买股票、变额年金、房地产、大宗商品（原材料或农产品），甚至是通胀保值国债 (TIPS)。</w:t>
      </w:r>
    </w:p>
    <w:p w14:paraId="06C25E65">
      <w:pPr>
        <w:spacing w:before="120" w:after="120" w:line="288" w:lineRule="auto"/>
        <w:ind w:left="0"/>
        <w:jc w:val="left"/>
      </w:pPr>
      <w:r>
        <w:rPr>
          <w:rFonts w:ascii="Arial" w:hAnsi="Arial" w:eastAsia="等线" w:cs="Arial"/>
          <w:sz w:val="22"/>
        </w:rPr>
        <w:t>有不同的风险对冲方法，以上只是几个例子。期权也可以用来对冲投资者所持有的证券走向错误方向的风险。对于大多数投资者来说，限制风险的最佳方法是拥有多元化的投资组合。对于SIE考试来说，</w:t>
      </w:r>
      <w:r>
        <w:rPr>
          <w:rFonts w:ascii="Arial" w:hAnsi="Arial" w:eastAsia="等线" w:cs="Arial"/>
          <w:b/>
          <w:sz w:val="22"/>
        </w:rPr>
        <w:t>对冲意味着保护</w:t>
      </w:r>
      <w:r>
        <w:rPr>
          <w:rFonts w:ascii="Arial" w:hAnsi="Arial" w:eastAsia="等线" w:cs="Arial"/>
          <w:sz w:val="22"/>
        </w:rPr>
        <w:t>。</w:t>
      </w:r>
    </w:p>
    <w:p w14:paraId="6650A0AD">
      <w:pPr>
        <w:spacing w:before="120" w:after="120" w:line="288" w:lineRule="auto"/>
        <w:ind w:left="0"/>
        <w:jc w:val="left"/>
      </w:pPr>
    </w:p>
    <w:p w14:paraId="70803315">
      <w:pPr>
        <w:spacing w:before="300" w:after="120" w:line="288" w:lineRule="auto"/>
        <w:ind w:left="0"/>
        <w:jc w:val="left"/>
        <w:outlineLvl w:val="2"/>
      </w:pPr>
      <w:bookmarkStart w:id="10" w:name="heading_10"/>
      <w:r>
        <w:rPr>
          <w:rFonts w:ascii="Arial" w:hAnsi="Arial" w:eastAsia="等线" w:cs="Arial"/>
          <w:color w:val="3370FF"/>
          <w:sz w:val="30"/>
        </w:rPr>
        <w:t xml:space="preserve">2.1.3 </w:t>
      </w:r>
      <w:r>
        <w:rPr>
          <w:rFonts w:ascii="Arial" w:hAnsi="Arial" w:eastAsia="等线" w:cs="Arial"/>
          <w:b/>
          <w:sz w:val="30"/>
        </w:rPr>
        <w:t>决定买入什么：基本面分析（Fundamental analysis）</w:t>
      </w:r>
      <w:bookmarkEnd w:id="10"/>
    </w:p>
    <w:p w14:paraId="41503CA0">
      <w:pPr>
        <w:spacing w:before="120" w:after="120" w:line="288" w:lineRule="auto"/>
        <w:ind w:left="0"/>
        <w:jc w:val="left"/>
      </w:pPr>
      <w:r>
        <w:rPr>
          <w:rFonts w:ascii="Arial" w:hAnsi="Arial" w:eastAsia="等线" w:cs="Arial"/>
          <w:sz w:val="22"/>
        </w:rPr>
        <w:t>基本面分析师相信，股价最终会回归到其内在价值。</w:t>
      </w:r>
    </w:p>
    <w:p w14:paraId="57C3900B">
      <w:pPr>
        <w:spacing w:before="120" w:after="120" w:line="288" w:lineRule="auto"/>
        <w:ind w:left="0"/>
        <w:jc w:val="left"/>
      </w:pPr>
    </w:p>
    <w:p w14:paraId="30E5C292">
      <w:pPr>
        <w:spacing w:before="120" w:after="120" w:line="288" w:lineRule="auto"/>
        <w:ind w:left="0"/>
        <w:jc w:val="left"/>
      </w:pPr>
      <w:r>
        <w:rPr>
          <w:rFonts w:ascii="Arial" w:hAnsi="Arial" w:eastAsia="等线" w:cs="Arial"/>
          <w:sz w:val="22"/>
        </w:rPr>
        <w:t>基本面分析师会对公司进行深入分析。他们会考察公司的管理层及其财务状况、整体经济和行业状况，以确定一个资产是否值得购买。</w:t>
      </w:r>
    </w:p>
    <w:p w14:paraId="56DE29AB">
      <w:pPr>
        <w:spacing w:before="120" w:after="120" w:line="288" w:lineRule="auto"/>
        <w:ind w:left="0"/>
        <w:jc w:val="left"/>
      </w:pPr>
    </w:p>
    <w:p w14:paraId="33A62DB1">
      <w:pPr>
        <w:spacing w:before="120" w:after="120" w:line="288" w:lineRule="auto"/>
        <w:ind w:left="0"/>
        <w:jc w:val="left"/>
      </w:pPr>
      <w:r>
        <w:rPr>
          <w:rFonts w:ascii="Arial" w:hAnsi="Arial" w:eastAsia="等线" w:cs="Arial"/>
          <w:sz w:val="22"/>
        </w:rPr>
        <w:t>基本面分析师的目标是确定特定证券的价值，并判断其价格是被低估还是被高估。</w:t>
      </w:r>
    </w:p>
    <w:p w14:paraId="7AAC8073">
      <w:pPr>
        <w:numPr>
          <w:ilvl w:val="0"/>
          <w:numId w:val="21"/>
        </w:numPr>
        <w:spacing w:before="120" w:after="120" w:line="288" w:lineRule="auto"/>
        <w:ind w:left="0"/>
        <w:jc w:val="left"/>
      </w:pPr>
      <w:r>
        <w:rPr>
          <w:rFonts w:ascii="Arial" w:hAnsi="Arial" w:eastAsia="等线" w:cs="Arial"/>
          <w:sz w:val="22"/>
        </w:rPr>
        <w:t>如果他认为该证券价格被低估，基本面分析师会建议买入。</w:t>
      </w:r>
    </w:p>
    <w:p w14:paraId="0804E703">
      <w:pPr>
        <w:numPr>
          <w:ilvl w:val="0"/>
          <w:numId w:val="22"/>
        </w:numPr>
        <w:spacing w:before="120" w:after="120" w:line="288" w:lineRule="auto"/>
        <w:ind w:left="0"/>
        <w:jc w:val="left"/>
      </w:pPr>
      <w:r>
        <w:rPr>
          <w:rFonts w:ascii="Arial" w:hAnsi="Arial" w:eastAsia="等线" w:cs="Arial"/>
          <w:sz w:val="22"/>
        </w:rPr>
        <w:t>如果他认为该证券价格被高估，基本面分析师会建议卖出或做空该证券。</w:t>
      </w:r>
    </w:p>
    <w:p w14:paraId="5C7D7F06">
      <w:pPr>
        <w:spacing w:before="120" w:after="120" w:line="288" w:lineRule="auto"/>
        <w:ind w:left="0"/>
        <w:jc w:val="left"/>
      </w:pPr>
    </w:p>
    <w:p w14:paraId="473E33B3">
      <w:pPr>
        <w:spacing w:before="120" w:after="120" w:line="288" w:lineRule="auto"/>
        <w:ind w:left="0"/>
        <w:jc w:val="left"/>
      </w:pPr>
      <w:r>
        <w:rPr>
          <w:rFonts w:ascii="Arial" w:hAnsi="Arial" w:eastAsia="等线" w:cs="Arial"/>
          <w:sz w:val="22"/>
        </w:rPr>
        <w:t>基本面分析师的一些分析工具及其使用方法：</w:t>
      </w:r>
    </w:p>
    <w:p w14:paraId="1B8BF899">
      <w:pPr>
        <w:spacing w:before="260" w:after="120" w:line="288" w:lineRule="auto"/>
        <w:ind w:left="0"/>
        <w:jc w:val="left"/>
        <w:outlineLvl w:val="3"/>
      </w:pPr>
      <w:bookmarkStart w:id="11" w:name="heading_11"/>
      <w:r>
        <w:rPr>
          <w:rFonts w:ascii="Arial" w:hAnsi="Arial" w:eastAsia="等线" w:cs="Arial"/>
          <w:color w:val="3370FF"/>
          <w:sz w:val="28"/>
        </w:rPr>
        <w:t xml:space="preserve">2.1.3.1 </w:t>
      </w:r>
      <w:r>
        <w:rPr>
          <w:rFonts w:ascii="Arial" w:hAnsi="Arial" w:eastAsia="等线" w:cs="Arial"/>
          <w:b/>
          <w:sz w:val="28"/>
        </w:rPr>
        <w:t>资产负债表组成（Balance sheet components）</w:t>
      </w:r>
      <w:bookmarkEnd w:id="11"/>
    </w:p>
    <w:p w14:paraId="41EF449A">
      <w:pPr>
        <w:spacing w:before="120" w:after="120" w:line="288" w:lineRule="auto"/>
        <w:ind w:left="0"/>
        <w:jc w:val="left"/>
      </w:pPr>
      <w:r>
        <w:rPr>
          <w:rFonts w:ascii="Arial" w:hAnsi="Arial" w:eastAsia="等线" w:cs="Arial"/>
          <w:sz w:val="22"/>
        </w:rPr>
        <w:t>资产负债表反映了公司在特定时点的财务状况。</w:t>
      </w:r>
    </w:p>
    <w:p w14:paraId="0264EB7A">
      <w:pPr>
        <w:spacing w:before="120" w:after="120" w:line="288" w:lineRule="auto"/>
        <w:ind w:left="0"/>
        <w:jc w:val="left"/>
      </w:pPr>
    </w:p>
    <w:p w14:paraId="125C291D">
      <w:pPr>
        <w:spacing w:before="120" w:after="120" w:line="288" w:lineRule="auto"/>
        <w:ind w:left="0"/>
        <w:jc w:val="left"/>
      </w:pPr>
      <w:r>
        <w:rPr>
          <w:rFonts w:ascii="Arial" w:hAnsi="Arial" w:eastAsia="等线" w:cs="Arial"/>
          <w:sz w:val="22"/>
        </w:rPr>
        <w:t>SIE 考试考察你理解资产负债表组成部分的能力，以及公司财务活动（例如购买设备、发行股票、发行债券、偿还债券等）如何影响资产负债表。一般来说，</w:t>
      </w:r>
      <w:r>
        <w:rPr>
          <w:rFonts w:ascii="Arial" w:hAnsi="Arial" w:eastAsia="等线" w:cs="Arial"/>
          <w:b/>
          <w:sz w:val="22"/>
        </w:rPr>
        <w:t>理解资产负债表的运作方式比能够说出所有组成部分的名称更为重要</w:t>
      </w:r>
      <w:r>
        <w:rPr>
          <w:rFonts w:ascii="Arial" w:hAnsi="Arial" w:eastAsia="等线" w:cs="Arial"/>
          <w:sz w:val="22"/>
        </w:rPr>
        <w:t>。</w:t>
      </w:r>
    </w:p>
    <w:p w14:paraId="1ED30881">
      <w:pPr>
        <w:spacing w:before="120" w:after="120" w:line="288" w:lineRule="auto"/>
        <w:ind w:left="0"/>
        <w:jc w:val="center"/>
      </w:pPr>
      <w:r>
        <w:drawing>
          <wp:inline distT="0" distB="0" distL="0" distR="0">
            <wp:extent cx="3619500" cy="20574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3619500" cy="2057400"/>
                    </a:xfrm>
                    <a:prstGeom prst="rect">
                      <a:avLst/>
                    </a:prstGeom>
                  </pic:spPr>
                </pic:pic>
              </a:graphicData>
            </a:graphic>
          </wp:inline>
        </w:drawing>
      </w:r>
    </w:p>
    <w:p w14:paraId="1C1AA709">
      <w:pPr>
        <w:spacing w:before="120" w:after="120" w:line="288" w:lineRule="auto"/>
        <w:ind w:left="0"/>
        <w:jc w:val="left"/>
      </w:pPr>
      <w:r>
        <w:rPr>
          <w:rFonts w:ascii="Arial" w:hAnsi="Arial" w:eastAsia="等线" w:cs="Arial"/>
          <w:sz w:val="22"/>
        </w:rPr>
        <w:t>人们称此表为资产负债表，因为资产必须始终与负债加股东权益相平衡：</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26503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0291254">
            <w:pPr>
              <w:spacing w:before="120" w:after="120" w:line="288" w:lineRule="auto"/>
              <w:ind w:left="0"/>
              <w:jc w:val="left"/>
            </w:pPr>
            <w:r>
              <w:rPr>
                <w:rFonts w:ascii="Arial" w:hAnsi="Arial" w:eastAsia="等线" w:cs="Arial"/>
                <w:color w:val="646A73"/>
                <w:sz w:val="22"/>
              </w:rPr>
              <w:t>Assets = Liabilities + Stockholders’ equity</w:t>
            </w:r>
          </w:p>
        </w:tc>
      </w:tr>
    </w:tbl>
    <w:p w14:paraId="4BA40362">
      <w:pPr>
        <w:spacing w:before="120" w:after="120" w:line="288" w:lineRule="auto"/>
        <w:ind w:left="0"/>
        <w:jc w:val="left"/>
      </w:pPr>
      <w:r>
        <w:rPr>
          <w:rFonts w:ascii="Arial" w:hAnsi="Arial" w:eastAsia="等线" w:cs="Arial"/>
          <w:sz w:val="22"/>
        </w:rPr>
        <w:t>Balance Sheet 这个名字就是来源于这里。</w:t>
      </w:r>
    </w:p>
    <w:p w14:paraId="57022E30">
      <w:pPr>
        <w:spacing w:before="120" w:after="120" w:line="288" w:lineRule="auto"/>
        <w:ind w:left="0"/>
        <w:jc w:val="left"/>
      </w:pPr>
    </w:p>
    <w:p w14:paraId="5DCBCF27">
      <w:pPr>
        <w:spacing w:before="240" w:after="120" w:line="288" w:lineRule="auto"/>
        <w:ind w:left="0"/>
        <w:jc w:val="left"/>
        <w:outlineLvl w:val="4"/>
      </w:pPr>
      <w:bookmarkStart w:id="12" w:name="heading_12"/>
      <w:r>
        <w:rPr>
          <w:rFonts w:ascii="Arial" w:hAnsi="Arial" w:eastAsia="等线" w:cs="Arial"/>
          <w:color w:val="3370FF"/>
          <w:sz w:val="24"/>
        </w:rPr>
        <w:t xml:space="preserve">2.1.3.1.1 </w:t>
      </w:r>
      <w:r>
        <w:rPr>
          <w:rFonts w:ascii="Arial" w:hAnsi="Arial" w:eastAsia="等线" w:cs="Arial"/>
          <w:b/>
          <w:sz w:val="24"/>
        </w:rPr>
        <w:t>资产（Assets）</w:t>
      </w:r>
      <w:bookmarkEnd w:id="12"/>
    </w:p>
    <w:p w14:paraId="26729FD9">
      <w:pPr>
        <w:spacing w:before="120" w:after="120" w:line="288" w:lineRule="auto"/>
        <w:ind w:left="0"/>
        <w:jc w:val="left"/>
      </w:pPr>
      <w:r>
        <w:rPr>
          <w:rFonts w:ascii="Arial" w:hAnsi="Arial" w:eastAsia="等线" w:cs="Arial"/>
          <w:sz w:val="22"/>
        </w:rPr>
        <w:t>资产是公司拥有的项目。它们包括</w:t>
      </w:r>
    </w:p>
    <w:p w14:paraId="7B8EF459">
      <w:pPr>
        <w:numPr>
          <w:ilvl w:val="0"/>
          <w:numId w:val="23"/>
        </w:numPr>
        <w:spacing w:before="120" w:after="120" w:line="288" w:lineRule="auto"/>
        <w:ind w:left="0"/>
        <w:jc w:val="left"/>
      </w:pPr>
      <w:r>
        <w:rPr>
          <w:rFonts w:ascii="Arial" w:hAnsi="Arial" w:eastAsia="等线" w:cs="Arial"/>
          <w:b/>
          <w:sz w:val="22"/>
        </w:rPr>
        <w:t>流动资产</w:t>
      </w:r>
      <w:r>
        <w:rPr>
          <w:rFonts w:ascii="Arial" w:hAnsi="Arial" w:eastAsia="等线" w:cs="Arial"/>
          <w:sz w:val="22"/>
        </w:rPr>
        <w:t>（Current Assets）：在未来 12 个月内易于转换为现金的自有项目；流动资产包括现金、有价证券、应收账款、存货以及任何预付费用（例如租金或广告费）。</w:t>
      </w:r>
    </w:p>
    <w:p w14:paraId="0851DD08">
      <w:pPr>
        <w:numPr>
          <w:ilvl w:val="0"/>
          <w:numId w:val="24"/>
        </w:numPr>
        <w:spacing w:before="120" w:after="120" w:line="288" w:lineRule="auto"/>
        <w:ind w:left="0"/>
        <w:jc w:val="left"/>
      </w:pPr>
      <w:r>
        <w:rPr>
          <w:rFonts w:ascii="Arial" w:hAnsi="Arial" w:eastAsia="等线" w:cs="Arial"/>
          <w:b/>
          <w:sz w:val="22"/>
        </w:rPr>
        <w:t>固定资产</w:t>
      </w:r>
      <w:r>
        <w:rPr>
          <w:rFonts w:ascii="Arial" w:hAnsi="Arial" w:eastAsia="等线" w:cs="Arial"/>
          <w:sz w:val="22"/>
        </w:rPr>
        <w:t>（Fixed Assets）：不易转换为现金的自有项目；包括物业、厂房和设备。由于固定资产会随着时间的推移而磨损，因此可以进行折旧。</w:t>
      </w:r>
    </w:p>
    <w:p w14:paraId="7B667191">
      <w:pPr>
        <w:numPr>
          <w:ilvl w:val="0"/>
          <w:numId w:val="25"/>
        </w:numPr>
        <w:spacing w:before="120" w:after="120" w:line="288" w:lineRule="auto"/>
        <w:ind w:left="0"/>
        <w:jc w:val="left"/>
      </w:pPr>
      <w:r>
        <w:rPr>
          <w:rFonts w:ascii="Arial" w:hAnsi="Arial" w:eastAsia="等线" w:cs="Arial"/>
          <w:b/>
          <w:sz w:val="22"/>
        </w:rPr>
        <w:t>无形资产</w:t>
      </w:r>
      <w:r>
        <w:rPr>
          <w:rFonts w:ascii="Arial" w:hAnsi="Arial" w:eastAsia="等线" w:cs="Arial"/>
          <w:sz w:val="22"/>
        </w:rPr>
        <w:t>（Intangible Assets）：不具有任何物理属性的自有项目；包括商标、专利、配方和商誉等项目。</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86C95C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0851D7D2">
            <w:pPr>
              <w:spacing w:before="120" w:after="120" w:line="288" w:lineRule="auto"/>
              <w:ind w:left="0"/>
              <w:jc w:val="left"/>
            </w:pPr>
            <w:r>
              <w:rPr>
                <w:rFonts w:ascii="Arial" w:hAnsi="Arial" w:eastAsia="等线" w:cs="Arial"/>
                <w:sz w:val="22"/>
              </w:rPr>
              <w:t>上述的分类比较粗糙，拆细以后可以看到，资产负债表里的资产端各类目是按流动性排序的。</w:t>
            </w:r>
          </w:p>
        </w:tc>
      </w:tr>
    </w:tbl>
    <w:p w14:paraId="3860BD86">
      <w:pPr>
        <w:spacing w:before="240" w:after="120" w:line="288" w:lineRule="auto"/>
        <w:ind w:left="0"/>
        <w:jc w:val="left"/>
        <w:outlineLvl w:val="4"/>
      </w:pPr>
      <w:bookmarkStart w:id="13" w:name="heading_13"/>
      <w:r>
        <w:rPr>
          <w:rFonts w:ascii="Arial" w:hAnsi="Arial" w:eastAsia="等线" w:cs="Arial"/>
          <w:color w:val="3370FF"/>
          <w:sz w:val="24"/>
        </w:rPr>
        <w:t xml:space="preserve">2.1.3.1.2 </w:t>
      </w:r>
      <w:r>
        <w:rPr>
          <w:rFonts w:ascii="Arial" w:hAnsi="Arial" w:eastAsia="等线" w:cs="Arial"/>
          <w:b/>
          <w:sz w:val="24"/>
        </w:rPr>
        <w:t>负债（Liabilities）</w:t>
      </w:r>
      <w:bookmarkEnd w:id="13"/>
    </w:p>
    <w:p w14:paraId="76AFEC73">
      <w:pPr>
        <w:spacing w:before="120" w:after="120" w:line="288" w:lineRule="auto"/>
        <w:ind w:left="0"/>
        <w:jc w:val="left"/>
      </w:pPr>
      <w:r>
        <w:rPr>
          <w:rFonts w:ascii="Arial" w:hAnsi="Arial" w:eastAsia="等线" w:cs="Arial"/>
          <w:sz w:val="22"/>
        </w:rPr>
        <w:t>负债是公司所欠的债务。它们可能是流动的，也可能是长期的：</w:t>
      </w:r>
    </w:p>
    <w:p w14:paraId="66FC9EA5">
      <w:pPr>
        <w:numPr>
          <w:ilvl w:val="0"/>
          <w:numId w:val="26"/>
        </w:numPr>
        <w:spacing w:before="120" w:after="120" w:line="288" w:lineRule="auto"/>
        <w:ind w:left="0"/>
        <w:jc w:val="left"/>
      </w:pPr>
      <w:r>
        <w:rPr>
          <w:rFonts w:ascii="Arial" w:hAnsi="Arial" w:eastAsia="等线" w:cs="Arial"/>
          <w:b/>
          <w:sz w:val="22"/>
        </w:rPr>
        <w:t>流动负债</w:t>
      </w:r>
      <w:r>
        <w:rPr>
          <w:rFonts w:ascii="Arial" w:hAnsi="Arial" w:eastAsia="等线" w:cs="Arial"/>
          <w:sz w:val="22"/>
        </w:rPr>
        <w:t>（Current Liabilities）：未来12个月内到期的债务；流动负债包括应付账款（accounts payable）（公司以票据形式欠下的债务）、工资、到期的债务证券、短期应付票据（借入资金的未偿余额）、已宣告的现金股利（cash dividends）和税金（taxes）。</w:t>
      </w:r>
    </w:p>
    <w:p w14:paraId="2EC96E55">
      <w:pPr>
        <w:numPr>
          <w:ilvl w:val="0"/>
          <w:numId w:val="27"/>
        </w:numPr>
        <w:spacing w:before="120" w:after="120" w:line="288" w:lineRule="auto"/>
        <w:ind w:left="0"/>
        <w:jc w:val="left"/>
      </w:pPr>
      <w:r>
        <w:rPr>
          <w:rFonts w:ascii="Arial" w:hAnsi="Arial" w:eastAsia="等线" w:cs="Arial"/>
          <w:b/>
          <w:sz w:val="22"/>
        </w:rPr>
        <w:t>长期负债</w:t>
      </w:r>
      <w:r>
        <w:rPr>
          <w:rFonts w:ascii="Arial" w:hAnsi="Arial" w:eastAsia="等线" w:cs="Arial"/>
          <w:sz w:val="22"/>
        </w:rPr>
        <w:t>（Long-term Liabilities）：12个月后到期的债务；长期负债包括抵押贷款、未偿还的公司债券和长期票据。</w:t>
      </w:r>
    </w:p>
    <w:p w14:paraId="7BD70380">
      <w:pPr>
        <w:spacing w:before="240" w:after="120" w:line="288" w:lineRule="auto"/>
        <w:ind w:left="0"/>
        <w:jc w:val="left"/>
        <w:outlineLvl w:val="4"/>
      </w:pPr>
      <w:bookmarkStart w:id="14" w:name="heading_14"/>
      <w:r>
        <w:rPr>
          <w:rFonts w:ascii="Arial" w:hAnsi="Arial" w:eastAsia="等线" w:cs="Arial"/>
          <w:color w:val="3370FF"/>
          <w:sz w:val="24"/>
        </w:rPr>
        <w:t xml:space="preserve">2.1.3.1.3 </w:t>
      </w:r>
      <w:r>
        <w:rPr>
          <w:rFonts w:ascii="Arial" w:hAnsi="Arial" w:eastAsia="等线" w:cs="Arial"/>
          <w:b/>
          <w:sz w:val="24"/>
        </w:rPr>
        <w:t>股东权益（Stockholders’ equity）</w:t>
      </w:r>
      <w:bookmarkEnd w:id="14"/>
    </w:p>
    <w:p w14:paraId="59CB65BB">
      <w:pPr>
        <w:spacing w:before="120" w:after="120" w:line="288" w:lineRule="auto"/>
        <w:ind w:left="0"/>
        <w:jc w:val="left"/>
      </w:pPr>
      <w:r>
        <w:rPr>
          <w:rFonts w:ascii="Arial" w:hAnsi="Arial" w:eastAsia="等线" w:cs="Arial"/>
          <w:sz w:val="22"/>
        </w:rPr>
        <w:t>股东权益（Stockholders’ equity）（净值 net worth）是资产与负债之间的差额。基本上就是公司的价值，包括：</w:t>
      </w:r>
    </w:p>
    <w:p w14:paraId="22427C63">
      <w:pPr>
        <w:numPr>
          <w:ilvl w:val="0"/>
          <w:numId w:val="28"/>
        </w:numPr>
        <w:spacing w:before="120" w:after="120" w:line="288" w:lineRule="auto"/>
        <w:ind w:left="0"/>
        <w:jc w:val="left"/>
      </w:pPr>
      <w:r>
        <w:rPr>
          <w:rFonts w:ascii="Arial" w:hAnsi="Arial" w:eastAsia="等线" w:cs="Arial"/>
          <w:b/>
          <w:sz w:val="22"/>
        </w:rPr>
        <w:t>普通股票面价值</w:t>
      </w:r>
      <w:r>
        <w:rPr>
          <w:rFonts w:ascii="Arial" w:hAnsi="Arial" w:eastAsia="等线" w:cs="Arial"/>
          <w:sz w:val="22"/>
        </w:rPr>
        <w:t>（Par value of the common stock）</w:t>
      </w:r>
    </w:p>
    <w:p w14:paraId="448A8F4C">
      <w:pPr>
        <w:spacing w:before="120" w:after="120" w:line="288" w:lineRule="auto"/>
        <w:ind w:left="0"/>
        <w:jc w:val="left"/>
      </w:pPr>
      <w:r>
        <w:rPr>
          <w:rFonts w:ascii="Arial" w:hAnsi="Arial" w:eastAsia="等线" w:cs="Arial"/>
          <w:sz w:val="22"/>
        </w:rPr>
        <w:t>公司用于簿记的任意金额。如果一家公司发行了100万股面值为1美元的普通股，则资产负债表中股东权益部分的票面价值为100万美元。</w:t>
      </w:r>
    </w:p>
    <w:p w14:paraId="63D88569">
      <w:pPr>
        <w:numPr>
          <w:ilvl w:val="0"/>
          <w:numId w:val="29"/>
        </w:numPr>
        <w:spacing w:before="120" w:after="120" w:line="288" w:lineRule="auto"/>
        <w:ind w:left="0"/>
        <w:jc w:val="left"/>
      </w:pPr>
      <w:r>
        <w:rPr>
          <w:rFonts w:ascii="Arial" w:hAnsi="Arial" w:eastAsia="等线" w:cs="Arial"/>
          <w:b/>
          <w:sz w:val="22"/>
        </w:rPr>
        <w:t>优先股票面价值</w:t>
      </w:r>
      <w:r>
        <w:rPr>
          <w:rFonts w:ascii="Arial" w:hAnsi="Arial" w:eastAsia="等线" w:cs="Arial"/>
          <w:sz w:val="22"/>
        </w:rPr>
        <w:t>（Par value of the preferred stock）</w:t>
      </w:r>
    </w:p>
    <w:p w14:paraId="5205410A">
      <w:pPr>
        <w:spacing w:before="120" w:after="120" w:line="288" w:lineRule="auto"/>
        <w:ind w:left="0"/>
        <w:jc w:val="left"/>
      </w:pPr>
      <w:r>
        <w:rPr>
          <w:rFonts w:ascii="Arial" w:hAnsi="Arial" w:eastAsia="等线" w:cs="Arial"/>
          <w:sz w:val="22"/>
        </w:rPr>
        <w:t>公司用于簿记的价值（通常为每股 100 美元，但也可以是 25 美元、50 美元或其他数字）。如果公司发行 10,000 股优先股，每股面值 100 美元，则资产负债表中股东权益部分的票面价值为 100 万美元。</w:t>
      </w:r>
    </w:p>
    <w:p w14:paraId="4B568F08">
      <w:pPr>
        <w:numPr>
          <w:ilvl w:val="0"/>
          <w:numId w:val="30"/>
        </w:numPr>
        <w:spacing w:before="120" w:after="120" w:line="288" w:lineRule="auto"/>
        <w:ind w:left="0"/>
        <w:jc w:val="left"/>
      </w:pPr>
      <w:r>
        <w:rPr>
          <w:rFonts w:ascii="Arial" w:hAnsi="Arial" w:eastAsia="等线" w:cs="Arial"/>
          <w:b/>
          <w:sz w:val="22"/>
        </w:rPr>
        <w:t>额外实收资本</w:t>
      </w:r>
      <w:r>
        <w:rPr>
          <w:rFonts w:ascii="Arial" w:hAnsi="Arial" w:eastAsia="等线" w:cs="Arial"/>
          <w:sz w:val="22"/>
        </w:rPr>
        <w:t>（Additional paid-in capital，APIC）</w:t>
      </w:r>
    </w:p>
    <w:p w14:paraId="3D126414">
      <w:pPr>
        <w:spacing w:before="120" w:after="120" w:line="288" w:lineRule="auto"/>
        <w:ind w:left="0"/>
        <w:jc w:val="left"/>
      </w:pPr>
      <w:r>
        <w:rPr>
          <w:rFonts w:ascii="Arial" w:hAnsi="Arial" w:eastAsia="等线" w:cs="Arial"/>
          <w:sz w:val="22"/>
        </w:rPr>
        <w:t>公司因发行股票而获得的超过票面价值的金额。如果普通股的票面价值为 1 美元，但公司每股获得 7 美元，则额外实收资本为每股 6 美元。同样的理论也适用于优先股。</w:t>
      </w:r>
    </w:p>
    <w:p w14:paraId="38BABBF1">
      <w:pPr>
        <w:numPr>
          <w:ilvl w:val="0"/>
          <w:numId w:val="31"/>
        </w:numPr>
        <w:spacing w:before="120" w:after="120" w:line="288" w:lineRule="auto"/>
        <w:ind w:left="0"/>
        <w:jc w:val="left"/>
      </w:pPr>
      <w:r>
        <w:rPr>
          <w:rFonts w:ascii="Arial" w:hAnsi="Arial" w:eastAsia="等线" w:cs="Arial"/>
          <w:b/>
          <w:sz w:val="22"/>
        </w:rPr>
        <w:t>库存股</w:t>
      </w:r>
      <w:r>
        <w:rPr>
          <w:rFonts w:ascii="Arial" w:hAnsi="Arial" w:eastAsia="等线" w:cs="Arial"/>
          <w:sz w:val="22"/>
        </w:rPr>
        <w:t>（Treasury stock）</w:t>
      </w:r>
    </w:p>
    <w:p w14:paraId="4EF57789">
      <w:pPr>
        <w:spacing w:before="120" w:after="120" w:line="288" w:lineRule="auto"/>
        <w:ind w:left="0"/>
        <w:jc w:val="left"/>
      </w:pPr>
      <w:r>
        <w:rPr>
          <w:rFonts w:ascii="Arial" w:hAnsi="Arial" w:eastAsia="等线" w:cs="Arial"/>
          <w:sz w:val="22"/>
        </w:rPr>
        <w:t>在市场上流通但被公司回购的股票。</w:t>
      </w:r>
    </w:p>
    <w:p w14:paraId="5C8309DF">
      <w:pPr>
        <w:numPr>
          <w:ilvl w:val="0"/>
          <w:numId w:val="32"/>
        </w:numPr>
        <w:spacing w:before="120" w:after="120" w:line="288" w:lineRule="auto"/>
        <w:ind w:left="0"/>
        <w:jc w:val="left"/>
      </w:pPr>
      <w:r>
        <w:rPr>
          <w:rFonts w:ascii="Arial" w:hAnsi="Arial" w:eastAsia="等线" w:cs="Arial"/>
          <w:b/>
          <w:sz w:val="22"/>
        </w:rPr>
        <w:t>留存收益</w:t>
      </w:r>
      <w:r>
        <w:rPr>
          <w:rFonts w:ascii="Arial" w:hAnsi="Arial" w:eastAsia="等线" w:cs="Arial"/>
          <w:sz w:val="22"/>
        </w:rPr>
        <w:t>（Retained earnings）</w:t>
      </w:r>
    </w:p>
    <w:p w14:paraId="05674898">
      <w:pPr>
        <w:spacing w:before="120" w:after="120" w:line="288" w:lineRule="auto"/>
        <w:ind w:left="0"/>
        <w:jc w:val="left"/>
      </w:pPr>
      <w:r>
        <w:rPr>
          <w:rFonts w:ascii="Arial" w:hAnsi="Arial" w:eastAsia="等线" w:cs="Arial"/>
          <w:sz w:val="22"/>
        </w:rPr>
        <w:t>公司向股东支付股息（如有）后持有的净收益。</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B0ED995">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70AD05FA">
            <w:pPr>
              <w:spacing w:before="120" w:after="120" w:line="288" w:lineRule="auto"/>
              <w:ind w:left="0"/>
              <w:jc w:val="left"/>
            </w:pPr>
            <w:r>
              <w:rPr>
                <w:rFonts w:ascii="Arial" w:hAnsi="Arial" w:eastAsia="等线" w:cs="Arial"/>
                <w:sz w:val="22"/>
              </w:rPr>
              <w:t>资产负债表左侧的资产表示“这家公司有什么”；</w:t>
            </w:r>
          </w:p>
          <w:p w14:paraId="697B0B6C">
            <w:pPr>
              <w:spacing w:before="120" w:after="120" w:line="288" w:lineRule="auto"/>
              <w:ind w:left="0"/>
              <w:jc w:val="left"/>
            </w:pPr>
            <w:r>
              <w:rPr>
                <w:rFonts w:ascii="Arial" w:hAnsi="Arial" w:eastAsia="等线" w:cs="Arial"/>
                <w:sz w:val="22"/>
              </w:rPr>
              <w:t>右侧的“负债”和“股东权益”则可以告诉我们“资产的来源”有多少属于债权人，有多少属于股东。</w:t>
            </w:r>
          </w:p>
          <w:p w14:paraId="47C32B84">
            <w:pPr>
              <w:spacing w:before="120" w:after="120" w:line="288" w:lineRule="auto"/>
              <w:ind w:left="0"/>
              <w:jc w:val="left"/>
            </w:pPr>
            <w:r>
              <w:rPr>
                <w:rFonts w:ascii="Arial" w:hAnsi="Arial" w:eastAsia="等线" w:cs="Arial"/>
                <w:sz w:val="22"/>
              </w:rPr>
              <w:t>“有多少东西”和“这些东西是哪儿来的”的金额一定相等。</w:t>
            </w:r>
          </w:p>
        </w:tc>
      </w:tr>
    </w:tbl>
    <w:p w14:paraId="3F239AF9">
      <w:pPr>
        <w:spacing w:before="260" w:after="120" w:line="288" w:lineRule="auto"/>
        <w:ind w:left="0"/>
        <w:jc w:val="left"/>
        <w:outlineLvl w:val="3"/>
      </w:pPr>
      <w:bookmarkStart w:id="15" w:name="heading_15"/>
      <w:r>
        <w:rPr>
          <w:rFonts w:ascii="Arial" w:hAnsi="Arial" w:eastAsia="等线" w:cs="Arial"/>
          <w:color w:val="3370FF"/>
          <w:sz w:val="28"/>
        </w:rPr>
        <w:t xml:space="preserve">2.1.3.2 </w:t>
      </w:r>
      <w:r>
        <w:rPr>
          <w:rFonts w:ascii="Arial" w:hAnsi="Arial" w:eastAsia="等线" w:cs="Arial"/>
          <w:b/>
          <w:sz w:val="28"/>
        </w:rPr>
        <w:t>利润表组成（Income statement components）</w:t>
      </w:r>
      <w:bookmarkEnd w:id="15"/>
    </w:p>
    <w:p w14:paraId="614F20E8">
      <w:pPr>
        <w:spacing w:before="120" w:after="120" w:line="288" w:lineRule="auto"/>
        <w:ind w:left="0"/>
        <w:jc w:val="left"/>
      </w:pPr>
      <w:r>
        <w:rPr>
          <w:rFonts w:ascii="Arial" w:hAnsi="Arial" w:eastAsia="等线" w:cs="Arial"/>
          <w:sz w:val="22"/>
        </w:rPr>
        <w:t>利润表（也叫损益表）可以反映公司当前的盈利能力。</w:t>
      </w:r>
    </w:p>
    <w:p w14:paraId="5C49EA0B">
      <w:pPr>
        <w:spacing w:before="120" w:after="120" w:line="288" w:lineRule="auto"/>
        <w:ind w:left="0"/>
        <w:jc w:val="left"/>
      </w:pPr>
    </w:p>
    <w:p w14:paraId="40A2DD92">
      <w:pPr>
        <w:spacing w:before="120" w:after="120" w:line="288" w:lineRule="auto"/>
        <w:ind w:left="0"/>
        <w:jc w:val="left"/>
      </w:pPr>
      <w:r>
        <w:rPr>
          <w:rFonts w:ascii="Arial" w:hAnsi="Arial" w:eastAsia="等线" w:cs="Arial"/>
          <w:sz w:val="22"/>
        </w:rPr>
        <w:t>损益表列出了公司在特定时期（季度、年初至今或年度）的支出和收入。通过比较收入和支出，可以了解公司的效率及其盈利能力。</w:t>
      </w:r>
    </w:p>
    <w:p w14:paraId="3FD75317">
      <w:pPr>
        <w:spacing w:before="120" w:after="120" w:line="288" w:lineRule="auto"/>
        <w:ind w:left="0"/>
        <w:jc w:val="left"/>
      </w:pPr>
    </w:p>
    <w:p w14:paraId="6CDF4A65">
      <w:pPr>
        <w:spacing w:before="120" w:after="120" w:line="288" w:lineRule="auto"/>
        <w:ind w:left="0"/>
        <w:jc w:val="left"/>
      </w:pPr>
      <w:r>
        <w:rPr>
          <w:rFonts w:ascii="Arial" w:hAnsi="Arial" w:eastAsia="等线" w:cs="Arial"/>
          <w:sz w:val="22"/>
        </w:rPr>
        <w:t>下面是一个损益表示例：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B1A6D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B219941">
            <w:pPr>
              <w:spacing w:before="120" w:after="120" w:line="288" w:lineRule="auto"/>
              <w:ind w:left="0"/>
              <w:jc w:val="left"/>
            </w:pPr>
            <w:r>
              <w:rPr>
                <w:rFonts w:ascii="Arial" w:hAnsi="Arial" w:eastAsia="等线" w:cs="Arial"/>
                <w:sz w:val="22"/>
              </w:rPr>
              <w:t>Net sales</w:t>
            </w:r>
          </w:p>
          <w:p w14:paraId="59F78C07">
            <w:pPr>
              <w:numPr>
                <w:ilvl w:val="0"/>
                <w:numId w:val="33"/>
              </w:numPr>
              <w:spacing w:before="120" w:after="120" w:line="288" w:lineRule="auto"/>
              <w:ind w:left="0"/>
              <w:jc w:val="left"/>
            </w:pPr>
            <w:r>
              <w:rPr>
                <w:rFonts w:ascii="Arial" w:hAnsi="Arial" w:eastAsia="等线" w:cs="Arial"/>
                <w:sz w:val="22"/>
              </w:rPr>
              <w:t>Cost of goods sold (earnings before interest, taxes,depreciation, and amortization) (EBITDA)</w:t>
            </w:r>
          </w:p>
          <w:p w14:paraId="7FE5E6FD">
            <w:pPr>
              <w:numPr>
                <w:ilvl w:val="0"/>
                <w:numId w:val="34"/>
              </w:numPr>
              <w:spacing w:before="120" w:after="120" w:line="288" w:lineRule="auto"/>
              <w:ind w:left="0"/>
              <w:jc w:val="left"/>
            </w:pPr>
            <w:r>
              <w:rPr>
                <w:rFonts w:ascii="Arial" w:hAnsi="Arial" w:eastAsia="等线" w:cs="Arial"/>
                <w:sz w:val="22"/>
              </w:rPr>
              <w:t>Operating expenses (including depreciation)</w:t>
            </w:r>
          </w:p>
          <w:p w14:paraId="77161308">
            <w:pPr>
              <w:spacing w:before="120" w:after="120" w:line="288" w:lineRule="auto"/>
              <w:ind w:left="0"/>
              <w:jc w:val="left"/>
            </w:pPr>
            <w:r>
              <w:rPr>
                <w:rFonts w:ascii="Arial" w:hAnsi="Arial" w:eastAsia="等线" w:cs="Arial"/>
                <w:sz w:val="22"/>
              </w:rPr>
              <w:t>Operating profit (earnings before interest and taxes) (EBIT)</w:t>
            </w:r>
          </w:p>
          <w:p w14:paraId="7B855BD5">
            <w:pPr>
              <w:numPr>
                <w:ilvl w:val="0"/>
                <w:numId w:val="35"/>
              </w:numPr>
              <w:spacing w:before="120" w:after="120" w:line="288" w:lineRule="auto"/>
              <w:ind w:left="0"/>
              <w:jc w:val="left"/>
            </w:pPr>
            <w:r>
              <w:rPr>
                <w:rFonts w:ascii="Arial" w:hAnsi="Arial" w:eastAsia="等线" w:cs="Arial"/>
                <w:sz w:val="22"/>
              </w:rPr>
              <w:t>Interest expenses</w:t>
            </w:r>
          </w:p>
          <w:p w14:paraId="5C58F526">
            <w:pPr>
              <w:spacing w:before="120" w:after="120" w:line="288" w:lineRule="auto"/>
              <w:ind w:left="0"/>
              <w:jc w:val="left"/>
            </w:pPr>
            <w:r>
              <w:rPr>
                <w:rFonts w:ascii="Arial" w:hAnsi="Arial" w:eastAsia="等线" w:cs="Arial"/>
                <w:sz w:val="22"/>
              </w:rPr>
              <w:t>Taxable income (earnings before taxes) (EBT)</w:t>
            </w:r>
          </w:p>
          <w:p w14:paraId="74E6CAAF">
            <w:pPr>
              <w:numPr>
                <w:ilvl w:val="0"/>
                <w:numId w:val="36"/>
              </w:numPr>
              <w:spacing w:before="120" w:after="120" w:line="288" w:lineRule="auto"/>
              <w:ind w:left="0"/>
              <w:jc w:val="left"/>
            </w:pPr>
            <w:r>
              <w:rPr>
                <w:rFonts w:ascii="Arial" w:hAnsi="Arial" w:eastAsia="等线" w:cs="Arial"/>
                <w:sz w:val="22"/>
              </w:rPr>
              <w:t>Taxes</w:t>
            </w:r>
          </w:p>
          <w:p w14:paraId="1CEB12FD">
            <w:pPr>
              <w:spacing w:before="120" w:after="120" w:line="288" w:lineRule="auto"/>
              <w:ind w:left="0"/>
              <w:jc w:val="left"/>
            </w:pPr>
            <w:r>
              <w:rPr>
                <w:rFonts w:ascii="Arial" w:hAnsi="Arial" w:eastAsia="等线" w:cs="Arial"/>
                <w:sz w:val="22"/>
              </w:rPr>
              <w:t>Net income (earnings after taxes)(EAT)</w:t>
            </w:r>
          </w:p>
          <w:p w14:paraId="5F1AD848">
            <w:pPr>
              <w:numPr>
                <w:ilvl w:val="0"/>
                <w:numId w:val="37"/>
              </w:numPr>
              <w:spacing w:before="120" w:after="120" w:line="288" w:lineRule="auto"/>
              <w:ind w:left="0"/>
              <w:jc w:val="left"/>
            </w:pPr>
            <w:r>
              <w:rPr>
                <w:rFonts w:ascii="Arial" w:hAnsi="Arial" w:eastAsia="等线" w:cs="Arial"/>
                <w:sz w:val="22"/>
              </w:rPr>
              <w:t>Preferred dividends</w:t>
            </w:r>
          </w:p>
          <w:p w14:paraId="7341F878">
            <w:pPr>
              <w:spacing w:before="120" w:after="120" w:line="288" w:lineRule="auto"/>
              <w:ind w:left="0"/>
              <w:jc w:val="left"/>
            </w:pPr>
            <w:r>
              <w:rPr>
                <w:rFonts w:ascii="Arial" w:hAnsi="Arial" w:eastAsia="等线" w:cs="Arial"/>
                <w:sz w:val="22"/>
              </w:rPr>
              <w:t>Earnings available to common stockholders</w:t>
            </w:r>
          </w:p>
          <w:p w14:paraId="6167AB86">
            <w:pPr>
              <w:numPr>
                <w:ilvl w:val="0"/>
                <w:numId w:val="38"/>
              </w:numPr>
              <w:spacing w:before="120" w:after="120" w:line="288" w:lineRule="auto"/>
              <w:ind w:left="0"/>
              <w:jc w:val="left"/>
            </w:pPr>
            <w:r>
              <w:rPr>
                <w:rFonts w:ascii="Arial" w:hAnsi="Arial" w:eastAsia="等线" w:cs="Arial"/>
                <w:sz w:val="22"/>
              </w:rPr>
              <w:t>Common dividends</w:t>
            </w:r>
          </w:p>
          <w:p w14:paraId="5AB315B3">
            <w:pPr>
              <w:spacing w:before="120" w:after="120" w:line="288" w:lineRule="auto"/>
              <w:ind w:left="0"/>
              <w:jc w:val="left"/>
            </w:pPr>
            <w:r>
              <w:rPr>
                <w:rFonts w:ascii="Arial" w:hAnsi="Arial" w:eastAsia="等线" w:cs="Arial"/>
                <w:sz w:val="22"/>
              </w:rPr>
              <w:t>Retained earnings</w:t>
            </w:r>
          </w:p>
          <w:p w14:paraId="2C83D2FC">
            <w:pPr>
              <w:spacing w:before="120" w:after="120" w:line="288" w:lineRule="auto"/>
              <w:ind w:left="0"/>
              <w:jc w:val="left"/>
            </w:pPr>
          </w:p>
        </w:tc>
      </w:tr>
    </w:tbl>
    <w:p w14:paraId="52F54EBB"/>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8565D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36831D33">
            <w:pPr>
              <w:spacing w:before="120" w:after="120" w:line="288" w:lineRule="auto"/>
              <w:ind w:left="0"/>
              <w:jc w:val="left"/>
            </w:pPr>
            <w:r>
              <w:rPr>
                <w:rFonts w:ascii="Arial" w:hAnsi="Arial" w:eastAsia="等线" w:cs="Arial"/>
                <w:sz w:val="22"/>
              </w:rPr>
              <w:t>扩展知识：</w:t>
            </w:r>
          </w:p>
          <w:p w14:paraId="6E34DAB7">
            <w:pPr>
              <w:numPr>
                <w:ilvl w:val="0"/>
                <w:numId w:val="39"/>
              </w:numPr>
              <w:spacing w:before="120" w:after="120" w:line="288" w:lineRule="auto"/>
              <w:ind w:left="0"/>
              <w:jc w:val="left"/>
            </w:pPr>
            <w:r>
              <w:rPr>
                <w:rFonts w:ascii="Arial" w:hAnsi="Arial" w:eastAsia="等线" w:cs="Arial"/>
                <w:sz w:val="22"/>
              </w:rPr>
              <w:t>资产负债表是“在某一时刻”，公司资产、负债和股东权益的</w:t>
            </w:r>
            <w:r>
              <w:rPr>
                <w:rFonts w:ascii="Arial" w:hAnsi="Arial" w:eastAsia="等线" w:cs="Arial"/>
                <w:b/>
                <w:sz w:val="22"/>
              </w:rPr>
              <w:t>快照</w:t>
            </w:r>
            <w:r>
              <w:rPr>
                <w:rFonts w:ascii="Arial" w:hAnsi="Arial" w:eastAsia="等线" w:cs="Arial"/>
                <w:sz w:val="22"/>
              </w:rPr>
              <w:t>。</w:t>
            </w:r>
          </w:p>
          <w:p w14:paraId="43A2AE11">
            <w:pPr>
              <w:numPr>
                <w:ilvl w:val="0"/>
                <w:numId w:val="40"/>
              </w:numPr>
              <w:spacing w:before="120" w:after="120" w:line="288" w:lineRule="auto"/>
              <w:ind w:left="0"/>
              <w:jc w:val="left"/>
            </w:pPr>
            <w:r>
              <w:rPr>
                <w:rFonts w:ascii="Arial" w:hAnsi="Arial" w:eastAsia="等线" w:cs="Arial"/>
                <w:sz w:val="22"/>
              </w:rPr>
              <w:t>利润是“在某一段时间”内，公司经营产生的盈利或亏损。</w:t>
            </w:r>
          </w:p>
        </w:tc>
      </w:tr>
    </w:tbl>
    <w:p w14:paraId="3EEB72BF">
      <w:pPr>
        <w:spacing w:before="300" w:after="120" w:line="288" w:lineRule="auto"/>
        <w:ind w:left="0"/>
        <w:jc w:val="left"/>
        <w:outlineLvl w:val="2"/>
      </w:pPr>
      <w:bookmarkStart w:id="16" w:name="heading_16"/>
      <w:r>
        <w:rPr>
          <w:rFonts w:ascii="Arial" w:hAnsi="Arial" w:eastAsia="等线" w:cs="Arial"/>
          <w:color w:val="3370FF"/>
          <w:sz w:val="30"/>
        </w:rPr>
        <w:t xml:space="preserve">2.1.4 </w:t>
      </w:r>
      <w:r>
        <w:rPr>
          <w:rFonts w:ascii="Arial" w:hAnsi="Arial" w:eastAsia="等线" w:cs="Arial"/>
          <w:b/>
          <w:sz w:val="30"/>
        </w:rPr>
        <w:t>决定何时买入：技术分析（Technical analysis）</w:t>
      </w:r>
      <w:bookmarkEnd w:id="16"/>
    </w:p>
    <w:p w14:paraId="0A2E195D">
      <w:pPr>
        <w:spacing w:before="120" w:after="120" w:line="288" w:lineRule="auto"/>
        <w:ind w:left="0"/>
        <w:jc w:val="left"/>
      </w:pPr>
      <w:r>
        <w:rPr>
          <w:rFonts w:ascii="Arial" w:hAnsi="Arial" w:eastAsia="等线" w:cs="Arial"/>
          <w:sz w:val="22"/>
        </w:rPr>
        <w:t>技术分析师观察市场数据，试图判断股价涨跌。这些分析师认为历史往往会重演，证券和市场的过往表现预示着未来的表现。</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0814CA4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D3C7002">
            <w:pPr>
              <w:spacing w:before="120" w:after="120" w:line="288" w:lineRule="auto"/>
              <w:ind w:left="0"/>
              <w:jc w:val="left"/>
            </w:pPr>
            <w:r>
              <w:rPr>
                <w:rFonts w:ascii="Arial" w:hAnsi="Arial" w:eastAsia="等线" w:cs="Arial"/>
                <w:sz w:val="22"/>
              </w:rPr>
              <w:t>技术分析师观测的指标有：趋势线、交易量、市场情绪、市场指数（标准普尔 [S&amp;P] 500、道琼斯工业平均指数（ Dow Jones Industrial Averag，DJIA）等）、期权波动率、市场动量、可用资金、股指期货、新高和新低、涨跌比率、零散交易量、空头头寸、看跌期权/看涨期权比率（期权交易）等等</w:t>
            </w:r>
          </w:p>
        </w:tc>
      </w:tr>
    </w:tbl>
    <w:p w14:paraId="599AF6F5">
      <w:pPr>
        <w:spacing w:before="120" w:after="120" w:line="288" w:lineRule="auto"/>
        <w:ind w:left="0"/>
        <w:jc w:val="left"/>
      </w:pPr>
      <w:r>
        <w:rPr>
          <w:rFonts w:ascii="Arial" w:hAnsi="Arial" w:eastAsia="等线" w:cs="Arial"/>
          <w:sz w:val="22"/>
        </w:rPr>
        <w:t>技术分析师不仅绘制市场图表，还绘制市场板块和个股图表。技术分析师试图识别市场模式以及特定证券的模式，以确定最佳买入或卖出时机。即使某种证券的价格可能每天都有很大波动，但价格往往会朝着特定的方向（上涨、下跌或横盘整理）波动，并在一段时间内形成一条趋势线。</w:t>
      </w:r>
    </w:p>
    <w:p w14:paraId="0DCA930F">
      <w:pPr>
        <w:spacing w:before="120" w:after="120" w:line="288" w:lineRule="auto"/>
        <w:ind w:left="0"/>
        <w:jc w:val="left"/>
      </w:pPr>
    </w:p>
    <w:p w14:paraId="1BA9A6C2">
      <w:pPr>
        <w:spacing w:before="260" w:after="120" w:line="288" w:lineRule="auto"/>
        <w:ind w:left="0"/>
        <w:jc w:val="left"/>
        <w:outlineLvl w:val="3"/>
      </w:pPr>
      <w:bookmarkStart w:id="17" w:name="heading_17"/>
      <w:r>
        <w:rPr>
          <w:rFonts w:ascii="Arial" w:hAnsi="Arial" w:eastAsia="等线" w:cs="Arial"/>
          <w:color w:val="3370FF"/>
          <w:sz w:val="28"/>
        </w:rPr>
        <w:t xml:space="preserve">2.1.4.1 </w:t>
      </w:r>
      <w:r>
        <w:rPr>
          <w:rFonts w:ascii="Arial" w:hAnsi="Arial" w:eastAsia="等线" w:cs="Arial"/>
          <w:b/>
          <w:sz w:val="28"/>
        </w:rPr>
        <w:t>基准和指数（Benchmarks and indices）</w:t>
      </w:r>
      <w:bookmarkEnd w:id="17"/>
    </w:p>
    <w:p w14:paraId="55F567F3">
      <w:pPr>
        <w:spacing w:before="120" w:after="120" w:line="288" w:lineRule="auto"/>
        <w:ind w:left="0"/>
        <w:jc w:val="left"/>
      </w:pPr>
      <w:r>
        <w:rPr>
          <w:rFonts w:ascii="Arial" w:hAnsi="Arial" w:eastAsia="等线" w:cs="Arial"/>
          <w:sz w:val="22"/>
        </w:rPr>
        <w:t>指数（indices）通常会被用作评估单个投资或一组投资表现的基准。大多数投资者会将他们的投资与某些宽基或窄基指数进行比较。</w:t>
      </w:r>
    </w:p>
    <w:p w14:paraId="7B5A8968">
      <w:pPr>
        <w:numPr>
          <w:ilvl w:val="0"/>
          <w:numId w:val="41"/>
        </w:numPr>
        <w:spacing w:before="120" w:after="120" w:line="288" w:lineRule="auto"/>
        <w:ind w:left="0"/>
        <w:jc w:val="left"/>
      </w:pPr>
      <w:r>
        <w:rPr>
          <w:rFonts w:ascii="Arial" w:hAnsi="Arial" w:eastAsia="等线" w:cs="Arial"/>
          <w:sz w:val="22"/>
        </w:rPr>
        <w:t>窄基指数（Narrow-based）：窄基指数表示特定行业的表现，例如道琼斯运输指数（Dow Jones Transportation Index）。</w:t>
      </w:r>
    </w:p>
    <w:p w14:paraId="34EDC56A">
      <w:pPr>
        <w:numPr>
          <w:ilvl w:val="0"/>
          <w:numId w:val="42"/>
        </w:numPr>
        <w:spacing w:before="120" w:after="120" w:line="288" w:lineRule="auto"/>
        <w:ind w:left="0"/>
        <w:jc w:val="left"/>
      </w:pPr>
      <w:r>
        <w:rPr>
          <w:rFonts w:ascii="Arial" w:hAnsi="Arial" w:eastAsia="等线" w:cs="Arial"/>
          <w:sz w:val="22"/>
        </w:rPr>
        <w:t>宽基指数（Broad-based）：宽基指数更反映整体市场行情。广义指数衡量的是来自多个行业的证券。例如：包含 500 只大型普通股的标准普尔500指数（S&amp;P 500 Index)</w:t>
      </w:r>
    </w:p>
    <w:p w14:paraId="607F671F">
      <w:pPr>
        <w:spacing w:before="120" w:after="120" w:line="288" w:lineRule="auto"/>
        <w:ind w:left="0"/>
        <w:jc w:val="left"/>
      </w:pPr>
    </w:p>
    <w:p w14:paraId="0B4E7164">
      <w:pPr>
        <w:spacing w:before="120" w:after="120" w:line="288" w:lineRule="auto"/>
        <w:ind w:left="0"/>
        <w:jc w:val="left"/>
      </w:pPr>
      <w:r>
        <w:rPr>
          <w:rFonts w:ascii="Arial" w:hAnsi="Arial" w:eastAsia="等线" w:cs="Arial"/>
          <w:sz w:val="22"/>
        </w:rPr>
        <w:t>不需要死记硬背有哪些指数，只需要理解什么是指数，以及它们通常被用作评价投资业绩的基准。</w:t>
      </w:r>
    </w:p>
    <w:p w14:paraId="51453EA3">
      <w:pPr>
        <w:spacing w:before="120" w:after="120" w:line="288" w:lineRule="auto"/>
        <w:ind w:left="0"/>
        <w:jc w:val="left"/>
      </w:pPr>
    </w:p>
    <w:p w14:paraId="4D2C5797">
      <w:pPr>
        <w:spacing w:before="120" w:after="120" w:line="288" w:lineRule="auto"/>
        <w:ind w:left="0"/>
        <w:jc w:val="left"/>
      </w:pPr>
      <w:r>
        <w:rPr>
          <w:rFonts w:ascii="Arial" w:hAnsi="Arial" w:eastAsia="等线" w:cs="Arial"/>
          <w:sz w:val="22"/>
        </w:rPr>
        <w:t>以下是一些广泛基础的股票指数示例：</w:t>
      </w:r>
    </w:p>
    <w:p w14:paraId="5EED3BEF">
      <w:pPr>
        <w:numPr>
          <w:ilvl w:val="0"/>
          <w:numId w:val="43"/>
        </w:numPr>
        <w:spacing w:before="120" w:after="120" w:line="288" w:lineRule="auto"/>
        <w:ind w:left="0"/>
        <w:jc w:val="left"/>
      </w:pPr>
      <w:r>
        <w:rPr>
          <w:rFonts w:ascii="Arial" w:hAnsi="Arial" w:eastAsia="等线" w:cs="Arial"/>
          <w:sz w:val="22"/>
        </w:rPr>
        <w:t>标准普尔500指数（S&amp;P 500 Index）：包含500只大盘股（市值超过100亿美元的公司）的普通股。</w:t>
      </w:r>
    </w:p>
    <w:p w14:paraId="21C5322C">
      <w:pPr>
        <w:numPr>
          <w:ilvl w:val="0"/>
          <w:numId w:val="44"/>
        </w:numPr>
        <w:spacing w:before="120" w:after="120" w:line="288" w:lineRule="auto"/>
        <w:ind w:left="0"/>
        <w:jc w:val="left"/>
      </w:pPr>
      <w:r>
        <w:rPr>
          <w:rFonts w:ascii="Arial" w:hAnsi="Arial" w:eastAsia="等线" w:cs="Arial"/>
          <w:sz w:val="22"/>
        </w:rPr>
        <w:t>威尔希尔5000总市场指数（Wilshire 5000 Total Market Index）：所有股票指数中最大的一个；包含5000只上市普通股。</w:t>
      </w:r>
    </w:p>
    <w:p w14:paraId="0621E2E4">
      <w:pPr>
        <w:numPr>
          <w:ilvl w:val="0"/>
          <w:numId w:val="45"/>
        </w:numPr>
        <w:spacing w:before="120" w:after="120" w:line="288" w:lineRule="auto"/>
        <w:ind w:left="0"/>
        <w:jc w:val="left"/>
      </w:pPr>
      <w:r>
        <w:rPr>
          <w:rFonts w:ascii="Arial" w:hAnsi="Arial" w:eastAsia="等线" w:cs="Arial"/>
          <w:sz w:val="22"/>
        </w:rPr>
        <w:t>罗素2000指数：由2000家小盘股公司（市值在$300 million and $2 billion 亿美元之间的公司）组成的指数。</w:t>
      </w:r>
    </w:p>
    <w:p w14:paraId="58CDF2A0">
      <w:pPr>
        <w:numPr>
          <w:ilvl w:val="0"/>
          <w:numId w:val="46"/>
        </w:numPr>
        <w:spacing w:before="120" w:after="120" w:line="288" w:lineRule="auto"/>
        <w:ind w:left="0"/>
        <w:jc w:val="left"/>
      </w:pPr>
      <w:r>
        <w:rPr>
          <w:rFonts w:ascii="Arial" w:hAnsi="Arial" w:eastAsia="等线" w:cs="Arial"/>
          <w:sz w:val="22"/>
        </w:rPr>
        <w:t>理柏指数（Lipper Indexes:）：根据不同共同基金的投资策略追踪其财务表现；每个理柏指数仅追踪每个类别（大盘成长型、中盘价值型、国际基金等）中规模最大的基金的表现。</w:t>
      </w:r>
    </w:p>
    <w:p w14:paraId="660185C0">
      <w:pPr>
        <w:numPr>
          <w:ilvl w:val="0"/>
          <w:numId w:val="47"/>
        </w:numPr>
        <w:spacing w:before="120" w:after="120" w:line="288" w:lineRule="auto"/>
        <w:ind w:left="0"/>
        <w:jc w:val="left"/>
      </w:pPr>
      <w:r>
        <w:rPr>
          <w:rFonts w:ascii="Arial" w:hAnsi="Arial" w:eastAsia="等线" w:cs="Arial"/>
          <w:sz w:val="22"/>
        </w:rPr>
        <w:t>道琼斯综合平均指数（Dow Jones Composite Average）：一个追踪来自一些最知名公司的 65 只股票的指数。</w:t>
      </w:r>
    </w:p>
    <w:p w14:paraId="4325B65F">
      <w:pPr>
        <w:numPr>
          <w:ilvl w:val="0"/>
          <w:numId w:val="48"/>
        </w:numPr>
        <w:spacing w:before="120" w:after="120" w:line="288" w:lineRule="auto"/>
        <w:ind w:left="453"/>
        <w:jc w:val="left"/>
      </w:pPr>
      <w:r>
        <w:rPr>
          <w:rFonts w:ascii="Arial" w:hAnsi="Arial" w:eastAsia="等线" w:cs="Arial"/>
          <w:sz w:val="22"/>
        </w:rPr>
        <w:t>道琼斯工业平均指数（Dow Jones Industrial Average，DJIA）：追踪工业领域的30只股票；道琼斯工业平均指数是最常用于反映整体市场表现的指数。</w:t>
      </w:r>
    </w:p>
    <w:p w14:paraId="31C5252E">
      <w:pPr>
        <w:numPr>
          <w:ilvl w:val="0"/>
          <w:numId w:val="49"/>
        </w:numPr>
        <w:spacing w:before="120" w:after="120" w:line="288" w:lineRule="auto"/>
        <w:ind w:left="453"/>
        <w:jc w:val="left"/>
      </w:pPr>
      <w:r>
        <w:rPr>
          <w:rFonts w:ascii="Arial" w:hAnsi="Arial" w:eastAsia="等线" w:cs="Arial"/>
          <w:sz w:val="22"/>
        </w:rPr>
        <w:t>道琼斯运输业平均指数（Dow Jones Transportation Average，DJTA）：追踪运输行业的20只股票。</w:t>
      </w:r>
    </w:p>
    <w:p w14:paraId="70822228">
      <w:pPr>
        <w:numPr>
          <w:ilvl w:val="0"/>
          <w:numId w:val="50"/>
        </w:numPr>
        <w:spacing w:before="120" w:after="120" w:line="288" w:lineRule="auto"/>
        <w:ind w:left="453"/>
        <w:jc w:val="left"/>
      </w:pPr>
      <w:r>
        <w:rPr>
          <w:rFonts w:ascii="Arial" w:hAnsi="Arial" w:eastAsia="等线" w:cs="Arial"/>
          <w:sz w:val="22"/>
        </w:rPr>
        <w:t>道琼斯公用事业平均指数（Dow Jones Utility Average，DJUA）：追踪公用事业板块的15只股票。</w:t>
      </w:r>
    </w:p>
    <w:p w14:paraId="70551BA3">
      <w:pPr>
        <w:spacing w:before="120" w:after="120" w:line="288" w:lineRule="auto"/>
        <w:ind w:left="0"/>
        <w:jc w:val="left"/>
      </w:pPr>
    </w:p>
    <w:p w14:paraId="680F3089">
      <w:pPr>
        <w:spacing w:before="260" w:after="120" w:line="288" w:lineRule="auto"/>
        <w:ind w:left="0"/>
        <w:jc w:val="left"/>
        <w:outlineLvl w:val="3"/>
      </w:pPr>
      <w:bookmarkStart w:id="18" w:name="heading_18"/>
      <w:r>
        <w:rPr>
          <w:rFonts w:ascii="Arial" w:hAnsi="Arial" w:eastAsia="等线" w:cs="Arial"/>
          <w:color w:val="3370FF"/>
          <w:sz w:val="28"/>
        </w:rPr>
        <w:t xml:space="preserve">2.1.4.2 </w:t>
      </w:r>
      <w:r>
        <w:rPr>
          <w:rFonts w:ascii="Arial" w:hAnsi="Arial" w:eastAsia="等线" w:cs="Arial"/>
          <w:b/>
          <w:sz w:val="28"/>
        </w:rPr>
        <w:t>商业周期的各个阶段（Stages of the business cycle）</w:t>
      </w:r>
      <w:bookmarkEnd w:id="18"/>
    </w:p>
    <w:p w14:paraId="6DB2F669">
      <w:pPr>
        <w:spacing w:before="120" w:after="120" w:line="288" w:lineRule="auto"/>
        <w:ind w:left="0"/>
        <w:jc w:val="left"/>
      </w:pPr>
      <w:r>
        <w:rPr>
          <w:rFonts w:ascii="Arial" w:hAnsi="Arial" w:eastAsia="等线" w:cs="Arial"/>
          <w:sz w:val="22"/>
        </w:rPr>
        <w:t>商业周期是指商品和服务（国内生产总值，简称GDP）随时间自然波动的现象。商业周期分为</w:t>
      </w:r>
      <w:r>
        <w:rPr>
          <w:rFonts w:ascii="Arial" w:hAnsi="Arial" w:eastAsia="等线" w:cs="Arial"/>
          <w:b/>
          <w:sz w:val="22"/>
        </w:rPr>
        <w:t>四个阶段</w:t>
      </w:r>
      <w:r>
        <w:rPr>
          <w:rFonts w:ascii="Arial" w:hAnsi="Arial" w:eastAsia="等线" w:cs="Arial"/>
          <w:sz w:val="22"/>
        </w:rPr>
        <w:t>，并且</w:t>
      </w:r>
      <w:r>
        <w:rPr>
          <w:rFonts w:ascii="Arial" w:hAnsi="Arial" w:eastAsia="等线" w:cs="Arial"/>
          <w:b/>
          <w:sz w:val="22"/>
        </w:rPr>
        <w:t>会反复出现。</w:t>
      </w:r>
    </w:p>
    <w:p w14:paraId="7A13ABF1">
      <w:pPr>
        <w:spacing w:before="120" w:after="120" w:line="288" w:lineRule="auto"/>
        <w:ind w:left="0"/>
        <w:jc w:val="center"/>
      </w:pPr>
      <w:r>
        <w:drawing>
          <wp:inline distT="0" distB="0" distL="0" distR="0">
            <wp:extent cx="3171825" cy="191452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3171825" cy="1914525"/>
                    </a:xfrm>
                    <a:prstGeom prst="rect">
                      <a:avLst/>
                    </a:prstGeom>
                  </pic:spPr>
                </pic:pic>
              </a:graphicData>
            </a:graphic>
          </wp:inline>
        </w:drawing>
      </w:r>
    </w:p>
    <w:p w14:paraId="4DB24543">
      <w:pPr>
        <w:numPr>
          <w:ilvl w:val="0"/>
          <w:numId w:val="51"/>
        </w:numPr>
        <w:spacing w:before="120" w:after="120" w:line="288" w:lineRule="auto"/>
        <w:ind w:left="0"/>
        <w:jc w:val="left"/>
      </w:pPr>
      <w:r>
        <w:rPr>
          <w:rFonts w:ascii="Arial" w:hAnsi="Arial" w:eastAsia="等线" w:cs="Arial"/>
          <w:sz w:val="22"/>
        </w:rPr>
        <w:t>扩张期（Expansion，对应上图的A）</w:t>
      </w:r>
    </w:p>
    <w:p w14:paraId="75063D36">
      <w:pPr>
        <w:spacing w:before="120" w:after="120" w:line="288" w:lineRule="auto"/>
        <w:ind w:left="0"/>
        <w:jc w:val="left"/>
      </w:pPr>
      <w:r>
        <w:rPr>
          <w:rFonts w:ascii="Arial" w:hAnsi="Arial" w:eastAsia="等线" w:cs="Arial"/>
          <w:sz w:val="22"/>
        </w:rPr>
        <w:t>扩张期的特点是商品和服务需求不断增长。在扩张期，股市普遍上涨（看涨），房地产价值上涨，工业生产也随之增长。扩张期也可以被描述为复苏期。</w:t>
      </w:r>
    </w:p>
    <w:p w14:paraId="1E8767AA">
      <w:pPr>
        <w:numPr>
          <w:ilvl w:val="0"/>
          <w:numId w:val="52"/>
        </w:numPr>
        <w:spacing w:before="120" w:after="120" w:line="288" w:lineRule="auto"/>
        <w:ind w:left="0"/>
        <w:jc w:val="left"/>
      </w:pPr>
      <w:r>
        <w:rPr>
          <w:rFonts w:ascii="Arial" w:hAnsi="Arial" w:eastAsia="等线" w:cs="Arial"/>
          <w:sz w:val="22"/>
        </w:rPr>
        <w:t>峰值（Peak，对应上图的 B）</w:t>
      </w:r>
    </w:p>
    <w:p w14:paraId="05460F69">
      <w:pPr>
        <w:spacing w:before="120" w:after="120" w:line="288" w:lineRule="auto"/>
        <w:ind w:left="0"/>
        <w:jc w:val="left"/>
      </w:pPr>
      <w:r>
        <w:rPr>
          <w:rFonts w:ascii="Arial" w:hAnsi="Arial" w:eastAsia="等线" w:cs="Arial"/>
          <w:sz w:val="22"/>
        </w:rPr>
        <w:t>峰值出现在扩张阶段的顶峰，恰好发生在经济开始收缩之前。</w:t>
      </w:r>
    </w:p>
    <w:p w14:paraId="1223AF7C">
      <w:pPr>
        <w:numPr>
          <w:ilvl w:val="0"/>
          <w:numId w:val="53"/>
        </w:numPr>
        <w:spacing w:before="120" w:after="120" w:line="288" w:lineRule="auto"/>
        <w:ind w:left="0"/>
        <w:jc w:val="left"/>
      </w:pPr>
      <w:r>
        <w:rPr>
          <w:rFonts w:ascii="Arial" w:hAnsi="Arial" w:eastAsia="等线" w:cs="Arial"/>
          <w:sz w:val="22"/>
        </w:rPr>
        <w:t>收缩期（Contraction，上图的 C）</w:t>
      </w:r>
    </w:p>
    <w:p w14:paraId="730BE8E0">
      <w:pPr>
        <w:spacing w:before="120" w:after="120" w:line="288" w:lineRule="auto"/>
        <w:ind w:left="0"/>
        <w:jc w:val="left"/>
      </w:pPr>
      <w:r>
        <w:rPr>
          <w:rFonts w:ascii="Arial" w:hAnsi="Arial" w:eastAsia="等线" w:cs="Arial"/>
          <w:sz w:val="22"/>
        </w:rPr>
        <w:t>收缩期的特征是消费者债务水平上升、股市普遍下跌（看跌）、商品和服务需求下降以及债券违约和破产数量增加。</w:t>
      </w:r>
    </w:p>
    <w:p w14:paraId="45D6935E">
      <w:pPr>
        <w:numPr>
          <w:ilvl w:val="0"/>
          <w:numId w:val="54"/>
        </w:numPr>
        <w:spacing w:before="120" w:after="120" w:line="288" w:lineRule="auto"/>
        <w:ind w:left="0"/>
        <w:jc w:val="left"/>
      </w:pPr>
      <w:r>
        <w:rPr>
          <w:rFonts w:ascii="Arial" w:hAnsi="Arial" w:eastAsia="等线" w:cs="Arial"/>
          <w:sz w:val="22"/>
        </w:rPr>
        <w:t>谷底（Trough，对应上图的 D）</w:t>
      </w:r>
    </w:p>
    <w:p w14:paraId="429D9F7E">
      <w:pPr>
        <w:spacing w:before="120" w:after="120" w:line="288" w:lineRule="auto"/>
        <w:ind w:left="0"/>
        <w:jc w:val="left"/>
      </w:pPr>
      <w:r>
        <w:rPr>
          <w:rFonts w:ascii="Arial" w:hAnsi="Arial" w:eastAsia="等线" w:cs="Arial"/>
          <w:sz w:val="22"/>
        </w:rPr>
        <w:t>谷底是收缩阶段的最低点，恰好发生在经济再次开始扩张（复苏）之前。也就是道家说的否极泰来。</w:t>
      </w:r>
    </w:p>
    <w:p w14:paraId="64F41060">
      <w:pPr>
        <w:spacing w:before="120" w:after="120" w:line="288" w:lineRule="auto"/>
        <w:ind w:left="0"/>
        <w:jc w:val="left"/>
      </w:pPr>
    </w:p>
    <w:p w14:paraId="47115632">
      <w:pPr>
        <w:spacing w:before="120" w:after="120" w:line="288" w:lineRule="auto"/>
        <w:ind w:left="0"/>
        <w:jc w:val="left"/>
      </w:pPr>
      <w:r>
        <w:rPr>
          <w:rFonts w:ascii="Arial" w:hAnsi="Arial" w:eastAsia="等线" w:cs="Arial"/>
          <w:b/>
          <w:sz w:val="22"/>
        </w:rPr>
        <w:t>需要理解这几个阶段是依次出现，循环往复的</w:t>
      </w:r>
      <w:r>
        <w:rPr>
          <w:rFonts w:ascii="Arial" w:hAnsi="Arial" w:eastAsia="等线" w:cs="Arial"/>
          <w:sz w:val="22"/>
        </w:rPr>
        <w:t>（各阶段之间的先后顺序别搞错了）。</w:t>
      </w:r>
    </w:p>
    <w:p w14:paraId="004A2204">
      <w:pPr>
        <w:spacing w:before="120" w:after="120" w:line="288" w:lineRule="auto"/>
        <w:ind w:left="0"/>
        <w:jc w:val="left"/>
      </w:pPr>
    </w:p>
    <w:p w14:paraId="3CF1BA7C">
      <w:pPr>
        <w:spacing w:before="260" w:after="120" w:line="288" w:lineRule="auto"/>
        <w:ind w:left="0"/>
        <w:jc w:val="left"/>
        <w:outlineLvl w:val="3"/>
      </w:pPr>
      <w:bookmarkStart w:id="19" w:name="heading_19"/>
      <w:r>
        <w:rPr>
          <w:rFonts w:ascii="Arial" w:hAnsi="Arial" w:eastAsia="等线" w:cs="Arial"/>
          <w:color w:val="3370FF"/>
          <w:sz w:val="28"/>
        </w:rPr>
        <w:t xml:space="preserve">2.1.4.3 </w:t>
      </w:r>
      <w:r>
        <w:rPr>
          <w:rFonts w:ascii="Arial" w:hAnsi="Arial" w:eastAsia="等线" w:cs="Arial"/>
          <w:b/>
          <w:sz w:val="28"/>
        </w:rPr>
        <w:t>看涨（Bullish）与看跌（bearish）</w:t>
      </w:r>
      <w:bookmarkEnd w:id="19"/>
    </w:p>
    <w:p w14:paraId="78C9E23D">
      <w:pPr>
        <w:numPr>
          <w:ilvl w:val="0"/>
          <w:numId w:val="55"/>
        </w:numPr>
        <w:spacing w:before="120" w:after="120" w:line="288" w:lineRule="auto"/>
        <w:ind w:left="0"/>
        <w:jc w:val="left"/>
      </w:pPr>
      <w:r>
        <w:rPr>
          <w:rFonts w:ascii="Arial" w:hAnsi="Arial" w:eastAsia="等线" w:cs="Arial"/>
          <w:b/>
          <w:sz w:val="22"/>
        </w:rPr>
        <w:t>看涨（看多）</w:t>
      </w:r>
      <w:r>
        <w:rPr>
          <w:rFonts w:ascii="Arial" w:hAnsi="Arial" w:eastAsia="等线" w:cs="Arial"/>
          <w:sz w:val="22"/>
        </w:rPr>
        <w:t>是投资者认为未来（市场整体，或某个资产的）价格会上涨。</w:t>
      </w:r>
    </w:p>
    <w:p w14:paraId="747DFA75">
      <w:pPr>
        <w:spacing w:before="120" w:after="120" w:line="288" w:lineRule="auto"/>
        <w:ind w:left="0"/>
        <w:jc w:val="left"/>
      </w:pPr>
      <w:r>
        <w:rPr>
          <w:rFonts w:ascii="Arial" w:hAnsi="Arial" w:eastAsia="等线" w:cs="Arial"/>
          <w:sz w:val="22"/>
        </w:rPr>
        <w:t>看涨策略（在未来资产价格上涨时可以获利的方式）包括：买入个股、买入共同基金、买入看涨期权、卖出无担保（裸）看跌期权等等。</w:t>
      </w:r>
    </w:p>
    <w:p w14:paraId="0FF3D3C3">
      <w:pPr>
        <w:numPr>
          <w:ilvl w:val="0"/>
          <w:numId w:val="56"/>
        </w:numPr>
        <w:spacing w:before="120" w:after="120" w:line="288" w:lineRule="auto"/>
        <w:ind w:left="0"/>
        <w:jc w:val="left"/>
      </w:pPr>
      <w:r>
        <w:rPr>
          <w:rFonts w:ascii="Arial" w:hAnsi="Arial" w:eastAsia="等线" w:cs="Arial"/>
          <w:b/>
          <w:sz w:val="22"/>
        </w:rPr>
        <w:t>看跌（看空）</w:t>
      </w:r>
      <w:r>
        <w:rPr>
          <w:rFonts w:ascii="Arial" w:hAnsi="Arial" w:eastAsia="等线" w:cs="Arial"/>
          <w:sz w:val="22"/>
        </w:rPr>
        <w:t>则相反，是投资者认为未来价格会下跌。</w:t>
      </w:r>
    </w:p>
    <w:p w14:paraId="5646AF5B">
      <w:pPr>
        <w:spacing w:before="120" w:after="120" w:line="288" w:lineRule="auto"/>
        <w:ind w:left="0"/>
        <w:jc w:val="left"/>
      </w:pPr>
      <w:r>
        <w:rPr>
          <w:rFonts w:ascii="Arial" w:hAnsi="Arial" w:eastAsia="等线" w:cs="Arial"/>
          <w:sz w:val="22"/>
        </w:rPr>
        <w:t>看跌策略（在未来资产价格下跌时可以获利的方式）包括：卖空个股、买入看跌基金（通常在市场下跌时价值上涨的基金）、买入反向交易所交易基金 (ETF)、卖出无担保（裸）看涨期权、买入看跌期权等等。</w:t>
      </w:r>
    </w:p>
    <w:p w14:paraId="338F0DB4">
      <w:pPr>
        <w:spacing w:before="120" w:after="120" w:line="288" w:lineRule="auto"/>
        <w:ind w:left="0"/>
        <w:jc w:val="left"/>
      </w:pPr>
    </w:p>
    <w:p w14:paraId="12F866E2">
      <w:pPr>
        <w:spacing w:before="120" w:after="120" w:line="288" w:lineRule="auto"/>
        <w:ind w:left="0"/>
        <w:jc w:val="left"/>
      </w:pPr>
      <w:r>
        <w:rPr>
          <w:rFonts w:ascii="Arial" w:hAnsi="Arial" w:eastAsia="等线" w:cs="Arial"/>
          <w:sz w:val="22"/>
        </w:rPr>
        <w:t>此处，</w:t>
      </w:r>
      <w:r>
        <w:rPr>
          <w:rFonts w:ascii="Arial" w:hAnsi="Arial" w:eastAsia="等线" w:cs="Arial"/>
          <w:b/>
          <w:sz w:val="22"/>
        </w:rPr>
        <w:t>需要理解什么样的交易行为属于看涨的，而什么样则是看跌的</w:t>
      </w:r>
      <w:r>
        <w:rPr>
          <w:rFonts w:ascii="Arial" w:hAnsi="Arial" w:eastAsia="等线" w:cs="Arial"/>
          <w:sz w:val="22"/>
        </w:rPr>
        <w:t>。</w:t>
      </w:r>
    </w:p>
    <w:p w14:paraId="328D6C8A">
      <w:pPr>
        <w:spacing w:before="120" w:after="120" w:line="288" w:lineRule="auto"/>
        <w:ind w:left="0"/>
        <w:jc w:val="left"/>
      </w:pPr>
    </w:p>
    <w:p w14:paraId="2EA9978D">
      <w:pPr>
        <w:spacing w:before="320" w:after="120" w:line="288" w:lineRule="auto"/>
        <w:ind w:left="0"/>
        <w:jc w:val="left"/>
        <w:outlineLvl w:val="1"/>
      </w:pPr>
      <w:bookmarkStart w:id="20" w:name="heading_20"/>
      <w:r>
        <w:rPr>
          <w:rFonts w:ascii="Arial" w:hAnsi="Arial" w:eastAsia="等线" w:cs="Arial"/>
          <w:color w:val="3370FF"/>
          <w:sz w:val="32"/>
        </w:rPr>
        <w:t xml:space="preserve">2.2 </w:t>
      </w:r>
      <w:r>
        <w:rPr>
          <w:rFonts w:ascii="Arial" w:hAnsi="Arial" w:eastAsia="等线" w:cs="Arial"/>
          <w:b/>
          <w:sz w:val="32"/>
        </w:rPr>
        <w:t>货币供应和货币政策（Money Supply and Monetary Policy)</w:t>
      </w:r>
      <w:bookmarkEnd w:id="20"/>
    </w:p>
    <w:p w14:paraId="65C45C36">
      <w:pPr>
        <w:spacing w:before="120" w:after="120" w:line="288" w:lineRule="auto"/>
        <w:ind w:left="0"/>
        <w:jc w:val="left"/>
      </w:pPr>
      <w:r>
        <w:rPr>
          <w:rFonts w:ascii="Arial" w:hAnsi="Arial" w:eastAsia="等线" w:cs="Arial"/>
          <w:sz w:val="22"/>
        </w:rPr>
        <w:t>货币供应量对市场影响巨大。</w:t>
      </w:r>
    </w:p>
    <w:p w14:paraId="03150C3E">
      <w:pPr>
        <w:spacing w:before="120" w:after="120" w:line="288" w:lineRule="auto"/>
        <w:ind w:left="0"/>
        <w:jc w:val="left"/>
      </w:pPr>
    </w:p>
    <w:p w14:paraId="7E717D67">
      <w:pPr>
        <w:spacing w:before="120" w:after="120" w:line="288" w:lineRule="auto"/>
        <w:ind w:left="0"/>
        <w:jc w:val="left"/>
      </w:pPr>
      <w:r>
        <w:rPr>
          <w:rFonts w:ascii="Arial" w:hAnsi="Arial" w:eastAsia="等线" w:cs="Arial"/>
          <w:sz w:val="22"/>
        </w:rPr>
        <w:t>美联储(The Federal Reserve Board，简称Fed或FRB）负责控制美国的货币供应，其试图实现“失业率、通胀率”等指标的平衡，以帮助经济以缓慢而稳定的速度增长。本节将探讨货币供应量如何影响市场，以及美联储用来控制货币供应量的工具。</w:t>
      </w:r>
    </w:p>
    <w:p w14:paraId="20E714F5">
      <w:pPr>
        <w:spacing w:before="120" w:after="120" w:line="288" w:lineRule="auto"/>
        <w:ind w:left="0"/>
        <w:jc w:val="left"/>
      </w:pPr>
    </w:p>
    <w:p w14:paraId="02C77DE1">
      <w:pPr>
        <w:spacing w:before="120" w:after="120" w:line="288" w:lineRule="auto"/>
        <w:ind w:left="0"/>
        <w:jc w:val="left"/>
      </w:pPr>
      <w:r>
        <w:rPr>
          <w:rFonts w:ascii="Arial" w:hAnsi="Arial" w:eastAsia="等线" w:cs="Arial"/>
          <w:sz w:val="22"/>
        </w:rPr>
        <w:t>跟</w:t>
      </w:r>
      <w:r>
        <w:rPr>
          <w:rFonts w:ascii="Arial" w:hAnsi="Arial" w:eastAsia="等线" w:cs="Arial"/>
          <w:b/>
          <w:sz w:val="22"/>
        </w:rPr>
        <w:t>货币政策</w:t>
      </w:r>
      <w:r>
        <w:rPr>
          <w:rFonts w:ascii="Arial" w:hAnsi="Arial" w:eastAsia="等线" w:cs="Arial"/>
          <w:sz w:val="22"/>
        </w:rPr>
        <w:t>（Monetary policy）对应的，是</w:t>
      </w:r>
      <w:r>
        <w:rPr>
          <w:rFonts w:ascii="Arial" w:hAnsi="Arial" w:eastAsia="等线" w:cs="Arial"/>
          <w:b/>
          <w:sz w:val="22"/>
        </w:rPr>
        <w:t>财政政策</w:t>
      </w:r>
      <w:r>
        <w:rPr>
          <w:rFonts w:ascii="Arial" w:hAnsi="Arial" w:eastAsia="等线" w:cs="Arial"/>
          <w:sz w:val="22"/>
        </w:rPr>
        <w:t>（Fiscal policy），他们都会影响市场。二者的区别如下：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70"/>
        <w:gridCol w:w="1365"/>
        <w:gridCol w:w="2130"/>
        <w:gridCol w:w="3930"/>
      </w:tblGrid>
      <w:tr w14:paraId="5672F2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70" w:type="dxa"/>
            <w:tcMar>
              <w:top w:w="60" w:type="dxa"/>
              <w:left w:w="120" w:type="dxa"/>
              <w:bottom w:w="30" w:type="dxa"/>
              <w:right w:w="120" w:type="dxa"/>
            </w:tcMar>
          </w:tcPr>
          <w:p w14:paraId="57B52A17">
            <w:pPr>
              <w:spacing w:before="120" w:after="120" w:line="288" w:lineRule="auto"/>
              <w:ind w:left="0"/>
              <w:jc w:val="left"/>
            </w:pPr>
            <w:r>
              <w:rPr>
                <w:rFonts w:ascii="Arial" w:hAnsi="Arial" w:eastAsia="等线" w:cs="Arial"/>
                <w:b/>
                <w:sz w:val="22"/>
              </w:rPr>
              <w:t>类型</w:t>
            </w:r>
          </w:p>
        </w:tc>
        <w:tc>
          <w:tcPr>
            <w:tcW w:w="1365" w:type="dxa"/>
            <w:tcMar>
              <w:top w:w="60" w:type="dxa"/>
              <w:left w:w="120" w:type="dxa"/>
              <w:bottom w:w="30" w:type="dxa"/>
              <w:right w:w="120" w:type="dxa"/>
            </w:tcMar>
          </w:tcPr>
          <w:p w14:paraId="5318992A">
            <w:pPr>
              <w:spacing w:before="120" w:after="120" w:line="288" w:lineRule="auto"/>
              <w:ind w:left="0"/>
              <w:jc w:val="left"/>
            </w:pPr>
            <w:r>
              <w:rPr>
                <w:rFonts w:ascii="Arial" w:hAnsi="Arial" w:eastAsia="等线" w:cs="Arial"/>
                <w:b/>
                <w:sz w:val="22"/>
              </w:rPr>
              <w:t>英文名词</w:t>
            </w:r>
          </w:p>
        </w:tc>
        <w:tc>
          <w:tcPr>
            <w:tcW w:w="2130" w:type="dxa"/>
            <w:tcMar>
              <w:top w:w="60" w:type="dxa"/>
              <w:left w:w="120" w:type="dxa"/>
              <w:bottom w:w="30" w:type="dxa"/>
              <w:right w:w="120" w:type="dxa"/>
            </w:tcMar>
          </w:tcPr>
          <w:p w14:paraId="55B0D9ED">
            <w:pPr>
              <w:spacing w:before="120" w:after="120" w:line="288" w:lineRule="auto"/>
              <w:ind w:left="0"/>
              <w:jc w:val="left"/>
            </w:pPr>
            <w:r>
              <w:rPr>
                <w:rFonts w:ascii="Arial" w:hAnsi="Arial" w:eastAsia="等线" w:cs="Arial"/>
                <w:b/>
                <w:sz w:val="22"/>
              </w:rPr>
              <w:t>由谁控制</w:t>
            </w:r>
          </w:p>
        </w:tc>
        <w:tc>
          <w:tcPr>
            <w:tcW w:w="3930" w:type="dxa"/>
            <w:tcMar>
              <w:top w:w="60" w:type="dxa"/>
              <w:left w:w="120" w:type="dxa"/>
              <w:bottom w:w="30" w:type="dxa"/>
              <w:right w:w="120" w:type="dxa"/>
            </w:tcMar>
          </w:tcPr>
          <w:p w14:paraId="0BEFBFBF">
            <w:pPr>
              <w:spacing w:before="120" w:after="120" w:line="288" w:lineRule="auto"/>
              <w:ind w:left="0"/>
              <w:jc w:val="left"/>
            </w:pPr>
            <w:r>
              <w:rPr>
                <w:rFonts w:ascii="Arial" w:hAnsi="Arial" w:eastAsia="等线" w:cs="Arial"/>
                <w:b/>
                <w:sz w:val="22"/>
              </w:rPr>
              <w:t>如何控制</w:t>
            </w:r>
          </w:p>
        </w:tc>
      </w:tr>
      <w:tr w14:paraId="24C525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70" w:type="dxa"/>
            <w:tcMar>
              <w:top w:w="60" w:type="dxa"/>
              <w:left w:w="120" w:type="dxa"/>
              <w:bottom w:w="30" w:type="dxa"/>
              <w:right w:w="120" w:type="dxa"/>
            </w:tcMar>
          </w:tcPr>
          <w:p w14:paraId="1FD29A5D">
            <w:pPr>
              <w:spacing w:before="120" w:after="120" w:line="288" w:lineRule="auto"/>
              <w:ind w:left="0"/>
              <w:jc w:val="left"/>
            </w:pPr>
            <w:r>
              <w:rPr>
                <w:rFonts w:ascii="Arial" w:hAnsi="Arial" w:eastAsia="等线" w:cs="Arial"/>
                <w:sz w:val="22"/>
              </w:rPr>
              <w:t>货币政策</w:t>
            </w:r>
          </w:p>
        </w:tc>
        <w:tc>
          <w:tcPr>
            <w:tcW w:w="1365" w:type="dxa"/>
            <w:tcMar>
              <w:top w:w="60" w:type="dxa"/>
              <w:left w:w="120" w:type="dxa"/>
              <w:bottom w:w="30" w:type="dxa"/>
              <w:right w:w="120" w:type="dxa"/>
            </w:tcMar>
          </w:tcPr>
          <w:p w14:paraId="492644E9">
            <w:pPr>
              <w:spacing w:before="120" w:after="120" w:line="288" w:lineRule="auto"/>
              <w:ind w:left="0"/>
              <w:jc w:val="left"/>
            </w:pPr>
            <w:r>
              <w:rPr>
                <w:rFonts w:ascii="Arial" w:hAnsi="Arial" w:eastAsia="等线" w:cs="Arial"/>
                <w:sz w:val="22"/>
              </w:rPr>
              <w:t>Monetary policy</w:t>
            </w:r>
          </w:p>
        </w:tc>
        <w:tc>
          <w:tcPr>
            <w:tcW w:w="2130" w:type="dxa"/>
            <w:tcMar>
              <w:top w:w="60" w:type="dxa"/>
              <w:left w:w="120" w:type="dxa"/>
              <w:bottom w:w="30" w:type="dxa"/>
              <w:right w:w="120" w:type="dxa"/>
            </w:tcMar>
          </w:tcPr>
          <w:p w14:paraId="0A2D3F93">
            <w:pPr>
              <w:spacing w:before="120" w:after="120" w:line="288" w:lineRule="auto"/>
              <w:ind w:left="0"/>
              <w:jc w:val="left"/>
            </w:pPr>
            <w:r>
              <w:rPr>
                <w:rFonts w:ascii="Arial" w:hAnsi="Arial" w:eastAsia="等线" w:cs="Arial"/>
                <w:sz w:val="22"/>
              </w:rPr>
              <w:t>国家中央银行</w:t>
            </w:r>
          </w:p>
          <w:p w14:paraId="16669030">
            <w:pPr>
              <w:spacing w:before="120" w:after="120" w:line="288" w:lineRule="auto"/>
              <w:ind w:left="0"/>
              <w:jc w:val="left"/>
            </w:pPr>
            <w:r>
              <w:rPr>
                <w:rFonts w:ascii="Arial" w:hAnsi="Arial" w:eastAsia="等线" w:cs="Arial"/>
                <w:sz w:val="22"/>
              </w:rPr>
              <w:t>(e.g. 美联储，中国人民银行)</w:t>
            </w:r>
          </w:p>
        </w:tc>
        <w:tc>
          <w:tcPr>
            <w:tcW w:w="3930" w:type="dxa"/>
            <w:tcMar>
              <w:top w:w="60" w:type="dxa"/>
              <w:left w:w="120" w:type="dxa"/>
              <w:bottom w:w="30" w:type="dxa"/>
              <w:right w:w="120" w:type="dxa"/>
            </w:tcMar>
          </w:tcPr>
          <w:p w14:paraId="16EF882F">
            <w:pPr>
              <w:spacing w:before="120" w:after="120" w:line="288" w:lineRule="auto"/>
              <w:ind w:left="0"/>
              <w:jc w:val="left"/>
            </w:pPr>
            <w:r>
              <w:rPr>
                <w:rFonts w:ascii="Arial" w:hAnsi="Arial" w:eastAsia="等线" w:cs="Arial"/>
                <w:sz w:val="22"/>
              </w:rPr>
              <w:t>货币供应量(money supply)、利率(interest rates)</w:t>
            </w:r>
          </w:p>
        </w:tc>
      </w:tr>
      <w:tr w14:paraId="4CCCDB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70" w:type="dxa"/>
            <w:tcMar>
              <w:top w:w="60" w:type="dxa"/>
              <w:left w:w="120" w:type="dxa"/>
              <w:bottom w:w="30" w:type="dxa"/>
              <w:right w:w="120" w:type="dxa"/>
            </w:tcMar>
          </w:tcPr>
          <w:p w14:paraId="15DFC955">
            <w:pPr>
              <w:spacing w:before="120" w:after="120" w:line="288" w:lineRule="auto"/>
              <w:ind w:left="0"/>
              <w:jc w:val="left"/>
            </w:pPr>
            <w:r>
              <w:rPr>
                <w:rFonts w:ascii="Arial" w:hAnsi="Arial" w:eastAsia="等线" w:cs="Arial"/>
                <w:sz w:val="22"/>
              </w:rPr>
              <w:t>财政政策</w:t>
            </w:r>
          </w:p>
        </w:tc>
        <w:tc>
          <w:tcPr>
            <w:tcW w:w="1365" w:type="dxa"/>
            <w:tcMar>
              <w:top w:w="60" w:type="dxa"/>
              <w:left w:w="120" w:type="dxa"/>
              <w:bottom w:w="30" w:type="dxa"/>
              <w:right w:w="120" w:type="dxa"/>
            </w:tcMar>
          </w:tcPr>
          <w:p w14:paraId="471AD483">
            <w:pPr>
              <w:spacing w:before="120" w:after="120" w:line="288" w:lineRule="auto"/>
              <w:ind w:left="0"/>
              <w:jc w:val="left"/>
            </w:pPr>
            <w:r>
              <w:rPr>
                <w:rFonts w:ascii="Arial" w:hAnsi="Arial" w:eastAsia="等线" w:cs="Arial"/>
                <w:sz w:val="22"/>
              </w:rPr>
              <w:t>Fiscal policy</w:t>
            </w:r>
          </w:p>
        </w:tc>
        <w:tc>
          <w:tcPr>
            <w:tcW w:w="2130" w:type="dxa"/>
            <w:tcMar>
              <w:top w:w="60" w:type="dxa"/>
              <w:left w:w="120" w:type="dxa"/>
              <w:bottom w:w="30" w:type="dxa"/>
              <w:right w:w="120" w:type="dxa"/>
            </w:tcMar>
          </w:tcPr>
          <w:p w14:paraId="54C3AA11">
            <w:pPr>
              <w:spacing w:before="120" w:after="120" w:line="288" w:lineRule="auto"/>
              <w:ind w:left="0"/>
              <w:jc w:val="left"/>
            </w:pPr>
            <w:r>
              <w:rPr>
                <w:rFonts w:ascii="Arial" w:hAnsi="Arial" w:eastAsia="等线" w:cs="Arial"/>
                <w:sz w:val="22"/>
              </w:rPr>
              <w:t>政府</w:t>
            </w:r>
          </w:p>
        </w:tc>
        <w:tc>
          <w:tcPr>
            <w:tcW w:w="3930" w:type="dxa"/>
            <w:tcMar>
              <w:top w:w="60" w:type="dxa"/>
              <w:left w:w="120" w:type="dxa"/>
              <w:bottom w:w="30" w:type="dxa"/>
              <w:right w:w="120" w:type="dxa"/>
            </w:tcMar>
          </w:tcPr>
          <w:p w14:paraId="0856A3F0">
            <w:pPr>
              <w:spacing w:before="120" w:after="120" w:line="288" w:lineRule="auto"/>
              <w:ind w:left="0"/>
              <w:jc w:val="left"/>
            </w:pPr>
            <w:r>
              <w:rPr>
                <w:rFonts w:ascii="Arial" w:hAnsi="Arial" w:eastAsia="等线" w:cs="Arial"/>
                <w:sz w:val="22"/>
              </w:rPr>
              <w:t>借贷、支出、税收 (borrowing, spending, taxes)</w:t>
            </w:r>
          </w:p>
          <w:p w14:paraId="58525B2D">
            <w:pPr>
              <w:numPr>
                <w:ilvl w:val="0"/>
                <w:numId w:val="57"/>
              </w:numPr>
              <w:spacing w:before="120" w:after="120" w:line="288" w:lineRule="auto"/>
              <w:ind w:left="0"/>
              <w:jc w:val="left"/>
            </w:pPr>
            <w:r>
              <w:rPr>
                <w:rFonts w:ascii="Arial" w:hAnsi="Arial" w:eastAsia="等线" w:cs="Arial"/>
                <w:sz w:val="22"/>
              </w:rPr>
              <w:t>将借入多少资金（以及如何借入）。例如：发行国债</w:t>
            </w:r>
          </w:p>
          <w:p w14:paraId="570B3D2E">
            <w:pPr>
              <w:numPr>
                <w:ilvl w:val="0"/>
                <w:numId w:val="58"/>
              </w:numPr>
              <w:spacing w:before="120" w:after="120" w:line="288" w:lineRule="auto"/>
              <w:ind w:left="0"/>
              <w:jc w:val="left"/>
            </w:pPr>
            <w:r>
              <w:rPr>
                <w:rFonts w:ascii="Arial" w:hAnsi="Arial" w:eastAsia="等线" w:cs="Arial"/>
                <w:sz w:val="22"/>
              </w:rPr>
              <w:t>将支出多少资金（以及用于哪些用途）</w:t>
            </w:r>
          </w:p>
          <w:p w14:paraId="69BD5752">
            <w:pPr>
              <w:numPr>
                <w:ilvl w:val="0"/>
                <w:numId w:val="59"/>
              </w:numPr>
              <w:spacing w:before="120" w:after="120" w:line="288" w:lineRule="auto"/>
              <w:ind w:left="0"/>
              <w:jc w:val="left"/>
            </w:pPr>
            <w:r>
              <w:rPr>
                <w:rFonts w:ascii="Arial" w:hAnsi="Arial" w:eastAsia="等线" w:cs="Arial"/>
                <w:sz w:val="22"/>
              </w:rPr>
              <w:t>通过税收筹集多少资金</w:t>
            </w:r>
          </w:p>
        </w:tc>
      </w:tr>
    </w:tbl>
    <w:p w14:paraId="37DC73C5">
      <w:pPr>
        <w:spacing w:before="300" w:after="120" w:line="288" w:lineRule="auto"/>
        <w:ind w:left="0"/>
        <w:jc w:val="left"/>
        <w:outlineLvl w:val="2"/>
      </w:pPr>
      <w:bookmarkStart w:id="21" w:name="heading_21"/>
      <w:r>
        <w:rPr>
          <w:rFonts w:ascii="Arial" w:hAnsi="Arial" w:eastAsia="等线" w:cs="Arial"/>
          <w:color w:val="3370FF"/>
          <w:sz w:val="30"/>
        </w:rPr>
        <w:t xml:space="preserve">2.2.1 </w:t>
      </w:r>
      <w:r>
        <w:rPr>
          <w:rFonts w:ascii="Arial" w:hAnsi="Arial" w:eastAsia="等线" w:cs="Arial"/>
          <w:b/>
          <w:sz w:val="30"/>
        </w:rPr>
        <w:t>货币供应量对经济、市场、通胀和汇率的影响</w:t>
      </w:r>
      <w:bookmarkEnd w:id="21"/>
    </w:p>
    <w:p w14:paraId="4AC96C21">
      <w:pPr>
        <w:spacing w:before="120" w:after="120" w:line="288" w:lineRule="auto"/>
        <w:ind w:left="0"/>
        <w:jc w:val="left"/>
      </w:pPr>
      <w:r>
        <w:rPr>
          <w:rFonts w:ascii="Arial" w:hAnsi="Arial" w:eastAsia="等线" w:cs="Arial"/>
          <w:sz w:val="22"/>
        </w:rPr>
        <w:t>货币供应量的变化会影响经济增长率、通货膨胀率和外汇汇率，因此了解一些货币政策知识可以帮助你预测某些证券的走势以及利率的变化。</w:t>
      </w:r>
    </w:p>
    <w:p w14:paraId="31427543">
      <w:pPr>
        <w:spacing w:before="120" w:after="120" w:line="288" w:lineRule="auto"/>
        <w:ind w:left="0"/>
        <w:jc w:val="left"/>
      </w:pPr>
    </w:p>
    <w:p w14:paraId="46C6A976">
      <w:pPr>
        <w:spacing w:before="120" w:after="120" w:line="288" w:lineRule="auto"/>
        <w:ind w:left="0"/>
        <w:jc w:val="left"/>
      </w:pPr>
      <w:r>
        <w:rPr>
          <w:rFonts w:ascii="Arial" w:hAnsi="Arial" w:eastAsia="等线" w:cs="Arial"/>
          <w:sz w:val="22"/>
        </w:rPr>
        <w:t>央行可以控制货币供应是需要</w:t>
      </w:r>
      <w:r>
        <w:rPr>
          <w:rFonts w:ascii="Arial" w:hAnsi="Arial" w:eastAsia="等线" w:cs="Arial"/>
          <w:b/>
          <w:sz w:val="22"/>
        </w:rPr>
        <w:t>宽松（</w:t>
      </w:r>
      <w:r>
        <w:rPr>
          <w:rFonts w:ascii="Arial" w:hAnsi="Arial" w:eastAsia="等线" w:cs="Arial"/>
          <w:sz w:val="22"/>
        </w:rPr>
        <w:t>Easing）还是</w:t>
      </w:r>
      <w:r>
        <w:rPr>
          <w:rFonts w:ascii="Arial" w:hAnsi="Arial" w:eastAsia="等线" w:cs="Arial"/>
          <w:b/>
          <w:sz w:val="22"/>
        </w:rPr>
        <w:t>收紧（</w:t>
      </w:r>
      <w:r>
        <w:rPr>
          <w:rFonts w:ascii="Arial" w:hAnsi="Arial" w:eastAsia="等线" w:cs="Arial"/>
          <w:sz w:val="22"/>
        </w:rPr>
        <w:t>Tightening）。不同的控制方向，对各方面的影响如下（以美国为例）：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80"/>
        <w:gridCol w:w="3210"/>
        <w:gridCol w:w="3390"/>
      </w:tblGrid>
      <w:tr w14:paraId="6E214A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6BA66C31">
            <w:pPr>
              <w:spacing w:before="120" w:after="120" w:line="288" w:lineRule="auto"/>
              <w:ind w:left="0"/>
              <w:jc w:val="left"/>
            </w:pPr>
            <w:r>
              <w:rPr>
                <w:rFonts w:ascii="Arial" w:hAnsi="Arial" w:eastAsia="等线" w:cs="Arial"/>
                <w:b/>
                <w:sz w:val="22"/>
              </w:rPr>
              <w:t>分类</w:t>
            </w:r>
          </w:p>
        </w:tc>
        <w:tc>
          <w:tcPr>
            <w:tcW w:w="3210" w:type="dxa"/>
            <w:tcMar>
              <w:top w:w="60" w:type="dxa"/>
              <w:left w:w="120" w:type="dxa"/>
              <w:bottom w:w="30" w:type="dxa"/>
              <w:right w:w="120" w:type="dxa"/>
            </w:tcMar>
          </w:tcPr>
          <w:p w14:paraId="6CDFDE56">
            <w:pPr>
              <w:spacing w:before="120" w:after="120" w:line="288" w:lineRule="auto"/>
              <w:ind w:left="0"/>
              <w:jc w:val="left"/>
            </w:pPr>
            <w:r>
              <w:rPr>
                <w:rFonts w:ascii="Arial" w:hAnsi="Arial" w:eastAsia="等线" w:cs="Arial"/>
                <w:b/>
                <w:sz w:val="22"/>
              </w:rPr>
              <w:t>宽松货币供应</w:t>
            </w:r>
          </w:p>
          <w:p w14:paraId="7BED9DFF">
            <w:pPr>
              <w:spacing w:before="120" w:after="120" w:line="288" w:lineRule="auto"/>
              <w:ind w:left="0"/>
              <w:jc w:val="left"/>
            </w:pPr>
            <w:r>
              <w:rPr>
                <w:rFonts w:ascii="Arial" w:hAnsi="Arial" w:eastAsia="等线" w:cs="Arial"/>
                <w:b/>
                <w:sz w:val="22"/>
              </w:rPr>
              <w:t>(Easing the Money Supply)</w:t>
            </w:r>
          </w:p>
        </w:tc>
        <w:tc>
          <w:tcPr>
            <w:tcW w:w="3390" w:type="dxa"/>
            <w:tcMar>
              <w:top w:w="60" w:type="dxa"/>
              <w:left w:w="120" w:type="dxa"/>
              <w:bottom w:w="30" w:type="dxa"/>
              <w:right w:w="120" w:type="dxa"/>
            </w:tcMar>
          </w:tcPr>
          <w:p w14:paraId="5AB0FEB8">
            <w:pPr>
              <w:spacing w:before="120" w:after="120" w:line="288" w:lineRule="auto"/>
              <w:ind w:left="0"/>
              <w:jc w:val="left"/>
            </w:pPr>
            <w:r>
              <w:rPr>
                <w:rFonts w:ascii="Arial" w:hAnsi="Arial" w:eastAsia="等线" w:cs="Arial"/>
                <w:b/>
                <w:sz w:val="22"/>
              </w:rPr>
              <w:t>紧缩货币供应</w:t>
            </w:r>
          </w:p>
          <w:p w14:paraId="1CEA039E">
            <w:pPr>
              <w:spacing w:before="120" w:after="120" w:line="288" w:lineRule="auto"/>
              <w:ind w:left="0"/>
              <w:jc w:val="left"/>
            </w:pPr>
            <w:r>
              <w:rPr>
                <w:rFonts w:ascii="Arial" w:hAnsi="Arial" w:eastAsia="等线" w:cs="Arial"/>
                <w:b/>
                <w:sz w:val="22"/>
              </w:rPr>
              <w:t>(Tightening the Money Supply)</w:t>
            </w:r>
          </w:p>
        </w:tc>
      </w:tr>
      <w:tr w14:paraId="3FC760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10A0B4BD">
            <w:pPr>
              <w:spacing w:before="120" w:after="120" w:line="288" w:lineRule="auto"/>
              <w:ind w:left="0"/>
              <w:jc w:val="left"/>
            </w:pPr>
            <w:r>
              <w:rPr>
                <w:rFonts w:ascii="Arial" w:hAnsi="Arial" w:eastAsia="等线" w:cs="Arial"/>
                <w:sz w:val="22"/>
              </w:rPr>
              <w:t>利率</w:t>
            </w:r>
          </w:p>
          <w:p w14:paraId="3C539BB1">
            <w:pPr>
              <w:spacing w:before="120" w:after="120" w:line="288" w:lineRule="auto"/>
              <w:ind w:left="0"/>
              <w:jc w:val="left"/>
            </w:pPr>
            <w:r>
              <w:rPr>
                <w:rFonts w:ascii="Arial" w:hAnsi="Arial" w:eastAsia="等线" w:cs="Arial"/>
                <w:sz w:val="22"/>
              </w:rPr>
              <w:t>(Interest Rate)</w:t>
            </w:r>
          </w:p>
        </w:tc>
        <w:tc>
          <w:tcPr>
            <w:tcW w:w="3210" w:type="dxa"/>
            <w:tcMar>
              <w:top w:w="60" w:type="dxa"/>
              <w:left w:w="120" w:type="dxa"/>
              <w:bottom w:w="30" w:type="dxa"/>
              <w:right w:w="120" w:type="dxa"/>
            </w:tcMar>
          </w:tcPr>
          <w:p w14:paraId="6F5BA025">
            <w:pPr>
              <w:spacing w:before="120" w:after="120" w:line="288" w:lineRule="auto"/>
              <w:ind w:left="0"/>
              <w:jc w:val="left"/>
            </w:pPr>
            <w:r>
              <w:rPr>
                <w:rFonts w:ascii="Arial" w:hAnsi="Arial" w:eastAsia="等线" w:cs="Arial"/>
                <w:sz w:val="22"/>
              </w:rPr>
              <w:t>一般来说，宽松的货币政策，会使利率降低（即，降息）</w:t>
            </w:r>
          </w:p>
        </w:tc>
        <w:tc>
          <w:tcPr>
            <w:tcW w:w="3390" w:type="dxa"/>
            <w:tcMar>
              <w:top w:w="60" w:type="dxa"/>
              <w:left w:w="120" w:type="dxa"/>
              <w:bottom w:w="30" w:type="dxa"/>
              <w:right w:w="120" w:type="dxa"/>
            </w:tcMar>
          </w:tcPr>
          <w:p w14:paraId="126FC3CE">
            <w:pPr>
              <w:spacing w:before="120" w:after="120" w:line="288" w:lineRule="auto"/>
              <w:ind w:left="0"/>
              <w:jc w:val="left"/>
            </w:pPr>
            <w:r>
              <w:rPr>
                <w:rFonts w:ascii="Arial" w:hAnsi="Arial" w:eastAsia="等线" w:cs="Arial"/>
                <w:sz w:val="22"/>
              </w:rPr>
              <w:t>利率升高</w:t>
            </w:r>
          </w:p>
        </w:tc>
      </w:tr>
      <w:tr w14:paraId="26F528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0CCD9B3A">
            <w:pPr>
              <w:spacing w:before="120" w:after="120" w:line="288" w:lineRule="auto"/>
              <w:ind w:left="0"/>
              <w:jc w:val="left"/>
            </w:pPr>
            <w:r>
              <w:rPr>
                <w:rFonts w:ascii="Arial" w:hAnsi="Arial" w:eastAsia="等线" w:cs="Arial"/>
                <w:sz w:val="22"/>
              </w:rPr>
              <w:t>经济</w:t>
            </w:r>
          </w:p>
          <w:p w14:paraId="0135E583">
            <w:pPr>
              <w:spacing w:before="120" w:after="120" w:line="288" w:lineRule="auto"/>
              <w:ind w:left="0"/>
              <w:jc w:val="left"/>
            </w:pPr>
            <w:r>
              <w:rPr>
                <w:rFonts w:ascii="Arial" w:hAnsi="Arial" w:eastAsia="等线" w:cs="Arial"/>
                <w:sz w:val="22"/>
              </w:rPr>
              <w:t>(Economy)</w:t>
            </w:r>
          </w:p>
        </w:tc>
        <w:tc>
          <w:tcPr>
            <w:tcW w:w="3210" w:type="dxa"/>
            <w:tcMar>
              <w:top w:w="60" w:type="dxa"/>
              <w:left w:w="120" w:type="dxa"/>
              <w:bottom w:w="30" w:type="dxa"/>
              <w:right w:w="120" w:type="dxa"/>
            </w:tcMar>
          </w:tcPr>
          <w:p w14:paraId="5E88F6B5">
            <w:pPr>
              <w:spacing w:before="120" w:after="120" w:line="288" w:lineRule="auto"/>
              <w:ind w:left="0"/>
              <w:jc w:val="left"/>
            </w:pPr>
            <w:r>
              <w:rPr>
                <w:rFonts w:ascii="Arial" w:hAnsi="Arial" w:eastAsia="等线" w:cs="Arial"/>
                <w:sz w:val="22"/>
              </w:rPr>
              <w:t>宽松的货币政策有助于美国避免或摆脱经济衰退。消费者可以以较低的利率借款。</w:t>
            </w:r>
          </w:p>
        </w:tc>
        <w:tc>
          <w:tcPr>
            <w:tcW w:w="3390" w:type="dxa"/>
            <w:tcMar>
              <w:top w:w="60" w:type="dxa"/>
              <w:left w:w="120" w:type="dxa"/>
              <w:bottom w:w="30" w:type="dxa"/>
              <w:right w:w="120" w:type="dxa"/>
            </w:tcMar>
          </w:tcPr>
          <w:p w14:paraId="2F08EDD0">
            <w:pPr>
              <w:spacing w:before="120" w:after="120" w:line="288" w:lineRule="auto"/>
              <w:ind w:left="0"/>
              <w:jc w:val="left"/>
            </w:pPr>
            <w:r>
              <w:rPr>
                <w:rFonts w:ascii="Arial" w:hAnsi="Arial" w:eastAsia="等线" w:cs="Arial"/>
                <w:sz w:val="22"/>
              </w:rPr>
              <w:t>由于人们的支出和投资减少，经济放缓；小企业倒闭率上升。</w:t>
            </w:r>
          </w:p>
        </w:tc>
      </w:tr>
      <w:tr w14:paraId="0A8193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08F746CF">
            <w:pPr>
              <w:spacing w:before="120" w:after="120" w:line="288" w:lineRule="auto"/>
              <w:ind w:left="0"/>
              <w:jc w:val="left"/>
            </w:pPr>
            <w:r>
              <w:rPr>
                <w:rFonts w:ascii="Arial" w:hAnsi="Arial" w:eastAsia="等线" w:cs="Arial"/>
                <w:sz w:val="22"/>
              </w:rPr>
              <w:t>市场</w:t>
            </w:r>
          </w:p>
          <w:p w14:paraId="2E0390AA">
            <w:pPr>
              <w:spacing w:before="120" w:after="120" w:line="288" w:lineRule="auto"/>
              <w:ind w:left="0"/>
              <w:jc w:val="left"/>
            </w:pPr>
            <w:r>
              <w:rPr>
                <w:rFonts w:ascii="Arial" w:hAnsi="Arial" w:eastAsia="等线" w:cs="Arial"/>
                <w:sz w:val="22"/>
              </w:rPr>
              <w:t>(Market)</w:t>
            </w:r>
          </w:p>
        </w:tc>
        <w:tc>
          <w:tcPr>
            <w:tcW w:w="3210" w:type="dxa"/>
            <w:tcMar>
              <w:top w:w="60" w:type="dxa"/>
              <w:left w:w="120" w:type="dxa"/>
              <w:bottom w:w="30" w:type="dxa"/>
              <w:right w:w="120" w:type="dxa"/>
            </w:tcMar>
          </w:tcPr>
          <w:p w14:paraId="526D67C7">
            <w:pPr>
              <w:spacing w:before="120" w:after="120" w:line="288" w:lineRule="auto"/>
              <w:ind w:left="0"/>
              <w:jc w:val="left"/>
            </w:pPr>
            <w:r>
              <w:rPr>
                <w:rFonts w:ascii="Arial" w:hAnsi="Arial" w:eastAsia="等线" w:cs="Arial"/>
                <w:sz w:val="22"/>
              </w:rPr>
              <w:t>由于利率降低，投资者有更多的资金用于投资，可以购买更多商品。此外，企业无需支付高额的借款利息，从而增加了利润。这两个因素都可能导致市场看涨。</w:t>
            </w:r>
          </w:p>
        </w:tc>
        <w:tc>
          <w:tcPr>
            <w:tcW w:w="3390" w:type="dxa"/>
            <w:tcMar>
              <w:top w:w="60" w:type="dxa"/>
              <w:left w:w="120" w:type="dxa"/>
              <w:bottom w:w="30" w:type="dxa"/>
              <w:right w:w="120" w:type="dxa"/>
            </w:tcMar>
          </w:tcPr>
          <w:p w14:paraId="5B55EE50">
            <w:pPr>
              <w:spacing w:before="120" w:after="120" w:line="288" w:lineRule="auto"/>
              <w:ind w:left="0"/>
              <w:jc w:val="left"/>
            </w:pPr>
            <w:r>
              <w:rPr>
                <w:rFonts w:ascii="Arial" w:hAnsi="Arial" w:eastAsia="等线" w:cs="Arial"/>
                <w:sz w:val="22"/>
              </w:rPr>
              <w:t>高利率会损害市场，因为投资者没有多余的资金用于投资。此外，企业必须支付更高的贷款利息，因此盈利下降。市场看跌。</w:t>
            </w:r>
          </w:p>
        </w:tc>
      </w:tr>
      <w:tr w14:paraId="5F3B8C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4987E915">
            <w:pPr>
              <w:spacing w:before="120" w:after="120" w:line="288" w:lineRule="auto"/>
              <w:ind w:left="0"/>
              <w:jc w:val="left"/>
            </w:pPr>
            <w:r>
              <w:rPr>
                <w:rFonts w:ascii="Arial" w:hAnsi="Arial" w:eastAsia="等线" w:cs="Arial"/>
                <w:sz w:val="22"/>
              </w:rPr>
              <w:t>通货膨胀</w:t>
            </w:r>
          </w:p>
          <w:p w14:paraId="6D3BE7E3">
            <w:pPr>
              <w:spacing w:before="120" w:after="120" w:line="288" w:lineRule="auto"/>
              <w:ind w:left="0"/>
              <w:jc w:val="left"/>
            </w:pPr>
            <w:r>
              <w:rPr>
                <w:rFonts w:ascii="Arial" w:hAnsi="Arial" w:eastAsia="等线" w:cs="Arial"/>
                <w:sz w:val="22"/>
              </w:rPr>
              <w:t>(Inflation)</w:t>
            </w:r>
          </w:p>
        </w:tc>
        <w:tc>
          <w:tcPr>
            <w:tcW w:w="3210" w:type="dxa"/>
            <w:tcMar>
              <w:top w:w="60" w:type="dxa"/>
              <w:left w:w="120" w:type="dxa"/>
              <w:bottom w:w="30" w:type="dxa"/>
              <w:right w:w="120" w:type="dxa"/>
            </w:tcMar>
          </w:tcPr>
          <w:p w14:paraId="507ED57A">
            <w:pPr>
              <w:spacing w:before="120" w:after="120" w:line="288" w:lineRule="auto"/>
              <w:ind w:left="0"/>
              <w:jc w:val="left"/>
            </w:pPr>
            <w:r>
              <w:rPr>
                <w:rFonts w:ascii="Arial" w:hAnsi="Arial" w:eastAsia="等线" w:cs="Arial"/>
                <w:sz w:val="22"/>
              </w:rPr>
              <w:t>较低的利率会导致通货膨胀上升。如果企业发现消费者花钱大手大脚，他们就会提高价格。</w:t>
            </w:r>
          </w:p>
        </w:tc>
        <w:tc>
          <w:tcPr>
            <w:tcW w:w="3390" w:type="dxa"/>
            <w:tcMar>
              <w:top w:w="60" w:type="dxa"/>
              <w:left w:w="120" w:type="dxa"/>
              <w:bottom w:w="30" w:type="dxa"/>
              <w:right w:w="120" w:type="dxa"/>
            </w:tcMar>
          </w:tcPr>
          <w:p w14:paraId="2D856174">
            <w:pPr>
              <w:spacing w:before="120" w:after="120" w:line="288" w:lineRule="auto"/>
              <w:ind w:left="0"/>
              <w:jc w:val="left"/>
            </w:pPr>
            <w:r>
              <w:rPr>
                <w:rFonts w:ascii="Arial" w:hAnsi="Arial" w:eastAsia="等线" w:cs="Arial"/>
                <w:sz w:val="22"/>
              </w:rPr>
              <w:t>紧缩的货币供应有助于抑制高通胀。</w:t>
            </w:r>
          </w:p>
        </w:tc>
      </w:tr>
      <w:tr w14:paraId="2BCCC6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77A1727D">
            <w:pPr>
              <w:spacing w:before="120" w:after="120" w:line="288" w:lineRule="auto"/>
              <w:ind w:left="0"/>
              <w:jc w:val="left"/>
            </w:pPr>
            <w:r>
              <w:rPr>
                <w:rFonts w:ascii="Arial" w:hAnsi="Arial" w:eastAsia="等线" w:cs="Arial"/>
                <w:sz w:val="22"/>
              </w:rPr>
              <w:t>美元汇率</w:t>
            </w:r>
          </w:p>
          <w:p w14:paraId="34F056AD">
            <w:pPr>
              <w:spacing w:before="120" w:after="120" w:line="288" w:lineRule="auto"/>
              <w:ind w:left="0"/>
              <w:jc w:val="left"/>
            </w:pPr>
            <w:r>
              <w:rPr>
                <w:rFonts w:ascii="Arial" w:hAnsi="Arial" w:eastAsia="等线" w:cs="Arial"/>
                <w:sz w:val="22"/>
              </w:rPr>
              <w:t>(Currency Exchange Rate)</w:t>
            </w:r>
          </w:p>
        </w:tc>
        <w:tc>
          <w:tcPr>
            <w:tcW w:w="3210" w:type="dxa"/>
            <w:tcMar>
              <w:top w:w="60" w:type="dxa"/>
              <w:left w:w="120" w:type="dxa"/>
              <w:bottom w:w="30" w:type="dxa"/>
              <w:right w:w="120" w:type="dxa"/>
            </w:tcMar>
          </w:tcPr>
          <w:p w14:paraId="7A3A0419">
            <w:pPr>
              <w:spacing w:before="120" w:after="120" w:line="288" w:lineRule="auto"/>
              <w:ind w:left="0"/>
              <w:jc w:val="left"/>
            </w:pPr>
            <w:r>
              <w:rPr>
                <w:rFonts w:ascii="Arial" w:hAnsi="Arial" w:eastAsia="等线" w:cs="Arial"/>
                <w:sz w:val="22"/>
              </w:rPr>
              <w:t>美元走弱。由于外币升值（人们可以用更少的外币单位兑换更多的美元），美国出口增加；因此，对外国消费者来说，购买美国产品更便宜。然而，美元在购买外国商品时贬值，导致外国进口减少。</w:t>
            </w:r>
          </w:p>
        </w:tc>
        <w:tc>
          <w:tcPr>
            <w:tcW w:w="3390" w:type="dxa"/>
            <w:tcMar>
              <w:top w:w="60" w:type="dxa"/>
              <w:left w:w="120" w:type="dxa"/>
              <w:bottom w:w="30" w:type="dxa"/>
              <w:right w:w="120" w:type="dxa"/>
            </w:tcMar>
          </w:tcPr>
          <w:p w14:paraId="7089F6F1">
            <w:pPr>
              <w:spacing w:before="120" w:after="120" w:line="288" w:lineRule="auto"/>
              <w:ind w:left="0"/>
              <w:jc w:val="left"/>
            </w:pPr>
            <w:r>
              <w:rPr>
                <w:rFonts w:ascii="Arial" w:hAnsi="Arial" w:eastAsia="等线" w:cs="Arial"/>
                <w:sz w:val="22"/>
              </w:rPr>
              <w:t>美元相对于外币升值。美元受供求关系影响，因此如果我们的货币供应紧张，我们的货币就会升值。由于美元走强，美国公司进口外国商品的成本更低。然而，由于外国公司购买美国商品的成本更高，美国出口下降。</w:t>
            </w:r>
          </w:p>
        </w:tc>
      </w:tr>
    </w:tbl>
    <w:p w14:paraId="6582B64C">
      <w:pPr>
        <w:spacing w:before="120" w:after="120" w:line="288" w:lineRule="auto"/>
        <w:ind w:left="0"/>
        <w:jc w:val="left"/>
      </w:pPr>
      <w:r>
        <w:rPr>
          <w:rFonts w:ascii="Arial" w:hAnsi="Arial" w:eastAsia="等线" w:cs="Arial"/>
          <w:sz w:val="22"/>
        </w:rPr>
        <w:t>总而言之，</w:t>
      </w:r>
    </w:p>
    <w:p w14:paraId="52EA589F">
      <w:pPr>
        <w:numPr>
          <w:ilvl w:val="0"/>
          <w:numId w:val="60"/>
        </w:numPr>
        <w:spacing w:before="120" w:after="120" w:line="288" w:lineRule="auto"/>
        <w:ind w:left="0"/>
        <w:jc w:val="left"/>
      </w:pPr>
      <w:r>
        <w:rPr>
          <w:rFonts w:ascii="Arial" w:hAnsi="Arial" w:eastAsia="等线" w:cs="Arial"/>
          <w:sz w:val="22"/>
        </w:rPr>
        <w:t>宽松的货币政策（Loose monetary policy），意味着更低的利率＝&gt; 低利率有助于消费和投资 ＝&gt; 有助于经济的增长 =&gt; 市场看涨。但低利率的副作用是容易导致通货膨胀率上升，并且美元相对外币来说会贬值（美元贬值，有利于美国的出口贸易，但进口的成本增加了）</w:t>
      </w:r>
    </w:p>
    <w:p w14:paraId="6A41C6BF">
      <w:pPr>
        <w:spacing w:before="120" w:after="120" w:line="288" w:lineRule="auto"/>
        <w:ind w:left="0"/>
        <w:jc w:val="left"/>
      </w:pPr>
    </w:p>
    <w:p w14:paraId="156CD585">
      <w:pPr>
        <w:numPr>
          <w:ilvl w:val="0"/>
          <w:numId w:val="61"/>
        </w:numPr>
        <w:spacing w:before="120" w:after="120" w:line="288" w:lineRule="auto"/>
        <w:ind w:left="0"/>
        <w:jc w:val="left"/>
      </w:pPr>
      <w:r>
        <w:rPr>
          <w:rFonts w:ascii="Arial" w:hAnsi="Arial" w:eastAsia="等线" w:cs="Arial"/>
          <w:sz w:val="22"/>
        </w:rPr>
        <w:t>紧缩的货币政策（Tight monetary policy），则跟上述完全相反。</w:t>
      </w:r>
    </w:p>
    <w:p w14:paraId="14420558">
      <w:pPr>
        <w:spacing w:before="120" w:after="120" w:line="288" w:lineRule="auto"/>
        <w:ind w:left="0"/>
        <w:jc w:val="left"/>
      </w:pPr>
      <w:r>
        <w:rPr>
          <w:rFonts w:ascii="Arial" w:hAnsi="Arial" w:eastAsia="等线" w:cs="Arial"/>
          <w:b/>
          <w:sz w:val="22"/>
        </w:rPr>
        <w:t>以上逻辑，需要好好理解，考试时可以通过逻辑推理出来，无需死记硬背</w:t>
      </w:r>
      <w:r>
        <w:rPr>
          <w:rFonts w:ascii="Arial" w:hAnsi="Arial" w:eastAsia="等线" w:cs="Arial"/>
          <w:sz w:val="22"/>
        </w:rPr>
        <w:t>。</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1F9A687F">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0A38B28">
            <w:pPr>
              <w:spacing w:before="120" w:after="120" w:line="288" w:lineRule="auto"/>
              <w:ind w:left="0"/>
              <w:jc w:val="left"/>
            </w:pPr>
            <w:r>
              <w:rPr>
                <w:rFonts w:ascii="Arial" w:hAnsi="Arial" w:eastAsia="等线" w:cs="Arial"/>
                <w:sz w:val="22"/>
              </w:rPr>
              <w:t>Q: 为什么美联储降息会导致美元贬值？</w:t>
            </w:r>
          </w:p>
          <w:p w14:paraId="5238FECF">
            <w:pPr>
              <w:spacing w:before="120" w:after="120" w:line="288" w:lineRule="auto"/>
              <w:ind w:left="0"/>
              <w:jc w:val="left"/>
            </w:pPr>
            <w:r>
              <w:rPr>
                <w:rFonts w:ascii="Arial" w:hAnsi="Arial" w:eastAsia="等线" w:cs="Arial"/>
                <w:sz w:val="22"/>
              </w:rPr>
              <w:t>A:   可以想象一下，全球有许多大型投资基金（或者说，“土豪”）。他们之前将资金配置于美元资产（如美国国债），因为美元拥有全球性的流动性和稳定性，并且当时美元的利率（比如4%）与其他货币（如欧元的4.2%）相比，利差不大，持有美元是合理的选择。（美元虽然利息略低个0.2%，但是土豪偏好持有一部分美元，这种偏好通常源于对美元汇率稳定性的信心、美国市场的深度和流动性，或者持有美元的交易便利性）</w:t>
            </w:r>
          </w:p>
          <w:p w14:paraId="0CC2CC30">
            <w:pPr>
              <w:spacing w:before="120" w:after="120" w:line="288" w:lineRule="auto"/>
              <w:ind w:left="0"/>
              <w:jc w:val="left"/>
            </w:pPr>
            <w:r>
              <w:rPr>
                <w:rFonts w:ascii="Arial" w:hAnsi="Arial" w:eastAsia="等线" w:cs="Arial"/>
                <w:sz w:val="22"/>
              </w:rPr>
              <w:t xml:space="preserve">    然而，当美联储释放出即将降息的强烈信号时，市场预期美元利率将从4%降至3.5%。这使得美元与欧元的利差从原来的-0.2%转为-0.7%。</w:t>
            </w:r>
          </w:p>
          <w:p w14:paraId="2D6A332E">
            <w:pPr>
              <w:spacing w:before="120" w:after="120" w:line="288" w:lineRule="auto"/>
              <w:ind w:left="0"/>
              <w:jc w:val="left"/>
            </w:pPr>
            <w:r>
              <w:rPr>
                <w:rFonts w:ascii="Arial" w:hAnsi="Arial" w:eastAsia="等线" w:cs="Arial"/>
                <w:sz w:val="22"/>
              </w:rPr>
              <w:t xml:space="preserve">    此时，这些土豪会想：“美元资产的收益率即将大幅下降，我为什么不现在就把一部分美元换成欧元，去锁定那边更高的收益呢？” 于是，他们开始在外汇市场上卖出美元、买入欧元。</w:t>
            </w:r>
          </w:p>
          <w:p w14:paraId="38324B2E">
            <w:pPr>
              <w:spacing w:before="120" w:after="120" w:line="288" w:lineRule="auto"/>
              <w:ind w:left="0"/>
              <w:jc w:val="left"/>
            </w:pPr>
            <w:r>
              <w:rPr>
                <w:rFonts w:ascii="Arial" w:hAnsi="Arial" w:eastAsia="等线" w:cs="Arial"/>
                <w:sz w:val="22"/>
              </w:rPr>
              <w:t xml:space="preserve">    当市场上成千上万的投资者都采取同样的行动时，就形成了强大的美元卖压和欧元买压，从而直接导致美元相对于欧元贬值。</w:t>
            </w:r>
          </w:p>
          <w:p w14:paraId="5096BB45">
            <w:pPr>
              <w:spacing w:before="120" w:after="120" w:line="288" w:lineRule="auto"/>
              <w:ind w:left="0"/>
              <w:jc w:val="left"/>
            </w:pPr>
          </w:p>
          <w:p w14:paraId="46898EAF">
            <w:pPr>
              <w:spacing w:before="120" w:after="120" w:line="288" w:lineRule="auto"/>
              <w:ind w:left="0"/>
              <w:jc w:val="left"/>
            </w:pPr>
            <w:r>
              <w:rPr>
                <w:rFonts w:ascii="Arial" w:hAnsi="Arial" w:eastAsia="等线" w:cs="Arial"/>
                <w:sz w:val="22"/>
              </w:rPr>
              <w:t>逻辑链条：降息 -&gt; 美元资产吸引力下降 -&gt; 投资者调整资产配置 -&gt; 卖出美元、买入欧元 -&gt; 美元贬值。</w:t>
            </w:r>
          </w:p>
        </w:tc>
      </w:tr>
    </w:tbl>
    <w:p w14:paraId="241BB34A"/>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F9BC6EE">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10416420">
            <w:pPr>
              <w:spacing w:before="120" w:after="120" w:line="288" w:lineRule="auto"/>
              <w:ind w:left="0"/>
              <w:jc w:val="left"/>
            </w:pPr>
            <w:r>
              <w:rPr>
                <w:rFonts w:ascii="Arial" w:hAnsi="Arial" w:eastAsia="等线" w:cs="Arial"/>
                <w:sz w:val="22"/>
              </w:rPr>
              <w:t>Q: 为什么美元贬值会有利于美国的出口，而抑制美国进口商品？</w:t>
            </w:r>
          </w:p>
          <w:p w14:paraId="3592528D">
            <w:pPr>
              <w:spacing w:before="120" w:after="120" w:line="288" w:lineRule="auto"/>
              <w:ind w:left="0"/>
              <w:jc w:val="left"/>
            </w:pPr>
            <w:r>
              <w:rPr>
                <w:rFonts w:ascii="Arial" w:hAnsi="Arial" w:eastAsia="等线" w:cs="Arial"/>
                <w:sz w:val="22"/>
              </w:rPr>
              <w:t>A: 美元相对于外币贬值后，相同面值的美元能兑换的外币变少了，相对的，相同面值的外币能兑换的美元变多了。外国消费者购买美国商品相对更便宜了，会刺激他们购买美国货；而美国消费者购买国外商品的价格相对变贵了，会抑制消费进口商品的意愿。</w:t>
            </w:r>
          </w:p>
          <w:p w14:paraId="63524D5B">
            <w:pPr>
              <w:spacing w:before="120" w:after="120" w:line="288" w:lineRule="auto"/>
              <w:ind w:left="0"/>
              <w:jc w:val="left"/>
            </w:pPr>
          </w:p>
          <w:p w14:paraId="490286F2">
            <w:pPr>
              <w:spacing w:before="120" w:after="120" w:line="288" w:lineRule="auto"/>
              <w:ind w:left="0"/>
              <w:jc w:val="left"/>
            </w:pPr>
            <w:r>
              <w:rPr>
                <w:rFonts w:ascii="Arial" w:hAnsi="Arial" w:eastAsia="等线" w:cs="Arial"/>
                <w:sz w:val="22"/>
              </w:rPr>
              <w:t>举个栗子。假设一部iPhone在美国定价是1000美元，一台大疆在中国卖4000元，1美元可以兑8元人民币。那么iPhone卖到中国的价格相当于8000元，大疆卖到美国的价格是500刀（假设全球统一售价）。</w:t>
            </w:r>
          </w:p>
          <w:p w14:paraId="1ED9DE2D">
            <w:pPr>
              <w:spacing w:before="120" w:after="120" w:line="288" w:lineRule="auto"/>
              <w:ind w:left="0"/>
              <w:jc w:val="left"/>
            </w:pPr>
            <w:r>
              <w:rPr>
                <w:rFonts w:ascii="Arial" w:hAnsi="Arial" w:eastAsia="等线" w:cs="Arial"/>
                <w:sz w:val="22"/>
              </w:rPr>
              <w:t xml:space="preserve"> </w:t>
            </w:r>
          </w:p>
          <w:p w14:paraId="598D90B2">
            <w:pPr>
              <w:spacing w:before="120" w:after="120" w:line="288" w:lineRule="auto"/>
              <w:ind w:left="0"/>
              <w:jc w:val="left"/>
            </w:pPr>
            <w:r>
              <w:rPr>
                <w:rFonts w:ascii="Arial" w:hAnsi="Arial" w:eastAsia="等线" w:cs="Arial"/>
                <w:sz w:val="22"/>
              </w:rPr>
              <w:t>美元贬值，意味着1美元不再值那么多的外币了，现在1美元贬值后可以兑4元人民币。那么iPhone在中国的售价从8000元降到了4000元，而大疆在美国的售价从500刀涨到了1000刀。这种情况下，中国消费者觉得iPhone降价了，而美国消费者觉得大疆涨价了。</w:t>
            </w:r>
          </w:p>
        </w:tc>
      </w:tr>
    </w:tbl>
    <w:p w14:paraId="19F55870">
      <w:pPr>
        <w:spacing w:before="120" w:after="120" w:line="288" w:lineRule="auto"/>
        <w:ind w:left="0"/>
        <w:jc w:val="left"/>
      </w:pPr>
    </w:p>
    <w:p w14:paraId="50341528">
      <w:pPr>
        <w:spacing w:before="300" w:after="120" w:line="288" w:lineRule="auto"/>
        <w:ind w:left="0"/>
        <w:jc w:val="left"/>
        <w:outlineLvl w:val="2"/>
      </w:pPr>
      <w:bookmarkStart w:id="22" w:name="heading_22"/>
      <w:r>
        <w:rPr>
          <w:rFonts w:ascii="Arial" w:hAnsi="Arial" w:eastAsia="等线" w:cs="Arial"/>
          <w:color w:val="3370FF"/>
          <w:sz w:val="30"/>
        </w:rPr>
        <w:t xml:space="preserve">2.2.2 </w:t>
      </w:r>
      <w:r>
        <w:rPr>
          <w:rFonts w:ascii="Arial" w:hAnsi="Arial" w:eastAsia="等线" w:cs="Arial"/>
          <w:b/>
          <w:sz w:val="30"/>
        </w:rPr>
        <w:t>美联储控制货币量的工具</w:t>
      </w:r>
      <w:bookmarkEnd w:id="22"/>
    </w:p>
    <w:p w14:paraId="0419E34F">
      <w:pPr>
        <w:spacing w:before="120" w:after="120" w:line="288" w:lineRule="auto"/>
        <w:ind w:left="0"/>
        <w:jc w:val="left"/>
      </w:pPr>
      <w:r>
        <w:rPr>
          <w:rFonts w:ascii="Arial" w:hAnsi="Arial" w:eastAsia="等线" w:cs="Arial"/>
          <w:sz w:val="22"/>
        </w:rPr>
        <w:t>美联储拥有一些工具来帮助控制货币供应量。</w:t>
      </w:r>
    </w:p>
    <w:p w14:paraId="5F1AF3B4">
      <w:pPr>
        <w:spacing w:before="260" w:after="120" w:line="288" w:lineRule="auto"/>
        <w:ind w:left="0"/>
        <w:jc w:val="left"/>
        <w:outlineLvl w:val="3"/>
      </w:pPr>
      <w:bookmarkStart w:id="23" w:name="heading_23"/>
      <w:r>
        <w:rPr>
          <w:rFonts w:ascii="Arial" w:hAnsi="Arial" w:eastAsia="等线" w:cs="Arial"/>
          <w:color w:val="3370FF"/>
          <w:sz w:val="28"/>
        </w:rPr>
        <w:t xml:space="preserve">2.2.2.1 </w:t>
      </w:r>
      <w:r>
        <w:rPr>
          <w:rFonts w:ascii="Arial" w:hAnsi="Arial" w:eastAsia="等线" w:cs="Arial"/>
          <w:b/>
          <w:sz w:val="28"/>
        </w:rPr>
        <w:t>公开市场操作（Open market operations）</w:t>
      </w:r>
      <w:bookmarkEnd w:id="23"/>
    </w:p>
    <w:p w14:paraId="7139E3F1">
      <w:pPr>
        <w:spacing w:before="120" w:after="120" w:line="288" w:lineRule="auto"/>
        <w:ind w:left="0"/>
        <w:jc w:val="left"/>
      </w:pPr>
      <w:r>
        <w:rPr>
          <w:rFonts w:ascii="Arial" w:hAnsi="Arial" w:eastAsia="等线" w:cs="Arial"/>
          <w:sz w:val="22"/>
        </w:rPr>
        <w:t>除了印钞之外，这是美联储最常用的工具。</w:t>
      </w:r>
    </w:p>
    <w:p w14:paraId="20A88CF1">
      <w:pPr>
        <w:spacing w:before="120" w:after="120" w:line="288" w:lineRule="auto"/>
        <w:ind w:left="0"/>
        <w:jc w:val="left"/>
      </w:pPr>
    </w:p>
    <w:p w14:paraId="5FEC732D">
      <w:pPr>
        <w:spacing w:before="120" w:after="120" w:line="288" w:lineRule="auto"/>
        <w:ind w:left="0"/>
        <w:jc w:val="left"/>
      </w:pPr>
      <w:r>
        <w:rPr>
          <w:rFonts w:ascii="Arial" w:hAnsi="Arial" w:eastAsia="等线" w:cs="Arial"/>
          <w:sz w:val="22"/>
        </w:rPr>
        <w:t>公开市场操作，指在市场上买卖美国政府债券或美国政府机构证券，以控制货币供应量。公开市场操作由联邦公开市场委员会 (FOMC) 执行。如果美联储出售证券，它会从银行系统抽出资金，这是紧缩的货币政策；如果美联储在公开市场购买证券，它会将资金注入银行系统，这是宽松的货币政策。</w:t>
      </w:r>
    </w:p>
    <w:p w14:paraId="04921B45">
      <w:pPr>
        <w:spacing w:before="120" w:after="120" w:line="288" w:lineRule="auto"/>
        <w:ind w:left="0"/>
        <w:jc w:val="left"/>
      </w:pPr>
    </w:p>
    <w:p w14:paraId="0530F0F7">
      <w:pPr>
        <w:spacing w:before="120" w:after="120" w:line="288" w:lineRule="auto"/>
        <w:ind w:left="0"/>
        <w:jc w:val="left"/>
      </w:pPr>
      <w:r>
        <w:rPr>
          <w:rFonts w:ascii="Arial" w:hAnsi="Arial" w:eastAsia="等线" w:cs="Arial"/>
          <w:sz w:val="22"/>
        </w:rPr>
        <w:t>为什么美联储出售证券是一种紧缩的货币政策？美联储将手头储备的证券，到市场上出售（给其他投资者），以换取货币。美联储拿到这部分货币后，在市场上流通的货币量就变少了，因此这是一种降低货币供应量的方式。反之，若美联储购买证券，则是让更多的货币到市场上去流通，是宽松的货币政策。</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2FA775C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0B7B7BBC">
            <w:pPr>
              <w:spacing w:before="120" w:after="120" w:line="288" w:lineRule="auto"/>
              <w:ind w:left="0"/>
              <w:jc w:val="left"/>
            </w:pPr>
            <w:r>
              <w:rPr>
                <w:rFonts w:ascii="Arial" w:hAnsi="Arial" w:eastAsia="等线" w:cs="Arial"/>
                <w:sz w:val="22"/>
              </w:rPr>
              <w:t>Q：美联储购买证券的钱是从哪来的？</w:t>
            </w:r>
          </w:p>
          <w:p w14:paraId="35BA81C6">
            <w:pPr>
              <w:spacing w:before="120" w:after="120" w:line="288" w:lineRule="auto"/>
              <w:ind w:left="0"/>
              <w:jc w:val="left"/>
            </w:pPr>
            <w:r>
              <w:rPr>
                <w:rFonts w:ascii="Arial" w:hAnsi="Arial" w:eastAsia="等线" w:cs="Arial"/>
                <w:sz w:val="22"/>
              </w:rPr>
              <w:t>A：美联储购买证券的钱并不是从任何地方“转来”的，而是通过“记账”的方式无中生有地创造出来的新货币。 这个过程通常被称为 “印钱”，但更准确的学术术语是 “信用创造” 或 “扩表”。</w:t>
            </w:r>
          </w:p>
          <w:p w14:paraId="02F428B7">
            <w:pPr>
              <w:spacing w:before="120" w:after="120" w:line="288" w:lineRule="auto"/>
              <w:ind w:left="0"/>
              <w:jc w:val="left"/>
            </w:pPr>
          </w:p>
          <w:p w14:paraId="0081ACC8">
            <w:pPr>
              <w:spacing w:before="120" w:after="120" w:line="288" w:lineRule="auto"/>
              <w:ind w:left="0"/>
              <w:jc w:val="left"/>
            </w:pPr>
            <w:r>
              <w:rPr>
                <w:rFonts w:ascii="Arial" w:hAnsi="Arial" w:eastAsia="等线" w:cs="Arial"/>
                <w:b/>
                <w:sz w:val="22"/>
              </w:rPr>
              <w:t>核心机制：电子记账与信用创造。</w:t>
            </w:r>
          </w:p>
          <w:p w14:paraId="00DDD9DD">
            <w:pPr>
              <w:spacing w:before="120" w:after="120" w:line="288" w:lineRule="auto"/>
              <w:ind w:left="0"/>
              <w:jc w:val="left"/>
            </w:pPr>
            <w:r>
              <w:rPr>
                <w:rFonts w:ascii="Arial" w:hAnsi="Arial" w:eastAsia="等线" w:cs="Arial"/>
                <w:sz w:val="22"/>
              </w:rPr>
              <w:t>当美联储决定在公开市场上购买国债或抵押贷款支持证券时，它并不是开支票或动用财政税收。其操作流程如下：</w:t>
            </w:r>
          </w:p>
          <w:p w14:paraId="22C7B107">
            <w:pPr>
              <w:numPr>
                <w:ilvl w:val="0"/>
                <w:numId w:val="62"/>
              </w:numPr>
              <w:spacing w:before="120" w:after="120" w:line="288" w:lineRule="auto"/>
              <w:ind w:left="0"/>
              <w:jc w:val="left"/>
            </w:pPr>
            <w:r>
              <w:rPr>
                <w:rFonts w:ascii="Arial" w:hAnsi="Arial" w:eastAsia="等线" w:cs="Arial"/>
                <w:sz w:val="22"/>
              </w:rPr>
              <w:t>美联储下达指令：联邦公开市场委员会做出购买决定。</w:t>
            </w:r>
          </w:p>
          <w:p w14:paraId="1646F7A8">
            <w:pPr>
              <w:numPr>
                <w:ilvl w:val="0"/>
                <w:numId w:val="63"/>
              </w:numPr>
              <w:spacing w:before="120" w:after="120" w:line="288" w:lineRule="auto"/>
              <w:ind w:left="0"/>
              <w:jc w:val="left"/>
            </w:pPr>
            <w:r>
              <w:rPr>
                <w:rFonts w:ascii="Arial" w:hAnsi="Arial" w:eastAsia="等线" w:cs="Arial"/>
                <w:sz w:val="22"/>
              </w:rPr>
              <w:t>纽约联储交易室执行：交易员在二级市场上从商业银行（如花旗、摩根大通等）等交易对手那里购买证券。</w:t>
            </w:r>
          </w:p>
          <w:p w14:paraId="403B4F62">
            <w:pPr>
              <w:numPr>
                <w:ilvl w:val="0"/>
                <w:numId w:val="64"/>
              </w:numPr>
              <w:spacing w:before="120" w:after="120" w:line="288" w:lineRule="auto"/>
              <w:ind w:left="0"/>
              <w:jc w:val="left"/>
            </w:pPr>
            <w:r>
              <w:rPr>
                <w:rFonts w:ascii="Arial" w:hAnsi="Arial" w:eastAsia="等线" w:cs="Arial"/>
                <w:sz w:val="22"/>
              </w:rPr>
              <w:t>进行支付：美联储通过贷记（增加）商业银行在美联储的储备金账户来完成支付。</w:t>
            </w:r>
          </w:p>
          <w:p w14:paraId="0E64142F">
            <w:pPr>
              <w:spacing w:before="120" w:after="120" w:line="288" w:lineRule="auto"/>
              <w:ind w:left="0"/>
              <w:jc w:val="left"/>
            </w:pPr>
            <w:r>
              <w:rPr>
                <w:rFonts w:ascii="Arial" w:hAnsi="Arial" w:eastAsia="等线" w:cs="Arial"/>
                <w:sz w:val="22"/>
              </w:rPr>
              <w:t>这个步骤是关键： 美联储只是在自己的账本上，将卖证券的商业银行的储备金余额增加相应的金额。这些储备金是商业银行存放在美联储的电子货币。</w:t>
            </w:r>
          </w:p>
          <w:p w14:paraId="30BD8EAE">
            <w:pPr>
              <w:spacing w:before="120" w:after="120" w:line="288" w:lineRule="auto"/>
              <w:ind w:left="0"/>
              <w:jc w:val="left"/>
            </w:pPr>
          </w:p>
          <w:p w14:paraId="4B41282A">
            <w:pPr>
              <w:spacing w:before="120" w:after="120" w:line="288" w:lineRule="auto"/>
              <w:ind w:left="0"/>
              <w:jc w:val="left"/>
            </w:pPr>
            <w:r>
              <w:rPr>
                <w:rFonts w:ascii="Arial" w:hAnsi="Arial" w:eastAsia="等线" w:cs="Arial"/>
                <w:b/>
                <w:sz w:val="22"/>
              </w:rPr>
              <w:t>举个例子：</w:t>
            </w:r>
          </w:p>
          <w:p w14:paraId="66B0ED42">
            <w:pPr>
              <w:spacing w:before="120" w:after="120" w:line="288" w:lineRule="auto"/>
              <w:ind w:left="0"/>
              <w:jc w:val="left"/>
            </w:pPr>
            <w:r>
              <w:rPr>
                <w:rFonts w:ascii="Arial" w:hAnsi="Arial" w:eastAsia="等线" w:cs="Arial"/>
                <w:sz w:val="22"/>
              </w:rPr>
              <w:t>假设美联储从摩根大通购买10亿美元的国债。</w:t>
            </w:r>
          </w:p>
          <w:p w14:paraId="20789A66">
            <w:pPr>
              <w:numPr>
                <w:ilvl w:val="0"/>
                <w:numId w:val="65"/>
              </w:numPr>
              <w:spacing w:before="120" w:after="120" w:line="288" w:lineRule="auto"/>
              <w:ind w:left="0"/>
              <w:jc w:val="left"/>
            </w:pPr>
            <w:r>
              <w:rPr>
                <w:rFonts w:ascii="Arial" w:hAnsi="Arial" w:eastAsia="等线" w:cs="Arial"/>
                <w:sz w:val="22"/>
              </w:rPr>
              <w:t>操作前：</w:t>
            </w:r>
          </w:p>
          <w:p w14:paraId="2D0F11A6">
            <w:pPr>
              <w:numPr>
                <w:ilvl w:val="0"/>
                <w:numId w:val="66"/>
              </w:numPr>
              <w:spacing w:before="120" w:after="120" w:line="288" w:lineRule="auto"/>
              <w:ind w:left="453"/>
              <w:jc w:val="left"/>
            </w:pPr>
            <w:r>
              <w:rPr>
                <w:rFonts w:ascii="Arial" w:hAnsi="Arial" w:eastAsia="等线" w:cs="Arial"/>
                <w:sz w:val="22"/>
              </w:rPr>
              <w:t>摩根大通的资产：持有100亿国债，在美联储有50亿储备金。</w:t>
            </w:r>
          </w:p>
          <w:p w14:paraId="7B63DCD3">
            <w:pPr>
              <w:numPr>
                <w:ilvl w:val="0"/>
                <w:numId w:val="67"/>
              </w:numPr>
              <w:spacing w:before="120" w:after="120" w:line="288" w:lineRule="auto"/>
              <w:ind w:left="453"/>
              <w:jc w:val="left"/>
            </w:pPr>
            <w:r>
              <w:rPr>
                <w:rFonts w:ascii="Arial" w:hAnsi="Arial" w:eastAsia="等线" w:cs="Arial"/>
                <w:sz w:val="22"/>
              </w:rPr>
              <w:t>美联储的资产：持有大量证券；负债：商业银行储备金总额为5000亿。</w:t>
            </w:r>
          </w:p>
          <w:p w14:paraId="07A620AD">
            <w:pPr>
              <w:numPr>
                <w:ilvl w:val="0"/>
                <w:numId w:val="68"/>
              </w:numPr>
              <w:spacing w:before="120" w:after="120" w:line="288" w:lineRule="auto"/>
              <w:ind w:left="0"/>
              <w:jc w:val="left"/>
            </w:pPr>
            <w:r>
              <w:rPr>
                <w:rFonts w:ascii="Arial" w:hAnsi="Arial" w:eastAsia="等线" w:cs="Arial"/>
                <w:sz w:val="22"/>
              </w:rPr>
              <w:t>操作后：</w:t>
            </w:r>
          </w:p>
          <w:p w14:paraId="6BF77AA8">
            <w:pPr>
              <w:numPr>
                <w:ilvl w:val="0"/>
                <w:numId w:val="69"/>
              </w:numPr>
              <w:spacing w:before="120" w:after="120" w:line="288" w:lineRule="auto"/>
              <w:ind w:left="453"/>
              <w:jc w:val="left"/>
            </w:pPr>
            <w:r>
              <w:rPr>
                <w:rFonts w:ascii="Arial" w:hAnsi="Arial" w:eastAsia="等线" w:cs="Arial"/>
                <w:sz w:val="22"/>
              </w:rPr>
              <w:t>摩根大通的资产：持有90亿国债，在美联储有60亿储备金。</w:t>
            </w:r>
          </w:p>
          <w:p w14:paraId="2EA5B3BD">
            <w:pPr>
              <w:numPr>
                <w:ilvl w:val="0"/>
                <w:numId w:val="70"/>
              </w:numPr>
              <w:spacing w:before="120" w:after="120" w:line="288" w:lineRule="auto"/>
              <w:ind w:left="453"/>
              <w:jc w:val="left"/>
            </w:pPr>
            <w:r>
              <w:rPr>
                <w:rFonts w:ascii="Arial" w:hAnsi="Arial" w:eastAsia="等线" w:cs="Arial"/>
                <w:sz w:val="22"/>
              </w:rPr>
              <w:t>美联储的资产：持有证券增加10亿；负债：商业银行储备金总额增加10亿至5010亿。</w:t>
            </w:r>
          </w:p>
          <w:p w14:paraId="0DDE99FF">
            <w:pPr>
              <w:spacing w:before="120" w:after="120" w:line="288" w:lineRule="auto"/>
              <w:ind w:left="0"/>
              <w:jc w:val="left"/>
            </w:pPr>
            <w:r>
              <w:rPr>
                <w:rFonts w:ascii="Arial" w:hAnsi="Arial" w:eastAsia="等线" w:cs="Arial"/>
                <w:sz w:val="22"/>
              </w:rPr>
              <w:t>你看，这10亿美元在交易前并不存在。它是在交易发生时被创造出来的。</w:t>
            </w:r>
          </w:p>
          <w:p w14:paraId="288C7905">
            <w:pPr>
              <w:spacing w:before="120" w:after="120" w:line="288" w:lineRule="auto"/>
              <w:ind w:left="0"/>
              <w:jc w:val="left"/>
            </w:pPr>
          </w:p>
          <w:p w14:paraId="1AE8E38C">
            <w:pPr>
              <w:spacing w:before="120" w:after="120" w:line="288" w:lineRule="auto"/>
              <w:ind w:left="0"/>
              <w:jc w:val="left"/>
            </w:pPr>
            <w:r>
              <w:rPr>
                <w:rFonts w:ascii="Arial" w:hAnsi="Arial" w:eastAsia="等线" w:cs="Arial"/>
                <w:b/>
                <w:sz w:val="22"/>
              </w:rPr>
              <w:t>这个过程的影响：</w:t>
            </w:r>
          </w:p>
          <w:p w14:paraId="4EEC9973">
            <w:pPr>
              <w:numPr>
                <w:ilvl w:val="0"/>
                <w:numId w:val="71"/>
              </w:numPr>
              <w:spacing w:before="120" w:after="120" w:line="288" w:lineRule="auto"/>
              <w:ind w:left="0"/>
              <w:jc w:val="left"/>
            </w:pPr>
            <w:r>
              <w:rPr>
                <w:rFonts w:ascii="Arial" w:hAnsi="Arial" w:eastAsia="等线" w:cs="Arial"/>
                <w:sz w:val="22"/>
              </w:rPr>
              <w:t>对美联储：其资产负债表的资产端（持有的证券）和负债端（商业银行的储备金）同时、等额地增加。这就是所谓的“扩表”。</w:t>
            </w:r>
          </w:p>
          <w:p w14:paraId="57C2CD78">
            <w:pPr>
              <w:numPr>
                <w:ilvl w:val="0"/>
                <w:numId w:val="72"/>
              </w:numPr>
              <w:spacing w:before="120" w:after="120" w:line="288" w:lineRule="auto"/>
              <w:ind w:left="0"/>
              <w:jc w:val="left"/>
            </w:pPr>
            <w:r>
              <w:rPr>
                <w:rFonts w:ascii="Arial" w:hAnsi="Arial" w:eastAsia="等线" w:cs="Arial"/>
                <w:sz w:val="22"/>
              </w:rPr>
              <w:t>对商业银行：资产构成发生了变化：持有的证券减少了，但在美联储的储备金增加了。这些新增的储备金就是基础货币。</w:t>
            </w:r>
          </w:p>
          <w:p w14:paraId="36DFE2F7">
            <w:pPr>
              <w:numPr>
                <w:ilvl w:val="0"/>
                <w:numId w:val="73"/>
              </w:numPr>
              <w:spacing w:before="120" w:after="120" w:line="288" w:lineRule="auto"/>
              <w:ind w:left="0"/>
              <w:jc w:val="left"/>
            </w:pPr>
            <w:r>
              <w:rPr>
                <w:rFonts w:ascii="Arial" w:hAnsi="Arial" w:eastAsia="等线" w:cs="Arial"/>
                <w:sz w:val="22"/>
              </w:rPr>
              <w:t>对市场：</w:t>
            </w:r>
          </w:p>
          <w:p w14:paraId="17A447BE">
            <w:pPr>
              <w:numPr>
                <w:ilvl w:val="0"/>
                <w:numId w:val="74"/>
              </w:numPr>
              <w:spacing w:before="120" w:after="120" w:line="288" w:lineRule="auto"/>
              <w:ind w:left="453"/>
              <w:jc w:val="left"/>
            </w:pPr>
            <w:r>
              <w:rPr>
                <w:rFonts w:ascii="Arial" w:hAnsi="Arial" w:eastAsia="等线" w:cs="Arial"/>
                <w:sz w:val="22"/>
              </w:rPr>
              <w:t>注入流动性：银行体系内的资金变多了。</w:t>
            </w:r>
          </w:p>
          <w:p w14:paraId="4186CADD">
            <w:pPr>
              <w:numPr>
                <w:ilvl w:val="0"/>
                <w:numId w:val="75"/>
              </w:numPr>
              <w:spacing w:before="120" w:after="120" w:line="288" w:lineRule="auto"/>
              <w:ind w:left="453"/>
              <w:jc w:val="left"/>
            </w:pPr>
            <w:r>
              <w:rPr>
                <w:rFonts w:ascii="Arial" w:hAnsi="Arial" w:eastAsia="等线" w:cs="Arial"/>
                <w:sz w:val="22"/>
              </w:rPr>
              <w:t>推高证券价格：由于美联储是大型买家，其购买行为会直接推高国债等证券的价格。</w:t>
            </w:r>
          </w:p>
          <w:p w14:paraId="4AB440BC">
            <w:pPr>
              <w:numPr>
                <w:ilvl w:val="0"/>
                <w:numId w:val="76"/>
              </w:numPr>
              <w:spacing w:before="120" w:after="120" w:line="288" w:lineRule="auto"/>
              <w:ind w:left="453"/>
              <w:jc w:val="left"/>
            </w:pPr>
            <w:r>
              <w:rPr>
                <w:rFonts w:ascii="Arial" w:hAnsi="Arial" w:eastAsia="等线" w:cs="Arial"/>
                <w:sz w:val="22"/>
              </w:rPr>
              <w:t>压低利率：证券价格与收益率成反比，价格上升意味着长期利率下降。</w:t>
            </w:r>
          </w:p>
        </w:tc>
      </w:tr>
    </w:tbl>
    <w:p w14:paraId="7CE231CC">
      <w:pPr>
        <w:spacing w:before="260" w:after="120" w:line="288" w:lineRule="auto"/>
        <w:ind w:left="0"/>
        <w:jc w:val="left"/>
        <w:outlineLvl w:val="3"/>
      </w:pPr>
      <w:bookmarkStart w:id="24" w:name="heading_24"/>
      <w:r>
        <w:rPr>
          <w:rFonts w:ascii="Arial" w:hAnsi="Arial" w:eastAsia="等线" w:cs="Arial"/>
          <w:color w:val="3370FF"/>
          <w:sz w:val="28"/>
        </w:rPr>
        <w:t xml:space="preserve">2.2.2.2 </w:t>
      </w:r>
      <w:r>
        <w:rPr>
          <w:rFonts w:ascii="Arial" w:hAnsi="Arial" w:eastAsia="等线" w:cs="Arial"/>
          <w:b/>
          <w:sz w:val="28"/>
        </w:rPr>
        <w:t>贴现率</w:t>
      </w:r>
      <w:bookmarkEnd w:id="24"/>
    </w:p>
    <w:p w14:paraId="3FB3470B">
      <w:pPr>
        <w:spacing w:before="120" w:after="120" w:line="288" w:lineRule="auto"/>
        <w:ind w:left="0"/>
        <w:jc w:val="left"/>
      </w:pPr>
      <w:r>
        <w:rPr>
          <w:rFonts w:ascii="Arial" w:hAnsi="Arial" w:eastAsia="等线" w:cs="Arial"/>
          <w:sz w:val="22"/>
        </w:rPr>
        <w:t>贴现率（Discount Rate）是央行向成员银行收取的贷款利率。</w:t>
      </w:r>
    </w:p>
    <w:p w14:paraId="034898B5">
      <w:pPr>
        <w:spacing w:before="120" w:after="120" w:line="288" w:lineRule="auto"/>
        <w:ind w:left="0"/>
        <w:jc w:val="left"/>
      </w:pPr>
    </w:p>
    <w:p w14:paraId="1323FBFE">
      <w:pPr>
        <w:spacing w:before="120" w:after="120" w:line="288" w:lineRule="auto"/>
        <w:ind w:left="0"/>
        <w:jc w:val="left"/>
      </w:pPr>
      <w:r>
        <w:rPr>
          <w:rFonts w:ascii="Arial" w:hAnsi="Arial" w:eastAsia="等线" w:cs="Arial"/>
          <w:sz w:val="22"/>
        </w:rPr>
        <w:t>比如商业银行在急需资金时，会将自己持有的合格票据（如未到期的商业汇票）抵押给中央银行(美联储以获得贷款。</w:t>
      </w:r>
    </w:p>
    <w:p w14:paraId="5180A6FB">
      <w:pPr>
        <w:spacing w:before="120" w:after="120" w:line="288" w:lineRule="auto"/>
        <w:ind w:left="0"/>
        <w:jc w:val="left"/>
      </w:pPr>
    </w:p>
    <w:p w14:paraId="25213D43">
      <w:pPr>
        <w:spacing w:before="120" w:after="120" w:line="288" w:lineRule="auto"/>
        <w:ind w:left="0"/>
        <w:jc w:val="left"/>
      </w:pPr>
      <w:r>
        <w:rPr>
          <w:rFonts w:ascii="Arial" w:hAnsi="Arial" w:eastAsia="等线" w:cs="Arial"/>
          <w:b/>
          <w:sz w:val="22"/>
        </w:rPr>
        <w:t>如果贴现率上升，货币供应量就会收紧；相反，如果贴现率下降，货币供应量就会减少。</w:t>
      </w:r>
    </w:p>
    <w:p w14:paraId="2FE5562D">
      <w:pPr>
        <w:spacing w:before="120" w:after="120" w:line="288" w:lineRule="auto"/>
        <w:ind w:left="0"/>
        <w:jc w:val="left"/>
      </w:pPr>
    </w:p>
    <w:p w14:paraId="65FF269F">
      <w:pPr>
        <w:spacing w:before="120" w:after="120" w:line="288" w:lineRule="auto"/>
        <w:ind w:left="0"/>
        <w:jc w:val="left"/>
      </w:pPr>
      <w:r>
        <w:rPr>
          <w:rFonts w:ascii="Arial" w:hAnsi="Arial" w:eastAsia="等线" w:cs="Arial"/>
          <w:sz w:val="22"/>
        </w:rPr>
        <w:t>贴现率可以看做是商业银行的资金成本，商业银行贷款给其他机构/投资者的利率，是需要在贴现率之上加上一个Mark up（即商业银行要求的利息差，以获得利润）。因此贴现率上涨，商业银行对外放贷的利率也会水涨船高。升高的利率抑制了社会借贷和消费，从而起到货币紧缩的效果。</w:t>
      </w:r>
    </w:p>
    <w:p w14:paraId="4C8F0103">
      <w:pPr>
        <w:spacing w:before="120" w:after="120" w:line="288" w:lineRule="auto"/>
        <w:ind w:left="0"/>
        <w:jc w:val="left"/>
      </w:pPr>
    </w:p>
    <w:p w14:paraId="198740DF">
      <w:pPr>
        <w:spacing w:before="260" w:after="120" w:line="288" w:lineRule="auto"/>
        <w:ind w:left="0"/>
        <w:jc w:val="left"/>
        <w:outlineLvl w:val="3"/>
      </w:pPr>
      <w:bookmarkStart w:id="25" w:name="heading_25"/>
      <w:r>
        <w:rPr>
          <w:rFonts w:ascii="Arial" w:hAnsi="Arial" w:eastAsia="等线" w:cs="Arial"/>
          <w:color w:val="3370FF"/>
          <w:sz w:val="28"/>
        </w:rPr>
        <w:t xml:space="preserve">2.2.2.3 </w:t>
      </w:r>
      <w:r>
        <w:rPr>
          <w:rFonts w:ascii="Arial" w:hAnsi="Arial" w:eastAsia="等线" w:cs="Arial"/>
          <w:b/>
          <w:sz w:val="28"/>
        </w:rPr>
        <w:t>准备金要求（Reserve Requirement）</w:t>
      </w:r>
      <w:bookmarkEnd w:id="25"/>
    </w:p>
    <w:p w14:paraId="675ED9B7">
      <w:pPr>
        <w:spacing w:before="120" w:after="120" w:line="288" w:lineRule="auto"/>
        <w:ind w:left="0"/>
        <w:jc w:val="left"/>
      </w:pPr>
      <w:r>
        <w:rPr>
          <w:rFonts w:ascii="Arial" w:hAnsi="Arial" w:eastAsia="等线" w:cs="Arial"/>
          <w:sz w:val="22"/>
        </w:rPr>
        <w:t>准备金要求是指银行必须以现金形式存入客户资金的百分比。根据供求理论，如果美联储提高准备金要求，银行可供放贷给客户的资金就会减少，因此利率就会上升。</w:t>
      </w:r>
    </w:p>
    <w:p w14:paraId="3C66096F">
      <w:pPr>
        <w:spacing w:before="120" w:after="120" w:line="288" w:lineRule="auto"/>
        <w:ind w:left="0"/>
        <w:jc w:val="left"/>
      </w:pPr>
    </w:p>
    <w:p w14:paraId="5888DA91">
      <w:pPr>
        <w:spacing w:before="120" w:after="120" w:line="288" w:lineRule="auto"/>
        <w:ind w:left="0"/>
        <w:jc w:val="left"/>
      </w:pPr>
      <w:r>
        <w:rPr>
          <w:rFonts w:ascii="Arial" w:hAnsi="Arial" w:eastAsia="等线" w:cs="Arial"/>
          <w:sz w:val="22"/>
        </w:rPr>
        <w:t>商业银行的主要业务是吸收公众存款，然后把这些钱贷出去赚取利差。但如果所有储户同一天来取钱，而银行把钱全贷出去了，就会发生无法兑付的危机。为了防止这种情况，中央银行强制规定，商业银行必须将其吸收的存款的一部分，存放在中央银行的金库里，或者作为库存现金自己持有。这部分钱就叫做“准备金”或“存款准备金”。</w:t>
      </w:r>
    </w:p>
    <w:p w14:paraId="165C4473">
      <w:pPr>
        <w:spacing w:before="120" w:after="120" w:line="288" w:lineRule="auto"/>
        <w:ind w:left="0"/>
        <w:jc w:val="left"/>
      </w:pPr>
    </w:p>
    <w:p w14:paraId="40AFAE99">
      <w:pPr>
        <w:spacing w:before="120" w:after="120" w:line="288" w:lineRule="auto"/>
        <w:ind w:left="0"/>
        <w:jc w:val="left"/>
      </w:pPr>
      <w:r>
        <w:rPr>
          <w:rFonts w:ascii="Arial" w:hAnsi="Arial" w:eastAsia="等线" w:cs="Arial"/>
          <w:sz w:val="22"/>
        </w:rPr>
        <w:t>举个栗子体现准备金率对货币供应量的影响。假设央行要求的准备金率是10%，那么储户A到商业银行存款200元的时候，商业银行必须将其中的10%（20元）放到央行里，而剩下的180元可以拿去放贷。若准备金率从10%提高到15%，商业银行只能拿其中的170元用于放贷了。当可以用来放贷的资金变少了，资本变得更稀缺了，它的价格（也就是利率）就上升了。</w:t>
      </w:r>
    </w:p>
    <w:p w14:paraId="2C70D6A4">
      <w:pPr>
        <w:spacing w:before="120" w:after="120" w:line="288" w:lineRule="auto"/>
        <w:ind w:left="0"/>
        <w:jc w:val="left"/>
      </w:pPr>
    </w:p>
    <w:p w14:paraId="438F71AD">
      <w:pPr>
        <w:spacing w:before="260" w:after="120" w:line="288" w:lineRule="auto"/>
        <w:ind w:left="0"/>
        <w:jc w:val="left"/>
        <w:outlineLvl w:val="3"/>
      </w:pPr>
      <w:bookmarkStart w:id="26" w:name="heading_26"/>
      <w:r>
        <w:rPr>
          <w:rFonts w:ascii="Arial" w:hAnsi="Arial" w:eastAsia="等线" w:cs="Arial"/>
          <w:color w:val="3370FF"/>
          <w:sz w:val="28"/>
        </w:rPr>
        <w:t xml:space="preserve">2.2.2.4 </w:t>
      </w:r>
      <w:r>
        <w:rPr>
          <w:rFonts w:ascii="Arial" w:hAnsi="Arial" w:eastAsia="等线" w:cs="Arial"/>
          <w:b/>
          <w:sz w:val="28"/>
        </w:rPr>
        <w:t>Reg T（Regulation T）</w:t>
      </w:r>
      <w:bookmarkEnd w:id="26"/>
    </w:p>
    <w:p w14:paraId="4E67312E">
      <w:pPr>
        <w:spacing w:before="120" w:after="120" w:line="288" w:lineRule="auto"/>
        <w:ind w:left="0"/>
        <w:jc w:val="left"/>
      </w:pPr>
      <w:r>
        <w:rPr>
          <w:rFonts w:ascii="Arial" w:hAnsi="Arial" w:eastAsia="等线" w:cs="Arial"/>
          <w:sz w:val="22"/>
        </w:rPr>
        <w:t>Reg T 是投资者以保证金购买证券时必须支付的百分比。Reg T 目前设定为 50%，并且不经常更改。如果美联储提高比率，投资者的现金就会减少，从而导致货币紧缩。</w:t>
      </w:r>
    </w:p>
    <w:p w14:paraId="71229FFA">
      <w:pPr>
        <w:spacing w:before="120" w:after="120" w:line="288" w:lineRule="auto"/>
        <w:ind w:left="0"/>
        <w:jc w:val="left"/>
      </w:pPr>
    </w:p>
    <w:p w14:paraId="6FBA822A">
      <w:pPr>
        <w:spacing w:before="120" w:after="120" w:line="288" w:lineRule="auto"/>
        <w:ind w:left="0"/>
        <w:jc w:val="left"/>
      </w:pPr>
      <w:r>
        <w:rPr>
          <w:rFonts w:ascii="Arial" w:hAnsi="Arial" w:eastAsia="等线" w:cs="Arial"/>
          <w:sz w:val="22"/>
        </w:rPr>
        <w:t>当美联储想要执行宽松的货币政策，以刺激经济时，它可以通过这些方式：</w:t>
      </w:r>
    </w:p>
    <w:p w14:paraId="7ECF8838">
      <w:pPr>
        <w:numPr>
          <w:ilvl w:val="0"/>
          <w:numId w:val="77"/>
        </w:numPr>
        <w:spacing w:before="120" w:after="120" w:line="288" w:lineRule="auto"/>
        <w:ind w:left="0"/>
        <w:jc w:val="left"/>
      </w:pPr>
      <w:r>
        <w:rPr>
          <w:rFonts w:ascii="Arial" w:hAnsi="Arial" w:eastAsia="等线" w:cs="Arial"/>
          <w:sz w:val="22"/>
        </w:rPr>
        <w:t>在公开市场(open market)上购买美国政府发行的证券（如：国债）</w:t>
      </w:r>
    </w:p>
    <w:p w14:paraId="5F83F717">
      <w:pPr>
        <w:numPr>
          <w:ilvl w:val="0"/>
          <w:numId w:val="78"/>
        </w:numPr>
        <w:spacing w:before="120" w:after="120" w:line="288" w:lineRule="auto"/>
        <w:ind w:left="0"/>
        <w:jc w:val="left"/>
      </w:pPr>
      <w:r>
        <w:rPr>
          <w:rFonts w:ascii="Arial" w:hAnsi="Arial" w:eastAsia="等线" w:cs="Arial"/>
          <w:sz w:val="22"/>
        </w:rPr>
        <w:t>降低贴现率（discount rate），准备金率（reserve requirements）以及 Regulation T（但一般不会改Reg T）</w:t>
      </w:r>
    </w:p>
    <w:p w14:paraId="39C85A89">
      <w:pPr>
        <w:numPr>
          <w:ilvl w:val="0"/>
          <w:numId w:val="79"/>
        </w:numPr>
        <w:spacing w:before="120" w:after="120" w:line="288" w:lineRule="auto"/>
        <w:ind w:left="0"/>
        <w:jc w:val="left"/>
      </w:pPr>
      <w:r>
        <w:rPr>
          <w:rFonts w:ascii="Arial" w:hAnsi="Arial" w:eastAsia="等线" w:cs="Arial"/>
          <w:sz w:val="22"/>
        </w:rPr>
        <w:t>印钞</w:t>
      </w:r>
    </w:p>
    <w:p w14:paraId="52831562">
      <w:pPr>
        <w:spacing w:before="120" w:after="120" w:line="288" w:lineRule="auto"/>
        <w:ind w:left="0"/>
        <w:jc w:val="left"/>
      </w:pPr>
      <w:r>
        <w:rPr>
          <w:rFonts w:ascii="Arial" w:hAnsi="Arial" w:eastAsia="等线" w:cs="Arial"/>
          <w:sz w:val="22"/>
        </w:rPr>
        <w:t>而当美联储想要执行紧缩的货币政策，以降低通胀，让经济平稳运行时，则跟上述操作相反：</w:t>
      </w:r>
    </w:p>
    <w:p w14:paraId="101F7B74">
      <w:pPr>
        <w:numPr>
          <w:ilvl w:val="0"/>
          <w:numId w:val="80"/>
        </w:numPr>
        <w:spacing w:before="120" w:after="120" w:line="288" w:lineRule="auto"/>
        <w:ind w:left="0"/>
        <w:jc w:val="left"/>
      </w:pPr>
      <w:r>
        <w:rPr>
          <w:rFonts w:ascii="Arial" w:hAnsi="Arial" w:eastAsia="等线" w:cs="Arial"/>
          <w:sz w:val="22"/>
        </w:rPr>
        <w:t>在公开市场(open market)上出售美国政府发行的证券（如：国债）</w:t>
      </w:r>
    </w:p>
    <w:p w14:paraId="33AA6492">
      <w:pPr>
        <w:numPr>
          <w:ilvl w:val="0"/>
          <w:numId w:val="81"/>
        </w:numPr>
        <w:spacing w:before="120" w:after="120" w:line="288" w:lineRule="auto"/>
        <w:ind w:left="0"/>
        <w:jc w:val="left"/>
      </w:pPr>
      <w:r>
        <w:rPr>
          <w:rFonts w:ascii="Arial" w:hAnsi="Arial" w:eastAsia="等线" w:cs="Arial"/>
          <w:sz w:val="22"/>
        </w:rPr>
        <w:t>提高贴现率（discount rate），准备金率（reserve requirements）以及Regulation T</w:t>
      </w:r>
    </w:p>
    <w:p w14:paraId="6468BB4A">
      <w:pPr>
        <w:spacing w:before="120" w:after="120" w:line="288" w:lineRule="auto"/>
        <w:ind w:left="0"/>
        <w:jc w:val="left"/>
      </w:pPr>
    </w:p>
    <w:p w14:paraId="000583B5">
      <w:pPr>
        <w:spacing w:before="300" w:after="120" w:line="288" w:lineRule="auto"/>
        <w:ind w:left="0"/>
        <w:jc w:val="left"/>
        <w:outlineLvl w:val="2"/>
      </w:pPr>
      <w:bookmarkStart w:id="27" w:name="heading_27"/>
      <w:r>
        <w:rPr>
          <w:rFonts w:ascii="Arial" w:hAnsi="Arial" w:eastAsia="等线" w:cs="Arial"/>
          <w:color w:val="3370FF"/>
          <w:sz w:val="30"/>
        </w:rPr>
        <w:t xml:space="preserve">2.2.3 </w:t>
      </w:r>
      <w:r>
        <w:rPr>
          <w:rFonts w:ascii="Arial" w:hAnsi="Arial" w:eastAsia="等线" w:cs="Arial"/>
          <w:b/>
          <w:sz w:val="30"/>
        </w:rPr>
        <w:t>汇率（Exchange rates）</w:t>
      </w:r>
      <w:bookmarkEnd w:id="27"/>
    </w:p>
    <w:p w14:paraId="68D0B2EB">
      <w:pPr>
        <w:spacing w:before="120" w:after="120" w:line="288" w:lineRule="auto"/>
        <w:ind w:left="0"/>
        <w:jc w:val="left"/>
      </w:pPr>
      <w:r>
        <w:rPr>
          <w:rFonts w:ascii="Arial" w:hAnsi="Arial" w:eastAsia="等线" w:cs="Arial"/>
          <w:sz w:val="22"/>
        </w:rPr>
        <w:t>汇率是指一种货币兑换成另一种货币的比率。</w:t>
      </w:r>
    </w:p>
    <w:p w14:paraId="3684F7EA">
      <w:pPr>
        <w:spacing w:before="120" w:after="120" w:line="288" w:lineRule="auto"/>
        <w:ind w:left="0"/>
        <w:jc w:val="left"/>
      </w:pPr>
    </w:p>
    <w:p w14:paraId="4A6FCD71">
      <w:pPr>
        <w:spacing w:before="120" w:after="120" w:line="288" w:lineRule="auto"/>
        <w:ind w:left="0"/>
        <w:jc w:val="left"/>
      </w:pPr>
      <w:r>
        <w:rPr>
          <w:rFonts w:ascii="Arial" w:hAnsi="Arial" w:eastAsia="等线" w:cs="Arial"/>
          <w:sz w:val="22"/>
        </w:rPr>
        <w:t>可以想象，汇率会随着不同国家货币价值的升值、持平或贬值而不断变化。许多因素都会影响货币价值，例如一个国家的社会政策、税收政策、经济、政府等等的变化。</w:t>
      </w:r>
    </w:p>
    <w:p w14:paraId="105C5403">
      <w:pPr>
        <w:spacing w:before="120" w:after="120" w:line="288" w:lineRule="auto"/>
        <w:ind w:left="0"/>
        <w:jc w:val="left"/>
      </w:pPr>
    </w:p>
    <w:p w14:paraId="1E41FE79">
      <w:pPr>
        <w:spacing w:before="120" w:after="120" w:line="288" w:lineRule="auto"/>
        <w:ind w:left="0"/>
        <w:jc w:val="left"/>
      </w:pPr>
      <w:r>
        <w:rPr>
          <w:rFonts w:ascii="Arial" w:hAnsi="Arial" w:eastAsia="等线" w:cs="Arial"/>
          <w:sz w:val="22"/>
        </w:rPr>
        <w:t>在SIE考试中，你可以假设美元和外币的价值走势相反。汇率被认为是浮动汇率，因为它在不断变化。</w:t>
      </w:r>
    </w:p>
    <w:p w14:paraId="32C22BBD">
      <w:pPr>
        <w:spacing w:before="120" w:after="120" w:line="288" w:lineRule="auto"/>
        <w:ind w:left="0"/>
        <w:jc w:val="left"/>
      </w:pPr>
    </w:p>
    <w:p w14:paraId="36915456">
      <w:pPr>
        <w:spacing w:before="300" w:after="120" w:line="288" w:lineRule="auto"/>
        <w:ind w:left="0"/>
        <w:jc w:val="left"/>
        <w:outlineLvl w:val="2"/>
      </w:pPr>
      <w:bookmarkStart w:id="28" w:name="heading_28"/>
      <w:r>
        <w:rPr>
          <w:rFonts w:ascii="Arial" w:hAnsi="Arial" w:eastAsia="等线" w:cs="Arial"/>
          <w:color w:val="3370FF"/>
          <w:sz w:val="30"/>
        </w:rPr>
        <w:t xml:space="preserve">2.2.4 </w:t>
      </w:r>
      <w:r>
        <w:rPr>
          <w:rFonts w:ascii="Arial" w:hAnsi="Arial" w:eastAsia="等线" w:cs="Arial"/>
          <w:b/>
          <w:sz w:val="30"/>
        </w:rPr>
        <w:t>美国国际收支平衡表（balance of payments）</w:t>
      </w:r>
      <w:bookmarkEnd w:id="28"/>
    </w:p>
    <w:p w14:paraId="620D4ED5">
      <w:pPr>
        <w:spacing w:before="120" w:after="120" w:line="288" w:lineRule="auto"/>
        <w:ind w:left="0"/>
        <w:jc w:val="left"/>
      </w:pPr>
      <w:r>
        <w:rPr>
          <w:rFonts w:ascii="Arial" w:hAnsi="Arial" w:eastAsia="等线" w:cs="Arial"/>
          <w:sz w:val="22"/>
        </w:rPr>
        <w:t>美国国际收支平衡表（balance of payments, BoP）是对美国在特定时期内（通常为季度或年度）与世界各国经济交易的核算。</w:t>
      </w:r>
    </w:p>
    <w:p w14:paraId="45192159">
      <w:pPr>
        <w:spacing w:before="120" w:after="120" w:line="288" w:lineRule="auto"/>
        <w:ind w:left="0"/>
        <w:jc w:val="left"/>
      </w:pPr>
    </w:p>
    <w:p w14:paraId="20C3467E">
      <w:pPr>
        <w:spacing w:before="120" w:after="120" w:line="288" w:lineRule="auto"/>
        <w:ind w:left="0"/>
        <w:jc w:val="left"/>
      </w:pPr>
      <w:r>
        <w:rPr>
          <w:rFonts w:ascii="Arial" w:hAnsi="Arial" w:eastAsia="等线" w:cs="Arial"/>
          <w:sz w:val="22"/>
        </w:rPr>
        <w:t>国际收支平衡表可能显示赤字（deficit）（流出美国的资金多于流入美国的资金）或顺差（credit）（流入美国的资金多于流出美国的资金）。因此，美国货币的价值（美元强势或弱势）会极大地影响贸易平衡，从而影响美国的国际收支平衡表。</w:t>
      </w:r>
    </w:p>
    <w:p w14:paraId="202FE79C">
      <w:pPr>
        <w:spacing w:before="120" w:after="120" w:line="288" w:lineRule="auto"/>
        <w:ind w:left="0"/>
        <w:jc w:val="left"/>
      </w:pPr>
    </w:p>
    <w:p w14:paraId="0D496FE7">
      <w:pPr>
        <w:spacing w:before="120" w:after="120" w:line="288" w:lineRule="auto"/>
        <w:ind w:left="0"/>
        <w:jc w:val="left"/>
      </w:pPr>
      <w:r>
        <w:rPr>
          <w:rFonts w:ascii="Arial" w:hAnsi="Arial" w:eastAsia="等线" w:cs="Arial"/>
          <w:sz w:val="22"/>
        </w:rPr>
        <w:t>如果美元相对于其他货币走强，美国人购买外国商品和服务的成本就会更低。因此，可能会有更多资金流出美国。</w:t>
      </w:r>
    </w:p>
    <w:p w14:paraId="46A1D735">
      <w:pPr>
        <w:spacing w:before="120" w:after="120" w:line="288" w:lineRule="auto"/>
        <w:ind w:left="0"/>
        <w:jc w:val="left"/>
      </w:pPr>
    </w:p>
    <w:p w14:paraId="5B6B54CE">
      <w:pPr>
        <w:spacing w:before="120" w:after="120" w:line="288" w:lineRule="auto"/>
        <w:ind w:left="0"/>
        <w:jc w:val="left"/>
      </w:pPr>
      <w:r>
        <w:rPr>
          <w:rFonts w:ascii="Arial" w:hAnsi="Arial" w:eastAsia="等线" w:cs="Arial"/>
          <w:sz w:val="22"/>
        </w:rPr>
        <w:t>如果美元相对于其他货币走弱，外国公司、政府、个人等购买美国商品和服务的成本就会更低。因此，可能会有更多资金流入美国。</w:t>
      </w:r>
    </w:p>
    <w:p w14:paraId="11B76BF8">
      <w:pPr>
        <w:spacing w:before="120" w:after="120" w:line="288" w:lineRule="auto"/>
        <w:ind w:left="0"/>
        <w:jc w:val="left"/>
      </w:pPr>
    </w:p>
    <w:p w14:paraId="46903BA9">
      <w:pPr>
        <w:spacing w:before="320" w:after="120" w:line="288" w:lineRule="auto"/>
        <w:ind w:left="0"/>
        <w:jc w:val="left"/>
        <w:outlineLvl w:val="1"/>
      </w:pPr>
      <w:bookmarkStart w:id="29" w:name="heading_29"/>
      <w:r>
        <w:rPr>
          <w:rFonts w:ascii="Arial" w:hAnsi="Arial" w:eastAsia="等线" w:cs="Arial"/>
          <w:color w:val="3370FF"/>
          <w:sz w:val="32"/>
        </w:rPr>
        <w:t xml:space="preserve">2.3 </w:t>
      </w:r>
      <w:r>
        <w:rPr>
          <w:rFonts w:ascii="Arial" w:hAnsi="Arial" w:eastAsia="等线" w:cs="Arial"/>
          <w:b/>
          <w:sz w:val="32"/>
        </w:rPr>
        <w:t>解读经济指标（Economic Indicators）</w:t>
      </w:r>
      <w:bookmarkEnd w:id="29"/>
    </w:p>
    <w:p w14:paraId="47D04A34">
      <w:pPr>
        <w:spacing w:before="120" w:after="120" w:line="288" w:lineRule="auto"/>
        <w:ind w:left="0"/>
        <w:jc w:val="left"/>
      </w:pPr>
      <w:r>
        <w:rPr>
          <w:rFonts w:ascii="Arial" w:hAnsi="Arial" w:eastAsia="等线" w:cs="Arial"/>
          <w:sz w:val="22"/>
        </w:rPr>
        <w:t>经济指标有助于显示经济表现或走向，并预测近期经济走向的统计数据。</w:t>
      </w:r>
    </w:p>
    <w:p w14:paraId="4B267328">
      <w:pPr>
        <w:spacing w:before="120" w:after="120" w:line="288" w:lineRule="auto"/>
        <w:ind w:left="0"/>
        <w:jc w:val="left"/>
      </w:pPr>
    </w:p>
    <w:p w14:paraId="2538BE57">
      <w:pPr>
        <w:spacing w:before="120" w:after="120" w:line="288" w:lineRule="auto"/>
        <w:ind w:left="0"/>
        <w:jc w:val="left"/>
      </w:pPr>
      <w:r>
        <w:rPr>
          <w:rFonts w:ascii="Arial" w:hAnsi="Arial" w:eastAsia="等线" w:cs="Arial"/>
          <w:sz w:val="22"/>
        </w:rPr>
        <w:t>经济指标分为三类“先行指标、同步指标和滞后指标”。</w:t>
      </w:r>
    </w:p>
    <w:p w14:paraId="2CF150FA">
      <w:pPr>
        <w:spacing w:before="120" w:after="120" w:line="288" w:lineRule="auto"/>
        <w:ind w:left="0"/>
        <w:jc w:val="left"/>
      </w:pPr>
    </w:p>
    <w:p w14:paraId="75200FFE">
      <w:pPr>
        <w:spacing w:before="120" w:after="120" w:line="288" w:lineRule="auto"/>
        <w:ind w:left="0"/>
        <w:jc w:val="left"/>
      </w:pPr>
      <w:r>
        <w:rPr>
          <w:rFonts w:ascii="Arial" w:hAnsi="Arial" w:eastAsia="等线" w:cs="Arial"/>
          <w:sz w:val="22"/>
        </w:rPr>
        <w:t>这三个大类下，都各自有很多个指标，想要全部背下来是很难的。考试里可能会让你区分某个指标是属于哪一个类别的。按 SIE Dummies 一书的说法，</w:t>
      </w:r>
      <w:r>
        <w:rPr>
          <w:rFonts w:ascii="Arial" w:hAnsi="Arial" w:eastAsia="等线" w:cs="Arial"/>
          <w:b/>
          <w:sz w:val="22"/>
        </w:rPr>
        <w:t>每个大类里最靠前的几个指标是最容易被考到的</w:t>
      </w:r>
      <w:r>
        <w:rPr>
          <w:rFonts w:ascii="Arial" w:hAnsi="Arial" w:eastAsia="等线" w:cs="Arial"/>
          <w:sz w:val="22"/>
        </w:rPr>
        <w:t>。</w:t>
      </w:r>
    </w:p>
    <w:p w14:paraId="20AEB788">
      <w:pPr>
        <w:spacing w:before="120" w:after="120" w:line="288" w:lineRule="auto"/>
        <w:ind w:left="0"/>
        <w:jc w:val="left"/>
      </w:pPr>
    </w:p>
    <w:p w14:paraId="6A912389">
      <w:pPr>
        <w:spacing w:before="300" w:after="120" w:line="288" w:lineRule="auto"/>
        <w:ind w:left="0"/>
        <w:jc w:val="left"/>
        <w:outlineLvl w:val="2"/>
      </w:pPr>
      <w:bookmarkStart w:id="30" w:name="heading_30"/>
      <w:r>
        <w:rPr>
          <w:rFonts w:ascii="Arial" w:hAnsi="Arial" w:eastAsia="等线" w:cs="Arial"/>
          <w:color w:val="3370FF"/>
          <w:sz w:val="30"/>
        </w:rPr>
        <w:t xml:space="preserve">2.3.1 </w:t>
      </w:r>
      <w:r>
        <w:rPr>
          <w:rFonts w:ascii="Arial" w:hAnsi="Arial" w:eastAsia="等线" w:cs="Arial"/>
          <w:b/>
          <w:sz w:val="30"/>
        </w:rPr>
        <w:t>经济指标</w:t>
      </w:r>
      <w:bookmarkEnd w:id="30"/>
    </w:p>
    <w:p w14:paraId="33C92626">
      <w:pPr>
        <w:spacing w:before="260" w:after="120" w:line="288" w:lineRule="auto"/>
        <w:ind w:left="0"/>
        <w:jc w:val="left"/>
        <w:outlineLvl w:val="3"/>
      </w:pPr>
      <w:bookmarkStart w:id="31" w:name="heading_31"/>
      <w:r>
        <w:rPr>
          <w:rFonts w:ascii="Arial" w:hAnsi="Arial" w:eastAsia="等线" w:cs="Arial"/>
          <w:color w:val="3370FF"/>
          <w:sz w:val="28"/>
        </w:rPr>
        <w:t xml:space="preserve">2.3.1.1 </w:t>
      </w:r>
      <w:r>
        <w:rPr>
          <w:rFonts w:ascii="Arial" w:hAnsi="Arial" w:eastAsia="等线" w:cs="Arial"/>
          <w:b/>
          <w:sz w:val="28"/>
        </w:rPr>
        <w:t>先行指标（Leading indicators）</w:t>
      </w:r>
      <w:bookmarkEnd w:id="31"/>
    </w:p>
    <w:p w14:paraId="67C3CA81">
      <w:pPr>
        <w:spacing w:before="120" w:after="120" w:line="288" w:lineRule="auto"/>
        <w:ind w:left="0"/>
        <w:jc w:val="left"/>
      </w:pPr>
      <w:r>
        <w:rPr>
          <w:rFonts w:ascii="Arial" w:hAnsi="Arial" w:eastAsia="等线" w:cs="Arial"/>
          <w:sz w:val="22"/>
        </w:rPr>
        <w:t>先行指标是</w:t>
      </w:r>
      <w:r>
        <w:rPr>
          <w:rFonts w:ascii="Arial" w:hAnsi="Arial" w:eastAsia="等线" w:cs="Arial"/>
          <w:b/>
          <w:sz w:val="22"/>
        </w:rPr>
        <w:t>指示经济将如何（或可能如何）发展</w:t>
      </w:r>
      <w:r>
        <w:rPr>
          <w:rFonts w:ascii="Arial" w:hAnsi="Arial" w:eastAsia="等线" w:cs="Arial"/>
          <w:sz w:val="22"/>
        </w:rPr>
        <w:t>的统计数据。先行指标包括：</w:t>
      </w:r>
    </w:p>
    <w:p w14:paraId="133D0AE8">
      <w:pPr>
        <w:numPr>
          <w:ilvl w:val="0"/>
          <w:numId w:val="82"/>
        </w:numPr>
        <w:spacing w:before="120" w:after="120" w:line="288" w:lineRule="auto"/>
        <w:ind w:left="0"/>
        <w:jc w:val="left"/>
      </w:pPr>
      <w:r>
        <w:rPr>
          <w:rFonts w:ascii="Arial" w:hAnsi="Arial" w:eastAsia="等线" w:cs="Arial"/>
          <w:sz w:val="22"/>
        </w:rPr>
        <w:t>M2 货币供应量（M2 money supply），如现金、支票存款、储蓄存款、货币市场工具等；</w:t>
      </w:r>
    </w:p>
    <w:p w14:paraId="06827FFA">
      <w:pPr>
        <w:numPr>
          <w:ilvl w:val="0"/>
          <w:numId w:val="83"/>
        </w:numPr>
        <w:spacing w:before="120" w:after="120" w:line="288" w:lineRule="auto"/>
        <w:ind w:left="0"/>
        <w:jc w:val="left"/>
      </w:pPr>
      <w:r>
        <w:rPr>
          <w:rFonts w:ascii="Arial" w:hAnsi="Arial" w:eastAsia="等线" w:cs="Arial"/>
          <w:sz w:val="22"/>
        </w:rPr>
        <w:t>股票价格（stock price）；</w:t>
      </w:r>
    </w:p>
    <w:p w14:paraId="3958357C">
      <w:pPr>
        <w:numPr>
          <w:ilvl w:val="0"/>
          <w:numId w:val="84"/>
        </w:numPr>
        <w:spacing w:before="120" w:after="120" w:line="288" w:lineRule="auto"/>
        <w:ind w:left="0"/>
        <w:jc w:val="left"/>
      </w:pPr>
      <w:r>
        <w:rPr>
          <w:rFonts w:ascii="Arial" w:hAnsi="Arial" w:eastAsia="等线" w:cs="Arial"/>
          <w:sz w:val="22"/>
        </w:rPr>
        <w:t>联邦基金利率（Federal funds rate），即存款机构（银行和信用合作社）之间相互收取的隔夜贷款利率；</w:t>
      </w:r>
    </w:p>
    <w:p w14:paraId="78A4F820">
      <w:pPr>
        <w:numPr>
          <w:ilvl w:val="0"/>
          <w:numId w:val="85"/>
        </w:numPr>
        <w:spacing w:before="120" w:after="120" w:line="288" w:lineRule="auto"/>
        <w:ind w:left="0"/>
        <w:jc w:val="left"/>
      </w:pPr>
      <w:r>
        <w:rPr>
          <w:rFonts w:ascii="Arial" w:hAnsi="Arial" w:eastAsia="等线" w:cs="Arial"/>
          <w:sz w:val="22"/>
        </w:rPr>
        <w:t>贴现率（Discount Rate），即美联储向银行收取的贷款利率；</w:t>
      </w:r>
    </w:p>
    <w:p w14:paraId="53B1D4AC">
      <w:pPr>
        <w:numPr>
          <w:ilvl w:val="0"/>
          <w:numId w:val="86"/>
        </w:numPr>
        <w:spacing w:before="120" w:after="120" w:line="288" w:lineRule="auto"/>
        <w:ind w:left="0"/>
        <w:jc w:val="left"/>
      </w:pPr>
      <w:r>
        <w:rPr>
          <w:rFonts w:ascii="Arial" w:hAnsi="Arial" w:eastAsia="等线" w:cs="Arial"/>
          <w:sz w:val="22"/>
        </w:rPr>
        <w:t>准备金要求（Reserve requirements），即银行必须持有的客户存款百分比；</w:t>
      </w:r>
    </w:p>
    <w:p w14:paraId="7304F053">
      <w:pPr>
        <w:numPr>
          <w:ilvl w:val="0"/>
          <w:numId w:val="87"/>
        </w:numPr>
        <w:spacing w:before="120" w:after="120" w:line="288" w:lineRule="auto"/>
        <w:ind w:left="0"/>
        <w:jc w:val="left"/>
      </w:pPr>
      <w:r>
        <w:rPr>
          <w:rFonts w:ascii="Arial" w:hAnsi="Arial" w:eastAsia="等线" w:cs="Arial"/>
          <w:sz w:val="22"/>
        </w:rPr>
        <w:t>建筑许可（Building permits）；</w:t>
      </w:r>
    </w:p>
    <w:p w14:paraId="6750E348">
      <w:pPr>
        <w:numPr>
          <w:ilvl w:val="0"/>
          <w:numId w:val="88"/>
        </w:numPr>
        <w:spacing w:before="120" w:after="120" w:line="288" w:lineRule="auto"/>
        <w:ind w:left="0"/>
        <w:jc w:val="left"/>
      </w:pPr>
      <w:r>
        <w:rPr>
          <w:rFonts w:ascii="Arial" w:hAnsi="Arial" w:eastAsia="等线" w:cs="Arial"/>
          <w:sz w:val="22"/>
        </w:rPr>
        <w:t>失业救济申请人数（Unemployment claims）；</w:t>
      </w:r>
    </w:p>
    <w:p w14:paraId="56A06CEF">
      <w:pPr>
        <w:numPr>
          <w:ilvl w:val="0"/>
          <w:numId w:val="89"/>
        </w:numPr>
        <w:spacing w:before="120" w:after="120" w:line="288" w:lineRule="auto"/>
        <w:ind w:left="0"/>
        <w:jc w:val="left"/>
      </w:pPr>
      <w:r>
        <w:rPr>
          <w:rFonts w:ascii="Arial" w:hAnsi="Arial" w:eastAsia="等线" w:cs="Arial"/>
          <w:sz w:val="22"/>
        </w:rPr>
        <w:t>每周平均工作小时数；</w:t>
      </w:r>
    </w:p>
    <w:p w14:paraId="2CA2D73A">
      <w:pPr>
        <w:numPr>
          <w:ilvl w:val="0"/>
          <w:numId w:val="90"/>
        </w:numPr>
        <w:spacing w:before="120" w:after="120" w:line="288" w:lineRule="auto"/>
        <w:ind w:left="0"/>
        <w:jc w:val="left"/>
      </w:pPr>
      <w:r>
        <w:rPr>
          <w:rFonts w:ascii="Arial" w:hAnsi="Arial" w:eastAsia="等线" w:cs="Arial"/>
          <w:sz w:val="22"/>
        </w:rPr>
        <w:t>耐用品订单（非立即消费）；</w:t>
      </w:r>
    </w:p>
    <w:p w14:paraId="34A8BE22">
      <w:pPr>
        <w:numPr>
          <w:ilvl w:val="0"/>
          <w:numId w:val="91"/>
        </w:numPr>
        <w:spacing w:before="120" w:after="120" w:line="288" w:lineRule="auto"/>
        <w:ind w:left="0"/>
        <w:jc w:val="left"/>
      </w:pPr>
      <w:r>
        <w:rPr>
          <w:rFonts w:ascii="Arial" w:hAnsi="Arial" w:eastAsia="等线" w:cs="Arial"/>
          <w:sz w:val="22"/>
        </w:rPr>
        <w:t>消费者信心；</w:t>
      </w:r>
    </w:p>
    <w:p w14:paraId="37E16CAE">
      <w:pPr>
        <w:numPr>
          <w:ilvl w:val="0"/>
          <w:numId w:val="92"/>
        </w:numPr>
        <w:spacing w:before="120" w:after="120" w:line="288" w:lineRule="auto"/>
        <w:ind w:left="0"/>
        <w:jc w:val="left"/>
      </w:pPr>
      <w:r>
        <w:rPr>
          <w:rFonts w:ascii="Arial" w:hAnsi="Arial" w:eastAsia="等线" w:cs="Arial"/>
          <w:sz w:val="22"/>
        </w:rPr>
        <w:t>收益率曲线（Yield curves），绘制不同期限债券利率的线。</w:t>
      </w:r>
    </w:p>
    <w:p w14:paraId="559CA187">
      <w:pPr>
        <w:spacing w:before="120" w:after="120" w:line="288" w:lineRule="auto"/>
        <w:ind w:left="0"/>
        <w:jc w:val="left"/>
      </w:pPr>
    </w:p>
    <w:p w14:paraId="48B7369F">
      <w:pPr>
        <w:spacing w:before="120" w:after="120" w:line="288" w:lineRule="auto"/>
        <w:ind w:left="0"/>
        <w:jc w:val="left"/>
      </w:pPr>
      <w:r>
        <w:rPr>
          <w:rFonts w:ascii="Arial" w:hAnsi="Arial" w:eastAsia="等线" w:cs="Arial"/>
          <w:sz w:val="22"/>
        </w:rPr>
        <w:t>春江水暖鸭先知，未来的经济状况会变好还是变差，通过上述这些指标可以提前感知到。尝试去理解指标含义，比较容易正确的归类。例如：贴现率能影响货币供应，从而影响未来经济发展；股价高，意味着投资者们对未来偏乐观，是因为他们认为经济会变得更好；新建住房数变多，也是因为很多人对未来乐观了，才有买房的需求，导致建筑需求增加。</w:t>
      </w:r>
    </w:p>
    <w:p w14:paraId="48D831FB">
      <w:pPr>
        <w:spacing w:before="120" w:after="120" w:line="288" w:lineRule="auto"/>
        <w:ind w:left="0"/>
        <w:jc w:val="left"/>
      </w:pPr>
    </w:p>
    <w:p w14:paraId="013FCDD1">
      <w:pPr>
        <w:spacing w:before="260" w:after="120" w:line="288" w:lineRule="auto"/>
        <w:ind w:left="0"/>
        <w:jc w:val="left"/>
        <w:outlineLvl w:val="3"/>
      </w:pPr>
      <w:bookmarkStart w:id="32" w:name="heading_32"/>
      <w:r>
        <w:rPr>
          <w:rFonts w:ascii="Arial" w:hAnsi="Arial" w:eastAsia="等线" w:cs="Arial"/>
          <w:color w:val="3370FF"/>
          <w:sz w:val="28"/>
        </w:rPr>
        <w:t xml:space="preserve">2.3.1.2 </w:t>
      </w:r>
      <w:r>
        <w:rPr>
          <w:rFonts w:ascii="Arial" w:hAnsi="Arial" w:eastAsia="等线" w:cs="Arial"/>
          <w:b/>
          <w:sz w:val="28"/>
        </w:rPr>
        <w:t>同步指标（Coincident indicators）</w:t>
      </w:r>
      <w:bookmarkEnd w:id="32"/>
    </w:p>
    <w:p w14:paraId="449DC81C">
      <w:pPr>
        <w:spacing w:before="120" w:after="120" w:line="288" w:lineRule="auto"/>
        <w:ind w:left="0"/>
        <w:jc w:val="left"/>
      </w:pPr>
      <w:r>
        <w:rPr>
          <w:rFonts w:ascii="Arial" w:hAnsi="Arial" w:eastAsia="等线" w:cs="Arial"/>
          <w:sz w:val="22"/>
        </w:rPr>
        <w:t>同步指标是</w:t>
      </w:r>
      <w:r>
        <w:rPr>
          <w:rFonts w:ascii="Arial" w:hAnsi="Arial" w:eastAsia="等线" w:cs="Arial"/>
          <w:b/>
          <w:sz w:val="22"/>
        </w:rPr>
        <w:t>指示当前经济状况</w:t>
      </w:r>
      <w:r>
        <w:rPr>
          <w:rFonts w:ascii="Arial" w:hAnsi="Arial" w:eastAsia="等线" w:cs="Arial"/>
          <w:sz w:val="22"/>
        </w:rPr>
        <w:t>的统计数据。同步指标包括：</w:t>
      </w:r>
    </w:p>
    <w:p w14:paraId="21493FA4">
      <w:pPr>
        <w:numPr>
          <w:ilvl w:val="0"/>
          <w:numId w:val="93"/>
        </w:numPr>
        <w:spacing w:before="120" w:after="120" w:line="288" w:lineRule="auto"/>
        <w:ind w:left="0"/>
        <w:jc w:val="left"/>
      </w:pPr>
      <w:r>
        <w:rPr>
          <w:rFonts w:ascii="Arial" w:hAnsi="Arial" w:eastAsia="等线" w:cs="Arial"/>
          <w:sz w:val="22"/>
        </w:rPr>
        <w:t>工业生产（Industrial production)</w:t>
      </w:r>
    </w:p>
    <w:p w14:paraId="61768792">
      <w:pPr>
        <w:numPr>
          <w:ilvl w:val="0"/>
          <w:numId w:val="94"/>
        </w:numPr>
        <w:spacing w:before="120" w:after="120" w:line="288" w:lineRule="auto"/>
        <w:ind w:left="0"/>
        <w:jc w:val="left"/>
      </w:pPr>
      <w:r>
        <w:rPr>
          <w:rFonts w:ascii="Arial" w:hAnsi="Arial" w:eastAsia="等线" w:cs="Arial"/>
          <w:sz w:val="22"/>
        </w:rPr>
        <w:t>个人收入（Personal income）</w:t>
      </w:r>
    </w:p>
    <w:p w14:paraId="01C5CD1F">
      <w:pPr>
        <w:numPr>
          <w:ilvl w:val="0"/>
          <w:numId w:val="95"/>
        </w:numPr>
        <w:spacing w:before="120" w:after="120" w:line="288" w:lineRule="auto"/>
        <w:ind w:left="0"/>
        <w:jc w:val="left"/>
      </w:pPr>
      <w:r>
        <w:rPr>
          <w:rFonts w:ascii="Arial" w:hAnsi="Arial" w:eastAsia="等线" w:cs="Arial"/>
          <w:sz w:val="22"/>
        </w:rPr>
        <w:t>国内生产总值（GDP， gross domestic product）</w:t>
      </w:r>
    </w:p>
    <w:p w14:paraId="44030D4F">
      <w:pPr>
        <w:numPr>
          <w:ilvl w:val="0"/>
          <w:numId w:val="96"/>
        </w:numPr>
        <w:spacing w:before="120" w:after="120" w:line="288" w:lineRule="auto"/>
        <w:ind w:left="0"/>
        <w:jc w:val="left"/>
      </w:pPr>
      <w:r>
        <w:rPr>
          <w:rFonts w:ascii="Arial" w:hAnsi="Arial" w:eastAsia="等线" w:cs="Arial"/>
          <w:sz w:val="22"/>
        </w:rPr>
        <w:t>非农业就业人数和就业水平（Number of employees on nonagricultural payrolls and employment levels）</w:t>
      </w:r>
    </w:p>
    <w:p w14:paraId="4203D71A">
      <w:pPr>
        <w:numPr>
          <w:ilvl w:val="0"/>
          <w:numId w:val="97"/>
        </w:numPr>
        <w:spacing w:before="120" w:after="120" w:line="288" w:lineRule="auto"/>
        <w:ind w:left="0"/>
        <w:jc w:val="left"/>
      </w:pPr>
      <w:r>
        <w:rPr>
          <w:rFonts w:ascii="Arial" w:hAnsi="Arial" w:eastAsia="等线" w:cs="Arial"/>
          <w:sz w:val="22"/>
        </w:rPr>
        <w:t>零售额（Retail sales）</w:t>
      </w:r>
    </w:p>
    <w:p w14:paraId="2C011AEB">
      <w:pPr>
        <w:spacing w:before="120" w:after="120" w:line="288" w:lineRule="auto"/>
        <w:ind w:left="0"/>
        <w:jc w:val="left"/>
      </w:pPr>
    </w:p>
    <w:p w14:paraId="26ED1EA9">
      <w:pPr>
        <w:spacing w:before="260" w:after="120" w:line="288" w:lineRule="auto"/>
        <w:ind w:left="0"/>
        <w:jc w:val="left"/>
        <w:outlineLvl w:val="3"/>
      </w:pPr>
      <w:bookmarkStart w:id="33" w:name="heading_33"/>
      <w:r>
        <w:rPr>
          <w:rFonts w:ascii="Arial" w:hAnsi="Arial" w:eastAsia="等线" w:cs="Arial"/>
          <w:color w:val="3370FF"/>
          <w:sz w:val="28"/>
        </w:rPr>
        <w:t xml:space="preserve">2.3.1.3 </w:t>
      </w:r>
      <w:r>
        <w:rPr>
          <w:rFonts w:ascii="Arial" w:hAnsi="Arial" w:eastAsia="等线" w:cs="Arial"/>
          <w:b/>
          <w:sz w:val="28"/>
        </w:rPr>
        <w:t>滞后指标（Lagging indicators）</w:t>
      </w:r>
      <w:bookmarkEnd w:id="33"/>
    </w:p>
    <w:p w14:paraId="10D35BEE">
      <w:pPr>
        <w:spacing w:before="120" w:after="120" w:line="288" w:lineRule="auto"/>
        <w:ind w:left="0"/>
        <w:jc w:val="left"/>
      </w:pPr>
      <w:r>
        <w:rPr>
          <w:rFonts w:ascii="Arial" w:hAnsi="Arial" w:eastAsia="等线" w:cs="Arial"/>
          <w:sz w:val="22"/>
        </w:rPr>
        <w:t>滞后指标是反映先行指标的统计数据，但其峰值和谷值会稍晚一些。滞后指标包括：</w:t>
      </w:r>
    </w:p>
    <w:p w14:paraId="6DEA5D26">
      <w:pPr>
        <w:spacing w:before="120" w:after="120" w:line="288" w:lineRule="auto"/>
        <w:ind w:left="0"/>
        <w:jc w:val="left"/>
      </w:pPr>
    </w:p>
    <w:p w14:paraId="54FEC6A2">
      <w:pPr>
        <w:numPr>
          <w:ilvl w:val="0"/>
          <w:numId w:val="98"/>
        </w:numPr>
        <w:spacing w:before="120" w:after="120" w:line="288" w:lineRule="auto"/>
        <w:ind w:left="0"/>
        <w:jc w:val="left"/>
      </w:pPr>
      <w:r>
        <w:rPr>
          <w:rFonts w:ascii="Arial" w:hAnsi="Arial" w:eastAsia="等线" w:cs="Arial"/>
          <w:sz w:val="22"/>
        </w:rPr>
        <w:t>最优惠利率（The prime rate），商业银行向最佳客户收取的贷款利率；</w:t>
      </w:r>
    </w:p>
    <w:p w14:paraId="07212EBF">
      <w:pPr>
        <w:numPr>
          <w:ilvl w:val="0"/>
          <w:numId w:val="99"/>
        </w:numPr>
        <w:spacing w:before="120" w:after="120" w:line="288" w:lineRule="auto"/>
        <w:ind w:left="0"/>
        <w:jc w:val="left"/>
      </w:pPr>
      <w:r>
        <w:rPr>
          <w:rFonts w:ascii="Arial" w:hAnsi="Arial" w:eastAsia="等线" w:cs="Arial"/>
          <w:sz w:val="22"/>
        </w:rPr>
        <w:t>未偿还的工业和商业贷款（Outstanding industrial and commercial loans）；</w:t>
      </w:r>
    </w:p>
    <w:p w14:paraId="266A9EC0">
      <w:pPr>
        <w:numPr>
          <w:ilvl w:val="0"/>
          <w:numId w:val="100"/>
        </w:numPr>
        <w:spacing w:before="120" w:after="120" w:line="288" w:lineRule="auto"/>
        <w:ind w:left="0"/>
        <w:jc w:val="left"/>
      </w:pPr>
      <w:r>
        <w:rPr>
          <w:rFonts w:ascii="Arial" w:hAnsi="Arial" w:eastAsia="等线" w:cs="Arial"/>
          <w:sz w:val="22"/>
        </w:rPr>
        <w:t>企业利润（Corporate profits）；</w:t>
      </w:r>
    </w:p>
    <w:p w14:paraId="3B706ADB">
      <w:pPr>
        <w:numPr>
          <w:ilvl w:val="0"/>
          <w:numId w:val="101"/>
        </w:numPr>
        <w:spacing w:before="120" w:after="120" w:line="288" w:lineRule="auto"/>
        <w:ind w:left="0"/>
        <w:jc w:val="left"/>
      </w:pPr>
      <w:r>
        <w:rPr>
          <w:rFonts w:ascii="Arial" w:hAnsi="Arial" w:eastAsia="等线" w:cs="Arial"/>
          <w:sz w:val="22"/>
        </w:rPr>
        <w:t>消费信贷与个人收入的比率（Ratio of consumer credit to personal income）；</w:t>
      </w:r>
    </w:p>
    <w:p w14:paraId="60144945">
      <w:pPr>
        <w:numPr>
          <w:ilvl w:val="0"/>
          <w:numId w:val="102"/>
        </w:numPr>
        <w:spacing w:before="120" w:after="120" w:line="288" w:lineRule="auto"/>
        <w:ind w:left="0"/>
        <w:jc w:val="left"/>
      </w:pPr>
      <w:r>
        <w:rPr>
          <w:rFonts w:ascii="Arial" w:hAnsi="Arial" w:eastAsia="等线" w:cs="Arial"/>
          <w:sz w:val="22"/>
        </w:rPr>
        <w:t>就业年限(Duration of employment)；</w:t>
      </w:r>
    </w:p>
    <w:p w14:paraId="2AD9F30C">
      <w:pPr>
        <w:numPr>
          <w:ilvl w:val="0"/>
          <w:numId w:val="103"/>
        </w:numPr>
        <w:spacing w:before="120" w:after="120" w:line="288" w:lineRule="auto"/>
        <w:ind w:left="0"/>
        <w:jc w:val="left"/>
      </w:pPr>
      <w:r>
        <w:rPr>
          <w:rFonts w:ascii="Arial" w:hAnsi="Arial" w:eastAsia="等线" w:cs="Arial"/>
          <w:sz w:val="22"/>
        </w:rPr>
        <w:t>失业率（Unemployment rate）；</w:t>
      </w:r>
    </w:p>
    <w:p w14:paraId="4A271931">
      <w:pPr>
        <w:numPr>
          <w:ilvl w:val="0"/>
          <w:numId w:val="104"/>
        </w:numPr>
        <w:spacing w:before="120" w:after="120" w:line="288" w:lineRule="auto"/>
        <w:ind w:left="0"/>
        <w:jc w:val="left"/>
      </w:pPr>
      <w:r>
        <w:rPr>
          <w:rFonts w:ascii="Arial" w:hAnsi="Arial" w:eastAsia="等线" w:cs="Arial"/>
          <w:sz w:val="22"/>
        </w:rPr>
        <w:t>库存与销售额的比率（Ratio of inventories to sales）。</w:t>
      </w:r>
    </w:p>
    <w:p w14:paraId="0B434ECC">
      <w:pPr>
        <w:spacing w:before="120" w:after="120" w:line="288" w:lineRule="auto"/>
        <w:ind w:left="0"/>
        <w:jc w:val="left"/>
      </w:pPr>
    </w:p>
    <w:p w14:paraId="59523A34">
      <w:pPr>
        <w:spacing w:before="300" w:after="120" w:line="288" w:lineRule="auto"/>
        <w:ind w:left="0"/>
        <w:jc w:val="left"/>
        <w:outlineLvl w:val="2"/>
      </w:pPr>
      <w:bookmarkStart w:id="34" w:name="heading_34"/>
      <w:r>
        <w:rPr>
          <w:rFonts w:ascii="Arial" w:hAnsi="Arial" w:eastAsia="等线" w:cs="Arial"/>
          <w:color w:val="3370FF"/>
          <w:sz w:val="30"/>
        </w:rPr>
        <w:t xml:space="preserve">2.3.2 </w:t>
      </w:r>
      <w:r>
        <w:rPr>
          <w:rFonts w:ascii="Arial" w:hAnsi="Arial" w:eastAsia="等线" w:cs="Arial"/>
          <w:b/>
          <w:sz w:val="30"/>
        </w:rPr>
        <w:t>GDP 和 GNP：衡量商品和服务</w:t>
      </w:r>
      <w:bookmarkEnd w:id="34"/>
    </w:p>
    <w:p w14:paraId="27EBB44B">
      <w:pPr>
        <w:spacing w:before="120" w:after="120" w:line="288" w:lineRule="auto"/>
        <w:ind w:left="0"/>
        <w:jc w:val="left"/>
      </w:pPr>
      <w:r>
        <w:rPr>
          <w:rFonts w:ascii="Arial" w:hAnsi="Arial" w:eastAsia="等线" w:cs="Arial"/>
          <w:sz w:val="22"/>
        </w:rPr>
        <w:t>国内生产总值 (GDP, gross domestic product) 和国民生产总值 (GNP, gross national product ) 是密切相关的术语。</w:t>
      </w:r>
    </w:p>
    <w:p w14:paraId="220F1FE2">
      <w:pPr>
        <w:spacing w:before="120" w:after="120" w:line="288" w:lineRule="auto"/>
        <w:ind w:left="0"/>
        <w:jc w:val="left"/>
      </w:pPr>
    </w:p>
    <w:p w14:paraId="5D3EABA8">
      <w:pPr>
        <w:spacing w:before="120" w:after="120" w:line="288" w:lineRule="auto"/>
        <w:ind w:left="0"/>
        <w:jc w:val="left"/>
      </w:pPr>
      <w:r>
        <w:rPr>
          <w:rFonts w:ascii="Arial" w:hAnsi="Arial" w:eastAsia="等线" w:cs="Arial"/>
          <w:sz w:val="22"/>
        </w:rPr>
        <w:t>以美国为例：</w:t>
      </w:r>
    </w:p>
    <w:p w14:paraId="10ED4BAF">
      <w:pPr>
        <w:numPr>
          <w:ilvl w:val="0"/>
          <w:numId w:val="105"/>
        </w:numPr>
        <w:spacing w:before="120" w:after="120" w:line="288" w:lineRule="auto"/>
        <w:ind w:left="0"/>
        <w:jc w:val="left"/>
      </w:pPr>
      <w:r>
        <w:rPr>
          <w:rFonts w:ascii="Arial" w:hAnsi="Arial" w:eastAsia="等线" w:cs="Arial"/>
          <w:sz w:val="22"/>
        </w:rPr>
        <w:t>GDP：美国一年内生产的所有商品和提供的所有服务的总和。</w:t>
      </w:r>
    </w:p>
    <w:p w14:paraId="2DBD3EFD">
      <w:pPr>
        <w:numPr>
          <w:ilvl w:val="0"/>
          <w:numId w:val="106"/>
        </w:numPr>
        <w:spacing w:before="120" w:after="120" w:line="288" w:lineRule="auto"/>
        <w:ind w:left="453"/>
        <w:jc w:val="left"/>
      </w:pPr>
      <w:r>
        <w:rPr>
          <w:rFonts w:ascii="Arial" w:hAnsi="Arial" w:eastAsia="等线" w:cs="Arial"/>
          <w:sz w:val="22"/>
        </w:rPr>
        <w:t xml:space="preserve">看的是一块 </w:t>
      </w:r>
      <w:r>
        <w:rPr>
          <w:rFonts w:ascii="Arial" w:hAnsi="Arial" w:eastAsia="等线" w:cs="Arial"/>
          <w:b/>
          <w:sz w:val="22"/>
        </w:rPr>
        <w:t>“地理区域”</w:t>
      </w:r>
      <w:r>
        <w:rPr>
          <w:rFonts w:ascii="Arial" w:hAnsi="Arial" w:eastAsia="等线" w:cs="Arial"/>
          <w:sz w:val="22"/>
        </w:rPr>
        <w:t xml:space="preserve"> 。只要是在</w:t>
      </w:r>
      <w:r>
        <w:rPr>
          <w:rFonts w:ascii="Arial" w:hAnsi="Arial" w:eastAsia="等线" w:cs="Arial"/>
          <w:b/>
          <w:sz w:val="22"/>
        </w:rPr>
        <w:t>美国领土范围内</w:t>
      </w:r>
      <w:r>
        <w:rPr>
          <w:rFonts w:ascii="Arial" w:hAnsi="Arial" w:eastAsia="等线" w:cs="Arial"/>
          <w:sz w:val="22"/>
        </w:rPr>
        <w:t>发生的生产，无论生产者是谁（美国人还是外国人），都算入美国的GDP。</w:t>
      </w:r>
    </w:p>
    <w:p w14:paraId="0DECB841">
      <w:pPr>
        <w:numPr>
          <w:ilvl w:val="0"/>
          <w:numId w:val="107"/>
        </w:numPr>
        <w:spacing w:before="120" w:after="120" w:line="288" w:lineRule="auto"/>
        <w:ind w:left="0"/>
        <w:jc w:val="left"/>
      </w:pPr>
      <w:r>
        <w:rPr>
          <w:rFonts w:ascii="Arial" w:hAnsi="Arial" w:eastAsia="等线" w:cs="Arial"/>
          <w:sz w:val="22"/>
        </w:rPr>
        <w:t>GNP：美国企业和居民在美国境内一年内生产的所有商品和提供的所有服务的总和加上在美国境内外的投资。</w:t>
      </w:r>
    </w:p>
    <w:p w14:paraId="57708AD7">
      <w:pPr>
        <w:numPr>
          <w:ilvl w:val="0"/>
          <w:numId w:val="108"/>
        </w:numPr>
        <w:spacing w:before="120" w:after="120" w:line="288" w:lineRule="auto"/>
        <w:ind w:left="453"/>
        <w:jc w:val="left"/>
      </w:pPr>
      <w:r>
        <w:rPr>
          <w:rFonts w:ascii="Arial" w:hAnsi="Arial" w:eastAsia="等线" w:cs="Arial"/>
          <w:sz w:val="22"/>
        </w:rPr>
        <w:t>GNP 不包括外国企业或居民在美国境内获得的收入。它也不包括在美国生产的海外公司的产品。</w:t>
      </w:r>
    </w:p>
    <w:p w14:paraId="62DA8F15">
      <w:pPr>
        <w:numPr>
          <w:ilvl w:val="0"/>
          <w:numId w:val="109"/>
        </w:numPr>
        <w:spacing w:before="120" w:after="120" w:line="288" w:lineRule="auto"/>
        <w:ind w:left="453"/>
        <w:jc w:val="left"/>
      </w:pPr>
      <w:r>
        <w:rPr>
          <w:rFonts w:ascii="Arial" w:hAnsi="Arial" w:eastAsia="等线" w:cs="Arial"/>
          <w:sz w:val="22"/>
        </w:rPr>
        <w:t xml:space="preserve">GNP看的是一群 </w:t>
      </w:r>
      <w:r>
        <w:rPr>
          <w:rFonts w:ascii="Arial" w:hAnsi="Arial" w:eastAsia="等线" w:cs="Arial"/>
          <w:b/>
          <w:sz w:val="22"/>
        </w:rPr>
        <w:t>“国民”</w:t>
      </w:r>
      <w:r>
        <w:rPr>
          <w:rFonts w:ascii="Arial" w:hAnsi="Arial" w:eastAsia="等线" w:cs="Arial"/>
          <w:sz w:val="22"/>
        </w:rPr>
        <w:t xml:space="preserve"> 。只要是</w:t>
      </w:r>
      <w:r>
        <w:rPr>
          <w:rFonts w:ascii="Arial" w:hAnsi="Arial" w:eastAsia="等线" w:cs="Arial"/>
          <w:b/>
          <w:sz w:val="22"/>
        </w:rPr>
        <w:t>美国公民或美国企业</w:t>
      </w:r>
      <w:r>
        <w:rPr>
          <w:rFonts w:ascii="Arial" w:hAnsi="Arial" w:eastAsia="等线" w:cs="Arial"/>
          <w:sz w:val="22"/>
        </w:rPr>
        <w:t>（无论其身在何处）创造的生产和收入，都算入美国的 GNP。</w:t>
      </w:r>
    </w:p>
    <w:p w14:paraId="03416E97">
      <w:pPr>
        <w:spacing w:before="120" w:after="120" w:line="288" w:lineRule="auto"/>
        <w:ind w:left="0"/>
        <w:jc w:val="left"/>
      </w:pPr>
    </w:p>
    <w:p w14:paraId="40C0E64B">
      <w:pPr>
        <w:spacing w:before="120" w:after="120" w:line="288" w:lineRule="auto"/>
        <w:ind w:left="0"/>
        <w:jc w:val="left"/>
      </w:pPr>
      <w:r>
        <w:rPr>
          <w:rFonts w:ascii="Arial" w:hAnsi="Arial" w:eastAsia="等线" w:cs="Arial"/>
          <w:sz w:val="22"/>
        </w:rPr>
        <w:t>用表格简单表述差异：</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05"/>
        <w:gridCol w:w="2400"/>
        <w:gridCol w:w="2640"/>
        <w:gridCol w:w="2220"/>
      </w:tblGrid>
      <w:tr w14:paraId="269DEE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4DDE26A4">
            <w:pPr>
              <w:spacing w:before="120" w:after="120" w:line="288" w:lineRule="auto"/>
              <w:ind w:left="0"/>
              <w:jc w:val="left"/>
            </w:pPr>
            <w:r>
              <w:rPr>
                <w:rFonts w:ascii="Arial" w:hAnsi="Arial" w:eastAsia="等线" w:cs="Arial"/>
                <w:sz w:val="22"/>
              </w:rPr>
              <w:t>指标</w:t>
            </w:r>
          </w:p>
        </w:tc>
        <w:tc>
          <w:tcPr>
            <w:tcW w:w="2400" w:type="dxa"/>
            <w:tcMar>
              <w:top w:w="60" w:type="dxa"/>
              <w:left w:w="120" w:type="dxa"/>
              <w:bottom w:w="30" w:type="dxa"/>
              <w:right w:w="120" w:type="dxa"/>
            </w:tcMar>
          </w:tcPr>
          <w:p w14:paraId="53D484E6">
            <w:pPr>
              <w:spacing w:before="120" w:after="120" w:line="288" w:lineRule="auto"/>
              <w:ind w:left="0"/>
              <w:jc w:val="left"/>
            </w:pPr>
            <w:r>
              <w:rPr>
                <w:rFonts w:ascii="Arial" w:hAnsi="Arial" w:eastAsia="等线" w:cs="Arial"/>
                <w:sz w:val="22"/>
              </w:rPr>
              <w:t>美国企业/居民在美的生产/收入</w:t>
            </w:r>
          </w:p>
        </w:tc>
        <w:tc>
          <w:tcPr>
            <w:tcW w:w="2640" w:type="dxa"/>
            <w:tcMar>
              <w:top w:w="60" w:type="dxa"/>
              <w:left w:w="120" w:type="dxa"/>
              <w:bottom w:w="30" w:type="dxa"/>
              <w:right w:w="120" w:type="dxa"/>
            </w:tcMar>
          </w:tcPr>
          <w:p w14:paraId="46D9CC10">
            <w:pPr>
              <w:spacing w:before="120" w:after="120" w:line="288" w:lineRule="auto"/>
              <w:ind w:left="0"/>
              <w:jc w:val="left"/>
            </w:pPr>
            <w:r>
              <w:rPr>
                <w:rFonts w:ascii="Arial" w:hAnsi="Arial" w:eastAsia="等线" w:cs="Arial"/>
                <w:b/>
                <w:sz w:val="22"/>
              </w:rPr>
              <w:t>美国</w:t>
            </w:r>
            <w:r>
              <w:rPr>
                <w:rFonts w:ascii="Arial" w:hAnsi="Arial" w:eastAsia="等线" w:cs="Arial"/>
                <w:sz w:val="22"/>
              </w:rPr>
              <w:t>企业/居民</w:t>
            </w:r>
            <w:r>
              <w:rPr>
                <w:rFonts w:ascii="Arial" w:hAnsi="Arial" w:eastAsia="等线" w:cs="Arial"/>
                <w:b/>
                <w:sz w:val="22"/>
              </w:rPr>
              <w:t>在海外</w:t>
            </w:r>
            <w:r>
              <w:rPr>
                <w:rFonts w:ascii="Arial" w:hAnsi="Arial" w:eastAsia="等线" w:cs="Arial"/>
                <w:sz w:val="22"/>
              </w:rPr>
              <w:t>的生产/收入</w:t>
            </w:r>
          </w:p>
        </w:tc>
        <w:tc>
          <w:tcPr>
            <w:tcW w:w="2220" w:type="dxa"/>
            <w:tcMar>
              <w:top w:w="60" w:type="dxa"/>
              <w:left w:w="120" w:type="dxa"/>
              <w:bottom w:w="30" w:type="dxa"/>
              <w:right w:w="120" w:type="dxa"/>
            </w:tcMar>
          </w:tcPr>
          <w:p w14:paraId="7224C2A2">
            <w:pPr>
              <w:spacing w:before="120" w:after="120" w:line="288" w:lineRule="auto"/>
              <w:ind w:left="0"/>
              <w:jc w:val="left"/>
            </w:pPr>
            <w:r>
              <w:rPr>
                <w:rFonts w:ascii="Arial" w:hAnsi="Arial" w:eastAsia="等线" w:cs="Arial"/>
                <w:b/>
                <w:sz w:val="22"/>
              </w:rPr>
              <w:t>外国</w:t>
            </w:r>
            <w:r>
              <w:rPr>
                <w:rFonts w:ascii="Arial" w:hAnsi="Arial" w:eastAsia="等线" w:cs="Arial"/>
                <w:sz w:val="22"/>
              </w:rPr>
              <w:t>企业/居民</w:t>
            </w:r>
            <w:r>
              <w:rPr>
                <w:rFonts w:ascii="Arial" w:hAnsi="Arial" w:eastAsia="等线" w:cs="Arial"/>
                <w:b/>
                <w:sz w:val="22"/>
              </w:rPr>
              <w:t>在美</w:t>
            </w:r>
            <w:r>
              <w:rPr>
                <w:rFonts w:ascii="Arial" w:hAnsi="Arial" w:eastAsia="等线" w:cs="Arial"/>
                <w:sz w:val="22"/>
              </w:rPr>
              <w:t>的生产/收入</w:t>
            </w:r>
          </w:p>
        </w:tc>
      </w:tr>
      <w:tr w14:paraId="591A66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31DCF39F">
            <w:pPr>
              <w:spacing w:before="120" w:after="120" w:line="288" w:lineRule="auto"/>
              <w:ind w:left="0"/>
              <w:jc w:val="left"/>
            </w:pPr>
            <w:r>
              <w:rPr>
                <w:rFonts w:ascii="Arial" w:hAnsi="Arial" w:eastAsia="等线" w:cs="Arial"/>
                <w:sz w:val="22"/>
              </w:rPr>
              <w:t>GDP</w:t>
            </w:r>
          </w:p>
        </w:tc>
        <w:tc>
          <w:tcPr>
            <w:tcW w:w="2400" w:type="dxa"/>
            <w:tcMar>
              <w:top w:w="60" w:type="dxa"/>
              <w:left w:w="120" w:type="dxa"/>
              <w:bottom w:w="30" w:type="dxa"/>
              <w:right w:w="120" w:type="dxa"/>
            </w:tcMar>
          </w:tcPr>
          <w:p w14:paraId="7D4BA625">
            <w:pPr>
              <w:spacing w:before="120" w:after="120" w:line="288" w:lineRule="auto"/>
              <w:ind w:left="0"/>
              <w:jc w:val="left"/>
            </w:pPr>
            <w:r>
              <w:rPr>
                <w:rFonts w:ascii="Arial" w:hAnsi="Arial" w:eastAsia="等线" w:cs="Arial"/>
                <w:sz w:val="22"/>
              </w:rPr>
              <w:t>计入</w:t>
            </w:r>
          </w:p>
        </w:tc>
        <w:tc>
          <w:tcPr>
            <w:tcW w:w="2640" w:type="dxa"/>
            <w:tcMar>
              <w:top w:w="60" w:type="dxa"/>
              <w:left w:w="120" w:type="dxa"/>
              <w:bottom w:w="30" w:type="dxa"/>
              <w:right w:w="120" w:type="dxa"/>
            </w:tcMar>
          </w:tcPr>
          <w:p w14:paraId="5F6F46C7">
            <w:pPr>
              <w:spacing w:before="120" w:after="120" w:line="288" w:lineRule="auto"/>
              <w:ind w:left="0"/>
              <w:jc w:val="left"/>
            </w:pPr>
            <w:r>
              <w:rPr>
                <w:rFonts w:ascii="Arial" w:hAnsi="Arial" w:eastAsia="等线" w:cs="Arial"/>
                <w:sz w:val="22"/>
              </w:rPr>
              <w:t>不计入</w:t>
            </w:r>
          </w:p>
        </w:tc>
        <w:tc>
          <w:tcPr>
            <w:tcW w:w="2220" w:type="dxa"/>
            <w:tcMar>
              <w:top w:w="60" w:type="dxa"/>
              <w:left w:w="120" w:type="dxa"/>
              <w:bottom w:w="30" w:type="dxa"/>
              <w:right w:w="120" w:type="dxa"/>
            </w:tcMar>
          </w:tcPr>
          <w:p w14:paraId="6023584A">
            <w:pPr>
              <w:spacing w:before="120" w:after="120" w:line="288" w:lineRule="auto"/>
              <w:ind w:left="0"/>
              <w:jc w:val="left"/>
            </w:pPr>
            <w:r>
              <w:rPr>
                <w:rFonts w:ascii="Arial" w:hAnsi="Arial" w:eastAsia="等线" w:cs="Arial"/>
                <w:sz w:val="22"/>
              </w:rPr>
              <w:t>计入</w:t>
            </w:r>
          </w:p>
        </w:tc>
      </w:tr>
      <w:tr w14:paraId="3FE258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05" w:type="dxa"/>
            <w:tcMar>
              <w:top w:w="60" w:type="dxa"/>
              <w:left w:w="120" w:type="dxa"/>
              <w:bottom w:w="30" w:type="dxa"/>
              <w:right w:w="120" w:type="dxa"/>
            </w:tcMar>
          </w:tcPr>
          <w:p w14:paraId="1E710340">
            <w:pPr>
              <w:spacing w:before="120" w:after="120" w:line="288" w:lineRule="auto"/>
              <w:ind w:left="0"/>
              <w:jc w:val="left"/>
            </w:pPr>
            <w:r>
              <w:rPr>
                <w:rFonts w:ascii="Arial" w:hAnsi="Arial" w:eastAsia="等线" w:cs="Arial"/>
                <w:sz w:val="22"/>
              </w:rPr>
              <w:t>GNP</w:t>
            </w:r>
          </w:p>
        </w:tc>
        <w:tc>
          <w:tcPr>
            <w:tcW w:w="2400" w:type="dxa"/>
            <w:tcMar>
              <w:top w:w="60" w:type="dxa"/>
              <w:left w:w="120" w:type="dxa"/>
              <w:bottom w:w="30" w:type="dxa"/>
              <w:right w:w="120" w:type="dxa"/>
            </w:tcMar>
          </w:tcPr>
          <w:p w14:paraId="064BBDD1">
            <w:pPr>
              <w:spacing w:before="120" w:after="120" w:line="288" w:lineRule="auto"/>
              <w:ind w:left="0"/>
              <w:jc w:val="left"/>
            </w:pPr>
            <w:r>
              <w:rPr>
                <w:rFonts w:ascii="Arial" w:hAnsi="Arial" w:eastAsia="等线" w:cs="Arial"/>
                <w:sz w:val="22"/>
              </w:rPr>
              <w:t>计入</w:t>
            </w:r>
          </w:p>
        </w:tc>
        <w:tc>
          <w:tcPr>
            <w:tcW w:w="2640" w:type="dxa"/>
            <w:tcMar>
              <w:top w:w="60" w:type="dxa"/>
              <w:left w:w="120" w:type="dxa"/>
              <w:bottom w:w="30" w:type="dxa"/>
              <w:right w:w="120" w:type="dxa"/>
            </w:tcMar>
          </w:tcPr>
          <w:p w14:paraId="459979E3">
            <w:pPr>
              <w:spacing w:before="120" w:after="120" w:line="288" w:lineRule="auto"/>
              <w:ind w:left="0"/>
              <w:jc w:val="left"/>
            </w:pPr>
            <w:r>
              <w:rPr>
                <w:rFonts w:ascii="Arial" w:hAnsi="Arial" w:eastAsia="等线" w:cs="Arial"/>
                <w:sz w:val="22"/>
              </w:rPr>
              <w:t>计入</w:t>
            </w:r>
          </w:p>
        </w:tc>
        <w:tc>
          <w:tcPr>
            <w:tcW w:w="2220" w:type="dxa"/>
            <w:tcMar>
              <w:top w:w="60" w:type="dxa"/>
              <w:left w:w="120" w:type="dxa"/>
              <w:bottom w:w="30" w:type="dxa"/>
              <w:right w:w="120" w:type="dxa"/>
            </w:tcMar>
          </w:tcPr>
          <w:p w14:paraId="520A314C">
            <w:pPr>
              <w:spacing w:before="120" w:after="120" w:line="288" w:lineRule="auto"/>
              <w:ind w:left="0"/>
              <w:jc w:val="left"/>
            </w:pPr>
            <w:r>
              <w:rPr>
                <w:rFonts w:ascii="Arial" w:hAnsi="Arial" w:eastAsia="等线" w:cs="Arial"/>
                <w:sz w:val="22"/>
              </w:rPr>
              <w:t>不计入</w:t>
            </w:r>
          </w:p>
        </w:tc>
      </w:tr>
    </w:tbl>
    <w:p w14:paraId="7B937AA3"/>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1A752D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5B70602E">
            <w:pPr>
              <w:spacing w:before="120" w:after="120" w:line="288" w:lineRule="auto"/>
              <w:ind w:left="0"/>
              <w:jc w:val="left"/>
            </w:pPr>
            <w:r>
              <w:rPr>
                <w:rFonts w:ascii="Arial" w:hAnsi="Arial" w:eastAsia="等线" w:cs="Arial"/>
                <w:sz w:val="22"/>
              </w:rPr>
              <w:t>举2个栗子：</w:t>
            </w:r>
          </w:p>
          <w:p w14:paraId="7ACD71A2">
            <w:pPr>
              <w:numPr>
                <w:ilvl w:val="0"/>
                <w:numId w:val="110"/>
              </w:numPr>
              <w:spacing w:before="120" w:after="120" w:line="288" w:lineRule="auto"/>
              <w:ind w:left="0"/>
              <w:jc w:val="left"/>
            </w:pPr>
            <w:r>
              <w:rPr>
                <w:rFonts w:ascii="Arial" w:hAnsi="Arial" w:eastAsia="等线" w:cs="Arial"/>
                <w:sz w:val="22"/>
              </w:rPr>
              <w:t>一位美国公民在日本东京工作的工资，或苹果公司在爱尔兰分厂的利润。</w:t>
            </w:r>
          </w:p>
          <w:p w14:paraId="7C0216D1">
            <w:pPr>
              <w:numPr>
                <w:ilvl w:val="0"/>
                <w:numId w:val="111"/>
              </w:numPr>
              <w:spacing w:before="120" w:after="120" w:line="288" w:lineRule="auto"/>
              <w:ind w:left="453"/>
              <w:jc w:val="left"/>
            </w:pPr>
            <w:r>
              <w:rPr>
                <w:rFonts w:ascii="Arial" w:hAnsi="Arial" w:eastAsia="等线" w:cs="Arial"/>
                <w:b/>
                <w:sz w:val="22"/>
              </w:rPr>
              <w:t>对GDP</w:t>
            </w:r>
            <w:r>
              <w:rPr>
                <w:rFonts w:ascii="Arial" w:hAnsi="Arial" w:eastAsia="等线" w:cs="Arial"/>
                <w:sz w:val="22"/>
              </w:rPr>
              <w:t>：生产活动发生在日本/爱尔兰，所以</w:t>
            </w:r>
            <w:r>
              <w:rPr>
                <w:rFonts w:ascii="Arial" w:hAnsi="Arial" w:eastAsia="等线" w:cs="Arial"/>
                <w:b/>
                <w:sz w:val="22"/>
              </w:rPr>
              <w:t>不计入</w:t>
            </w:r>
            <w:r>
              <w:rPr>
                <w:rFonts w:ascii="Arial" w:hAnsi="Arial" w:eastAsia="等线" w:cs="Arial"/>
                <w:sz w:val="22"/>
              </w:rPr>
              <w:t>美国GDP。</w:t>
            </w:r>
          </w:p>
          <w:p w14:paraId="1636CC2F">
            <w:pPr>
              <w:numPr>
                <w:ilvl w:val="0"/>
                <w:numId w:val="112"/>
              </w:numPr>
              <w:spacing w:before="120" w:after="120" w:line="288" w:lineRule="auto"/>
              <w:ind w:left="453"/>
              <w:jc w:val="left"/>
            </w:pPr>
            <w:r>
              <w:rPr>
                <w:rFonts w:ascii="Arial" w:hAnsi="Arial" w:eastAsia="等线" w:cs="Arial"/>
                <w:b/>
                <w:sz w:val="22"/>
              </w:rPr>
              <w:t>对GNP</w:t>
            </w:r>
            <w:r>
              <w:rPr>
                <w:rFonts w:ascii="Arial" w:hAnsi="Arial" w:eastAsia="等线" w:cs="Arial"/>
                <w:sz w:val="22"/>
              </w:rPr>
              <w:t>：这是美国国民的收入，所以</w:t>
            </w:r>
            <w:r>
              <w:rPr>
                <w:rFonts w:ascii="Arial" w:hAnsi="Arial" w:eastAsia="等线" w:cs="Arial"/>
                <w:b/>
                <w:sz w:val="22"/>
              </w:rPr>
              <w:t>计入</w:t>
            </w:r>
            <w:r>
              <w:rPr>
                <w:rFonts w:ascii="Arial" w:hAnsi="Arial" w:eastAsia="等线" w:cs="Arial"/>
                <w:sz w:val="22"/>
              </w:rPr>
              <w:t>美国GNP。</w:t>
            </w:r>
          </w:p>
          <w:p w14:paraId="63F88B41">
            <w:pPr>
              <w:numPr>
                <w:ilvl w:val="0"/>
                <w:numId w:val="113"/>
              </w:numPr>
              <w:spacing w:before="120" w:after="120" w:line="288" w:lineRule="auto"/>
              <w:ind w:left="0"/>
              <w:jc w:val="left"/>
            </w:pPr>
            <w:r>
              <w:rPr>
                <w:rFonts w:ascii="Arial" w:hAnsi="Arial" w:eastAsia="等线" w:cs="Arial"/>
                <w:sz w:val="22"/>
              </w:rPr>
              <w:t>一位中国公民在美国硅谷工作的工资，或丰田汽车在美国阿拉巴马州工厂的利润。</w:t>
            </w:r>
          </w:p>
          <w:p w14:paraId="56F28DAE">
            <w:pPr>
              <w:numPr>
                <w:ilvl w:val="0"/>
                <w:numId w:val="114"/>
              </w:numPr>
              <w:spacing w:before="120" w:after="120" w:line="288" w:lineRule="auto"/>
              <w:ind w:left="453"/>
              <w:jc w:val="left"/>
            </w:pPr>
            <w:r>
              <w:rPr>
                <w:rFonts w:ascii="Arial" w:hAnsi="Arial" w:eastAsia="等线" w:cs="Arial"/>
                <w:b/>
                <w:sz w:val="22"/>
              </w:rPr>
              <w:t>对GDP</w:t>
            </w:r>
            <w:r>
              <w:rPr>
                <w:rFonts w:ascii="Arial" w:hAnsi="Arial" w:eastAsia="等线" w:cs="Arial"/>
                <w:sz w:val="22"/>
              </w:rPr>
              <w:t>：生产活动发生在美国境内，所以</w:t>
            </w:r>
            <w:r>
              <w:rPr>
                <w:rFonts w:ascii="Arial" w:hAnsi="Arial" w:eastAsia="等线" w:cs="Arial"/>
                <w:b/>
                <w:sz w:val="22"/>
              </w:rPr>
              <w:t>计入</w:t>
            </w:r>
            <w:r>
              <w:rPr>
                <w:rFonts w:ascii="Arial" w:hAnsi="Arial" w:eastAsia="等线" w:cs="Arial"/>
                <w:sz w:val="22"/>
              </w:rPr>
              <w:t>美国GDP。</w:t>
            </w:r>
          </w:p>
          <w:p w14:paraId="40743F87">
            <w:pPr>
              <w:numPr>
                <w:ilvl w:val="0"/>
                <w:numId w:val="115"/>
              </w:numPr>
              <w:spacing w:before="120" w:after="120" w:line="288" w:lineRule="auto"/>
              <w:ind w:left="453"/>
              <w:jc w:val="left"/>
            </w:pPr>
            <w:r>
              <w:rPr>
                <w:rFonts w:ascii="Arial" w:hAnsi="Arial" w:eastAsia="等线" w:cs="Arial"/>
                <w:b/>
                <w:sz w:val="22"/>
              </w:rPr>
              <w:t>对GNP</w:t>
            </w:r>
            <w:r>
              <w:rPr>
                <w:rFonts w:ascii="Arial" w:hAnsi="Arial" w:eastAsia="等线" w:cs="Arial"/>
                <w:sz w:val="22"/>
              </w:rPr>
              <w:t>：这是外国国民的收入，所以</w:t>
            </w:r>
            <w:r>
              <w:rPr>
                <w:rFonts w:ascii="Arial" w:hAnsi="Arial" w:eastAsia="等线" w:cs="Arial"/>
                <w:b/>
                <w:sz w:val="22"/>
              </w:rPr>
              <w:t>不计入</w:t>
            </w:r>
            <w:r>
              <w:rPr>
                <w:rFonts w:ascii="Arial" w:hAnsi="Arial" w:eastAsia="等线" w:cs="Arial"/>
                <w:sz w:val="22"/>
              </w:rPr>
              <w:t>美国GNP。</w:t>
            </w:r>
          </w:p>
        </w:tc>
      </w:tr>
    </w:tbl>
    <w:p w14:paraId="6D63FDA0">
      <w:pPr>
        <w:spacing w:before="120" w:after="120" w:line="288" w:lineRule="auto"/>
        <w:ind w:left="0"/>
        <w:jc w:val="left"/>
      </w:pPr>
    </w:p>
    <w:p w14:paraId="310B3FB7">
      <w:pPr>
        <w:spacing w:before="120" w:after="120" w:line="288" w:lineRule="auto"/>
        <w:ind w:left="0"/>
        <w:jc w:val="left"/>
      </w:pPr>
      <w:r>
        <w:rPr>
          <w:rFonts w:ascii="Arial" w:hAnsi="Arial" w:eastAsia="等线" w:cs="Arial"/>
          <w:sz w:val="22"/>
        </w:rPr>
        <w:t>由于通货膨胀会随着时间的推移而发生，因此 GDP 和 GNP 以不变美元（constant dollars）计算，包括通货膨胀的成本。这对于帮助确定经济是逐年扩张还是收缩是必要的。</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22882A86">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2416A24">
            <w:pPr>
              <w:spacing w:before="120" w:after="120" w:line="288" w:lineRule="auto"/>
              <w:ind w:left="0"/>
              <w:jc w:val="left"/>
            </w:pPr>
            <w:r>
              <w:rPr>
                <w:rFonts w:ascii="Arial" w:hAnsi="Arial" w:eastAsia="等线" w:cs="Arial"/>
                <w:sz w:val="22"/>
              </w:rPr>
              <w:t>什么是不变美元？【本段为扩展阅读，SIE不会考那么细】</w:t>
            </w:r>
          </w:p>
          <w:p w14:paraId="7E2A5DA9">
            <w:pPr>
              <w:spacing w:before="120" w:after="120" w:line="288" w:lineRule="auto"/>
              <w:ind w:left="0"/>
              <w:jc w:val="left"/>
            </w:pPr>
            <w:r>
              <w:rPr>
                <w:rFonts w:ascii="Arial" w:hAnsi="Arial" w:eastAsia="等线" w:cs="Arial"/>
                <w:sz w:val="22"/>
              </w:rPr>
              <w:t>为了真实地衡量经济的实际增长（是生产了更多产品和服务，还是仅仅因为涨价），我们必须剔除通货膨胀带来的“水分”。而“不变美元”就是用来剔除这个水分的神奇工具。</w:t>
            </w:r>
          </w:p>
          <w:p w14:paraId="726D931B">
            <w:pPr>
              <w:spacing w:before="260" w:after="120" w:line="288" w:lineRule="auto"/>
              <w:ind w:left="0"/>
              <w:jc w:val="left"/>
              <w:outlineLvl w:val="3"/>
            </w:pPr>
            <w:bookmarkStart w:id="35" w:name="heading_35"/>
            <w:r>
              <w:rPr>
                <w:rFonts w:ascii="Arial" w:hAnsi="Arial" w:eastAsia="等线" w:cs="Arial"/>
                <w:b/>
                <w:sz w:val="28"/>
              </w:rPr>
              <w:t>通货膨胀会扭曲我们的感知</w:t>
            </w:r>
            <w:bookmarkEnd w:id="35"/>
          </w:p>
          <w:p w14:paraId="00E49E89">
            <w:pPr>
              <w:numPr>
                <w:ilvl w:val="0"/>
                <w:numId w:val="116"/>
              </w:numPr>
              <w:spacing w:before="120" w:after="120" w:line="288" w:lineRule="auto"/>
              <w:ind w:left="0"/>
              <w:jc w:val="left"/>
            </w:pPr>
            <w:r>
              <w:rPr>
                <w:rFonts w:ascii="Arial" w:hAnsi="Arial" w:eastAsia="等线" w:cs="Arial"/>
                <w:b/>
                <w:sz w:val="22"/>
              </w:rPr>
              <w:t>名义GDP/GNP（按当期价格计算）</w:t>
            </w:r>
            <w:r>
              <w:rPr>
                <w:rFonts w:ascii="Arial" w:hAnsi="Arial" w:eastAsia="等线" w:cs="Arial"/>
                <w:sz w:val="22"/>
              </w:rPr>
              <w:t>：这是直接把所有最终产品和服务按当年的市场价格加总起来的值。</w:t>
            </w:r>
          </w:p>
          <w:p w14:paraId="53BC5B2C">
            <w:pPr>
              <w:numPr>
                <w:ilvl w:val="0"/>
                <w:numId w:val="117"/>
              </w:numPr>
              <w:spacing w:before="120" w:after="120" w:line="288" w:lineRule="auto"/>
              <w:ind w:left="0"/>
              <w:jc w:val="left"/>
            </w:pPr>
            <w:r>
              <w:rPr>
                <w:rFonts w:ascii="Arial" w:hAnsi="Arial" w:eastAsia="等线" w:cs="Arial"/>
                <w:b/>
                <w:sz w:val="22"/>
              </w:rPr>
              <w:t>问题所在</w:t>
            </w:r>
            <w:r>
              <w:rPr>
                <w:rFonts w:ascii="Arial" w:hAnsi="Arial" w:eastAsia="等线" w:cs="Arial"/>
                <w:sz w:val="22"/>
              </w:rPr>
              <w:t>：假设从去年到今年，一个经济体只生产了一个苹果。</w:t>
            </w:r>
          </w:p>
          <w:p w14:paraId="0AD19E2F">
            <w:pPr>
              <w:numPr>
                <w:ilvl w:val="0"/>
                <w:numId w:val="118"/>
              </w:numPr>
              <w:spacing w:before="120" w:after="120" w:line="288" w:lineRule="auto"/>
              <w:ind w:left="453"/>
              <w:jc w:val="left"/>
            </w:pPr>
            <w:r>
              <w:rPr>
                <w:rFonts w:ascii="Arial" w:hAnsi="Arial" w:eastAsia="等线" w:cs="Arial"/>
                <w:b/>
                <w:sz w:val="22"/>
              </w:rPr>
              <w:t>去年</w:t>
            </w:r>
            <w:r>
              <w:rPr>
                <w:rFonts w:ascii="Arial" w:hAnsi="Arial" w:eastAsia="等线" w:cs="Arial"/>
                <w:sz w:val="22"/>
              </w:rPr>
              <w:t xml:space="preserve">：苹果卖1美元，名义GDP = </w:t>
            </w:r>
            <w:r>
              <w:rPr>
                <w:rFonts w:ascii="Arial" w:hAnsi="Arial" w:eastAsia="等线" w:cs="Arial"/>
                <w:b/>
                <w:sz w:val="22"/>
              </w:rPr>
              <w:t>1美元</w:t>
            </w:r>
            <w:r>
              <w:rPr>
                <w:rFonts w:ascii="Arial" w:hAnsi="Arial" w:eastAsia="等线" w:cs="Arial"/>
                <w:sz w:val="22"/>
              </w:rPr>
              <w:t>。</w:t>
            </w:r>
          </w:p>
          <w:p w14:paraId="2E0713DA">
            <w:pPr>
              <w:numPr>
                <w:ilvl w:val="0"/>
                <w:numId w:val="119"/>
              </w:numPr>
              <w:spacing w:before="120" w:after="120" w:line="288" w:lineRule="auto"/>
              <w:ind w:left="453"/>
              <w:jc w:val="left"/>
            </w:pPr>
            <w:r>
              <w:rPr>
                <w:rFonts w:ascii="Arial" w:hAnsi="Arial" w:eastAsia="等线" w:cs="Arial"/>
                <w:b/>
                <w:sz w:val="22"/>
              </w:rPr>
              <w:t>今年</w:t>
            </w:r>
            <w:r>
              <w:rPr>
                <w:rFonts w:ascii="Arial" w:hAnsi="Arial" w:eastAsia="等线" w:cs="Arial"/>
                <w:sz w:val="22"/>
              </w:rPr>
              <w:t xml:space="preserve">：苹果卖1.1美元（通货膨胀了10%），名义GDP = </w:t>
            </w:r>
            <w:r>
              <w:rPr>
                <w:rFonts w:ascii="Arial" w:hAnsi="Arial" w:eastAsia="等线" w:cs="Arial"/>
                <w:b/>
                <w:sz w:val="22"/>
              </w:rPr>
              <w:t>1.1美元</w:t>
            </w:r>
            <w:r>
              <w:rPr>
                <w:rFonts w:ascii="Arial" w:hAnsi="Arial" w:eastAsia="等线" w:cs="Arial"/>
                <w:sz w:val="22"/>
              </w:rPr>
              <w:t>。</w:t>
            </w:r>
          </w:p>
          <w:p w14:paraId="2191FA8F">
            <w:pPr>
              <w:numPr>
                <w:ilvl w:val="0"/>
                <w:numId w:val="120"/>
              </w:numPr>
              <w:spacing w:before="120" w:after="120" w:line="288" w:lineRule="auto"/>
              <w:ind w:left="0"/>
              <w:jc w:val="left"/>
            </w:pPr>
            <w:r>
              <w:rPr>
                <w:rFonts w:ascii="Arial" w:hAnsi="Arial" w:eastAsia="等线" w:cs="Arial"/>
                <w:b/>
                <w:sz w:val="22"/>
              </w:rPr>
              <w:t>表面上看</w:t>
            </w:r>
            <w:r>
              <w:rPr>
                <w:rFonts w:ascii="Arial" w:hAnsi="Arial" w:eastAsia="等线" w:cs="Arial"/>
                <w:sz w:val="22"/>
              </w:rPr>
              <w:t>：GDP增长了10%！经济似乎在扩张。</w:t>
            </w:r>
          </w:p>
          <w:p w14:paraId="19C789C1">
            <w:pPr>
              <w:numPr>
                <w:ilvl w:val="0"/>
                <w:numId w:val="121"/>
              </w:numPr>
              <w:spacing w:before="120" w:after="120" w:line="288" w:lineRule="auto"/>
              <w:ind w:left="0"/>
              <w:jc w:val="left"/>
            </w:pPr>
            <w:r>
              <w:rPr>
                <w:rFonts w:ascii="Arial" w:hAnsi="Arial" w:eastAsia="等线" w:cs="Arial"/>
                <w:b/>
                <w:sz w:val="22"/>
              </w:rPr>
              <w:t>但实际上</w:t>
            </w:r>
            <w:r>
              <w:rPr>
                <w:rFonts w:ascii="Arial" w:hAnsi="Arial" w:eastAsia="等线" w:cs="Arial"/>
                <w:sz w:val="22"/>
              </w:rPr>
              <w:t>：经济没有任何</w:t>
            </w:r>
            <w:r>
              <w:rPr>
                <w:rFonts w:ascii="Arial" w:hAnsi="Arial" w:eastAsia="等线" w:cs="Arial"/>
                <w:b/>
                <w:sz w:val="22"/>
              </w:rPr>
              <w:t>实际</w:t>
            </w:r>
            <w:r>
              <w:rPr>
                <w:rFonts w:ascii="Arial" w:hAnsi="Arial" w:eastAsia="等线" w:cs="Arial"/>
                <w:sz w:val="22"/>
              </w:rPr>
              <w:t>的增长，因为生产的苹果数量还是一个。所有的“增长”都来自于价格的上涨。</w:t>
            </w:r>
          </w:p>
          <w:p w14:paraId="6E4572A8">
            <w:pPr>
              <w:spacing w:before="120" w:after="120" w:line="288" w:lineRule="auto"/>
              <w:ind w:left="0"/>
              <w:jc w:val="left"/>
            </w:pPr>
            <w:r>
              <w:rPr>
                <w:rFonts w:ascii="Arial" w:hAnsi="Arial" w:eastAsia="等线" w:cs="Arial"/>
                <w:sz w:val="22"/>
              </w:rPr>
              <w:t>这就是通货膨胀带来的扭曲：</w:t>
            </w:r>
            <w:r>
              <w:rPr>
                <w:rFonts w:ascii="Arial" w:hAnsi="Arial" w:eastAsia="等线" w:cs="Arial"/>
                <w:b/>
                <w:sz w:val="22"/>
              </w:rPr>
              <w:t>它让GDP数字看起来在涨，但这可能只是“虚胖”，而非“强壮”。</w:t>
            </w:r>
          </w:p>
          <w:p w14:paraId="0434F2D6">
            <w:pPr>
              <w:spacing w:before="260" w:after="120" w:line="288" w:lineRule="auto"/>
              <w:ind w:left="0"/>
              <w:jc w:val="left"/>
              <w:outlineLvl w:val="3"/>
            </w:pPr>
            <w:bookmarkStart w:id="36" w:name="heading_36"/>
            <w:r>
              <w:rPr>
                <w:rFonts w:ascii="Arial" w:hAnsi="Arial" w:eastAsia="等线" w:cs="Arial"/>
                <w:b/>
                <w:sz w:val="28"/>
              </w:rPr>
              <w:t>解决方案 —— 引入“不变美元”</w:t>
            </w:r>
            <w:bookmarkEnd w:id="36"/>
          </w:p>
          <w:p w14:paraId="3E460BEE">
            <w:pPr>
              <w:numPr>
                <w:ilvl w:val="0"/>
                <w:numId w:val="122"/>
              </w:numPr>
              <w:spacing w:before="120" w:after="120" w:line="288" w:lineRule="auto"/>
              <w:ind w:left="0"/>
              <w:jc w:val="left"/>
            </w:pPr>
            <w:r>
              <w:rPr>
                <w:rFonts w:ascii="Arial" w:hAnsi="Arial" w:eastAsia="等线" w:cs="Arial"/>
                <w:b/>
                <w:sz w:val="22"/>
              </w:rPr>
              <w:t>“不变美元”是什么？</w:t>
            </w:r>
            <w:r>
              <w:rPr>
                <w:rFonts w:ascii="Arial" w:hAnsi="Arial" w:eastAsia="等线" w:cs="Arial"/>
                <w:sz w:val="22"/>
              </w:rPr>
              <w:t xml:space="preserve"> 它也被称为“实际GDP”。它的方法是：</w:t>
            </w:r>
            <w:r>
              <w:rPr>
                <w:rFonts w:ascii="Arial" w:hAnsi="Arial" w:eastAsia="等线" w:cs="Arial"/>
                <w:b/>
                <w:sz w:val="22"/>
              </w:rPr>
              <w:t>选定一个年份作为基准年，然后用那一年（不变）的价格，来计算所有年份的GDP。</w:t>
            </w:r>
          </w:p>
          <w:p w14:paraId="0E727711">
            <w:pPr>
              <w:numPr>
                <w:ilvl w:val="0"/>
                <w:numId w:val="123"/>
              </w:numPr>
              <w:spacing w:before="120" w:after="120" w:line="288" w:lineRule="auto"/>
              <w:ind w:left="0"/>
              <w:jc w:val="left"/>
            </w:pPr>
            <w:r>
              <w:rPr>
                <w:rFonts w:ascii="Arial" w:hAnsi="Arial" w:eastAsia="等线" w:cs="Arial"/>
                <w:b/>
                <w:sz w:val="22"/>
              </w:rPr>
              <w:t>继续用苹果的例子</w:t>
            </w:r>
            <w:r>
              <w:rPr>
                <w:rFonts w:ascii="Arial" w:hAnsi="Arial" w:eastAsia="等线" w:cs="Arial"/>
                <w:sz w:val="22"/>
              </w:rPr>
              <w:t>：我们选定“去年”作为基准年，苹果价格固定为1美元。</w:t>
            </w:r>
          </w:p>
          <w:p w14:paraId="113A69B8">
            <w:pPr>
              <w:numPr>
                <w:ilvl w:val="0"/>
                <w:numId w:val="124"/>
              </w:numPr>
              <w:spacing w:before="120" w:after="120" w:line="288" w:lineRule="auto"/>
              <w:ind w:left="453"/>
              <w:jc w:val="left"/>
            </w:pPr>
            <w:r>
              <w:rPr>
                <w:rFonts w:ascii="Arial" w:hAnsi="Arial" w:eastAsia="等线" w:cs="Arial"/>
                <w:b/>
                <w:sz w:val="22"/>
              </w:rPr>
              <w:t>计算去年的实际GDP</w:t>
            </w:r>
            <w:r>
              <w:rPr>
                <w:rFonts w:ascii="Arial" w:hAnsi="Arial" w:eastAsia="等线" w:cs="Arial"/>
                <w:sz w:val="22"/>
              </w:rPr>
              <w:t xml:space="preserve">：用基准年价格（1美元） × 去年产量（1个） = </w:t>
            </w:r>
            <w:r>
              <w:rPr>
                <w:rFonts w:ascii="Arial" w:hAnsi="Arial" w:eastAsia="等线" w:cs="Arial"/>
                <w:b/>
                <w:sz w:val="22"/>
              </w:rPr>
              <w:t>1美元</w:t>
            </w:r>
            <w:r>
              <w:rPr>
                <w:rFonts w:ascii="Arial" w:hAnsi="Arial" w:eastAsia="等线" w:cs="Arial"/>
                <w:sz w:val="22"/>
              </w:rPr>
              <w:t>。</w:t>
            </w:r>
          </w:p>
          <w:p w14:paraId="456FAA74">
            <w:pPr>
              <w:numPr>
                <w:ilvl w:val="0"/>
                <w:numId w:val="125"/>
              </w:numPr>
              <w:spacing w:before="120" w:after="120" w:line="288" w:lineRule="auto"/>
              <w:ind w:left="453"/>
              <w:jc w:val="left"/>
            </w:pPr>
            <w:r>
              <w:rPr>
                <w:rFonts w:ascii="Arial" w:hAnsi="Arial" w:eastAsia="等线" w:cs="Arial"/>
                <w:b/>
                <w:sz w:val="22"/>
              </w:rPr>
              <w:t>计算今年的实际GDP</w:t>
            </w:r>
            <w:r>
              <w:rPr>
                <w:rFonts w:ascii="Arial" w:hAnsi="Arial" w:eastAsia="等线" w:cs="Arial"/>
                <w:sz w:val="22"/>
              </w:rPr>
              <w:t xml:space="preserve">：用基准年价格（1美元） × 今年产量（1个） = </w:t>
            </w:r>
            <w:r>
              <w:rPr>
                <w:rFonts w:ascii="Arial" w:hAnsi="Arial" w:eastAsia="等线" w:cs="Arial"/>
                <w:b/>
                <w:sz w:val="22"/>
              </w:rPr>
              <w:t>1美元</w:t>
            </w:r>
            <w:r>
              <w:rPr>
                <w:rFonts w:ascii="Arial" w:hAnsi="Arial" w:eastAsia="等线" w:cs="Arial"/>
                <w:sz w:val="22"/>
              </w:rPr>
              <w:t>。</w:t>
            </w:r>
          </w:p>
          <w:p w14:paraId="4A60F067">
            <w:pPr>
              <w:numPr>
                <w:ilvl w:val="0"/>
                <w:numId w:val="126"/>
              </w:numPr>
              <w:spacing w:before="120" w:after="120" w:line="288" w:lineRule="auto"/>
              <w:ind w:left="0"/>
              <w:jc w:val="left"/>
            </w:pPr>
            <w:r>
              <w:rPr>
                <w:rFonts w:ascii="Arial" w:hAnsi="Arial" w:eastAsia="等线" w:cs="Arial"/>
                <w:b/>
                <w:sz w:val="22"/>
              </w:rPr>
              <w:t>结果</w:t>
            </w:r>
            <w:r>
              <w:rPr>
                <w:rFonts w:ascii="Arial" w:hAnsi="Arial" w:eastAsia="等线" w:cs="Arial"/>
                <w:sz w:val="22"/>
              </w:rPr>
              <w:t>：当我们使用“不变美元”计算后，发现实际GDP</w:t>
            </w:r>
            <w:r>
              <w:rPr>
                <w:rFonts w:ascii="Arial" w:hAnsi="Arial" w:eastAsia="等线" w:cs="Arial"/>
                <w:b/>
                <w:sz w:val="22"/>
              </w:rPr>
              <w:t>没有变化</w:t>
            </w:r>
            <w:r>
              <w:rPr>
                <w:rFonts w:ascii="Arial" w:hAnsi="Arial" w:eastAsia="等线" w:cs="Arial"/>
                <w:sz w:val="22"/>
              </w:rPr>
              <w:t>。这真实地反映了经济没有实际增长的情况。</w:t>
            </w:r>
          </w:p>
          <w:p w14:paraId="6F5745AA">
            <w:pPr>
              <w:spacing w:before="120" w:after="120" w:line="288" w:lineRule="auto"/>
              <w:ind w:left="0"/>
              <w:jc w:val="left"/>
            </w:pPr>
            <w:r>
              <w:rPr>
                <w:rFonts w:ascii="Arial" w:hAnsi="Arial" w:eastAsia="等线" w:cs="Arial"/>
                <w:b/>
                <w:sz w:val="22"/>
              </w:rPr>
              <w:t>“不变美元”就像一把尺子，这把尺子的刻度（价格）是固定不变的，它只衡量产出的数量变化。</w:t>
            </w:r>
          </w:p>
        </w:tc>
      </w:tr>
    </w:tbl>
    <w:p w14:paraId="5639F66C">
      <w:pPr>
        <w:spacing w:before="120" w:after="120" w:line="288" w:lineRule="auto"/>
        <w:ind w:left="0"/>
        <w:jc w:val="left"/>
      </w:pPr>
      <w:r>
        <w:rPr>
          <w:rFonts w:ascii="Arial" w:hAnsi="Arial" w:eastAsia="等线" w:cs="Arial"/>
          <w:sz w:val="22"/>
        </w:rPr>
        <w:t>注意：在传统宏观经济学定义中，</w:t>
      </w:r>
      <w:r>
        <w:rPr>
          <w:rFonts w:ascii="Arial" w:hAnsi="Arial" w:eastAsia="等线" w:cs="Arial"/>
          <w:b/>
          <w:sz w:val="22"/>
        </w:rPr>
        <w:t>经济衰退（recession）</w:t>
      </w:r>
      <w:r>
        <w:rPr>
          <w:rFonts w:ascii="Arial" w:hAnsi="Arial" w:eastAsia="等线" w:cs="Arial"/>
          <w:sz w:val="22"/>
        </w:rPr>
        <w:t xml:space="preserve"> 的核心判定标准是：</w:t>
      </w:r>
      <w:r>
        <w:rPr>
          <w:rFonts w:ascii="Arial" w:hAnsi="Arial" w:eastAsia="等线" w:cs="Arial"/>
          <w:b/>
          <w:sz w:val="22"/>
        </w:rPr>
        <w:t>国内生产总值（GDP）连续两个季度（Two Quarters）出现负增长</w:t>
      </w:r>
      <w:r>
        <w:rPr>
          <w:rFonts w:ascii="Arial" w:hAnsi="Arial" w:eastAsia="等线" w:cs="Arial"/>
          <w:sz w:val="22"/>
        </w:rPr>
        <w:t>。这个标准是全球金融与经济领域的通用参考口径，也是 SIE 考试中关于经济周期考点的基础内容。</w:t>
      </w:r>
    </w:p>
    <w:p w14:paraId="6097AF85">
      <w:pPr>
        <w:spacing w:before="320" w:after="120" w:line="288" w:lineRule="auto"/>
        <w:ind w:left="0"/>
        <w:jc w:val="left"/>
        <w:outlineLvl w:val="1"/>
      </w:pPr>
      <w:bookmarkStart w:id="37" w:name="heading_37"/>
      <w:r>
        <w:rPr>
          <w:rFonts w:ascii="Arial" w:hAnsi="Arial" w:eastAsia="等线" w:cs="Arial"/>
          <w:color w:val="3370FF"/>
          <w:sz w:val="32"/>
        </w:rPr>
        <w:t xml:space="preserve">2.4 </w:t>
      </w:r>
      <w:r>
        <w:rPr>
          <w:rFonts w:ascii="Arial" w:hAnsi="Arial" w:eastAsia="等线" w:cs="Arial"/>
          <w:b/>
          <w:sz w:val="32"/>
        </w:rPr>
        <w:t>经济因素如何影响证券</w:t>
      </w:r>
      <w:bookmarkEnd w:id="37"/>
    </w:p>
    <w:p w14:paraId="295A65A3">
      <w:pPr>
        <w:spacing w:before="120" w:after="120" w:line="288" w:lineRule="auto"/>
        <w:ind w:left="0"/>
        <w:jc w:val="left"/>
      </w:pPr>
      <w:r>
        <w:rPr>
          <w:rFonts w:ascii="Arial" w:hAnsi="Arial" w:eastAsia="等线" w:cs="Arial"/>
          <w:sz w:val="22"/>
        </w:rPr>
        <w:t>经济因素对证券的影响各不相同。</w:t>
      </w:r>
    </w:p>
    <w:p w14:paraId="6A4D9C24">
      <w:pPr>
        <w:spacing w:before="120" w:after="120" w:line="288" w:lineRule="auto"/>
        <w:ind w:left="0"/>
        <w:jc w:val="left"/>
      </w:pPr>
    </w:p>
    <w:p w14:paraId="40DC1D6B">
      <w:pPr>
        <w:spacing w:before="120" w:after="120" w:line="288" w:lineRule="auto"/>
        <w:ind w:left="0"/>
        <w:jc w:val="left"/>
      </w:pPr>
      <w:r>
        <w:rPr>
          <w:rFonts w:ascii="Arial" w:hAnsi="Arial" w:eastAsia="等线" w:cs="Arial"/>
          <w:sz w:val="22"/>
        </w:rPr>
        <w:t>本节讲述经济如何影响“周期性”、“防御性”和“成长性”这三类公司。</w:t>
      </w:r>
    </w:p>
    <w:p w14:paraId="37FD8E93">
      <w:pPr>
        <w:spacing w:before="120" w:after="120" w:line="288" w:lineRule="auto"/>
        <w:ind w:left="0"/>
        <w:jc w:val="left"/>
      </w:pPr>
    </w:p>
    <w:p w14:paraId="6D8B3EF5">
      <w:pPr>
        <w:numPr>
          <w:ilvl w:val="0"/>
          <w:numId w:val="127"/>
        </w:numPr>
        <w:spacing w:before="120" w:after="120" w:line="288" w:lineRule="auto"/>
        <w:ind w:left="0"/>
        <w:jc w:val="left"/>
      </w:pPr>
      <w:r>
        <w:rPr>
          <w:rFonts w:ascii="Arial" w:hAnsi="Arial" w:eastAsia="等线" w:cs="Arial"/>
          <w:sz w:val="22"/>
        </w:rPr>
        <w:t>周期性（Cyclical）</w:t>
      </w:r>
    </w:p>
    <w:p w14:paraId="51340D76">
      <w:pPr>
        <w:numPr>
          <w:ilvl w:val="0"/>
          <w:numId w:val="128"/>
        </w:numPr>
        <w:spacing w:before="120" w:after="120" w:line="288" w:lineRule="auto"/>
        <w:ind w:left="453"/>
        <w:jc w:val="left"/>
      </w:pPr>
      <w:r>
        <w:rPr>
          <w:rFonts w:ascii="Arial" w:hAnsi="Arial" w:eastAsia="等线" w:cs="Arial"/>
          <w:sz w:val="22"/>
        </w:rPr>
        <w:t>周期性公司是指业绩取决于经济状况的公司。如果经济扩张，周期性公司将表现良好。如果经济萎缩，周期性公司将受到严重影响。</w:t>
      </w:r>
    </w:p>
    <w:p w14:paraId="06A62798">
      <w:pPr>
        <w:numPr>
          <w:ilvl w:val="0"/>
          <w:numId w:val="129"/>
        </w:numPr>
        <w:spacing w:before="120" w:after="120" w:line="288" w:lineRule="auto"/>
        <w:ind w:left="453"/>
        <w:jc w:val="left"/>
      </w:pPr>
      <w:r>
        <w:rPr>
          <w:rFonts w:ascii="Arial" w:hAnsi="Arial" w:eastAsia="等线" w:cs="Arial"/>
          <w:sz w:val="22"/>
        </w:rPr>
        <w:t>周期性公司的例子包括家用电器（Household appliances）、汽车公司、旅游业、建筑业和制造业。显然，当经济不景气时，人们会推迟购买新冰箱或新车，推迟度假等等。因此，周期性公司的股价可能会下跌，这些公司可能无法支付其债务证券的利息。</w:t>
      </w:r>
    </w:p>
    <w:p w14:paraId="36482964">
      <w:pPr>
        <w:numPr>
          <w:ilvl w:val="0"/>
          <w:numId w:val="130"/>
        </w:numPr>
        <w:spacing w:before="120" w:after="120" w:line="288" w:lineRule="auto"/>
        <w:ind w:left="453"/>
        <w:jc w:val="left"/>
      </w:pPr>
      <w:r>
        <w:rPr>
          <w:rFonts w:ascii="Arial" w:hAnsi="Arial" w:eastAsia="等线" w:cs="Arial"/>
          <w:sz w:val="22"/>
        </w:rPr>
        <w:t>反周期股票（Countercyclical stock），例如快餐、汽车零部件、折扣零售商（Discount retailers）等，实际上可能会在经济恶化时表现更好。</w:t>
      </w:r>
    </w:p>
    <w:p w14:paraId="7E51E72B">
      <w:pPr>
        <w:numPr>
          <w:ilvl w:val="0"/>
          <w:numId w:val="131"/>
        </w:numPr>
        <w:spacing w:before="120" w:after="120" w:line="288" w:lineRule="auto"/>
        <w:ind w:left="0"/>
        <w:jc w:val="left"/>
      </w:pPr>
      <w:r>
        <w:rPr>
          <w:rFonts w:ascii="Arial" w:hAnsi="Arial" w:eastAsia="等线" w:cs="Arial"/>
          <w:sz w:val="22"/>
        </w:rPr>
        <w:t>防御型（Defensive）</w:t>
      </w:r>
    </w:p>
    <w:p w14:paraId="517F8623">
      <w:pPr>
        <w:numPr>
          <w:ilvl w:val="0"/>
          <w:numId w:val="132"/>
        </w:numPr>
        <w:spacing w:before="120" w:after="120" w:line="288" w:lineRule="auto"/>
        <w:ind w:left="453"/>
        <w:jc w:val="left"/>
      </w:pPr>
      <w:r>
        <w:rPr>
          <w:rFonts w:ascii="Arial" w:hAnsi="Arial" w:eastAsia="等线" w:cs="Arial"/>
          <w:sz w:val="22"/>
        </w:rPr>
        <w:t>防御型公司是指无论经济表现如何，销售额都保持相对稳定的公司。这些公司提供的产品或服务即使在经济萎缩的情况下人们也会购买。防御型公司的例子包括公用事业、食品、服装、酒类、烟草（Tobacco）和化妆品。</w:t>
      </w:r>
    </w:p>
    <w:p w14:paraId="0B04B248">
      <w:pPr>
        <w:numPr>
          <w:ilvl w:val="0"/>
          <w:numId w:val="133"/>
        </w:numPr>
        <w:spacing w:before="120" w:after="120" w:line="288" w:lineRule="auto"/>
        <w:ind w:left="0"/>
        <w:jc w:val="left"/>
      </w:pPr>
      <w:r>
        <w:rPr>
          <w:rFonts w:ascii="Arial" w:hAnsi="Arial" w:eastAsia="等线" w:cs="Arial"/>
          <w:sz w:val="22"/>
        </w:rPr>
        <w:t>成长型（Growth）</w:t>
      </w:r>
    </w:p>
    <w:p w14:paraId="69814FF0">
      <w:pPr>
        <w:numPr>
          <w:ilvl w:val="0"/>
          <w:numId w:val="134"/>
        </w:numPr>
        <w:spacing w:before="120" w:after="120" w:line="288" w:lineRule="auto"/>
        <w:ind w:left="453"/>
        <w:jc w:val="left"/>
      </w:pPr>
      <w:r>
        <w:rPr>
          <w:rFonts w:ascii="Arial" w:hAnsi="Arial" w:eastAsia="等线" w:cs="Arial"/>
          <w:sz w:val="22"/>
        </w:rPr>
        <w:t>成长型公司，例如科技公司，是指增长速度快于同类公司或整个市场的公司。成长型公司通常是较新的公司，在经济扩张时期更有可能表现优异，但在经济萎缩和市场看跌时，它们的表现会逊于其他股票，例如价值型股票。由于成长型公司将大量资金重新投入到业务中，因此它们通常不会支付太多（甚至根本不支付）股息。</w:t>
      </w:r>
    </w:p>
    <w:p w14:paraId="71709E23">
      <w:pPr>
        <w:spacing w:before="120" w:after="120" w:line="288" w:lineRule="auto"/>
        <w:ind w:left="0"/>
        <w:jc w:val="left"/>
      </w:pPr>
    </w:p>
    <w:p w14:paraId="3E1096E7">
      <w:pPr>
        <w:spacing w:before="320" w:after="120" w:line="288" w:lineRule="auto"/>
        <w:ind w:left="0"/>
        <w:jc w:val="left"/>
        <w:outlineLvl w:val="1"/>
      </w:pPr>
      <w:bookmarkStart w:id="38" w:name="heading_38"/>
      <w:r>
        <w:rPr>
          <w:rFonts w:ascii="Arial" w:hAnsi="Arial" w:eastAsia="等线" w:cs="Arial"/>
          <w:color w:val="3370FF"/>
          <w:sz w:val="32"/>
        </w:rPr>
        <w:t xml:space="preserve">2.5 </w:t>
      </w:r>
      <w:r>
        <w:rPr>
          <w:rFonts w:ascii="Arial" w:hAnsi="Arial" w:eastAsia="等线" w:cs="Arial"/>
          <w:b/>
          <w:sz w:val="32"/>
        </w:rPr>
        <w:t>主要经济理论</w:t>
      </w:r>
      <w:bookmarkEnd w:id="38"/>
    </w:p>
    <w:p w14:paraId="4BDFAFBB">
      <w:pPr>
        <w:spacing w:before="120" w:after="120" w:line="288" w:lineRule="auto"/>
        <w:ind w:left="0"/>
        <w:jc w:val="left"/>
      </w:pPr>
      <w:r>
        <w:rPr>
          <w:rFonts w:ascii="Arial" w:hAnsi="Arial" w:eastAsia="等线" w:cs="Arial"/>
          <w:sz w:val="22"/>
        </w:rPr>
        <w:t>经济学家遵循主要的经济理论，并且经济学家通常信奉其中一种理论，而关于哪种理论最适合经济，一直存在很多争论。</w:t>
      </w:r>
    </w:p>
    <w:p w14:paraId="325E91AC">
      <w:pPr>
        <w:spacing w:before="120" w:after="120" w:line="288" w:lineRule="auto"/>
        <w:ind w:left="0"/>
        <w:jc w:val="left"/>
      </w:pPr>
    </w:p>
    <w:p w14:paraId="66BACD27">
      <w:pPr>
        <w:spacing w:before="120" w:after="120" w:line="288" w:lineRule="auto"/>
        <w:ind w:left="0"/>
        <w:jc w:val="left"/>
      </w:pPr>
      <w:r>
        <w:rPr>
          <w:rFonts w:ascii="Arial" w:hAnsi="Arial" w:eastAsia="等线" w:cs="Arial"/>
          <w:sz w:val="22"/>
        </w:rPr>
        <w:t>SIE只考察以下三种理论的基础知识：</w:t>
      </w:r>
    </w:p>
    <w:p w14:paraId="38D66713">
      <w:pPr>
        <w:spacing w:before="300" w:after="120" w:line="288" w:lineRule="auto"/>
        <w:ind w:left="0"/>
        <w:jc w:val="left"/>
        <w:outlineLvl w:val="2"/>
      </w:pPr>
      <w:bookmarkStart w:id="39" w:name="heading_39"/>
      <w:r>
        <w:rPr>
          <w:rFonts w:ascii="Arial" w:hAnsi="Arial" w:eastAsia="等线" w:cs="Arial"/>
          <w:color w:val="3370FF"/>
          <w:sz w:val="30"/>
        </w:rPr>
        <w:t xml:space="preserve">2.5.1 </w:t>
      </w:r>
      <w:r>
        <w:rPr>
          <w:rFonts w:ascii="Arial" w:hAnsi="Arial" w:eastAsia="等线" w:cs="Arial"/>
          <w:b/>
          <w:sz w:val="30"/>
        </w:rPr>
        <w:t>凯恩斯主义经济学</w:t>
      </w:r>
      <w:bookmarkEnd w:id="39"/>
    </w:p>
    <w:p w14:paraId="39CAB97A">
      <w:pPr>
        <w:spacing w:before="120" w:after="120" w:line="288" w:lineRule="auto"/>
        <w:ind w:left="0"/>
        <w:jc w:val="left"/>
      </w:pPr>
      <w:r>
        <w:rPr>
          <w:rFonts w:ascii="Arial" w:hAnsi="Arial" w:eastAsia="等线" w:cs="Arial"/>
          <w:sz w:val="22"/>
        </w:rPr>
        <w:t>凯恩斯主义经济学（Keynesian Economics）是需求侧经济学。</w:t>
      </w:r>
    </w:p>
    <w:p w14:paraId="1010FCF8">
      <w:pPr>
        <w:spacing w:before="120" w:after="120" w:line="288" w:lineRule="auto"/>
        <w:ind w:left="0"/>
        <w:jc w:val="left"/>
      </w:pPr>
    </w:p>
    <w:p w14:paraId="1EED7331">
      <w:pPr>
        <w:numPr>
          <w:ilvl w:val="0"/>
          <w:numId w:val="135"/>
        </w:numPr>
        <w:spacing w:before="120" w:after="120" w:line="288" w:lineRule="auto"/>
        <w:ind w:left="0"/>
        <w:jc w:val="left"/>
      </w:pPr>
      <w:r>
        <w:rPr>
          <w:rFonts w:ascii="Arial" w:hAnsi="Arial" w:eastAsia="等线" w:cs="Arial"/>
          <w:sz w:val="22"/>
        </w:rPr>
        <w:t>核心比喻： 经济就像一辆可能熄火的汽车，需要政府用手推（刺激）才能重新启动。</w:t>
      </w:r>
    </w:p>
    <w:p w14:paraId="1CF6B814">
      <w:pPr>
        <w:numPr>
          <w:ilvl w:val="0"/>
          <w:numId w:val="136"/>
        </w:numPr>
        <w:spacing w:before="120" w:after="120" w:line="288" w:lineRule="auto"/>
        <w:ind w:left="0"/>
        <w:jc w:val="left"/>
      </w:pPr>
      <w:r>
        <w:rPr>
          <w:rFonts w:ascii="Arial" w:hAnsi="Arial" w:eastAsia="等线" w:cs="Arial"/>
          <w:sz w:val="22"/>
        </w:rPr>
        <w:t>核心问题： 解决经济衰退（Recession）和失业。</w:t>
      </w:r>
    </w:p>
    <w:p w14:paraId="1CB3DDC5">
      <w:pPr>
        <w:numPr>
          <w:ilvl w:val="0"/>
          <w:numId w:val="137"/>
        </w:numPr>
        <w:spacing w:before="120" w:after="120" w:line="288" w:lineRule="auto"/>
        <w:ind w:left="0"/>
        <w:jc w:val="left"/>
      </w:pPr>
      <w:r>
        <w:rPr>
          <w:rFonts w:ascii="Arial" w:hAnsi="Arial" w:eastAsia="等线" w:cs="Arial"/>
          <w:sz w:val="22"/>
        </w:rPr>
        <w:t>核心思想：</w:t>
      </w:r>
    </w:p>
    <w:p w14:paraId="584641B2">
      <w:pPr>
        <w:numPr>
          <w:ilvl w:val="0"/>
          <w:numId w:val="138"/>
        </w:numPr>
        <w:spacing w:before="120" w:after="120" w:line="288" w:lineRule="auto"/>
        <w:ind w:left="453"/>
        <w:jc w:val="left"/>
      </w:pPr>
      <w:r>
        <w:rPr>
          <w:rFonts w:ascii="Arial" w:hAnsi="Arial" w:eastAsia="等线" w:cs="Arial"/>
          <w:sz w:val="22"/>
        </w:rPr>
        <w:t>有效需求不足： 经济衰退的根本原因是社会总需求（消费者支出 + 企业投资）不足，无法购买经济所生产的所有产品和服务，导致工厂倒闭和工人失业。</w:t>
      </w:r>
    </w:p>
    <w:p w14:paraId="32DBC7F3">
      <w:pPr>
        <w:numPr>
          <w:ilvl w:val="0"/>
          <w:numId w:val="139"/>
        </w:numPr>
        <w:spacing w:before="120" w:after="120" w:line="288" w:lineRule="auto"/>
        <w:ind w:left="453"/>
        <w:jc w:val="left"/>
      </w:pPr>
      <w:r>
        <w:rPr>
          <w:rFonts w:ascii="Arial" w:hAnsi="Arial" w:eastAsia="等线" w:cs="Arial"/>
          <w:sz w:val="22"/>
        </w:rPr>
        <w:t>粘性工资与价格： 工资和价格不能快速下调以平衡市场，因此经济可能长期陷入“非充分就业均衡”，无法自我修复。</w:t>
      </w:r>
    </w:p>
    <w:p w14:paraId="2EC051AA">
      <w:pPr>
        <w:numPr>
          <w:ilvl w:val="0"/>
          <w:numId w:val="140"/>
        </w:numPr>
        <w:spacing w:before="120" w:after="120" w:line="288" w:lineRule="auto"/>
        <w:ind w:left="453"/>
        <w:jc w:val="left"/>
      </w:pPr>
      <w:r>
        <w:rPr>
          <w:rFonts w:ascii="Arial" w:hAnsi="Arial" w:eastAsia="等线" w:cs="Arial"/>
          <w:sz w:val="22"/>
        </w:rPr>
        <w:t>“动物精神”： 企业家的投资决策并非总是理性的，容易受到群体悲观情绪的影响，导致投资崩溃。</w:t>
      </w:r>
    </w:p>
    <w:p w14:paraId="751141E3">
      <w:pPr>
        <w:numPr>
          <w:ilvl w:val="0"/>
          <w:numId w:val="141"/>
        </w:numPr>
        <w:spacing w:before="120" w:after="120" w:line="288" w:lineRule="auto"/>
        <w:ind w:left="0"/>
        <w:jc w:val="left"/>
      </w:pPr>
      <w:r>
        <w:rPr>
          <w:rFonts w:ascii="Arial" w:hAnsi="Arial" w:eastAsia="等线" w:cs="Arial"/>
          <w:sz w:val="22"/>
        </w:rPr>
        <w:t>政策主张：</w:t>
      </w:r>
    </w:p>
    <w:p w14:paraId="168FD097">
      <w:pPr>
        <w:numPr>
          <w:ilvl w:val="0"/>
          <w:numId w:val="142"/>
        </w:numPr>
        <w:spacing w:before="120" w:after="120" w:line="288" w:lineRule="auto"/>
        <w:ind w:left="453"/>
        <w:jc w:val="left"/>
      </w:pPr>
      <w:r>
        <w:rPr>
          <w:rFonts w:ascii="Arial" w:hAnsi="Arial" w:eastAsia="等线" w:cs="Arial"/>
          <w:sz w:val="22"/>
        </w:rPr>
        <w:t>需求侧管理： 政府应主动干预，通过政策来刺激或抑制总需求，以平滑经济周期波动。</w:t>
      </w:r>
    </w:p>
    <w:p w14:paraId="41AEFA4F">
      <w:pPr>
        <w:numPr>
          <w:ilvl w:val="0"/>
          <w:numId w:val="143"/>
        </w:numPr>
        <w:spacing w:before="120" w:after="120" w:line="288" w:lineRule="auto"/>
        <w:ind w:left="453"/>
        <w:jc w:val="left"/>
      </w:pPr>
      <w:r>
        <w:rPr>
          <w:rFonts w:ascii="Arial" w:hAnsi="Arial" w:eastAsia="等线" w:cs="Arial"/>
          <w:sz w:val="22"/>
        </w:rPr>
        <w:t>财政政策为主： 在衰退时，政府应增加支出（如基建项目）和/或减税，直接向经济中注入需求，即使这意味着短期内增加政府赤字（“赤字开支”）。</w:t>
      </w:r>
    </w:p>
    <w:p w14:paraId="464E8A70">
      <w:pPr>
        <w:numPr>
          <w:ilvl w:val="0"/>
          <w:numId w:val="144"/>
        </w:numPr>
        <w:spacing w:before="120" w:after="120" w:line="288" w:lineRule="auto"/>
        <w:ind w:left="453"/>
        <w:jc w:val="left"/>
      </w:pPr>
      <w:r>
        <w:rPr>
          <w:rFonts w:ascii="Arial" w:hAnsi="Arial" w:eastAsia="等线" w:cs="Arial"/>
          <w:sz w:val="22"/>
        </w:rPr>
        <w:t>货币政策为辅： 央行应降低利率以鼓励借贷和投资。</w:t>
      </w:r>
    </w:p>
    <w:p w14:paraId="7257A13F">
      <w:pPr>
        <w:numPr>
          <w:ilvl w:val="0"/>
          <w:numId w:val="145"/>
        </w:numPr>
        <w:spacing w:before="120" w:after="120" w:line="288" w:lineRule="auto"/>
        <w:ind w:left="0"/>
        <w:jc w:val="left"/>
      </w:pPr>
      <w:r>
        <w:rPr>
          <w:rFonts w:ascii="Arial" w:hAnsi="Arial" w:eastAsia="等线" w:cs="Arial"/>
          <w:sz w:val="22"/>
        </w:rPr>
        <w:t>历史背景： 由约翰·梅纳德·凯恩斯在1930年代“大萧条”期间提出，解释了为何自由市场无法自动恢复充分就业。</w:t>
      </w:r>
    </w:p>
    <w:p w14:paraId="5C91316B">
      <w:pPr>
        <w:spacing w:before="300" w:after="120" w:line="288" w:lineRule="auto"/>
        <w:ind w:left="0"/>
        <w:jc w:val="left"/>
        <w:outlineLvl w:val="2"/>
      </w:pPr>
      <w:bookmarkStart w:id="40" w:name="heading_40"/>
      <w:r>
        <w:rPr>
          <w:rFonts w:ascii="Arial" w:hAnsi="Arial" w:eastAsia="等线" w:cs="Arial"/>
          <w:color w:val="3370FF"/>
          <w:sz w:val="30"/>
        </w:rPr>
        <w:t xml:space="preserve">2.5.2 </w:t>
      </w:r>
      <w:r>
        <w:rPr>
          <w:rFonts w:ascii="Arial" w:hAnsi="Arial" w:eastAsia="等线" w:cs="Arial"/>
          <w:b/>
          <w:sz w:val="30"/>
        </w:rPr>
        <w:t>供给侧理论</w:t>
      </w:r>
      <w:bookmarkEnd w:id="40"/>
    </w:p>
    <w:p w14:paraId="139F62BA">
      <w:pPr>
        <w:spacing w:before="120" w:after="120" w:line="288" w:lineRule="auto"/>
        <w:ind w:left="0"/>
        <w:jc w:val="left"/>
      </w:pPr>
      <w:r>
        <w:rPr>
          <w:rFonts w:ascii="Arial" w:hAnsi="Arial" w:eastAsia="等线" w:cs="Arial"/>
          <w:sz w:val="22"/>
        </w:rPr>
        <w:t>供给侧理论（Supply side theory），又称为里根（Reaganomics）经济学。它认为</w:t>
      </w:r>
      <w:r>
        <w:rPr>
          <w:rFonts w:ascii="Arial" w:hAnsi="Arial" w:eastAsia="等线" w:cs="Arial"/>
          <w:b/>
          <w:sz w:val="22"/>
        </w:rPr>
        <w:t>政府应该保持相对不作为</w:t>
      </w:r>
      <w:r>
        <w:rPr>
          <w:rFonts w:ascii="Arial" w:hAnsi="Arial" w:eastAsia="等线" w:cs="Arial"/>
          <w:sz w:val="22"/>
        </w:rPr>
        <w:t>，经济将自行增长。根据该理论，税收越低，企业的再投资和雇佣员工就越多。</w:t>
      </w:r>
    </w:p>
    <w:p w14:paraId="2D879BF5">
      <w:pPr>
        <w:spacing w:before="120" w:after="120" w:line="288" w:lineRule="auto"/>
        <w:ind w:left="0"/>
        <w:jc w:val="left"/>
      </w:pPr>
    </w:p>
    <w:p w14:paraId="77B3FAA9">
      <w:pPr>
        <w:numPr>
          <w:ilvl w:val="0"/>
          <w:numId w:val="146"/>
        </w:numPr>
        <w:spacing w:before="120" w:after="120" w:line="288" w:lineRule="auto"/>
        <w:ind w:left="0"/>
        <w:jc w:val="left"/>
      </w:pPr>
      <w:r>
        <w:rPr>
          <w:rFonts w:ascii="Arial" w:hAnsi="Arial" w:eastAsia="等线" w:cs="Arial"/>
          <w:sz w:val="22"/>
        </w:rPr>
        <w:t>核心比喻： 经济就像一棵树，如果你想让它长得更高（增长），就得给树根施肥（激励生产者），而不是给树叶浇水（刺激消费者）。</w:t>
      </w:r>
    </w:p>
    <w:p w14:paraId="16EB038B">
      <w:pPr>
        <w:numPr>
          <w:ilvl w:val="0"/>
          <w:numId w:val="147"/>
        </w:numPr>
        <w:spacing w:before="120" w:after="120" w:line="288" w:lineRule="auto"/>
        <w:ind w:left="0"/>
        <w:jc w:val="left"/>
      </w:pPr>
      <w:r>
        <w:rPr>
          <w:rFonts w:ascii="Arial" w:hAnsi="Arial" w:eastAsia="等线" w:cs="Arial"/>
          <w:sz w:val="22"/>
        </w:rPr>
        <w:t>核心问题： 解决经济增长停滞和通货膨胀（滞胀）。</w:t>
      </w:r>
    </w:p>
    <w:p w14:paraId="3F6B6F78">
      <w:pPr>
        <w:numPr>
          <w:ilvl w:val="0"/>
          <w:numId w:val="148"/>
        </w:numPr>
        <w:spacing w:before="120" w:after="120" w:line="288" w:lineRule="auto"/>
        <w:ind w:left="0"/>
        <w:jc w:val="left"/>
      </w:pPr>
      <w:r>
        <w:rPr>
          <w:rFonts w:ascii="Arial" w:hAnsi="Arial" w:eastAsia="等线" w:cs="Arial"/>
          <w:sz w:val="22"/>
        </w:rPr>
        <w:t>核心思想：</w:t>
      </w:r>
    </w:p>
    <w:p w14:paraId="1C54504C">
      <w:pPr>
        <w:numPr>
          <w:ilvl w:val="0"/>
          <w:numId w:val="149"/>
        </w:numPr>
        <w:spacing w:before="120" w:after="120" w:line="288" w:lineRule="auto"/>
        <w:ind w:left="453"/>
        <w:jc w:val="left"/>
      </w:pPr>
      <w:r>
        <w:rPr>
          <w:rFonts w:ascii="Arial" w:hAnsi="Arial" w:eastAsia="等线" w:cs="Arial"/>
          <w:sz w:val="22"/>
        </w:rPr>
        <w:t>激励生产： 经济增长的源泉在于商品和服务的供给（生产）端，而非需求端。</w:t>
      </w:r>
    </w:p>
    <w:p w14:paraId="6C77B562">
      <w:pPr>
        <w:numPr>
          <w:ilvl w:val="0"/>
          <w:numId w:val="150"/>
        </w:numPr>
        <w:spacing w:before="120" w:after="120" w:line="288" w:lineRule="auto"/>
        <w:ind w:left="453"/>
        <w:jc w:val="left"/>
      </w:pPr>
      <w:r>
        <w:rPr>
          <w:rFonts w:ascii="Arial" w:hAnsi="Arial" w:eastAsia="等线" w:cs="Arial"/>
          <w:sz w:val="22"/>
        </w:rPr>
        <w:t>税收的抑制效应：过高的边际税率（对额外收入征收的税）会打击人们工作、储蓄和投资的积极性，从而抑制生产。</w:t>
      </w:r>
    </w:p>
    <w:p w14:paraId="77D812F3">
      <w:pPr>
        <w:numPr>
          <w:ilvl w:val="0"/>
          <w:numId w:val="151"/>
        </w:numPr>
        <w:spacing w:before="120" w:after="120" w:line="288" w:lineRule="auto"/>
        <w:ind w:left="453"/>
        <w:jc w:val="left"/>
      </w:pPr>
      <w:r>
        <w:rPr>
          <w:rFonts w:ascii="Arial" w:hAnsi="Arial" w:eastAsia="等线" w:cs="Arial"/>
          <w:sz w:val="22"/>
        </w:rPr>
        <w:t>涓滴效应： 通过减税等措施富了企业和富人，它们会扩大投资和生产，从而创造更多就业和财富，最终使社会各阶层（包括穷人）都受益，就像涓涓细流向下渗透。</w:t>
      </w:r>
    </w:p>
    <w:p w14:paraId="316053AA">
      <w:pPr>
        <w:numPr>
          <w:ilvl w:val="0"/>
          <w:numId w:val="152"/>
        </w:numPr>
        <w:spacing w:before="120" w:after="120" w:line="288" w:lineRule="auto"/>
        <w:ind w:left="0"/>
        <w:jc w:val="left"/>
      </w:pPr>
      <w:r>
        <w:rPr>
          <w:rFonts w:ascii="Arial" w:hAnsi="Arial" w:eastAsia="等线" w:cs="Arial"/>
          <w:sz w:val="22"/>
        </w:rPr>
        <w:t>政策主张：</w:t>
      </w:r>
    </w:p>
    <w:p w14:paraId="039D6ADD">
      <w:pPr>
        <w:numPr>
          <w:ilvl w:val="0"/>
          <w:numId w:val="153"/>
        </w:numPr>
        <w:spacing w:before="120" w:after="120" w:line="288" w:lineRule="auto"/>
        <w:ind w:left="453"/>
        <w:jc w:val="left"/>
      </w:pPr>
      <w:r>
        <w:rPr>
          <w:rFonts w:ascii="Arial" w:hAnsi="Arial" w:eastAsia="等线" w:cs="Arial"/>
          <w:sz w:val="22"/>
        </w:rPr>
        <w:t>大规模减税： 特别是削减高收入者和企业的边际税率，以激励他们进行生产性活动。</w:t>
      </w:r>
    </w:p>
    <w:p w14:paraId="30E87566">
      <w:pPr>
        <w:numPr>
          <w:ilvl w:val="0"/>
          <w:numId w:val="154"/>
        </w:numPr>
        <w:spacing w:before="120" w:after="120" w:line="288" w:lineRule="auto"/>
        <w:ind w:left="453"/>
        <w:jc w:val="left"/>
      </w:pPr>
      <w:r>
        <w:rPr>
          <w:rFonts w:ascii="Arial" w:hAnsi="Arial" w:eastAsia="等线" w:cs="Arial"/>
          <w:sz w:val="22"/>
        </w:rPr>
        <w:t>减少监管： 减少对企业的政府管制，以降低生产成本并鼓励创新。</w:t>
      </w:r>
    </w:p>
    <w:p w14:paraId="18DAF3B2">
      <w:pPr>
        <w:numPr>
          <w:ilvl w:val="0"/>
          <w:numId w:val="155"/>
        </w:numPr>
        <w:spacing w:before="120" w:after="120" w:line="288" w:lineRule="auto"/>
        <w:ind w:left="453"/>
        <w:jc w:val="left"/>
      </w:pPr>
      <w:r>
        <w:rPr>
          <w:rFonts w:ascii="Arial" w:hAnsi="Arial" w:eastAsia="等线" w:cs="Arial"/>
          <w:sz w:val="22"/>
        </w:rPr>
        <w:t>控制货币供应： 通常配合货币政策以控制通胀。</w:t>
      </w:r>
    </w:p>
    <w:p w14:paraId="5E7CE8CF">
      <w:pPr>
        <w:numPr>
          <w:ilvl w:val="0"/>
          <w:numId w:val="156"/>
        </w:numPr>
        <w:spacing w:before="120" w:after="120" w:line="288" w:lineRule="auto"/>
        <w:ind w:left="0"/>
        <w:jc w:val="left"/>
      </w:pPr>
      <w:r>
        <w:rPr>
          <w:rFonts w:ascii="Arial" w:hAnsi="Arial" w:eastAsia="等线" w:cs="Arial"/>
          <w:sz w:val="22"/>
        </w:rPr>
        <w:t>历史背景： 在1970年代美国出现“滞胀”（经济停滞+通货膨胀）时兴起，凯恩斯主义需求政策对此束手无策。在1980年代被美国总统罗纳德·里根大规模采用，故名“里根经济学”。</w:t>
      </w:r>
    </w:p>
    <w:p w14:paraId="50AAAC21">
      <w:pPr>
        <w:spacing w:before="120" w:after="120" w:line="288" w:lineRule="auto"/>
        <w:ind w:left="0"/>
        <w:jc w:val="left"/>
      </w:pPr>
    </w:p>
    <w:p w14:paraId="250BA8FC">
      <w:pPr>
        <w:spacing w:before="300" w:after="120" w:line="288" w:lineRule="auto"/>
        <w:ind w:left="0"/>
        <w:jc w:val="left"/>
        <w:outlineLvl w:val="2"/>
      </w:pPr>
      <w:bookmarkStart w:id="41" w:name="heading_41"/>
      <w:r>
        <w:rPr>
          <w:rFonts w:ascii="Arial" w:hAnsi="Arial" w:eastAsia="等线" w:cs="Arial"/>
          <w:color w:val="3370FF"/>
          <w:sz w:val="30"/>
        </w:rPr>
        <w:t xml:space="preserve">2.5.3 </w:t>
      </w:r>
      <w:r>
        <w:rPr>
          <w:rFonts w:ascii="Arial" w:hAnsi="Arial" w:eastAsia="等线" w:cs="Arial"/>
          <w:b/>
          <w:sz w:val="30"/>
        </w:rPr>
        <w:t>货币理论</w:t>
      </w:r>
      <w:bookmarkEnd w:id="41"/>
    </w:p>
    <w:p w14:paraId="01BD8A04">
      <w:pPr>
        <w:spacing w:before="120" w:after="120" w:line="288" w:lineRule="auto"/>
        <w:ind w:left="0"/>
        <w:jc w:val="left"/>
      </w:pPr>
      <w:r>
        <w:rPr>
          <w:rFonts w:ascii="Arial" w:hAnsi="Arial" w:eastAsia="等线" w:cs="Arial"/>
          <w:b/>
          <w:sz w:val="22"/>
        </w:rPr>
        <w:t>货币理论（monetarist theory）认为经济表现很大程度上取决于货币供应</w:t>
      </w:r>
      <w:r>
        <w:rPr>
          <w:rFonts w:ascii="Arial" w:hAnsi="Arial" w:eastAsia="等线" w:cs="Arial"/>
          <w:sz w:val="22"/>
        </w:rPr>
        <w:t>量（由美联储控制）。货币供应量可以用来对抗通货膨胀，也可以刺激经济。</w:t>
      </w:r>
    </w:p>
    <w:p w14:paraId="5B80E39B">
      <w:pPr>
        <w:spacing w:before="120" w:after="120" w:line="288" w:lineRule="auto"/>
        <w:ind w:left="0"/>
        <w:jc w:val="left"/>
      </w:pPr>
    </w:p>
    <w:p w14:paraId="0C13CAF7">
      <w:pPr>
        <w:numPr>
          <w:ilvl w:val="0"/>
          <w:numId w:val="157"/>
        </w:numPr>
        <w:spacing w:before="120" w:after="120" w:line="288" w:lineRule="auto"/>
        <w:ind w:left="0"/>
        <w:jc w:val="left"/>
      </w:pPr>
      <w:r>
        <w:rPr>
          <w:rFonts w:ascii="Arial" w:hAnsi="Arial" w:eastAsia="等线" w:cs="Arial"/>
          <w:sz w:val="22"/>
        </w:rPr>
        <w:t>核心比喻： 经济就像一辆被央行牵着走的狗。央行（美联储）需要稳定、匀速地遛狗（货币增长），而不是一会儿猛拉，一会儿又松开。</w:t>
      </w:r>
    </w:p>
    <w:p w14:paraId="167EAF1A">
      <w:pPr>
        <w:numPr>
          <w:ilvl w:val="0"/>
          <w:numId w:val="158"/>
        </w:numPr>
        <w:spacing w:before="120" w:after="120" w:line="288" w:lineRule="auto"/>
        <w:ind w:left="0"/>
        <w:jc w:val="left"/>
      </w:pPr>
      <w:r>
        <w:rPr>
          <w:rFonts w:ascii="Arial" w:hAnsi="Arial" w:eastAsia="等线" w:cs="Arial"/>
          <w:sz w:val="22"/>
        </w:rPr>
        <w:t>核心问题： 解决通货膨胀。</w:t>
      </w:r>
    </w:p>
    <w:p w14:paraId="41872677">
      <w:pPr>
        <w:numPr>
          <w:ilvl w:val="0"/>
          <w:numId w:val="159"/>
        </w:numPr>
        <w:spacing w:before="120" w:after="120" w:line="288" w:lineRule="auto"/>
        <w:ind w:left="0"/>
        <w:jc w:val="left"/>
      </w:pPr>
      <w:r>
        <w:rPr>
          <w:rFonts w:ascii="Arial" w:hAnsi="Arial" w:eastAsia="等线" w:cs="Arial"/>
          <w:sz w:val="22"/>
        </w:rPr>
        <w:t>核心思想：</w:t>
      </w:r>
    </w:p>
    <w:p w14:paraId="1CFAF104">
      <w:pPr>
        <w:numPr>
          <w:ilvl w:val="0"/>
          <w:numId w:val="160"/>
        </w:numPr>
        <w:spacing w:before="120" w:after="120" w:line="288" w:lineRule="auto"/>
        <w:ind w:left="453"/>
        <w:jc w:val="left"/>
      </w:pPr>
      <w:r>
        <w:rPr>
          <w:rFonts w:ascii="Arial" w:hAnsi="Arial" w:eastAsia="等线" w:cs="Arial"/>
          <w:sz w:val="22"/>
        </w:rPr>
        <w:t>通货膨胀在任何地方都永远是一种货币现象： 这是其最著名的论断。认为通胀的根本原因是货币供应量的增长速度持续快于商品和服务的产出增长。</w:t>
      </w:r>
    </w:p>
    <w:p w14:paraId="5D2D0347">
      <w:pPr>
        <w:numPr>
          <w:ilvl w:val="0"/>
          <w:numId w:val="161"/>
        </w:numPr>
        <w:spacing w:before="120" w:after="120" w:line="288" w:lineRule="auto"/>
        <w:ind w:left="453"/>
        <w:jc w:val="left"/>
      </w:pPr>
      <w:r>
        <w:rPr>
          <w:rFonts w:ascii="Arial" w:hAnsi="Arial" w:eastAsia="等线" w:cs="Arial"/>
          <w:sz w:val="22"/>
        </w:rPr>
        <w:t xml:space="preserve">货币数量论： 公式 </w:t>
      </w:r>
      <w:r>
        <w:rPr>
          <w:rFonts w:ascii="Consolas" w:hAnsi="Consolas" w:eastAsia="Consolas" w:cs="Consolas"/>
          <w:sz w:val="22"/>
          <w:shd w:val="clear" w:fill="EFF0F1"/>
        </w:rPr>
        <w:t>MV = PY</w:t>
      </w:r>
      <w:r>
        <w:rPr>
          <w:rFonts w:ascii="Arial" w:hAnsi="Arial" w:eastAsia="等线" w:cs="Arial"/>
          <w:sz w:val="22"/>
        </w:rPr>
        <w:t>（货币供应量 × 货币流通速度 = 价格水平 × 实际产出）。假设 V 和 Y 相对稳定，因此货币供应量 M 的变动直接决定了价格水平 P。</w:t>
      </w:r>
    </w:p>
    <w:p w14:paraId="243A7E26">
      <w:pPr>
        <w:numPr>
          <w:ilvl w:val="0"/>
          <w:numId w:val="162"/>
        </w:numPr>
        <w:spacing w:before="120" w:after="120" w:line="288" w:lineRule="auto"/>
        <w:ind w:left="453"/>
        <w:jc w:val="left"/>
      </w:pPr>
      <w:r>
        <w:rPr>
          <w:rFonts w:ascii="Arial" w:hAnsi="Arial" w:eastAsia="等线" w:cs="Arial"/>
          <w:sz w:val="22"/>
        </w:rPr>
        <w:t>政策时滞：认为凯恩斯主义的微调政策存在漫长且多变的时滞，反而会加剧经济不稳定。</w:t>
      </w:r>
    </w:p>
    <w:p w14:paraId="4386DC98">
      <w:pPr>
        <w:numPr>
          <w:ilvl w:val="0"/>
          <w:numId w:val="163"/>
        </w:numPr>
        <w:spacing w:before="120" w:after="120" w:line="288" w:lineRule="auto"/>
        <w:ind w:left="0"/>
        <w:jc w:val="left"/>
      </w:pPr>
      <w:r>
        <w:rPr>
          <w:rFonts w:ascii="Arial" w:hAnsi="Arial" w:eastAsia="等线" w:cs="Arial"/>
          <w:sz w:val="22"/>
        </w:rPr>
        <w:t>政策主张：</w:t>
      </w:r>
    </w:p>
    <w:p w14:paraId="16920445">
      <w:pPr>
        <w:numPr>
          <w:ilvl w:val="0"/>
          <w:numId w:val="164"/>
        </w:numPr>
        <w:spacing w:before="120" w:after="120" w:line="288" w:lineRule="auto"/>
        <w:ind w:left="453"/>
        <w:jc w:val="left"/>
      </w:pPr>
      <w:r>
        <w:rPr>
          <w:rFonts w:ascii="Arial" w:hAnsi="Arial" w:eastAsia="等线" w:cs="Arial"/>
          <w:sz w:val="22"/>
        </w:rPr>
        <w:t>货币政策为主：央行应放弃微调利率，而是遵循一个稳定、可预测的规则（例如，每年让货币供应量以一个固定的低速率增长），为经济提供一个稳定的货币环境。</w:t>
      </w:r>
    </w:p>
    <w:p w14:paraId="72FF05CA">
      <w:pPr>
        <w:numPr>
          <w:ilvl w:val="0"/>
          <w:numId w:val="165"/>
        </w:numPr>
        <w:spacing w:before="120" w:after="120" w:line="288" w:lineRule="auto"/>
        <w:ind w:left="453"/>
        <w:jc w:val="left"/>
      </w:pPr>
      <w:r>
        <w:rPr>
          <w:rFonts w:ascii="Arial" w:hAnsi="Arial" w:eastAsia="等线" w:cs="Arial"/>
          <w:sz w:val="22"/>
        </w:rPr>
        <w:t>反对 Discretion（相机抉择）： 反对政府频繁使用财政政策进行干预。</w:t>
      </w:r>
    </w:p>
    <w:p w14:paraId="4B4898F3">
      <w:pPr>
        <w:numPr>
          <w:ilvl w:val="0"/>
          <w:numId w:val="166"/>
        </w:numPr>
        <w:spacing w:before="120" w:after="120" w:line="288" w:lineRule="auto"/>
        <w:ind w:left="0"/>
        <w:jc w:val="left"/>
      </w:pPr>
      <w:r>
        <w:rPr>
          <w:rFonts w:ascii="Arial" w:hAnsi="Arial" w:eastAsia="等线" w:cs="Arial"/>
          <w:sz w:val="22"/>
        </w:rPr>
        <w:t>历史背景： 由米尔顿·弗里德曼在1950-60年代倡导，成功预言了1970年代因货币超发带来的大通胀，从而声名大噪。</w:t>
      </w:r>
    </w:p>
    <w:p w14:paraId="14E8749F">
      <w:pPr>
        <w:spacing w:before="380" w:after="140" w:line="288" w:lineRule="auto"/>
        <w:ind w:left="0"/>
        <w:jc w:val="left"/>
        <w:outlineLvl w:val="0"/>
      </w:pPr>
      <w:bookmarkStart w:id="42" w:name="heading_42"/>
      <w:r>
        <w:rPr>
          <w:rFonts w:ascii="Arial" w:hAnsi="Arial" w:eastAsia="等线" w:cs="Arial"/>
          <w:color w:val="3370FF"/>
          <w:sz w:val="36"/>
        </w:rPr>
        <w:t xml:space="preserve">3. </w:t>
      </w:r>
      <w:r>
        <w:rPr>
          <w:rFonts w:ascii="Arial" w:hAnsi="Arial" w:eastAsia="等线" w:cs="Arial"/>
          <w:b/>
          <w:sz w:val="36"/>
        </w:rPr>
        <w:t>核心考点与易混点辨析</w:t>
      </w:r>
      <w:bookmarkEnd w:id="42"/>
    </w:p>
    <w:p w14:paraId="58B335E8">
      <w:pPr>
        <w:spacing w:before="320" w:after="120" w:line="288" w:lineRule="auto"/>
        <w:ind w:left="0"/>
        <w:jc w:val="left"/>
        <w:outlineLvl w:val="1"/>
      </w:pPr>
      <w:bookmarkStart w:id="43" w:name="heading_43"/>
      <w:r>
        <w:rPr>
          <w:rFonts w:ascii="Arial" w:hAnsi="Arial" w:eastAsia="等线" w:cs="Arial"/>
          <w:color w:val="3370FF"/>
          <w:sz w:val="32"/>
        </w:rPr>
        <w:t xml:space="preserve">3.1 </w:t>
      </w:r>
      <w:r>
        <w:rPr>
          <w:rFonts w:ascii="Arial" w:hAnsi="Arial" w:eastAsia="等线" w:cs="Arial"/>
          <w:b/>
          <w:sz w:val="32"/>
        </w:rPr>
        <w:t>高频考点清单</w:t>
      </w:r>
      <w:bookmarkEnd w:id="43"/>
    </w:p>
    <w:p w14:paraId="0F67144F">
      <w:pPr>
        <w:numPr>
          <w:ilvl w:val="0"/>
          <w:numId w:val="167"/>
        </w:numPr>
        <w:spacing w:before="120" w:after="120" w:line="288" w:lineRule="auto"/>
        <w:ind w:left="0"/>
        <w:jc w:val="left"/>
      </w:pPr>
      <w:r>
        <w:rPr>
          <w:rFonts w:ascii="Arial" w:hAnsi="Arial" w:eastAsia="等线" w:cs="Arial"/>
          <w:sz w:val="22"/>
        </w:rPr>
        <w:t>分辨哪些风险是 systematic 的，哪些是 nonsystematic 的。</w:t>
      </w:r>
    </w:p>
    <w:p w14:paraId="4432B91A">
      <w:pPr>
        <w:numPr>
          <w:ilvl w:val="0"/>
          <w:numId w:val="168"/>
        </w:numPr>
        <w:spacing w:before="120" w:after="120" w:line="288" w:lineRule="auto"/>
        <w:ind w:left="0"/>
        <w:jc w:val="left"/>
      </w:pPr>
      <w:r>
        <w:rPr>
          <w:rFonts w:ascii="Arial" w:hAnsi="Arial" w:eastAsia="等线" w:cs="Arial"/>
          <w:sz w:val="22"/>
        </w:rPr>
        <w:t>哪些办法可以降低 nonsystematic risk。</w:t>
      </w:r>
    </w:p>
    <w:p w14:paraId="577DC5BB">
      <w:pPr>
        <w:numPr>
          <w:ilvl w:val="0"/>
          <w:numId w:val="169"/>
        </w:numPr>
        <w:spacing w:before="120" w:after="120" w:line="288" w:lineRule="auto"/>
        <w:ind w:left="0"/>
        <w:jc w:val="left"/>
      </w:pPr>
      <w:r>
        <w:rPr>
          <w:rFonts w:ascii="Arial" w:hAnsi="Arial" w:eastAsia="等线" w:cs="Arial"/>
          <w:sz w:val="22"/>
        </w:rPr>
        <w:t>分辨某种做法是属于 Fundamental analysis 还是Technical analysis。</w:t>
      </w:r>
    </w:p>
    <w:p w14:paraId="39F7CCAA">
      <w:pPr>
        <w:numPr>
          <w:ilvl w:val="0"/>
          <w:numId w:val="170"/>
        </w:numPr>
        <w:spacing w:before="120" w:after="120" w:line="288" w:lineRule="auto"/>
        <w:ind w:left="0"/>
        <w:jc w:val="left"/>
      </w:pPr>
      <w:r>
        <w:rPr>
          <w:rFonts w:ascii="Arial" w:hAnsi="Arial" w:eastAsia="等线" w:cs="Arial"/>
          <w:sz w:val="22"/>
        </w:rPr>
        <w:t>资产负债表和利润表的作用，以及组成部分。</w:t>
      </w:r>
    </w:p>
    <w:p w14:paraId="3B2FF41B">
      <w:pPr>
        <w:numPr>
          <w:ilvl w:val="0"/>
          <w:numId w:val="171"/>
        </w:numPr>
        <w:spacing w:before="120" w:after="120" w:line="288" w:lineRule="auto"/>
        <w:ind w:left="0"/>
        <w:jc w:val="left"/>
      </w:pPr>
      <w:r>
        <w:rPr>
          <w:rFonts w:ascii="Arial" w:hAnsi="Arial" w:eastAsia="等线" w:cs="Arial"/>
          <w:sz w:val="22"/>
        </w:rPr>
        <w:t>商业周期的各个阶段发生顺序。</w:t>
      </w:r>
    </w:p>
    <w:p w14:paraId="454DE65F">
      <w:pPr>
        <w:numPr>
          <w:ilvl w:val="0"/>
          <w:numId w:val="172"/>
        </w:numPr>
        <w:spacing w:before="120" w:after="120" w:line="288" w:lineRule="auto"/>
        <w:ind w:left="0"/>
        <w:jc w:val="left"/>
      </w:pPr>
      <w:r>
        <w:rPr>
          <w:rFonts w:ascii="Arial" w:hAnsi="Arial" w:eastAsia="等线" w:cs="Arial"/>
          <w:sz w:val="22"/>
        </w:rPr>
        <w:t>货币供应量对经济、市场、通胀和汇率的影响。</w:t>
      </w:r>
    </w:p>
    <w:p w14:paraId="2966F143">
      <w:pPr>
        <w:numPr>
          <w:ilvl w:val="0"/>
          <w:numId w:val="173"/>
        </w:numPr>
        <w:spacing w:before="120" w:after="120" w:line="288" w:lineRule="auto"/>
        <w:ind w:left="0"/>
        <w:jc w:val="left"/>
      </w:pPr>
      <w:r>
        <w:rPr>
          <w:rFonts w:ascii="Arial" w:hAnsi="Arial" w:eastAsia="等线" w:cs="Arial"/>
          <w:sz w:val="22"/>
        </w:rPr>
        <w:t>美联储控制货币政策有哪些方法，什么样的方法会导致什么结果。</w:t>
      </w:r>
    </w:p>
    <w:p w14:paraId="6DC4F29B">
      <w:pPr>
        <w:numPr>
          <w:ilvl w:val="0"/>
          <w:numId w:val="174"/>
        </w:numPr>
        <w:spacing w:before="120" w:after="120" w:line="288" w:lineRule="auto"/>
        <w:ind w:left="0"/>
        <w:jc w:val="left"/>
      </w:pPr>
      <w:r>
        <w:rPr>
          <w:rFonts w:ascii="Arial" w:hAnsi="Arial" w:eastAsia="等线" w:cs="Arial"/>
          <w:sz w:val="22"/>
        </w:rPr>
        <w:t>判断某一类型的公司是 Cyclical/CounterCyclical，Defensive 还是 Growth 的。</w:t>
      </w:r>
    </w:p>
    <w:p w14:paraId="0B63086A">
      <w:pPr>
        <w:spacing w:before="320" w:after="120" w:line="288" w:lineRule="auto"/>
        <w:ind w:left="0"/>
        <w:jc w:val="left"/>
        <w:outlineLvl w:val="1"/>
      </w:pPr>
      <w:bookmarkStart w:id="44" w:name="heading_44"/>
      <w:r>
        <w:rPr>
          <w:rFonts w:ascii="Arial" w:hAnsi="Arial" w:eastAsia="等线" w:cs="Arial"/>
          <w:color w:val="3370FF"/>
          <w:sz w:val="32"/>
        </w:rPr>
        <w:t xml:space="preserve">3.2 </w:t>
      </w:r>
      <w:r>
        <w:rPr>
          <w:rFonts w:ascii="Arial" w:hAnsi="Arial" w:eastAsia="等线" w:cs="Arial"/>
          <w:b/>
          <w:sz w:val="32"/>
        </w:rPr>
        <w:t>易混点辨析</w:t>
      </w:r>
      <w:bookmarkEnd w:id="44"/>
    </w:p>
    <w:p w14:paraId="6F33D96E">
      <w:pPr>
        <w:numPr>
          <w:ilvl w:val="0"/>
          <w:numId w:val="175"/>
        </w:numPr>
        <w:spacing w:before="120" w:after="120" w:line="288" w:lineRule="auto"/>
        <w:ind w:left="0"/>
        <w:jc w:val="left"/>
      </w:pPr>
      <w:r>
        <w:rPr>
          <w:rFonts w:ascii="Arial" w:hAnsi="Arial" w:eastAsia="等线" w:cs="Arial"/>
          <w:sz w:val="22"/>
        </w:rPr>
        <w:t>区分 systematic/nonsystematic 的风险。</w:t>
      </w:r>
    </w:p>
    <w:p w14:paraId="694739EC">
      <w:pPr>
        <w:numPr>
          <w:ilvl w:val="0"/>
          <w:numId w:val="176"/>
        </w:numPr>
        <w:spacing w:before="120" w:after="120" w:line="288" w:lineRule="auto"/>
        <w:ind w:left="0"/>
        <w:jc w:val="left"/>
      </w:pPr>
      <w:r>
        <w:rPr>
          <w:rFonts w:ascii="Arial" w:hAnsi="Arial" w:eastAsia="等线" w:cs="Arial"/>
          <w:sz w:val="22"/>
        </w:rPr>
        <w:t>Balance Sheet 和 Income statement 的各个科目。</w:t>
      </w:r>
    </w:p>
    <w:p w14:paraId="4FB055EB">
      <w:pPr>
        <w:numPr>
          <w:ilvl w:val="0"/>
          <w:numId w:val="177"/>
        </w:numPr>
        <w:spacing w:before="120" w:after="120" w:line="288" w:lineRule="auto"/>
        <w:ind w:left="0"/>
        <w:jc w:val="left"/>
      </w:pPr>
      <w:r>
        <w:rPr>
          <w:rFonts w:ascii="Arial" w:hAnsi="Arial" w:eastAsia="等线" w:cs="Arial"/>
          <w:sz w:val="22"/>
        </w:rPr>
        <w:t>各个经济指标是属于 leading，coincident 还是 lagging 的。</w:t>
      </w:r>
    </w:p>
    <w:p w14:paraId="6A35E07B">
      <w:pPr>
        <w:numPr>
          <w:ilvl w:val="0"/>
          <w:numId w:val="178"/>
        </w:numPr>
        <w:spacing w:before="120" w:after="120" w:line="288" w:lineRule="auto"/>
        <w:ind w:left="0"/>
        <w:jc w:val="left"/>
      </w:pPr>
      <w:r>
        <w:rPr>
          <w:rFonts w:ascii="Arial" w:hAnsi="Arial" w:eastAsia="等线" w:cs="Arial"/>
          <w:sz w:val="22"/>
        </w:rPr>
        <w:t>GDP/GNP的区别</w:t>
      </w:r>
    </w:p>
    <w:p w14:paraId="3137D9D7">
      <w:pPr>
        <w:spacing w:before="120" w:after="120" w:line="288" w:lineRule="auto"/>
        <w:ind w:left="0"/>
        <w:jc w:val="left"/>
      </w:pPr>
    </w:p>
    <w:p w14:paraId="33E60714">
      <w:pPr>
        <w:spacing w:before="380" w:after="140" w:line="288" w:lineRule="auto"/>
        <w:ind w:left="0"/>
        <w:jc w:val="left"/>
        <w:outlineLvl w:val="0"/>
      </w:pPr>
      <w:bookmarkStart w:id="45" w:name="heading_45"/>
      <w:r>
        <w:rPr>
          <w:rFonts w:ascii="Arial" w:hAnsi="Arial" w:eastAsia="等线" w:cs="Arial"/>
          <w:color w:val="3370FF"/>
          <w:sz w:val="36"/>
        </w:rPr>
        <w:t xml:space="preserve">4. </w:t>
      </w:r>
      <w:r>
        <w:rPr>
          <w:rFonts w:ascii="Arial" w:hAnsi="Arial" w:eastAsia="等线" w:cs="Arial"/>
          <w:b/>
          <w:sz w:val="36"/>
        </w:rPr>
        <w:t>核心词汇表</w:t>
      </w:r>
      <w:bookmarkEnd w:id="45"/>
    </w:p>
    <w:p w14:paraId="159795FE">
      <w:pPr>
        <w:spacing w:before="320" w:after="120" w:line="288" w:lineRule="auto"/>
        <w:ind w:left="0"/>
        <w:jc w:val="left"/>
        <w:outlineLvl w:val="1"/>
      </w:pPr>
      <w:bookmarkStart w:id="46" w:name="heading_46"/>
      <w:r>
        <w:rPr>
          <w:rFonts w:ascii="Arial" w:hAnsi="Arial" w:eastAsia="等线" w:cs="Arial"/>
          <w:color w:val="3370FF"/>
          <w:sz w:val="32"/>
        </w:rPr>
        <w:t xml:space="preserve">4.1 </w:t>
      </w:r>
      <w:r>
        <w:rPr>
          <w:rFonts w:ascii="Arial" w:hAnsi="Arial" w:eastAsia="等线" w:cs="Arial"/>
          <w:b/>
          <w:sz w:val="32"/>
        </w:rPr>
        <w:t>证券分析基础知识</w:t>
      </w:r>
      <w:bookmarkEnd w:id="4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505"/>
        <w:gridCol w:w="1890"/>
        <w:gridCol w:w="3885"/>
      </w:tblGrid>
      <w:tr w14:paraId="13B220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4F63963D">
            <w:pPr>
              <w:spacing w:before="120" w:after="120" w:line="288" w:lineRule="auto"/>
              <w:ind w:left="0"/>
              <w:jc w:val="left"/>
            </w:pPr>
            <w:r>
              <w:rPr>
                <w:rFonts w:ascii="Arial" w:hAnsi="Arial" w:eastAsia="等线" w:cs="Arial"/>
                <w:b/>
                <w:sz w:val="22"/>
              </w:rPr>
              <w:t>英文术语</w:t>
            </w:r>
          </w:p>
        </w:tc>
        <w:tc>
          <w:tcPr>
            <w:tcW w:w="1890" w:type="dxa"/>
            <w:tcMar>
              <w:top w:w="60" w:type="dxa"/>
              <w:left w:w="120" w:type="dxa"/>
              <w:bottom w:w="30" w:type="dxa"/>
              <w:right w:w="120" w:type="dxa"/>
            </w:tcMar>
          </w:tcPr>
          <w:p w14:paraId="3CDBE6F3">
            <w:pPr>
              <w:spacing w:before="120" w:after="120" w:line="288" w:lineRule="auto"/>
              <w:ind w:left="0"/>
              <w:jc w:val="left"/>
            </w:pPr>
            <w:r>
              <w:rPr>
                <w:rFonts w:ascii="Arial" w:hAnsi="Arial" w:eastAsia="等线" w:cs="Arial"/>
                <w:b/>
                <w:sz w:val="22"/>
              </w:rPr>
              <w:t>中文释义</w:t>
            </w:r>
          </w:p>
        </w:tc>
        <w:tc>
          <w:tcPr>
            <w:tcW w:w="3885" w:type="dxa"/>
            <w:tcMar>
              <w:top w:w="60" w:type="dxa"/>
              <w:left w:w="120" w:type="dxa"/>
              <w:bottom w:w="30" w:type="dxa"/>
              <w:right w:w="120" w:type="dxa"/>
            </w:tcMar>
          </w:tcPr>
          <w:p w14:paraId="67B847BC">
            <w:pPr>
              <w:spacing w:before="120" w:after="120" w:line="288" w:lineRule="auto"/>
              <w:ind w:left="0"/>
              <w:jc w:val="left"/>
            </w:pPr>
            <w:r>
              <w:rPr>
                <w:rFonts w:ascii="Arial" w:hAnsi="Arial" w:eastAsia="等线" w:cs="Arial"/>
                <w:b/>
                <w:sz w:val="22"/>
              </w:rPr>
              <w:t>补充说明</w:t>
            </w:r>
          </w:p>
        </w:tc>
      </w:tr>
      <w:tr w14:paraId="369686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53C6B03E">
            <w:pPr>
              <w:spacing w:before="120" w:after="120" w:line="288" w:lineRule="auto"/>
              <w:ind w:left="0"/>
              <w:jc w:val="left"/>
            </w:pPr>
            <w:r>
              <w:rPr>
                <w:rFonts w:ascii="Arial" w:hAnsi="Arial" w:eastAsia="等线" w:cs="Arial"/>
                <w:sz w:val="22"/>
              </w:rPr>
              <w:t>systematic risk</w:t>
            </w:r>
          </w:p>
        </w:tc>
        <w:tc>
          <w:tcPr>
            <w:tcW w:w="1890" w:type="dxa"/>
            <w:tcMar>
              <w:top w:w="60" w:type="dxa"/>
              <w:left w:w="120" w:type="dxa"/>
              <w:bottom w:w="30" w:type="dxa"/>
              <w:right w:w="120" w:type="dxa"/>
            </w:tcMar>
          </w:tcPr>
          <w:p w14:paraId="738A63A0">
            <w:pPr>
              <w:spacing w:before="120" w:after="120" w:line="288" w:lineRule="auto"/>
              <w:ind w:left="0"/>
              <w:jc w:val="left"/>
            </w:pPr>
            <w:r>
              <w:rPr>
                <w:rFonts w:ascii="Arial" w:hAnsi="Arial" w:eastAsia="等线" w:cs="Arial"/>
                <w:sz w:val="22"/>
              </w:rPr>
              <w:t>系统性风险</w:t>
            </w:r>
          </w:p>
        </w:tc>
        <w:tc>
          <w:tcPr>
            <w:tcW w:w="3885" w:type="dxa"/>
            <w:tcMar>
              <w:top w:w="60" w:type="dxa"/>
              <w:left w:w="120" w:type="dxa"/>
              <w:bottom w:w="30" w:type="dxa"/>
              <w:right w:w="120" w:type="dxa"/>
            </w:tcMar>
          </w:tcPr>
          <w:p w14:paraId="2119DDB1">
            <w:pPr>
              <w:spacing w:before="120" w:after="120" w:line="288" w:lineRule="auto"/>
              <w:ind w:left="0"/>
              <w:jc w:val="left"/>
            </w:pPr>
            <w:r>
              <w:rPr>
                <w:rFonts w:ascii="Arial" w:hAnsi="Arial" w:eastAsia="等线" w:cs="Arial"/>
                <w:sz w:val="22"/>
              </w:rPr>
              <w:t>指可能影响整个市场的风险，它又被称为“不可分散(undiversifiable)风险”</w:t>
            </w:r>
          </w:p>
        </w:tc>
      </w:tr>
      <w:tr w14:paraId="0A8A00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504E0FE9">
            <w:pPr>
              <w:spacing w:before="120" w:after="120" w:line="288" w:lineRule="auto"/>
              <w:ind w:left="0"/>
              <w:jc w:val="left"/>
            </w:pPr>
            <w:r>
              <w:rPr>
                <w:rFonts w:ascii="Arial" w:hAnsi="Arial" w:eastAsia="等线" w:cs="Arial"/>
                <w:sz w:val="22"/>
              </w:rPr>
              <w:t>nonsystematic/unsystematic risk</w:t>
            </w:r>
          </w:p>
        </w:tc>
        <w:tc>
          <w:tcPr>
            <w:tcW w:w="1890" w:type="dxa"/>
            <w:tcMar>
              <w:top w:w="60" w:type="dxa"/>
              <w:left w:w="120" w:type="dxa"/>
              <w:bottom w:w="30" w:type="dxa"/>
              <w:right w:w="120" w:type="dxa"/>
            </w:tcMar>
          </w:tcPr>
          <w:p w14:paraId="29F25777">
            <w:pPr>
              <w:spacing w:before="120" w:after="120" w:line="288" w:lineRule="auto"/>
              <w:ind w:left="0"/>
              <w:jc w:val="left"/>
            </w:pPr>
            <w:r>
              <w:rPr>
                <w:rFonts w:ascii="Arial" w:hAnsi="Arial" w:eastAsia="等线" w:cs="Arial"/>
                <w:sz w:val="22"/>
              </w:rPr>
              <w:t>非系统性风险</w:t>
            </w:r>
          </w:p>
        </w:tc>
        <w:tc>
          <w:tcPr>
            <w:tcW w:w="3885" w:type="dxa"/>
            <w:tcMar>
              <w:top w:w="60" w:type="dxa"/>
              <w:left w:w="120" w:type="dxa"/>
              <w:bottom w:w="30" w:type="dxa"/>
              <w:right w:w="120" w:type="dxa"/>
            </w:tcMar>
          </w:tcPr>
          <w:p w14:paraId="4A66BC00">
            <w:pPr>
              <w:spacing w:before="120" w:after="120" w:line="288" w:lineRule="auto"/>
              <w:ind w:left="0"/>
              <w:jc w:val="left"/>
            </w:pPr>
            <w:r>
              <w:rPr>
                <w:rFonts w:ascii="Arial" w:hAnsi="Arial" w:eastAsia="等线" w:cs="Arial"/>
                <w:sz w:val="22"/>
              </w:rPr>
              <w:t>特定于行业或公司的风险（又被称为“独特性(unique)”或“可分散性(diversifiable)”风险）</w:t>
            </w:r>
          </w:p>
        </w:tc>
      </w:tr>
      <w:tr w14:paraId="692A8B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44D6F5F7">
            <w:pPr>
              <w:spacing w:before="120" w:after="120" w:line="288" w:lineRule="auto"/>
              <w:ind w:left="0"/>
              <w:jc w:val="left"/>
            </w:pPr>
            <w:r>
              <w:rPr>
                <w:rFonts w:ascii="Arial" w:hAnsi="Arial" w:eastAsia="等线" w:cs="Arial"/>
                <w:sz w:val="22"/>
              </w:rPr>
              <w:t>Diversification</w:t>
            </w:r>
          </w:p>
        </w:tc>
        <w:tc>
          <w:tcPr>
            <w:tcW w:w="1890" w:type="dxa"/>
            <w:tcMar>
              <w:top w:w="60" w:type="dxa"/>
              <w:left w:w="120" w:type="dxa"/>
              <w:bottom w:w="30" w:type="dxa"/>
              <w:right w:w="120" w:type="dxa"/>
            </w:tcMar>
          </w:tcPr>
          <w:p w14:paraId="044717E0">
            <w:pPr>
              <w:spacing w:before="120" w:after="120" w:line="288" w:lineRule="auto"/>
              <w:ind w:left="0"/>
              <w:jc w:val="left"/>
            </w:pPr>
            <w:r>
              <w:rPr>
                <w:rFonts w:ascii="Arial" w:hAnsi="Arial" w:eastAsia="等线" w:cs="Arial"/>
                <w:sz w:val="22"/>
              </w:rPr>
              <w:t>多元化投资</w:t>
            </w:r>
          </w:p>
        </w:tc>
        <w:tc>
          <w:tcPr>
            <w:tcW w:w="3885" w:type="dxa"/>
            <w:tcMar>
              <w:top w:w="60" w:type="dxa"/>
              <w:left w:w="120" w:type="dxa"/>
              <w:bottom w:w="30" w:type="dxa"/>
              <w:right w:w="120" w:type="dxa"/>
            </w:tcMar>
          </w:tcPr>
          <w:p w14:paraId="0C2A17C2">
            <w:pPr>
              <w:spacing w:before="120" w:after="120" w:line="288" w:lineRule="auto"/>
              <w:ind w:left="0"/>
              <w:jc w:val="left"/>
            </w:pPr>
            <w:r>
              <w:rPr>
                <w:rFonts w:ascii="Arial" w:hAnsi="Arial" w:eastAsia="等线" w:cs="Arial"/>
                <w:sz w:val="22"/>
              </w:rPr>
              <w:t>分散投资，降低“非系统性风险”的办法之一</w:t>
            </w:r>
          </w:p>
        </w:tc>
      </w:tr>
      <w:tr w14:paraId="0210A3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369FFC9E">
            <w:pPr>
              <w:spacing w:before="120" w:after="120" w:line="288" w:lineRule="auto"/>
              <w:ind w:left="0"/>
              <w:jc w:val="left"/>
            </w:pPr>
            <w:r>
              <w:rPr>
                <w:rFonts w:ascii="Arial" w:hAnsi="Arial" w:eastAsia="等线" w:cs="Arial"/>
                <w:sz w:val="22"/>
              </w:rPr>
              <w:t>Portfolio rebalancing</w:t>
            </w:r>
          </w:p>
        </w:tc>
        <w:tc>
          <w:tcPr>
            <w:tcW w:w="1890" w:type="dxa"/>
            <w:tcMar>
              <w:top w:w="60" w:type="dxa"/>
              <w:left w:w="120" w:type="dxa"/>
              <w:bottom w:w="30" w:type="dxa"/>
              <w:right w:w="120" w:type="dxa"/>
            </w:tcMar>
          </w:tcPr>
          <w:p w14:paraId="71F62D88">
            <w:pPr>
              <w:spacing w:before="120" w:after="120" w:line="288" w:lineRule="auto"/>
              <w:ind w:left="0"/>
              <w:jc w:val="left"/>
            </w:pPr>
            <w:r>
              <w:rPr>
                <w:rFonts w:ascii="Arial" w:hAnsi="Arial" w:eastAsia="等线" w:cs="Arial"/>
                <w:sz w:val="22"/>
              </w:rPr>
              <w:t>投资组合再平衡</w:t>
            </w:r>
          </w:p>
        </w:tc>
        <w:tc>
          <w:tcPr>
            <w:tcW w:w="3885" w:type="dxa"/>
            <w:tcMar>
              <w:top w:w="60" w:type="dxa"/>
              <w:left w:w="120" w:type="dxa"/>
              <w:bottom w:w="30" w:type="dxa"/>
              <w:right w:w="120" w:type="dxa"/>
            </w:tcMar>
          </w:tcPr>
          <w:p w14:paraId="39837690">
            <w:pPr>
              <w:spacing w:before="120" w:after="120" w:line="288" w:lineRule="auto"/>
              <w:ind w:left="0"/>
              <w:jc w:val="left"/>
            </w:pPr>
            <w:r>
              <w:rPr>
                <w:rFonts w:ascii="Arial" w:hAnsi="Arial" w:eastAsia="等线" w:cs="Arial"/>
                <w:sz w:val="22"/>
              </w:rPr>
              <w:t>控制投资到各个品类上的资金比率</w:t>
            </w:r>
          </w:p>
        </w:tc>
      </w:tr>
      <w:tr w14:paraId="12204E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721EF7F4">
            <w:pPr>
              <w:spacing w:before="120" w:after="120" w:line="288" w:lineRule="auto"/>
              <w:ind w:left="0"/>
              <w:jc w:val="left"/>
            </w:pPr>
            <w:r>
              <w:rPr>
                <w:rFonts w:ascii="Arial" w:hAnsi="Arial" w:eastAsia="等线" w:cs="Arial"/>
                <w:sz w:val="22"/>
              </w:rPr>
              <w:t>Hedging</w:t>
            </w:r>
          </w:p>
        </w:tc>
        <w:tc>
          <w:tcPr>
            <w:tcW w:w="1890" w:type="dxa"/>
            <w:tcMar>
              <w:top w:w="60" w:type="dxa"/>
              <w:left w:w="120" w:type="dxa"/>
              <w:bottom w:w="30" w:type="dxa"/>
              <w:right w:w="120" w:type="dxa"/>
            </w:tcMar>
          </w:tcPr>
          <w:p w14:paraId="681C9BAE">
            <w:pPr>
              <w:spacing w:before="120" w:after="120" w:line="288" w:lineRule="auto"/>
              <w:ind w:left="0"/>
              <w:jc w:val="left"/>
            </w:pPr>
            <w:r>
              <w:rPr>
                <w:rFonts w:ascii="Arial" w:hAnsi="Arial" w:eastAsia="等线" w:cs="Arial"/>
                <w:sz w:val="22"/>
              </w:rPr>
              <w:t>对冲</w:t>
            </w:r>
          </w:p>
        </w:tc>
        <w:tc>
          <w:tcPr>
            <w:tcW w:w="3885" w:type="dxa"/>
            <w:tcMar>
              <w:top w:w="60" w:type="dxa"/>
              <w:left w:w="120" w:type="dxa"/>
              <w:bottom w:w="30" w:type="dxa"/>
              <w:right w:w="120" w:type="dxa"/>
            </w:tcMar>
          </w:tcPr>
          <w:p w14:paraId="09DDC3CD">
            <w:pPr>
              <w:spacing w:before="120" w:after="120" w:line="288" w:lineRule="auto"/>
              <w:ind w:left="0"/>
              <w:jc w:val="left"/>
            </w:pPr>
            <w:r>
              <w:rPr>
                <w:rFonts w:ascii="Arial" w:hAnsi="Arial" w:eastAsia="等线" w:cs="Arial"/>
                <w:sz w:val="22"/>
              </w:rPr>
              <w:t>可以用来降低投资者所持有的证券走向错误方向的风险</w:t>
            </w:r>
          </w:p>
        </w:tc>
      </w:tr>
      <w:tr w14:paraId="71DC50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590304CD">
            <w:pPr>
              <w:spacing w:before="120" w:after="120" w:line="288" w:lineRule="auto"/>
              <w:ind w:left="0"/>
              <w:jc w:val="left"/>
            </w:pPr>
            <w:r>
              <w:rPr>
                <w:rFonts w:ascii="Arial" w:hAnsi="Arial" w:eastAsia="等线" w:cs="Arial"/>
                <w:sz w:val="22"/>
              </w:rPr>
              <w:t>Fundamental analysis</w:t>
            </w:r>
          </w:p>
        </w:tc>
        <w:tc>
          <w:tcPr>
            <w:tcW w:w="1890" w:type="dxa"/>
            <w:tcMar>
              <w:top w:w="60" w:type="dxa"/>
              <w:left w:w="120" w:type="dxa"/>
              <w:bottom w:w="30" w:type="dxa"/>
              <w:right w:w="120" w:type="dxa"/>
            </w:tcMar>
          </w:tcPr>
          <w:p w14:paraId="7880EC07">
            <w:pPr>
              <w:spacing w:before="120" w:after="120" w:line="288" w:lineRule="auto"/>
              <w:ind w:left="0"/>
              <w:jc w:val="left"/>
            </w:pPr>
            <w:r>
              <w:rPr>
                <w:rFonts w:ascii="Arial" w:hAnsi="Arial" w:eastAsia="等线" w:cs="Arial"/>
                <w:sz w:val="22"/>
              </w:rPr>
              <w:t>基本面分析</w:t>
            </w:r>
          </w:p>
        </w:tc>
        <w:tc>
          <w:tcPr>
            <w:tcW w:w="3885" w:type="dxa"/>
            <w:tcMar>
              <w:top w:w="60" w:type="dxa"/>
              <w:left w:w="120" w:type="dxa"/>
              <w:bottom w:w="30" w:type="dxa"/>
              <w:right w:w="120" w:type="dxa"/>
            </w:tcMar>
          </w:tcPr>
          <w:p w14:paraId="0FD577BA">
            <w:pPr>
              <w:spacing w:before="120" w:after="120" w:line="288" w:lineRule="auto"/>
              <w:ind w:left="0"/>
              <w:jc w:val="left"/>
            </w:pPr>
            <w:r>
              <w:rPr>
                <w:rFonts w:ascii="Arial" w:hAnsi="Arial" w:eastAsia="等线" w:cs="Arial"/>
                <w:sz w:val="22"/>
              </w:rPr>
              <w:t>通过观察公司本身得出投资观点</w:t>
            </w:r>
          </w:p>
        </w:tc>
      </w:tr>
      <w:tr w14:paraId="274F72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60C70A53">
            <w:pPr>
              <w:spacing w:before="120" w:after="120" w:line="288" w:lineRule="auto"/>
              <w:ind w:left="0"/>
              <w:jc w:val="left"/>
            </w:pPr>
            <w:r>
              <w:rPr>
                <w:rFonts w:ascii="Arial" w:hAnsi="Arial" w:eastAsia="等线" w:cs="Arial"/>
                <w:sz w:val="22"/>
              </w:rPr>
              <w:t>Technical analysis</w:t>
            </w:r>
          </w:p>
        </w:tc>
        <w:tc>
          <w:tcPr>
            <w:tcW w:w="1890" w:type="dxa"/>
            <w:tcMar>
              <w:top w:w="60" w:type="dxa"/>
              <w:left w:w="120" w:type="dxa"/>
              <w:bottom w:w="30" w:type="dxa"/>
              <w:right w:w="120" w:type="dxa"/>
            </w:tcMar>
          </w:tcPr>
          <w:p w14:paraId="53CEBC23">
            <w:pPr>
              <w:spacing w:before="120" w:after="120" w:line="288" w:lineRule="auto"/>
              <w:ind w:left="0"/>
              <w:jc w:val="left"/>
            </w:pPr>
            <w:r>
              <w:rPr>
                <w:rFonts w:ascii="Arial" w:hAnsi="Arial" w:eastAsia="等线" w:cs="Arial"/>
                <w:sz w:val="22"/>
              </w:rPr>
              <w:t>技术分析</w:t>
            </w:r>
          </w:p>
        </w:tc>
        <w:tc>
          <w:tcPr>
            <w:tcW w:w="3885" w:type="dxa"/>
            <w:tcMar>
              <w:top w:w="60" w:type="dxa"/>
              <w:left w:w="120" w:type="dxa"/>
              <w:bottom w:w="30" w:type="dxa"/>
              <w:right w:w="120" w:type="dxa"/>
            </w:tcMar>
          </w:tcPr>
          <w:p w14:paraId="2E156A19">
            <w:pPr>
              <w:spacing w:before="120" w:after="120" w:line="288" w:lineRule="auto"/>
              <w:ind w:left="0"/>
              <w:jc w:val="left"/>
            </w:pPr>
            <w:r>
              <w:rPr>
                <w:rFonts w:ascii="Arial" w:hAnsi="Arial" w:eastAsia="等线" w:cs="Arial"/>
                <w:sz w:val="22"/>
              </w:rPr>
              <w:t>通过观察市场得出投资观点</w:t>
            </w:r>
          </w:p>
        </w:tc>
      </w:tr>
      <w:tr w14:paraId="161547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244EAF60">
            <w:pPr>
              <w:spacing w:before="120" w:after="120" w:line="288" w:lineRule="auto"/>
              <w:ind w:left="0"/>
              <w:jc w:val="left"/>
            </w:pPr>
            <w:r>
              <w:rPr>
                <w:rFonts w:ascii="Arial" w:hAnsi="Arial" w:eastAsia="等线" w:cs="Arial"/>
                <w:sz w:val="22"/>
              </w:rPr>
              <w:t>Balance Sheet</w:t>
            </w:r>
          </w:p>
        </w:tc>
        <w:tc>
          <w:tcPr>
            <w:tcW w:w="1890" w:type="dxa"/>
            <w:tcMar>
              <w:top w:w="60" w:type="dxa"/>
              <w:left w:w="120" w:type="dxa"/>
              <w:bottom w:w="30" w:type="dxa"/>
              <w:right w:w="120" w:type="dxa"/>
            </w:tcMar>
          </w:tcPr>
          <w:p w14:paraId="18AA3768">
            <w:pPr>
              <w:spacing w:before="120" w:after="120" w:line="288" w:lineRule="auto"/>
              <w:ind w:left="0"/>
              <w:jc w:val="left"/>
            </w:pPr>
            <w:r>
              <w:rPr>
                <w:rFonts w:ascii="Arial" w:hAnsi="Arial" w:eastAsia="等线" w:cs="Arial"/>
                <w:sz w:val="22"/>
              </w:rPr>
              <w:t>资产负债表</w:t>
            </w:r>
          </w:p>
        </w:tc>
        <w:tc>
          <w:tcPr>
            <w:tcW w:w="3885" w:type="dxa"/>
            <w:tcMar>
              <w:top w:w="60" w:type="dxa"/>
              <w:left w:w="120" w:type="dxa"/>
              <w:bottom w:w="30" w:type="dxa"/>
              <w:right w:w="120" w:type="dxa"/>
            </w:tcMar>
          </w:tcPr>
          <w:p w14:paraId="7DD2CAA5">
            <w:pPr>
              <w:spacing w:before="120" w:after="120" w:line="288" w:lineRule="auto"/>
              <w:ind w:left="0"/>
              <w:jc w:val="left"/>
            </w:pPr>
            <w:r>
              <w:rPr>
                <w:rFonts w:ascii="Arial" w:hAnsi="Arial" w:eastAsia="等线" w:cs="Arial"/>
                <w:sz w:val="22"/>
              </w:rPr>
              <w:t>公司财报的三大表之一，记录公司在特定时点的财务状况。</w:t>
            </w:r>
          </w:p>
        </w:tc>
      </w:tr>
      <w:tr w14:paraId="404422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0CABF923">
            <w:pPr>
              <w:spacing w:before="120" w:after="120" w:line="288" w:lineRule="auto"/>
              <w:ind w:left="0"/>
              <w:jc w:val="left"/>
            </w:pPr>
            <w:r>
              <w:rPr>
                <w:rFonts w:ascii="Arial" w:hAnsi="Arial" w:eastAsia="等线" w:cs="Arial"/>
                <w:sz w:val="22"/>
              </w:rPr>
              <w:t>Assets</w:t>
            </w:r>
          </w:p>
        </w:tc>
        <w:tc>
          <w:tcPr>
            <w:tcW w:w="1890" w:type="dxa"/>
            <w:tcMar>
              <w:top w:w="60" w:type="dxa"/>
              <w:left w:w="120" w:type="dxa"/>
              <w:bottom w:w="30" w:type="dxa"/>
              <w:right w:w="120" w:type="dxa"/>
            </w:tcMar>
          </w:tcPr>
          <w:p w14:paraId="13CD59F7">
            <w:pPr>
              <w:spacing w:before="120" w:after="120" w:line="288" w:lineRule="auto"/>
              <w:ind w:left="0"/>
              <w:jc w:val="left"/>
            </w:pPr>
            <w:r>
              <w:rPr>
                <w:rFonts w:ascii="Arial" w:hAnsi="Arial" w:eastAsia="等线" w:cs="Arial"/>
                <w:sz w:val="22"/>
              </w:rPr>
              <w:t>资产</w:t>
            </w:r>
          </w:p>
        </w:tc>
        <w:tc>
          <w:tcPr>
            <w:tcW w:w="3885" w:type="dxa"/>
            <w:tcMar>
              <w:top w:w="60" w:type="dxa"/>
              <w:left w:w="120" w:type="dxa"/>
              <w:bottom w:w="30" w:type="dxa"/>
              <w:right w:w="120" w:type="dxa"/>
            </w:tcMar>
          </w:tcPr>
          <w:p w14:paraId="6B328B7D">
            <w:pPr>
              <w:spacing w:before="120" w:after="120" w:line="288" w:lineRule="auto"/>
              <w:ind w:left="0"/>
              <w:jc w:val="left"/>
            </w:pPr>
            <w:r>
              <w:rPr>
                <w:rFonts w:ascii="Arial" w:hAnsi="Arial" w:eastAsia="等线" w:cs="Arial"/>
                <w:sz w:val="22"/>
              </w:rPr>
              <w:t>资产是公司拥有的项目</w:t>
            </w:r>
          </w:p>
        </w:tc>
      </w:tr>
      <w:tr w14:paraId="790160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53C8915C">
            <w:pPr>
              <w:spacing w:before="120" w:after="120" w:line="288" w:lineRule="auto"/>
              <w:ind w:left="0"/>
              <w:jc w:val="left"/>
            </w:pPr>
            <w:r>
              <w:rPr>
                <w:rFonts w:ascii="Arial" w:hAnsi="Arial" w:eastAsia="等线" w:cs="Arial"/>
                <w:sz w:val="22"/>
              </w:rPr>
              <w:t>Current assets</w:t>
            </w:r>
          </w:p>
        </w:tc>
        <w:tc>
          <w:tcPr>
            <w:tcW w:w="1890" w:type="dxa"/>
            <w:tcMar>
              <w:top w:w="60" w:type="dxa"/>
              <w:left w:w="120" w:type="dxa"/>
              <w:bottom w:w="30" w:type="dxa"/>
              <w:right w:w="120" w:type="dxa"/>
            </w:tcMar>
          </w:tcPr>
          <w:p w14:paraId="573DAF9C">
            <w:pPr>
              <w:spacing w:before="120" w:after="120" w:line="288" w:lineRule="auto"/>
              <w:ind w:left="0"/>
              <w:jc w:val="left"/>
            </w:pPr>
            <w:r>
              <w:rPr>
                <w:rFonts w:ascii="Arial" w:hAnsi="Arial" w:eastAsia="等线" w:cs="Arial"/>
                <w:sz w:val="22"/>
              </w:rPr>
              <w:t>流动资产</w:t>
            </w:r>
          </w:p>
        </w:tc>
        <w:tc>
          <w:tcPr>
            <w:tcW w:w="3885" w:type="dxa"/>
            <w:tcMar>
              <w:top w:w="60" w:type="dxa"/>
              <w:left w:w="120" w:type="dxa"/>
              <w:bottom w:w="30" w:type="dxa"/>
              <w:right w:w="120" w:type="dxa"/>
            </w:tcMar>
          </w:tcPr>
          <w:p w14:paraId="093E6344">
            <w:pPr>
              <w:spacing w:before="120" w:after="120" w:line="288" w:lineRule="auto"/>
              <w:ind w:left="0"/>
              <w:jc w:val="left"/>
            </w:pPr>
            <w:r>
              <w:rPr>
                <w:rFonts w:ascii="Arial" w:hAnsi="Arial" w:eastAsia="等线" w:cs="Arial"/>
                <w:sz w:val="22"/>
              </w:rPr>
              <w:t>在未来 12 个月内易于转换为现金的自有项目</w:t>
            </w:r>
          </w:p>
        </w:tc>
      </w:tr>
      <w:tr w14:paraId="3BD278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0EF1B57D">
            <w:pPr>
              <w:spacing w:before="120" w:after="120" w:line="288" w:lineRule="auto"/>
              <w:ind w:left="0"/>
              <w:jc w:val="left"/>
            </w:pPr>
            <w:r>
              <w:rPr>
                <w:rFonts w:ascii="Arial" w:hAnsi="Arial" w:eastAsia="等线" w:cs="Arial"/>
                <w:sz w:val="22"/>
              </w:rPr>
              <w:t>Fixed assets</w:t>
            </w:r>
          </w:p>
        </w:tc>
        <w:tc>
          <w:tcPr>
            <w:tcW w:w="1890" w:type="dxa"/>
            <w:tcMar>
              <w:top w:w="60" w:type="dxa"/>
              <w:left w:w="120" w:type="dxa"/>
              <w:bottom w:w="30" w:type="dxa"/>
              <w:right w:w="120" w:type="dxa"/>
            </w:tcMar>
          </w:tcPr>
          <w:p w14:paraId="414B6457">
            <w:pPr>
              <w:spacing w:before="120" w:after="120" w:line="288" w:lineRule="auto"/>
              <w:ind w:left="0"/>
              <w:jc w:val="left"/>
            </w:pPr>
            <w:r>
              <w:rPr>
                <w:rFonts w:ascii="Arial" w:hAnsi="Arial" w:eastAsia="等线" w:cs="Arial"/>
                <w:sz w:val="22"/>
              </w:rPr>
              <w:t>固定资产</w:t>
            </w:r>
          </w:p>
        </w:tc>
        <w:tc>
          <w:tcPr>
            <w:tcW w:w="3885" w:type="dxa"/>
            <w:tcMar>
              <w:top w:w="60" w:type="dxa"/>
              <w:left w:w="120" w:type="dxa"/>
              <w:bottom w:w="30" w:type="dxa"/>
              <w:right w:w="120" w:type="dxa"/>
            </w:tcMar>
          </w:tcPr>
          <w:p w14:paraId="15B257D3">
            <w:pPr>
              <w:spacing w:before="120" w:after="120" w:line="288" w:lineRule="auto"/>
              <w:ind w:left="0"/>
              <w:jc w:val="left"/>
            </w:pPr>
            <w:r>
              <w:rPr>
                <w:rFonts w:ascii="Arial" w:hAnsi="Arial" w:eastAsia="等线" w:cs="Arial"/>
                <w:sz w:val="22"/>
              </w:rPr>
              <w:t>不易转换为现金的自有项目</w:t>
            </w:r>
          </w:p>
        </w:tc>
      </w:tr>
      <w:tr w14:paraId="116A4D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5231531E">
            <w:pPr>
              <w:spacing w:before="120" w:after="120" w:line="288" w:lineRule="auto"/>
              <w:ind w:left="0"/>
              <w:jc w:val="left"/>
            </w:pPr>
            <w:r>
              <w:rPr>
                <w:rFonts w:ascii="Arial" w:hAnsi="Arial" w:eastAsia="等线" w:cs="Arial"/>
                <w:sz w:val="22"/>
              </w:rPr>
              <w:t>Intangible assets</w:t>
            </w:r>
          </w:p>
        </w:tc>
        <w:tc>
          <w:tcPr>
            <w:tcW w:w="1890" w:type="dxa"/>
            <w:tcMar>
              <w:top w:w="60" w:type="dxa"/>
              <w:left w:w="120" w:type="dxa"/>
              <w:bottom w:w="30" w:type="dxa"/>
              <w:right w:w="120" w:type="dxa"/>
            </w:tcMar>
          </w:tcPr>
          <w:p w14:paraId="38C9815B">
            <w:pPr>
              <w:spacing w:before="120" w:after="120" w:line="288" w:lineRule="auto"/>
              <w:ind w:left="0"/>
              <w:jc w:val="left"/>
            </w:pPr>
            <w:r>
              <w:rPr>
                <w:rFonts w:ascii="Arial" w:hAnsi="Arial" w:eastAsia="等线" w:cs="Arial"/>
                <w:sz w:val="22"/>
              </w:rPr>
              <w:t>无形资产</w:t>
            </w:r>
          </w:p>
        </w:tc>
        <w:tc>
          <w:tcPr>
            <w:tcW w:w="3885" w:type="dxa"/>
            <w:tcMar>
              <w:top w:w="60" w:type="dxa"/>
              <w:left w:w="120" w:type="dxa"/>
              <w:bottom w:w="30" w:type="dxa"/>
              <w:right w:w="120" w:type="dxa"/>
            </w:tcMar>
          </w:tcPr>
          <w:p w14:paraId="533FC834">
            <w:pPr>
              <w:spacing w:before="120" w:after="120" w:line="288" w:lineRule="auto"/>
              <w:ind w:left="0"/>
              <w:jc w:val="left"/>
            </w:pPr>
            <w:r>
              <w:rPr>
                <w:rFonts w:ascii="Arial" w:hAnsi="Arial" w:eastAsia="等线" w:cs="Arial"/>
                <w:sz w:val="22"/>
              </w:rPr>
              <w:t>不具有任何物理属性的自有项目</w:t>
            </w:r>
          </w:p>
        </w:tc>
      </w:tr>
      <w:tr w14:paraId="729798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0208C6A5">
            <w:pPr>
              <w:spacing w:before="120" w:after="120" w:line="288" w:lineRule="auto"/>
              <w:ind w:left="0"/>
              <w:jc w:val="left"/>
            </w:pPr>
            <w:r>
              <w:rPr>
                <w:rFonts w:ascii="Arial" w:hAnsi="Arial" w:eastAsia="等线" w:cs="Arial"/>
                <w:sz w:val="22"/>
              </w:rPr>
              <w:t>Liabilities</w:t>
            </w:r>
          </w:p>
        </w:tc>
        <w:tc>
          <w:tcPr>
            <w:tcW w:w="1890" w:type="dxa"/>
            <w:tcMar>
              <w:top w:w="60" w:type="dxa"/>
              <w:left w:w="120" w:type="dxa"/>
              <w:bottom w:w="30" w:type="dxa"/>
              <w:right w:w="120" w:type="dxa"/>
            </w:tcMar>
          </w:tcPr>
          <w:p w14:paraId="2373367C">
            <w:pPr>
              <w:spacing w:before="120" w:after="120" w:line="288" w:lineRule="auto"/>
              <w:ind w:left="0"/>
              <w:jc w:val="left"/>
            </w:pPr>
            <w:r>
              <w:rPr>
                <w:rFonts w:ascii="Arial" w:hAnsi="Arial" w:eastAsia="等线" w:cs="Arial"/>
                <w:sz w:val="22"/>
              </w:rPr>
              <w:t>负债</w:t>
            </w:r>
          </w:p>
        </w:tc>
        <w:tc>
          <w:tcPr>
            <w:tcW w:w="3885" w:type="dxa"/>
            <w:tcMar>
              <w:top w:w="60" w:type="dxa"/>
              <w:left w:w="120" w:type="dxa"/>
              <w:bottom w:w="30" w:type="dxa"/>
              <w:right w:w="120" w:type="dxa"/>
            </w:tcMar>
          </w:tcPr>
          <w:p w14:paraId="6235E59F">
            <w:pPr>
              <w:spacing w:before="120" w:after="120" w:line="288" w:lineRule="auto"/>
              <w:ind w:left="0"/>
              <w:jc w:val="left"/>
            </w:pPr>
            <w:r>
              <w:rPr>
                <w:rFonts w:ascii="Arial" w:hAnsi="Arial" w:eastAsia="等线" w:cs="Arial"/>
                <w:sz w:val="22"/>
              </w:rPr>
              <w:t>公司所欠的债务</w:t>
            </w:r>
          </w:p>
        </w:tc>
      </w:tr>
      <w:tr w14:paraId="41921A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3D6E7C1A">
            <w:pPr>
              <w:spacing w:before="120" w:after="120" w:line="288" w:lineRule="auto"/>
              <w:ind w:left="0"/>
              <w:jc w:val="left"/>
            </w:pPr>
            <w:r>
              <w:rPr>
                <w:rFonts w:ascii="Arial" w:hAnsi="Arial" w:eastAsia="等线" w:cs="Arial"/>
                <w:sz w:val="22"/>
              </w:rPr>
              <w:t>Current liabilities</w:t>
            </w:r>
          </w:p>
        </w:tc>
        <w:tc>
          <w:tcPr>
            <w:tcW w:w="1890" w:type="dxa"/>
            <w:tcMar>
              <w:top w:w="60" w:type="dxa"/>
              <w:left w:w="120" w:type="dxa"/>
              <w:bottom w:w="30" w:type="dxa"/>
              <w:right w:w="120" w:type="dxa"/>
            </w:tcMar>
          </w:tcPr>
          <w:p w14:paraId="7DBCDA8B">
            <w:pPr>
              <w:spacing w:before="120" w:after="120" w:line="288" w:lineRule="auto"/>
              <w:ind w:left="0"/>
              <w:jc w:val="left"/>
            </w:pPr>
            <w:r>
              <w:rPr>
                <w:rFonts w:ascii="Arial" w:hAnsi="Arial" w:eastAsia="等线" w:cs="Arial"/>
                <w:sz w:val="22"/>
              </w:rPr>
              <w:t>流动负债</w:t>
            </w:r>
          </w:p>
        </w:tc>
        <w:tc>
          <w:tcPr>
            <w:tcW w:w="3885" w:type="dxa"/>
            <w:tcMar>
              <w:top w:w="60" w:type="dxa"/>
              <w:left w:w="120" w:type="dxa"/>
              <w:bottom w:w="30" w:type="dxa"/>
              <w:right w:w="120" w:type="dxa"/>
            </w:tcMar>
          </w:tcPr>
          <w:p w14:paraId="6B7887C2">
            <w:pPr>
              <w:spacing w:before="120" w:after="120" w:line="288" w:lineRule="auto"/>
              <w:ind w:left="0"/>
              <w:jc w:val="left"/>
            </w:pPr>
            <w:r>
              <w:rPr>
                <w:rFonts w:ascii="Arial" w:hAnsi="Arial" w:eastAsia="等线" w:cs="Arial"/>
                <w:sz w:val="22"/>
              </w:rPr>
              <w:t>未来12个月内到期的债务</w:t>
            </w:r>
          </w:p>
        </w:tc>
      </w:tr>
      <w:tr w14:paraId="14FCCF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36FB48A7">
            <w:pPr>
              <w:spacing w:before="120" w:after="120" w:line="288" w:lineRule="auto"/>
              <w:ind w:left="0"/>
              <w:jc w:val="left"/>
            </w:pPr>
            <w:r>
              <w:rPr>
                <w:rFonts w:ascii="Arial" w:hAnsi="Arial" w:eastAsia="等线" w:cs="Arial"/>
                <w:sz w:val="22"/>
              </w:rPr>
              <w:t>Long-term liabilities</w:t>
            </w:r>
          </w:p>
        </w:tc>
        <w:tc>
          <w:tcPr>
            <w:tcW w:w="1890" w:type="dxa"/>
            <w:tcMar>
              <w:top w:w="60" w:type="dxa"/>
              <w:left w:w="120" w:type="dxa"/>
              <w:bottom w:w="30" w:type="dxa"/>
              <w:right w:w="120" w:type="dxa"/>
            </w:tcMar>
          </w:tcPr>
          <w:p w14:paraId="68AC56EE">
            <w:pPr>
              <w:spacing w:before="120" w:after="120" w:line="288" w:lineRule="auto"/>
              <w:ind w:left="0"/>
              <w:jc w:val="left"/>
            </w:pPr>
            <w:r>
              <w:rPr>
                <w:rFonts w:ascii="Arial" w:hAnsi="Arial" w:eastAsia="等线" w:cs="Arial"/>
                <w:sz w:val="22"/>
              </w:rPr>
              <w:t>长期负债</w:t>
            </w:r>
          </w:p>
        </w:tc>
        <w:tc>
          <w:tcPr>
            <w:tcW w:w="3885" w:type="dxa"/>
            <w:tcMar>
              <w:top w:w="60" w:type="dxa"/>
              <w:left w:w="120" w:type="dxa"/>
              <w:bottom w:w="30" w:type="dxa"/>
              <w:right w:w="120" w:type="dxa"/>
            </w:tcMar>
          </w:tcPr>
          <w:p w14:paraId="57A78B8E">
            <w:pPr>
              <w:spacing w:before="120" w:after="120" w:line="288" w:lineRule="auto"/>
              <w:ind w:left="0"/>
              <w:jc w:val="left"/>
            </w:pPr>
            <w:r>
              <w:rPr>
                <w:rFonts w:ascii="Arial" w:hAnsi="Arial" w:eastAsia="等线" w:cs="Arial"/>
                <w:sz w:val="22"/>
              </w:rPr>
              <w:t>12个月后到期的债务</w:t>
            </w:r>
          </w:p>
        </w:tc>
      </w:tr>
      <w:tr w14:paraId="3E3AA6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1FB87D78">
            <w:pPr>
              <w:spacing w:before="120" w:after="120" w:line="288" w:lineRule="auto"/>
              <w:ind w:left="0"/>
              <w:jc w:val="left"/>
            </w:pPr>
            <w:r>
              <w:rPr>
                <w:rFonts w:ascii="Arial" w:hAnsi="Arial" w:eastAsia="等线" w:cs="Arial"/>
                <w:sz w:val="22"/>
              </w:rPr>
              <w:t>Stockholders’ equity</w:t>
            </w:r>
          </w:p>
        </w:tc>
        <w:tc>
          <w:tcPr>
            <w:tcW w:w="1890" w:type="dxa"/>
            <w:tcMar>
              <w:top w:w="60" w:type="dxa"/>
              <w:left w:w="120" w:type="dxa"/>
              <w:bottom w:w="30" w:type="dxa"/>
              <w:right w:w="120" w:type="dxa"/>
            </w:tcMar>
          </w:tcPr>
          <w:p w14:paraId="5946A44C">
            <w:pPr>
              <w:spacing w:before="120" w:after="120" w:line="288" w:lineRule="auto"/>
              <w:ind w:left="0"/>
              <w:jc w:val="left"/>
            </w:pPr>
            <w:r>
              <w:rPr>
                <w:rFonts w:ascii="Arial" w:hAnsi="Arial" w:eastAsia="等线" w:cs="Arial"/>
                <w:sz w:val="22"/>
              </w:rPr>
              <w:t>股东权益</w:t>
            </w:r>
          </w:p>
        </w:tc>
        <w:tc>
          <w:tcPr>
            <w:tcW w:w="3885" w:type="dxa"/>
            <w:tcMar>
              <w:top w:w="60" w:type="dxa"/>
              <w:left w:w="120" w:type="dxa"/>
              <w:bottom w:w="30" w:type="dxa"/>
              <w:right w:w="120" w:type="dxa"/>
            </w:tcMar>
          </w:tcPr>
          <w:p w14:paraId="69E873BB">
            <w:pPr>
              <w:spacing w:before="120" w:after="120" w:line="288" w:lineRule="auto"/>
              <w:ind w:left="0"/>
              <w:jc w:val="left"/>
            </w:pPr>
            <w:r>
              <w:rPr>
                <w:rFonts w:ascii="Arial" w:hAnsi="Arial" w:eastAsia="等线" w:cs="Arial"/>
                <w:sz w:val="22"/>
              </w:rPr>
              <w:t>资产负债表里，资产减掉负债的差异部分，即为股东的权益部分</w:t>
            </w:r>
          </w:p>
        </w:tc>
      </w:tr>
      <w:tr w14:paraId="2CE244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0AC3511B">
            <w:pPr>
              <w:spacing w:before="120" w:after="120" w:line="288" w:lineRule="auto"/>
              <w:ind w:left="0"/>
              <w:jc w:val="left"/>
            </w:pPr>
            <w:r>
              <w:rPr>
                <w:rFonts w:ascii="Arial" w:hAnsi="Arial" w:eastAsia="等线" w:cs="Arial"/>
                <w:sz w:val="22"/>
              </w:rPr>
              <w:t>Par value</w:t>
            </w:r>
          </w:p>
        </w:tc>
        <w:tc>
          <w:tcPr>
            <w:tcW w:w="1890" w:type="dxa"/>
            <w:tcMar>
              <w:top w:w="60" w:type="dxa"/>
              <w:left w:w="120" w:type="dxa"/>
              <w:bottom w:w="30" w:type="dxa"/>
              <w:right w:w="120" w:type="dxa"/>
            </w:tcMar>
          </w:tcPr>
          <w:p w14:paraId="67F6BA97">
            <w:pPr>
              <w:spacing w:before="120" w:after="120" w:line="288" w:lineRule="auto"/>
              <w:ind w:left="0"/>
              <w:jc w:val="left"/>
            </w:pPr>
            <w:r>
              <w:rPr>
                <w:rFonts w:ascii="Arial" w:hAnsi="Arial" w:eastAsia="等线" w:cs="Arial"/>
                <w:sz w:val="22"/>
              </w:rPr>
              <w:t>票面价值</w:t>
            </w:r>
          </w:p>
        </w:tc>
        <w:tc>
          <w:tcPr>
            <w:tcW w:w="3885" w:type="dxa"/>
            <w:tcMar>
              <w:top w:w="60" w:type="dxa"/>
              <w:left w:w="120" w:type="dxa"/>
              <w:bottom w:w="30" w:type="dxa"/>
              <w:right w:w="120" w:type="dxa"/>
            </w:tcMar>
          </w:tcPr>
          <w:p w14:paraId="36D1689F">
            <w:pPr>
              <w:spacing w:before="120" w:after="120" w:line="288" w:lineRule="auto"/>
              <w:ind w:left="0"/>
              <w:jc w:val="left"/>
            </w:pPr>
            <w:r>
              <w:rPr>
                <w:rFonts w:ascii="Arial" w:hAnsi="Arial" w:eastAsia="等线" w:cs="Arial"/>
                <w:sz w:val="22"/>
              </w:rPr>
              <w:t>公司用于簿记的任意金额</w:t>
            </w:r>
          </w:p>
        </w:tc>
      </w:tr>
      <w:tr w14:paraId="588FC0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64413420">
            <w:pPr>
              <w:spacing w:before="120" w:after="120" w:line="288" w:lineRule="auto"/>
              <w:ind w:left="0"/>
              <w:jc w:val="left"/>
            </w:pPr>
            <w:r>
              <w:rPr>
                <w:rFonts w:ascii="Arial" w:hAnsi="Arial" w:eastAsia="等线" w:cs="Arial"/>
                <w:sz w:val="22"/>
              </w:rPr>
              <w:t>Additional paid-in capital</w:t>
            </w:r>
          </w:p>
        </w:tc>
        <w:tc>
          <w:tcPr>
            <w:tcW w:w="1890" w:type="dxa"/>
            <w:tcMar>
              <w:top w:w="60" w:type="dxa"/>
              <w:left w:w="120" w:type="dxa"/>
              <w:bottom w:w="30" w:type="dxa"/>
              <w:right w:w="120" w:type="dxa"/>
            </w:tcMar>
          </w:tcPr>
          <w:p w14:paraId="4BB33641">
            <w:pPr>
              <w:spacing w:before="120" w:after="120" w:line="288" w:lineRule="auto"/>
              <w:ind w:left="0"/>
              <w:jc w:val="left"/>
            </w:pPr>
            <w:r>
              <w:rPr>
                <w:rFonts w:ascii="Arial" w:hAnsi="Arial" w:eastAsia="等线" w:cs="Arial"/>
                <w:sz w:val="22"/>
              </w:rPr>
              <w:t>额外实收资本</w:t>
            </w:r>
          </w:p>
        </w:tc>
        <w:tc>
          <w:tcPr>
            <w:tcW w:w="3885" w:type="dxa"/>
            <w:tcMar>
              <w:top w:w="60" w:type="dxa"/>
              <w:left w:w="120" w:type="dxa"/>
              <w:bottom w:w="30" w:type="dxa"/>
              <w:right w:w="120" w:type="dxa"/>
            </w:tcMar>
          </w:tcPr>
          <w:p w14:paraId="078FDAC6">
            <w:pPr>
              <w:spacing w:before="120" w:after="120" w:line="288" w:lineRule="auto"/>
              <w:ind w:left="0"/>
              <w:jc w:val="left"/>
            </w:pPr>
            <w:r>
              <w:rPr>
                <w:rFonts w:ascii="Arial" w:hAnsi="Arial" w:eastAsia="等线" w:cs="Arial"/>
                <w:sz w:val="22"/>
              </w:rPr>
              <w:t>公司因发行股票而获得的超过票面价值的金额</w:t>
            </w:r>
          </w:p>
        </w:tc>
      </w:tr>
      <w:tr w14:paraId="0F2C74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19534341">
            <w:pPr>
              <w:spacing w:before="120" w:after="120" w:line="288" w:lineRule="auto"/>
              <w:ind w:left="0"/>
              <w:jc w:val="left"/>
            </w:pPr>
            <w:r>
              <w:rPr>
                <w:rFonts w:ascii="Arial" w:hAnsi="Arial" w:eastAsia="等线" w:cs="Arial"/>
                <w:sz w:val="22"/>
              </w:rPr>
              <w:t>Treasury stock</w:t>
            </w:r>
          </w:p>
        </w:tc>
        <w:tc>
          <w:tcPr>
            <w:tcW w:w="1890" w:type="dxa"/>
            <w:tcMar>
              <w:top w:w="60" w:type="dxa"/>
              <w:left w:w="120" w:type="dxa"/>
              <w:bottom w:w="30" w:type="dxa"/>
              <w:right w:w="120" w:type="dxa"/>
            </w:tcMar>
          </w:tcPr>
          <w:p w14:paraId="47E6AA35">
            <w:pPr>
              <w:spacing w:before="120" w:after="120" w:line="288" w:lineRule="auto"/>
              <w:ind w:left="0"/>
              <w:jc w:val="left"/>
            </w:pPr>
            <w:r>
              <w:rPr>
                <w:rFonts w:ascii="Arial" w:hAnsi="Arial" w:eastAsia="等线" w:cs="Arial"/>
                <w:sz w:val="22"/>
              </w:rPr>
              <w:t>库存股</w:t>
            </w:r>
          </w:p>
        </w:tc>
        <w:tc>
          <w:tcPr>
            <w:tcW w:w="3885" w:type="dxa"/>
            <w:tcMar>
              <w:top w:w="60" w:type="dxa"/>
              <w:left w:w="120" w:type="dxa"/>
              <w:bottom w:w="30" w:type="dxa"/>
              <w:right w:w="120" w:type="dxa"/>
            </w:tcMar>
          </w:tcPr>
          <w:p w14:paraId="50C626E5">
            <w:pPr>
              <w:spacing w:before="120" w:after="120" w:line="288" w:lineRule="auto"/>
              <w:ind w:left="0"/>
              <w:jc w:val="left"/>
            </w:pPr>
            <w:r>
              <w:rPr>
                <w:rFonts w:ascii="Arial" w:hAnsi="Arial" w:eastAsia="等线" w:cs="Arial"/>
                <w:sz w:val="22"/>
              </w:rPr>
              <w:t>在市场上流通但被公司回购的股票</w:t>
            </w:r>
          </w:p>
        </w:tc>
      </w:tr>
      <w:tr w14:paraId="6AA1AC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62FFAE8C">
            <w:pPr>
              <w:spacing w:before="120" w:after="120" w:line="288" w:lineRule="auto"/>
              <w:ind w:left="0"/>
              <w:jc w:val="left"/>
            </w:pPr>
            <w:r>
              <w:rPr>
                <w:rFonts w:ascii="Arial" w:hAnsi="Arial" w:eastAsia="等线" w:cs="Arial"/>
                <w:sz w:val="22"/>
              </w:rPr>
              <w:t>Retained earnings</w:t>
            </w:r>
          </w:p>
        </w:tc>
        <w:tc>
          <w:tcPr>
            <w:tcW w:w="1890" w:type="dxa"/>
            <w:tcMar>
              <w:top w:w="60" w:type="dxa"/>
              <w:left w:w="120" w:type="dxa"/>
              <w:bottom w:w="30" w:type="dxa"/>
              <w:right w:w="120" w:type="dxa"/>
            </w:tcMar>
          </w:tcPr>
          <w:p w14:paraId="5640F5FA">
            <w:pPr>
              <w:spacing w:before="120" w:after="120" w:line="288" w:lineRule="auto"/>
              <w:ind w:left="0"/>
              <w:jc w:val="left"/>
            </w:pPr>
            <w:r>
              <w:rPr>
                <w:rFonts w:ascii="Arial" w:hAnsi="Arial" w:eastAsia="等线" w:cs="Arial"/>
                <w:sz w:val="22"/>
              </w:rPr>
              <w:t>留存收益</w:t>
            </w:r>
          </w:p>
        </w:tc>
        <w:tc>
          <w:tcPr>
            <w:tcW w:w="3885" w:type="dxa"/>
            <w:tcMar>
              <w:top w:w="60" w:type="dxa"/>
              <w:left w:w="120" w:type="dxa"/>
              <w:bottom w:w="30" w:type="dxa"/>
              <w:right w:w="120" w:type="dxa"/>
            </w:tcMar>
          </w:tcPr>
          <w:p w14:paraId="60835D10">
            <w:pPr>
              <w:spacing w:before="120" w:after="120" w:line="288" w:lineRule="auto"/>
              <w:ind w:left="0"/>
              <w:jc w:val="left"/>
            </w:pPr>
            <w:r>
              <w:rPr>
                <w:rFonts w:ascii="Arial" w:hAnsi="Arial" w:eastAsia="等线" w:cs="Arial"/>
                <w:sz w:val="22"/>
              </w:rPr>
              <w:t>公司向股东支付股息（如有）后持有的净收益</w:t>
            </w:r>
          </w:p>
        </w:tc>
      </w:tr>
      <w:tr w14:paraId="79EC5B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450EC506">
            <w:pPr>
              <w:spacing w:before="120" w:after="120" w:line="288" w:lineRule="auto"/>
              <w:ind w:left="0"/>
              <w:jc w:val="left"/>
            </w:pPr>
            <w:r>
              <w:rPr>
                <w:rFonts w:ascii="Arial" w:hAnsi="Arial" w:eastAsia="等线" w:cs="Arial"/>
                <w:sz w:val="22"/>
              </w:rPr>
              <w:t>Income statement</w:t>
            </w:r>
          </w:p>
        </w:tc>
        <w:tc>
          <w:tcPr>
            <w:tcW w:w="1890" w:type="dxa"/>
            <w:tcMar>
              <w:top w:w="60" w:type="dxa"/>
              <w:left w:w="120" w:type="dxa"/>
              <w:bottom w:w="30" w:type="dxa"/>
              <w:right w:w="120" w:type="dxa"/>
            </w:tcMar>
          </w:tcPr>
          <w:p w14:paraId="3708923D">
            <w:pPr>
              <w:spacing w:before="120" w:after="120" w:line="288" w:lineRule="auto"/>
              <w:ind w:left="0"/>
              <w:jc w:val="left"/>
            </w:pPr>
            <w:r>
              <w:rPr>
                <w:rFonts w:ascii="Arial" w:hAnsi="Arial" w:eastAsia="等线" w:cs="Arial"/>
                <w:sz w:val="22"/>
              </w:rPr>
              <w:t>损益表</w:t>
            </w:r>
          </w:p>
        </w:tc>
        <w:tc>
          <w:tcPr>
            <w:tcW w:w="3885" w:type="dxa"/>
            <w:tcMar>
              <w:top w:w="60" w:type="dxa"/>
              <w:left w:w="120" w:type="dxa"/>
              <w:bottom w:w="30" w:type="dxa"/>
              <w:right w:w="120" w:type="dxa"/>
            </w:tcMar>
          </w:tcPr>
          <w:p w14:paraId="23767575">
            <w:pPr>
              <w:spacing w:before="120" w:after="120" w:line="288" w:lineRule="auto"/>
              <w:ind w:left="0"/>
              <w:jc w:val="left"/>
            </w:pPr>
            <w:r>
              <w:rPr>
                <w:rFonts w:ascii="Arial" w:hAnsi="Arial" w:eastAsia="等线" w:cs="Arial"/>
                <w:sz w:val="22"/>
              </w:rPr>
              <w:t>公司在一段期间内经营所获得的利润拆解表</w:t>
            </w:r>
          </w:p>
        </w:tc>
      </w:tr>
      <w:tr w14:paraId="66AA5E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69995DD8">
            <w:pPr>
              <w:spacing w:before="120" w:after="120" w:line="288" w:lineRule="auto"/>
              <w:ind w:left="0"/>
              <w:jc w:val="left"/>
            </w:pPr>
            <w:r>
              <w:rPr>
                <w:rFonts w:ascii="Arial" w:hAnsi="Arial" w:eastAsia="等线" w:cs="Arial"/>
                <w:sz w:val="22"/>
              </w:rPr>
              <w:t>Benchmarks</w:t>
            </w:r>
          </w:p>
        </w:tc>
        <w:tc>
          <w:tcPr>
            <w:tcW w:w="1890" w:type="dxa"/>
            <w:tcMar>
              <w:top w:w="60" w:type="dxa"/>
              <w:left w:w="120" w:type="dxa"/>
              <w:bottom w:w="30" w:type="dxa"/>
              <w:right w:w="120" w:type="dxa"/>
            </w:tcMar>
          </w:tcPr>
          <w:p w14:paraId="063BFED4">
            <w:pPr>
              <w:spacing w:before="120" w:after="120" w:line="288" w:lineRule="auto"/>
              <w:ind w:left="0"/>
              <w:jc w:val="left"/>
            </w:pPr>
            <w:r>
              <w:rPr>
                <w:rFonts w:ascii="Arial" w:hAnsi="Arial" w:eastAsia="等线" w:cs="Arial"/>
                <w:sz w:val="22"/>
              </w:rPr>
              <w:t>基准</w:t>
            </w:r>
          </w:p>
        </w:tc>
        <w:tc>
          <w:tcPr>
            <w:tcW w:w="3885" w:type="dxa"/>
            <w:tcMar>
              <w:top w:w="60" w:type="dxa"/>
              <w:left w:w="120" w:type="dxa"/>
              <w:bottom w:w="30" w:type="dxa"/>
              <w:right w:w="120" w:type="dxa"/>
            </w:tcMar>
          </w:tcPr>
          <w:p w14:paraId="39D18FEA">
            <w:pPr>
              <w:spacing w:before="120" w:after="120" w:line="288" w:lineRule="auto"/>
              <w:ind w:left="0"/>
              <w:jc w:val="left"/>
            </w:pPr>
            <w:r>
              <w:rPr>
                <w:rFonts w:ascii="Arial" w:hAnsi="Arial" w:eastAsia="等线" w:cs="Arial"/>
                <w:sz w:val="22"/>
              </w:rPr>
              <w:t>评价投资业绩的标杆</w:t>
            </w:r>
          </w:p>
        </w:tc>
      </w:tr>
      <w:tr w14:paraId="1A580C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034131B6">
            <w:pPr>
              <w:spacing w:before="120" w:after="120" w:line="288" w:lineRule="auto"/>
              <w:ind w:left="0"/>
              <w:jc w:val="left"/>
            </w:pPr>
            <w:r>
              <w:rPr>
                <w:rFonts w:ascii="Arial" w:hAnsi="Arial" w:eastAsia="等线" w:cs="Arial"/>
                <w:sz w:val="22"/>
              </w:rPr>
              <w:t>indices</w:t>
            </w:r>
          </w:p>
        </w:tc>
        <w:tc>
          <w:tcPr>
            <w:tcW w:w="1890" w:type="dxa"/>
            <w:tcMar>
              <w:top w:w="60" w:type="dxa"/>
              <w:left w:w="120" w:type="dxa"/>
              <w:bottom w:w="30" w:type="dxa"/>
              <w:right w:w="120" w:type="dxa"/>
            </w:tcMar>
          </w:tcPr>
          <w:p w14:paraId="60EDF228">
            <w:pPr>
              <w:spacing w:before="120" w:after="120" w:line="288" w:lineRule="auto"/>
              <w:ind w:left="0"/>
              <w:jc w:val="left"/>
            </w:pPr>
            <w:r>
              <w:rPr>
                <w:rFonts w:ascii="Arial" w:hAnsi="Arial" w:eastAsia="等线" w:cs="Arial"/>
                <w:sz w:val="22"/>
              </w:rPr>
              <w:t>指数</w:t>
            </w:r>
          </w:p>
        </w:tc>
        <w:tc>
          <w:tcPr>
            <w:tcW w:w="3885" w:type="dxa"/>
            <w:tcMar>
              <w:top w:w="60" w:type="dxa"/>
              <w:left w:w="120" w:type="dxa"/>
              <w:bottom w:w="30" w:type="dxa"/>
              <w:right w:w="120" w:type="dxa"/>
            </w:tcMar>
          </w:tcPr>
          <w:p w14:paraId="5E09D029">
            <w:pPr>
              <w:spacing w:before="120" w:after="120" w:line="288" w:lineRule="auto"/>
              <w:ind w:left="0"/>
              <w:jc w:val="left"/>
            </w:pPr>
            <w:r>
              <w:rPr>
                <w:rFonts w:ascii="Arial" w:hAnsi="Arial" w:eastAsia="等线" w:cs="Arial"/>
                <w:sz w:val="22"/>
              </w:rPr>
              <w:t>经过编制的一组股票价格的合集，通常被用作评价投资业绩的标杆</w:t>
            </w:r>
          </w:p>
        </w:tc>
      </w:tr>
      <w:tr w14:paraId="641B07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18F3A000">
            <w:pPr>
              <w:spacing w:before="120" w:after="120" w:line="288" w:lineRule="auto"/>
              <w:ind w:left="0"/>
              <w:jc w:val="left"/>
            </w:pPr>
            <w:r>
              <w:rPr>
                <w:rFonts w:ascii="Arial" w:hAnsi="Arial" w:eastAsia="等线" w:cs="Arial"/>
                <w:sz w:val="22"/>
              </w:rPr>
              <w:t>Stages of the business cycle：</w:t>
            </w:r>
          </w:p>
          <w:p w14:paraId="09AF03B4">
            <w:pPr>
              <w:numPr>
                <w:ilvl w:val="0"/>
                <w:numId w:val="179"/>
              </w:numPr>
              <w:spacing w:before="120" w:after="120" w:line="288" w:lineRule="auto"/>
              <w:ind w:left="0"/>
              <w:jc w:val="left"/>
            </w:pPr>
            <w:r>
              <w:rPr>
                <w:rFonts w:ascii="Arial" w:hAnsi="Arial" w:eastAsia="等线" w:cs="Arial"/>
                <w:sz w:val="22"/>
              </w:rPr>
              <w:t>Expansion</w:t>
            </w:r>
          </w:p>
          <w:p w14:paraId="37CA8BE5">
            <w:pPr>
              <w:numPr>
                <w:ilvl w:val="0"/>
                <w:numId w:val="180"/>
              </w:numPr>
              <w:spacing w:before="120" w:after="120" w:line="288" w:lineRule="auto"/>
              <w:ind w:left="0"/>
              <w:jc w:val="left"/>
            </w:pPr>
            <w:r>
              <w:rPr>
                <w:rFonts w:ascii="Arial" w:hAnsi="Arial" w:eastAsia="等线" w:cs="Arial"/>
                <w:sz w:val="22"/>
              </w:rPr>
              <w:t>Peak</w:t>
            </w:r>
          </w:p>
          <w:p w14:paraId="6F5A78E5">
            <w:pPr>
              <w:numPr>
                <w:ilvl w:val="0"/>
                <w:numId w:val="181"/>
              </w:numPr>
              <w:spacing w:before="120" w:after="120" w:line="288" w:lineRule="auto"/>
              <w:ind w:left="0"/>
              <w:jc w:val="left"/>
            </w:pPr>
            <w:r>
              <w:rPr>
                <w:rFonts w:ascii="Arial" w:hAnsi="Arial" w:eastAsia="等线" w:cs="Arial"/>
                <w:sz w:val="22"/>
              </w:rPr>
              <w:t>Contraction</w:t>
            </w:r>
          </w:p>
          <w:p w14:paraId="12F8ABB6">
            <w:pPr>
              <w:numPr>
                <w:ilvl w:val="0"/>
                <w:numId w:val="182"/>
              </w:numPr>
              <w:spacing w:before="120" w:after="120" w:line="288" w:lineRule="auto"/>
              <w:ind w:left="0"/>
              <w:jc w:val="left"/>
            </w:pPr>
            <w:r>
              <w:rPr>
                <w:rFonts w:ascii="Arial" w:hAnsi="Arial" w:eastAsia="等线" w:cs="Arial"/>
                <w:sz w:val="22"/>
              </w:rPr>
              <w:t>Trough</w:t>
            </w:r>
          </w:p>
        </w:tc>
        <w:tc>
          <w:tcPr>
            <w:tcW w:w="1890" w:type="dxa"/>
            <w:tcMar>
              <w:top w:w="60" w:type="dxa"/>
              <w:left w:w="120" w:type="dxa"/>
              <w:bottom w:w="30" w:type="dxa"/>
              <w:right w:w="120" w:type="dxa"/>
            </w:tcMar>
          </w:tcPr>
          <w:p w14:paraId="3B94C708">
            <w:pPr>
              <w:spacing w:before="120" w:after="120" w:line="288" w:lineRule="auto"/>
              <w:ind w:left="0"/>
              <w:jc w:val="left"/>
            </w:pPr>
            <w:r>
              <w:rPr>
                <w:rFonts w:ascii="Arial" w:hAnsi="Arial" w:eastAsia="等线" w:cs="Arial"/>
                <w:sz w:val="22"/>
              </w:rPr>
              <w:t>商业周期的各个阶段：</w:t>
            </w:r>
          </w:p>
          <w:p w14:paraId="778F6D87">
            <w:pPr>
              <w:numPr>
                <w:ilvl w:val="0"/>
                <w:numId w:val="183"/>
              </w:numPr>
              <w:spacing w:before="120" w:after="120" w:line="288" w:lineRule="auto"/>
              <w:ind w:left="0"/>
              <w:jc w:val="left"/>
            </w:pPr>
            <w:r>
              <w:rPr>
                <w:rFonts w:ascii="Arial" w:hAnsi="Arial" w:eastAsia="等线" w:cs="Arial"/>
                <w:sz w:val="22"/>
              </w:rPr>
              <w:t>扩张期</w:t>
            </w:r>
          </w:p>
          <w:p w14:paraId="74E20940">
            <w:pPr>
              <w:numPr>
                <w:ilvl w:val="0"/>
                <w:numId w:val="184"/>
              </w:numPr>
              <w:spacing w:before="120" w:after="120" w:line="288" w:lineRule="auto"/>
              <w:ind w:left="0"/>
              <w:jc w:val="left"/>
            </w:pPr>
            <w:r>
              <w:rPr>
                <w:rFonts w:ascii="Arial" w:hAnsi="Arial" w:eastAsia="等线" w:cs="Arial"/>
                <w:sz w:val="22"/>
              </w:rPr>
              <w:t>峰值</w:t>
            </w:r>
          </w:p>
          <w:p w14:paraId="3C521D2C">
            <w:pPr>
              <w:numPr>
                <w:ilvl w:val="0"/>
                <w:numId w:val="185"/>
              </w:numPr>
              <w:spacing w:before="120" w:after="120" w:line="288" w:lineRule="auto"/>
              <w:ind w:left="0"/>
              <w:jc w:val="left"/>
            </w:pPr>
            <w:r>
              <w:rPr>
                <w:rFonts w:ascii="Arial" w:hAnsi="Arial" w:eastAsia="等线" w:cs="Arial"/>
                <w:sz w:val="22"/>
              </w:rPr>
              <w:t>收缩期</w:t>
            </w:r>
          </w:p>
          <w:p w14:paraId="1A537B91">
            <w:pPr>
              <w:numPr>
                <w:ilvl w:val="0"/>
                <w:numId w:val="186"/>
              </w:numPr>
              <w:spacing w:before="120" w:after="120" w:line="288" w:lineRule="auto"/>
              <w:ind w:left="0"/>
              <w:jc w:val="left"/>
            </w:pPr>
            <w:r>
              <w:rPr>
                <w:rFonts w:ascii="Arial" w:hAnsi="Arial" w:eastAsia="等线" w:cs="Arial"/>
                <w:sz w:val="22"/>
              </w:rPr>
              <w:t>谷底</w:t>
            </w:r>
          </w:p>
          <w:p w14:paraId="303F767C">
            <w:pPr>
              <w:spacing w:before="120" w:after="120" w:line="288" w:lineRule="auto"/>
              <w:ind w:left="0"/>
              <w:jc w:val="left"/>
            </w:pPr>
          </w:p>
        </w:tc>
        <w:tc>
          <w:tcPr>
            <w:tcW w:w="3885" w:type="dxa"/>
            <w:tcMar>
              <w:top w:w="60" w:type="dxa"/>
              <w:left w:w="120" w:type="dxa"/>
              <w:bottom w:w="30" w:type="dxa"/>
              <w:right w:w="120" w:type="dxa"/>
            </w:tcMar>
          </w:tcPr>
          <w:p w14:paraId="2A405D05">
            <w:pPr>
              <w:spacing w:before="120" w:after="120" w:line="288" w:lineRule="auto"/>
              <w:ind w:left="0"/>
              <w:jc w:val="left"/>
            </w:pPr>
          </w:p>
        </w:tc>
      </w:tr>
      <w:tr w14:paraId="015693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22B83DF8">
            <w:pPr>
              <w:spacing w:before="120" w:after="120" w:line="288" w:lineRule="auto"/>
              <w:ind w:left="0"/>
              <w:jc w:val="left"/>
            </w:pPr>
            <w:r>
              <w:rPr>
                <w:rFonts w:ascii="Arial" w:hAnsi="Arial" w:eastAsia="等线" w:cs="Arial"/>
                <w:sz w:val="22"/>
              </w:rPr>
              <w:t>Bullish</w:t>
            </w:r>
          </w:p>
        </w:tc>
        <w:tc>
          <w:tcPr>
            <w:tcW w:w="1890" w:type="dxa"/>
            <w:tcMar>
              <w:top w:w="60" w:type="dxa"/>
              <w:left w:w="120" w:type="dxa"/>
              <w:bottom w:w="30" w:type="dxa"/>
              <w:right w:w="120" w:type="dxa"/>
            </w:tcMar>
          </w:tcPr>
          <w:p w14:paraId="1C46731D">
            <w:pPr>
              <w:spacing w:before="120" w:after="120" w:line="288" w:lineRule="auto"/>
              <w:ind w:left="0"/>
              <w:jc w:val="left"/>
            </w:pPr>
            <w:r>
              <w:rPr>
                <w:rFonts w:ascii="Arial" w:hAnsi="Arial" w:eastAsia="等线" w:cs="Arial"/>
                <w:sz w:val="22"/>
              </w:rPr>
              <w:t>看涨/看多</w:t>
            </w:r>
          </w:p>
        </w:tc>
        <w:tc>
          <w:tcPr>
            <w:tcW w:w="3885" w:type="dxa"/>
            <w:tcMar>
              <w:top w:w="60" w:type="dxa"/>
              <w:left w:w="120" w:type="dxa"/>
              <w:bottom w:w="30" w:type="dxa"/>
              <w:right w:w="120" w:type="dxa"/>
            </w:tcMar>
          </w:tcPr>
          <w:p w14:paraId="0D87F2CE">
            <w:pPr>
              <w:spacing w:before="120" w:after="120" w:line="288" w:lineRule="auto"/>
              <w:ind w:left="0"/>
              <w:jc w:val="left"/>
            </w:pPr>
            <w:r>
              <w:rPr>
                <w:rFonts w:ascii="Arial" w:hAnsi="Arial" w:eastAsia="等线" w:cs="Arial"/>
                <w:sz w:val="22"/>
              </w:rPr>
              <w:t>预期市场未来会变得更好</w:t>
            </w:r>
          </w:p>
        </w:tc>
      </w:tr>
      <w:tr w14:paraId="445BCE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05" w:type="dxa"/>
            <w:tcMar>
              <w:top w:w="60" w:type="dxa"/>
              <w:left w:w="120" w:type="dxa"/>
              <w:bottom w:w="30" w:type="dxa"/>
              <w:right w:w="120" w:type="dxa"/>
            </w:tcMar>
          </w:tcPr>
          <w:p w14:paraId="2EEAFFE6">
            <w:pPr>
              <w:spacing w:before="120" w:after="120" w:line="288" w:lineRule="auto"/>
              <w:ind w:left="0"/>
              <w:jc w:val="left"/>
            </w:pPr>
            <w:r>
              <w:rPr>
                <w:rFonts w:ascii="Arial" w:hAnsi="Arial" w:eastAsia="等线" w:cs="Arial"/>
                <w:sz w:val="22"/>
              </w:rPr>
              <w:t>bearish</w:t>
            </w:r>
          </w:p>
        </w:tc>
        <w:tc>
          <w:tcPr>
            <w:tcW w:w="1890" w:type="dxa"/>
            <w:tcMar>
              <w:top w:w="60" w:type="dxa"/>
              <w:left w:w="120" w:type="dxa"/>
              <w:bottom w:w="30" w:type="dxa"/>
              <w:right w:w="120" w:type="dxa"/>
            </w:tcMar>
          </w:tcPr>
          <w:p w14:paraId="74BC377D">
            <w:pPr>
              <w:spacing w:before="120" w:after="120" w:line="288" w:lineRule="auto"/>
              <w:ind w:left="0"/>
              <w:jc w:val="left"/>
            </w:pPr>
            <w:r>
              <w:rPr>
                <w:rFonts w:ascii="Arial" w:hAnsi="Arial" w:eastAsia="等线" w:cs="Arial"/>
                <w:sz w:val="22"/>
              </w:rPr>
              <w:t>看跌/看空</w:t>
            </w:r>
          </w:p>
        </w:tc>
        <w:tc>
          <w:tcPr>
            <w:tcW w:w="3885" w:type="dxa"/>
            <w:tcMar>
              <w:top w:w="60" w:type="dxa"/>
              <w:left w:w="120" w:type="dxa"/>
              <w:bottom w:w="30" w:type="dxa"/>
              <w:right w:w="120" w:type="dxa"/>
            </w:tcMar>
          </w:tcPr>
          <w:p w14:paraId="051EAD89">
            <w:pPr>
              <w:spacing w:before="120" w:after="120" w:line="288" w:lineRule="auto"/>
              <w:ind w:left="0"/>
              <w:jc w:val="left"/>
            </w:pPr>
            <w:r>
              <w:rPr>
                <w:rFonts w:ascii="Arial" w:hAnsi="Arial" w:eastAsia="等线" w:cs="Arial"/>
                <w:sz w:val="22"/>
              </w:rPr>
              <w:t>预期市场未来会变得更差</w:t>
            </w:r>
          </w:p>
        </w:tc>
      </w:tr>
    </w:tbl>
    <w:p w14:paraId="1155137F">
      <w:pPr>
        <w:spacing w:before="320" w:after="120" w:line="288" w:lineRule="auto"/>
        <w:ind w:left="0"/>
        <w:jc w:val="left"/>
        <w:outlineLvl w:val="1"/>
      </w:pPr>
      <w:bookmarkStart w:id="47" w:name="heading_47"/>
      <w:r>
        <w:rPr>
          <w:rFonts w:ascii="Arial" w:hAnsi="Arial" w:eastAsia="等线" w:cs="Arial"/>
          <w:color w:val="3370FF"/>
          <w:sz w:val="32"/>
        </w:rPr>
        <w:t xml:space="preserve">4.2 </w:t>
      </w:r>
      <w:r>
        <w:rPr>
          <w:rFonts w:ascii="Arial" w:hAnsi="Arial" w:eastAsia="等线" w:cs="Arial"/>
          <w:b/>
          <w:sz w:val="32"/>
        </w:rPr>
        <w:t>货币供应与货币政策</w:t>
      </w:r>
      <w:bookmarkEnd w:id="4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30"/>
        <w:gridCol w:w="2070"/>
        <w:gridCol w:w="3480"/>
      </w:tblGrid>
      <w:tr w14:paraId="194173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73BA91DA">
            <w:pPr>
              <w:spacing w:before="120" w:after="120" w:line="288" w:lineRule="auto"/>
              <w:ind w:left="0"/>
              <w:jc w:val="left"/>
            </w:pPr>
            <w:r>
              <w:rPr>
                <w:rFonts w:ascii="Arial" w:hAnsi="Arial" w:eastAsia="等线" w:cs="Arial"/>
                <w:b/>
                <w:sz w:val="22"/>
              </w:rPr>
              <w:t>英文术语</w:t>
            </w:r>
          </w:p>
        </w:tc>
        <w:tc>
          <w:tcPr>
            <w:tcW w:w="2070" w:type="dxa"/>
            <w:tcMar>
              <w:top w:w="60" w:type="dxa"/>
              <w:left w:w="120" w:type="dxa"/>
              <w:bottom w:w="30" w:type="dxa"/>
              <w:right w:w="120" w:type="dxa"/>
            </w:tcMar>
          </w:tcPr>
          <w:p w14:paraId="540BBC37">
            <w:pPr>
              <w:spacing w:before="120" w:after="120" w:line="288" w:lineRule="auto"/>
              <w:ind w:left="0"/>
              <w:jc w:val="left"/>
            </w:pPr>
            <w:r>
              <w:rPr>
                <w:rFonts w:ascii="Arial" w:hAnsi="Arial" w:eastAsia="等线" w:cs="Arial"/>
                <w:b/>
                <w:sz w:val="22"/>
              </w:rPr>
              <w:t>中文释义</w:t>
            </w:r>
          </w:p>
        </w:tc>
        <w:tc>
          <w:tcPr>
            <w:tcW w:w="3480" w:type="dxa"/>
            <w:tcMar>
              <w:top w:w="60" w:type="dxa"/>
              <w:left w:w="120" w:type="dxa"/>
              <w:bottom w:w="30" w:type="dxa"/>
              <w:right w:w="120" w:type="dxa"/>
            </w:tcMar>
          </w:tcPr>
          <w:p w14:paraId="386811FD">
            <w:pPr>
              <w:spacing w:before="120" w:after="120" w:line="288" w:lineRule="auto"/>
              <w:ind w:left="0"/>
              <w:jc w:val="left"/>
            </w:pPr>
            <w:r>
              <w:rPr>
                <w:rFonts w:ascii="Arial" w:hAnsi="Arial" w:eastAsia="等线" w:cs="Arial"/>
                <w:b/>
                <w:sz w:val="22"/>
              </w:rPr>
              <w:t>补充说明</w:t>
            </w:r>
          </w:p>
        </w:tc>
      </w:tr>
      <w:tr w14:paraId="1A0B88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1BB4E276">
            <w:pPr>
              <w:spacing w:before="120" w:after="120" w:line="288" w:lineRule="auto"/>
              <w:ind w:left="0"/>
              <w:jc w:val="left"/>
            </w:pPr>
            <w:r>
              <w:rPr>
                <w:rFonts w:ascii="Arial" w:hAnsi="Arial" w:eastAsia="等线" w:cs="Arial"/>
                <w:sz w:val="22"/>
              </w:rPr>
              <w:t>Money Supply</w:t>
            </w:r>
          </w:p>
        </w:tc>
        <w:tc>
          <w:tcPr>
            <w:tcW w:w="2070" w:type="dxa"/>
            <w:tcMar>
              <w:top w:w="60" w:type="dxa"/>
              <w:left w:w="120" w:type="dxa"/>
              <w:bottom w:w="30" w:type="dxa"/>
              <w:right w:w="120" w:type="dxa"/>
            </w:tcMar>
          </w:tcPr>
          <w:p w14:paraId="1D414DE9">
            <w:pPr>
              <w:spacing w:before="120" w:after="120" w:line="288" w:lineRule="auto"/>
              <w:ind w:left="0"/>
              <w:jc w:val="left"/>
            </w:pPr>
            <w:r>
              <w:rPr>
                <w:rFonts w:ascii="Arial" w:hAnsi="Arial" w:eastAsia="等线" w:cs="Arial"/>
                <w:sz w:val="22"/>
              </w:rPr>
              <w:t>货币供应</w:t>
            </w:r>
          </w:p>
        </w:tc>
        <w:tc>
          <w:tcPr>
            <w:tcW w:w="3480" w:type="dxa"/>
            <w:tcMar>
              <w:top w:w="60" w:type="dxa"/>
              <w:left w:w="120" w:type="dxa"/>
              <w:bottom w:w="30" w:type="dxa"/>
              <w:right w:w="120" w:type="dxa"/>
            </w:tcMar>
          </w:tcPr>
          <w:p w14:paraId="5C8E33B2">
            <w:pPr>
              <w:spacing w:before="120" w:after="120" w:line="288" w:lineRule="auto"/>
              <w:ind w:left="0"/>
              <w:jc w:val="left"/>
            </w:pPr>
            <w:r>
              <w:rPr>
                <w:rFonts w:ascii="Arial" w:hAnsi="Arial" w:eastAsia="等线" w:cs="Arial"/>
                <w:sz w:val="22"/>
              </w:rPr>
              <w:t>在市场中流通的货币量</w:t>
            </w:r>
          </w:p>
        </w:tc>
      </w:tr>
      <w:tr w14:paraId="364A25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7CE3C995">
            <w:pPr>
              <w:spacing w:before="120" w:after="120" w:line="288" w:lineRule="auto"/>
              <w:ind w:left="0"/>
              <w:jc w:val="left"/>
            </w:pPr>
            <w:r>
              <w:rPr>
                <w:rFonts w:ascii="Arial" w:hAnsi="Arial" w:eastAsia="等线" w:cs="Arial"/>
                <w:sz w:val="22"/>
              </w:rPr>
              <w:t>Monetary Policy</w:t>
            </w:r>
          </w:p>
        </w:tc>
        <w:tc>
          <w:tcPr>
            <w:tcW w:w="2070" w:type="dxa"/>
            <w:tcMar>
              <w:top w:w="60" w:type="dxa"/>
              <w:left w:w="120" w:type="dxa"/>
              <w:bottom w:w="30" w:type="dxa"/>
              <w:right w:w="120" w:type="dxa"/>
            </w:tcMar>
          </w:tcPr>
          <w:p w14:paraId="2FADD6C2">
            <w:pPr>
              <w:spacing w:before="120" w:after="120" w:line="288" w:lineRule="auto"/>
              <w:ind w:left="0"/>
              <w:jc w:val="left"/>
            </w:pPr>
            <w:r>
              <w:rPr>
                <w:rFonts w:ascii="Arial" w:hAnsi="Arial" w:eastAsia="等线" w:cs="Arial"/>
                <w:sz w:val="22"/>
              </w:rPr>
              <w:t>货币政策</w:t>
            </w:r>
          </w:p>
        </w:tc>
        <w:tc>
          <w:tcPr>
            <w:tcW w:w="3480" w:type="dxa"/>
            <w:tcMar>
              <w:top w:w="60" w:type="dxa"/>
              <w:left w:w="120" w:type="dxa"/>
              <w:bottom w:w="30" w:type="dxa"/>
              <w:right w:w="120" w:type="dxa"/>
            </w:tcMar>
          </w:tcPr>
          <w:p w14:paraId="7061902C">
            <w:pPr>
              <w:spacing w:before="120" w:after="120" w:line="288" w:lineRule="auto"/>
              <w:ind w:left="0"/>
              <w:jc w:val="left"/>
            </w:pPr>
            <w:r>
              <w:rPr>
                <w:rFonts w:ascii="Arial" w:hAnsi="Arial" w:eastAsia="等线" w:cs="Arial"/>
                <w:sz w:val="22"/>
              </w:rPr>
              <w:t>央行控制经济的手段</w:t>
            </w:r>
          </w:p>
        </w:tc>
      </w:tr>
      <w:tr w14:paraId="399F39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1C04D120">
            <w:pPr>
              <w:spacing w:before="120" w:after="120" w:line="288" w:lineRule="auto"/>
              <w:ind w:left="0"/>
              <w:jc w:val="left"/>
            </w:pPr>
            <w:r>
              <w:rPr>
                <w:rFonts w:ascii="Arial" w:hAnsi="Arial" w:eastAsia="等线" w:cs="Arial"/>
                <w:sz w:val="22"/>
              </w:rPr>
              <w:t>Fiscal Policy</w:t>
            </w:r>
          </w:p>
        </w:tc>
        <w:tc>
          <w:tcPr>
            <w:tcW w:w="2070" w:type="dxa"/>
            <w:tcMar>
              <w:top w:w="60" w:type="dxa"/>
              <w:left w:w="120" w:type="dxa"/>
              <w:bottom w:w="30" w:type="dxa"/>
              <w:right w:w="120" w:type="dxa"/>
            </w:tcMar>
          </w:tcPr>
          <w:p w14:paraId="1BF8DE3F">
            <w:pPr>
              <w:spacing w:before="120" w:after="120" w:line="288" w:lineRule="auto"/>
              <w:ind w:left="0"/>
              <w:jc w:val="left"/>
            </w:pPr>
            <w:r>
              <w:rPr>
                <w:rFonts w:ascii="Arial" w:hAnsi="Arial" w:eastAsia="等线" w:cs="Arial"/>
                <w:sz w:val="22"/>
              </w:rPr>
              <w:t>财政政策</w:t>
            </w:r>
          </w:p>
        </w:tc>
        <w:tc>
          <w:tcPr>
            <w:tcW w:w="3480" w:type="dxa"/>
            <w:tcMar>
              <w:top w:w="60" w:type="dxa"/>
              <w:left w:w="120" w:type="dxa"/>
              <w:bottom w:w="30" w:type="dxa"/>
              <w:right w:w="120" w:type="dxa"/>
            </w:tcMar>
          </w:tcPr>
          <w:p w14:paraId="1C5169D0">
            <w:pPr>
              <w:spacing w:before="120" w:after="120" w:line="288" w:lineRule="auto"/>
              <w:ind w:left="0"/>
              <w:jc w:val="left"/>
            </w:pPr>
            <w:r>
              <w:rPr>
                <w:rFonts w:ascii="Arial" w:hAnsi="Arial" w:eastAsia="等线" w:cs="Arial"/>
                <w:sz w:val="22"/>
              </w:rPr>
              <w:t>政府刺激经济的手段</w:t>
            </w:r>
          </w:p>
        </w:tc>
      </w:tr>
      <w:tr w14:paraId="6655A7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4DD050BB">
            <w:pPr>
              <w:numPr>
                <w:ilvl w:val="0"/>
                <w:numId w:val="187"/>
              </w:numPr>
              <w:spacing w:before="120" w:after="120" w:line="288" w:lineRule="auto"/>
              <w:ind w:left="0"/>
              <w:jc w:val="left"/>
            </w:pPr>
            <w:r>
              <w:rPr>
                <w:rFonts w:ascii="Arial" w:hAnsi="Arial" w:eastAsia="等线" w:cs="Arial"/>
                <w:sz w:val="22"/>
              </w:rPr>
              <w:t>The Federal Reserve Board</w:t>
            </w:r>
          </w:p>
          <w:p w14:paraId="51F39B15">
            <w:pPr>
              <w:numPr>
                <w:ilvl w:val="0"/>
                <w:numId w:val="188"/>
              </w:numPr>
              <w:spacing w:before="120" w:after="120" w:line="288" w:lineRule="auto"/>
              <w:ind w:left="0"/>
              <w:jc w:val="left"/>
            </w:pPr>
            <w:r>
              <w:rPr>
                <w:rFonts w:ascii="Arial" w:hAnsi="Arial" w:eastAsia="等线" w:cs="Arial"/>
                <w:sz w:val="22"/>
              </w:rPr>
              <w:t>Fed</w:t>
            </w:r>
          </w:p>
          <w:p w14:paraId="3EFEB140">
            <w:pPr>
              <w:numPr>
                <w:ilvl w:val="0"/>
                <w:numId w:val="189"/>
              </w:numPr>
              <w:spacing w:before="120" w:after="120" w:line="288" w:lineRule="auto"/>
              <w:ind w:left="0"/>
              <w:jc w:val="left"/>
            </w:pPr>
            <w:r>
              <w:rPr>
                <w:rFonts w:ascii="Arial" w:hAnsi="Arial" w:eastAsia="等线" w:cs="Arial"/>
                <w:sz w:val="22"/>
              </w:rPr>
              <w:t>FRB</w:t>
            </w:r>
          </w:p>
        </w:tc>
        <w:tc>
          <w:tcPr>
            <w:tcW w:w="2070" w:type="dxa"/>
            <w:tcMar>
              <w:top w:w="60" w:type="dxa"/>
              <w:left w:w="120" w:type="dxa"/>
              <w:bottom w:w="30" w:type="dxa"/>
              <w:right w:w="120" w:type="dxa"/>
            </w:tcMar>
          </w:tcPr>
          <w:p w14:paraId="389C89E5">
            <w:pPr>
              <w:spacing w:before="120" w:after="120" w:line="288" w:lineRule="auto"/>
              <w:ind w:left="0"/>
              <w:jc w:val="left"/>
            </w:pPr>
            <w:r>
              <w:rPr>
                <w:rFonts w:ascii="Arial" w:hAnsi="Arial" w:eastAsia="等线" w:cs="Arial"/>
                <w:sz w:val="22"/>
              </w:rPr>
              <w:t>美联储</w:t>
            </w:r>
          </w:p>
        </w:tc>
        <w:tc>
          <w:tcPr>
            <w:tcW w:w="3480" w:type="dxa"/>
            <w:tcMar>
              <w:top w:w="60" w:type="dxa"/>
              <w:left w:w="120" w:type="dxa"/>
              <w:bottom w:w="30" w:type="dxa"/>
              <w:right w:w="120" w:type="dxa"/>
            </w:tcMar>
          </w:tcPr>
          <w:p w14:paraId="714697BD">
            <w:pPr>
              <w:spacing w:before="120" w:after="120" w:line="288" w:lineRule="auto"/>
              <w:ind w:left="0"/>
              <w:jc w:val="left"/>
            </w:pPr>
            <w:r>
              <w:rPr>
                <w:rFonts w:ascii="Arial" w:hAnsi="Arial" w:eastAsia="等线" w:cs="Arial"/>
                <w:sz w:val="22"/>
              </w:rPr>
              <w:t>美国的中央银行</w:t>
            </w:r>
          </w:p>
        </w:tc>
      </w:tr>
      <w:tr w14:paraId="569612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71B86ED9">
            <w:pPr>
              <w:spacing w:before="120" w:after="120" w:line="288" w:lineRule="auto"/>
              <w:ind w:left="0"/>
              <w:jc w:val="left"/>
            </w:pPr>
            <w:r>
              <w:rPr>
                <w:rFonts w:ascii="Arial" w:hAnsi="Arial" w:eastAsia="等线" w:cs="Arial"/>
                <w:sz w:val="22"/>
              </w:rPr>
              <w:t>Easing</w:t>
            </w:r>
          </w:p>
        </w:tc>
        <w:tc>
          <w:tcPr>
            <w:tcW w:w="2070" w:type="dxa"/>
            <w:tcMar>
              <w:top w:w="60" w:type="dxa"/>
              <w:left w:w="120" w:type="dxa"/>
              <w:bottom w:w="30" w:type="dxa"/>
              <w:right w:w="120" w:type="dxa"/>
            </w:tcMar>
          </w:tcPr>
          <w:p w14:paraId="35083A2F">
            <w:pPr>
              <w:spacing w:before="120" w:after="120" w:line="288" w:lineRule="auto"/>
              <w:ind w:left="0"/>
              <w:jc w:val="left"/>
            </w:pPr>
            <w:r>
              <w:rPr>
                <w:rFonts w:ascii="Arial" w:hAnsi="Arial" w:eastAsia="等线" w:cs="Arial"/>
                <w:sz w:val="22"/>
              </w:rPr>
              <w:t>宽松</w:t>
            </w:r>
          </w:p>
        </w:tc>
        <w:tc>
          <w:tcPr>
            <w:tcW w:w="3480" w:type="dxa"/>
            <w:tcMar>
              <w:top w:w="60" w:type="dxa"/>
              <w:left w:w="120" w:type="dxa"/>
              <w:bottom w:w="30" w:type="dxa"/>
              <w:right w:w="120" w:type="dxa"/>
            </w:tcMar>
          </w:tcPr>
          <w:p w14:paraId="0FC34725">
            <w:pPr>
              <w:spacing w:before="120" w:after="120" w:line="288" w:lineRule="auto"/>
              <w:ind w:left="0"/>
              <w:jc w:val="left"/>
            </w:pPr>
            <w:r>
              <w:rPr>
                <w:rFonts w:ascii="Arial" w:hAnsi="Arial" w:eastAsia="等线" w:cs="Arial"/>
                <w:sz w:val="22"/>
              </w:rPr>
              <w:t>刺激经济增长的货币政策</w:t>
            </w:r>
          </w:p>
        </w:tc>
      </w:tr>
      <w:tr w14:paraId="2F8420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6A8DBC8F">
            <w:pPr>
              <w:spacing w:before="120" w:after="120" w:line="288" w:lineRule="auto"/>
              <w:ind w:left="0"/>
              <w:jc w:val="left"/>
            </w:pPr>
            <w:r>
              <w:rPr>
                <w:rFonts w:ascii="Arial" w:hAnsi="Arial" w:eastAsia="等线" w:cs="Arial"/>
                <w:sz w:val="22"/>
              </w:rPr>
              <w:t>Tightening</w:t>
            </w:r>
          </w:p>
        </w:tc>
        <w:tc>
          <w:tcPr>
            <w:tcW w:w="2070" w:type="dxa"/>
            <w:tcMar>
              <w:top w:w="60" w:type="dxa"/>
              <w:left w:w="120" w:type="dxa"/>
              <w:bottom w:w="30" w:type="dxa"/>
              <w:right w:w="120" w:type="dxa"/>
            </w:tcMar>
          </w:tcPr>
          <w:p w14:paraId="7FFFB968">
            <w:pPr>
              <w:spacing w:before="120" w:after="120" w:line="288" w:lineRule="auto"/>
              <w:ind w:left="0"/>
              <w:jc w:val="left"/>
            </w:pPr>
            <w:r>
              <w:rPr>
                <w:rFonts w:ascii="Arial" w:hAnsi="Arial" w:eastAsia="等线" w:cs="Arial"/>
                <w:sz w:val="22"/>
              </w:rPr>
              <w:t>收紧</w:t>
            </w:r>
          </w:p>
        </w:tc>
        <w:tc>
          <w:tcPr>
            <w:tcW w:w="3480" w:type="dxa"/>
            <w:tcMar>
              <w:top w:w="60" w:type="dxa"/>
              <w:left w:w="120" w:type="dxa"/>
              <w:bottom w:w="30" w:type="dxa"/>
              <w:right w:w="120" w:type="dxa"/>
            </w:tcMar>
          </w:tcPr>
          <w:p w14:paraId="0F6F0A1A">
            <w:pPr>
              <w:spacing w:before="120" w:after="120" w:line="288" w:lineRule="auto"/>
              <w:ind w:left="0"/>
              <w:jc w:val="left"/>
            </w:pPr>
            <w:r>
              <w:rPr>
                <w:rFonts w:ascii="Arial" w:hAnsi="Arial" w:eastAsia="等线" w:cs="Arial"/>
                <w:sz w:val="22"/>
              </w:rPr>
              <w:t>控制经济增长的货币政策</w:t>
            </w:r>
          </w:p>
        </w:tc>
      </w:tr>
      <w:tr w14:paraId="6FCC0B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6AD128F7">
            <w:pPr>
              <w:spacing w:before="120" w:after="120" w:line="288" w:lineRule="auto"/>
              <w:ind w:left="0"/>
              <w:jc w:val="left"/>
            </w:pPr>
            <w:r>
              <w:rPr>
                <w:rFonts w:ascii="Arial" w:hAnsi="Arial" w:eastAsia="等线" w:cs="Arial"/>
                <w:sz w:val="22"/>
              </w:rPr>
              <w:t>Inflation</w:t>
            </w:r>
          </w:p>
        </w:tc>
        <w:tc>
          <w:tcPr>
            <w:tcW w:w="2070" w:type="dxa"/>
            <w:tcMar>
              <w:top w:w="60" w:type="dxa"/>
              <w:left w:w="120" w:type="dxa"/>
              <w:bottom w:w="30" w:type="dxa"/>
              <w:right w:w="120" w:type="dxa"/>
            </w:tcMar>
          </w:tcPr>
          <w:p w14:paraId="1CDDCDD3">
            <w:pPr>
              <w:spacing w:before="120" w:after="120" w:line="288" w:lineRule="auto"/>
              <w:ind w:left="0"/>
              <w:jc w:val="left"/>
            </w:pPr>
            <w:r>
              <w:rPr>
                <w:rFonts w:ascii="Arial" w:hAnsi="Arial" w:eastAsia="等线" w:cs="Arial"/>
                <w:sz w:val="22"/>
              </w:rPr>
              <w:t>通货膨胀</w:t>
            </w:r>
          </w:p>
        </w:tc>
        <w:tc>
          <w:tcPr>
            <w:tcW w:w="3480" w:type="dxa"/>
            <w:tcMar>
              <w:top w:w="60" w:type="dxa"/>
              <w:left w:w="120" w:type="dxa"/>
              <w:bottom w:w="30" w:type="dxa"/>
              <w:right w:w="120" w:type="dxa"/>
            </w:tcMar>
          </w:tcPr>
          <w:p w14:paraId="4F3CEA2C">
            <w:pPr>
              <w:spacing w:before="120" w:after="120" w:line="288" w:lineRule="auto"/>
              <w:ind w:left="0"/>
              <w:jc w:val="left"/>
            </w:pPr>
            <w:r>
              <w:rPr>
                <w:rFonts w:ascii="Arial" w:hAnsi="Arial" w:eastAsia="等线" w:cs="Arial"/>
                <w:sz w:val="22"/>
              </w:rPr>
              <w:t>物品价格上涨</w:t>
            </w:r>
          </w:p>
        </w:tc>
      </w:tr>
      <w:tr w14:paraId="67C779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1DBB5A45">
            <w:pPr>
              <w:spacing w:before="120" w:after="120" w:line="288" w:lineRule="auto"/>
              <w:ind w:left="0"/>
              <w:jc w:val="left"/>
            </w:pPr>
            <w:r>
              <w:rPr>
                <w:rFonts w:ascii="Arial" w:hAnsi="Arial" w:eastAsia="等线" w:cs="Arial"/>
                <w:sz w:val="22"/>
              </w:rPr>
              <w:t>Currency Exchange Rate</w:t>
            </w:r>
          </w:p>
        </w:tc>
        <w:tc>
          <w:tcPr>
            <w:tcW w:w="2070" w:type="dxa"/>
            <w:tcMar>
              <w:top w:w="60" w:type="dxa"/>
              <w:left w:w="120" w:type="dxa"/>
              <w:bottom w:w="30" w:type="dxa"/>
              <w:right w:w="120" w:type="dxa"/>
            </w:tcMar>
          </w:tcPr>
          <w:p w14:paraId="5F3F5B74">
            <w:pPr>
              <w:spacing w:before="120" w:after="120" w:line="288" w:lineRule="auto"/>
              <w:ind w:left="0"/>
              <w:jc w:val="left"/>
            </w:pPr>
            <w:r>
              <w:rPr>
                <w:rFonts w:ascii="Arial" w:hAnsi="Arial" w:eastAsia="等线" w:cs="Arial"/>
                <w:sz w:val="22"/>
              </w:rPr>
              <w:t>汇率</w:t>
            </w:r>
          </w:p>
        </w:tc>
        <w:tc>
          <w:tcPr>
            <w:tcW w:w="3480" w:type="dxa"/>
            <w:tcMar>
              <w:top w:w="60" w:type="dxa"/>
              <w:left w:w="120" w:type="dxa"/>
              <w:bottom w:w="30" w:type="dxa"/>
              <w:right w:w="120" w:type="dxa"/>
            </w:tcMar>
          </w:tcPr>
          <w:p w14:paraId="4F675B05">
            <w:pPr>
              <w:spacing w:before="120" w:after="120" w:line="288" w:lineRule="auto"/>
              <w:ind w:left="0"/>
              <w:jc w:val="left"/>
            </w:pPr>
            <w:r>
              <w:rPr>
                <w:rFonts w:ascii="Arial" w:hAnsi="Arial" w:eastAsia="等线" w:cs="Arial"/>
                <w:sz w:val="22"/>
              </w:rPr>
              <w:t>一种货币兑换成外币的比率</w:t>
            </w:r>
          </w:p>
        </w:tc>
      </w:tr>
      <w:tr w14:paraId="2B787E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3D9B1E5D">
            <w:pPr>
              <w:spacing w:before="120" w:after="120" w:line="288" w:lineRule="auto"/>
              <w:ind w:left="0"/>
              <w:jc w:val="left"/>
            </w:pPr>
            <w:r>
              <w:rPr>
                <w:rFonts w:ascii="Arial" w:hAnsi="Arial" w:eastAsia="等线" w:cs="Arial"/>
                <w:sz w:val="22"/>
              </w:rPr>
              <w:t>The discount rate</w:t>
            </w:r>
          </w:p>
        </w:tc>
        <w:tc>
          <w:tcPr>
            <w:tcW w:w="2070" w:type="dxa"/>
            <w:tcMar>
              <w:top w:w="60" w:type="dxa"/>
              <w:left w:w="120" w:type="dxa"/>
              <w:bottom w:w="30" w:type="dxa"/>
              <w:right w:w="120" w:type="dxa"/>
            </w:tcMar>
          </w:tcPr>
          <w:p w14:paraId="6FDFEC19">
            <w:pPr>
              <w:spacing w:before="120" w:after="120" w:line="288" w:lineRule="auto"/>
              <w:ind w:left="0"/>
              <w:jc w:val="left"/>
            </w:pPr>
            <w:r>
              <w:rPr>
                <w:rFonts w:ascii="Arial" w:hAnsi="Arial" w:eastAsia="等线" w:cs="Arial"/>
                <w:sz w:val="22"/>
              </w:rPr>
              <w:t>贴现率</w:t>
            </w:r>
          </w:p>
        </w:tc>
        <w:tc>
          <w:tcPr>
            <w:tcW w:w="3480" w:type="dxa"/>
            <w:tcMar>
              <w:top w:w="60" w:type="dxa"/>
              <w:left w:w="120" w:type="dxa"/>
              <w:bottom w:w="30" w:type="dxa"/>
              <w:right w:w="120" w:type="dxa"/>
            </w:tcMar>
          </w:tcPr>
          <w:p w14:paraId="57B96473">
            <w:pPr>
              <w:spacing w:before="120" w:after="120" w:line="288" w:lineRule="auto"/>
              <w:ind w:left="0"/>
              <w:jc w:val="left"/>
            </w:pPr>
            <w:r>
              <w:rPr>
                <w:rFonts w:ascii="Arial" w:hAnsi="Arial" w:eastAsia="等线" w:cs="Arial"/>
                <w:sz w:val="22"/>
              </w:rPr>
              <w:t>央行向成员银行收取的贷款利率</w:t>
            </w:r>
          </w:p>
        </w:tc>
      </w:tr>
      <w:tr w14:paraId="5D336B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1768A61E">
            <w:pPr>
              <w:spacing w:before="120" w:after="120" w:line="288" w:lineRule="auto"/>
              <w:ind w:left="0"/>
              <w:jc w:val="left"/>
            </w:pPr>
            <w:r>
              <w:rPr>
                <w:rFonts w:ascii="Arial" w:hAnsi="Arial" w:eastAsia="等线" w:cs="Arial"/>
                <w:sz w:val="22"/>
              </w:rPr>
              <w:t>Reserve requirement</w:t>
            </w:r>
          </w:p>
        </w:tc>
        <w:tc>
          <w:tcPr>
            <w:tcW w:w="2070" w:type="dxa"/>
            <w:tcMar>
              <w:top w:w="60" w:type="dxa"/>
              <w:left w:w="120" w:type="dxa"/>
              <w:bottom w:w="30" w:type="dxa"/>
              <w:right w:w="120" w:type="dxa"/>
            </w:tcMar>
          </w:tcPr>
          <w:p w14:paraId="65365133">
            <w:pPr>
              <w:spacing w:before="120" w:after="120" w:line="288" w:lineRule="auto"/>
              <w:ind w:left="0"/>
              <w:jc w:val="left"/>
            </w:pPr>
            <w:r>
              <w:rPr>
                <w:rFonts w:ascii="Arial" w:hAnsi="Arial" w:eastAsia="等线" w:cs="Arial"/>
                <w:sz w:val="22"/>
              </w:rPr>
              <w:t>准备金要求</w:t>
            </w:r>
          </w:p>
        </w:tc>
        <w:tc>
          <w:tcPr>
            <w:tcW w:w="3480" w:type="dxa"/>
            <w:tcMar>
              <w:top w:w="60" w:type="dxa"/>
              <w:left w:w="120" w:type="dxa"/>
              <w:bottom w:w="30" w:type="dxa"/>
              <w:right w:w="120" w:type="dxa"/>
            </w:tcMar>
          </w:tcPr>
          <w:p w14:paraId="00816FA8">
            <w:pPr>
              <w:spacing w:before="120" w:after="120" w:line="288" w:lineRule="auto"/>
              <w:ind w:left="0"/>
              <w:jc w:val="left"/>
            </w:pPr>
            <w:r>
              <w:rPr>
                <w:rFonts w:ascii="Arial" w:hAnsi="Arial" w:eastAsia="等线" w:cs="Arial"/>
                <w:sz w:val="22"/>
              </w:rPr>
              <w:t>指银行必须以现金形式存入客户资金的百分比</w:t>
            </w:r>
          </w:p>
        </w:tc>
      </w:tr>
      <w:tr w14:paraId="59D117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48EF5F96">
            <w:pPr>
              <w:spacing w:before="120" w:after="120" w:line="288" w:lineRule="auto"/>
              <w:ind w:left="0"/>
              <w:jc w:val="left"/>
            </w:pPr>
            <w:r>
              <w:rPr>
                <w:rFonts w:ascii="Arial" w:hAnsi="Arial" w:eastAsia="等线" w:cs="Arial"/>
                <w:sz w:val="22"/>
              </w:rPr>
              <w:t>balance of payments</w:t>
            </w:r>
          </w:p>
        </w:tc>
        <w:tc>
          <w:tcPr>
            <w:tcW w:w="2070" w:type="dxa"/>
            <w:tcMar>
              <w:top w:w="60" w:type="dxa"/>
              <w:left w:w="120" w:type="dxa"/>
              <w:bottom w:w="30" w:type="dxa"/>
              <w:right w:w="120" w:type="dxa"/>
            </w:tcMar>
          </w:tcPr>
          <w:p w14:paraId="6EF4B6A5">
            <w:pPr>
              <w:spacing w:before="120" w:after="120" w:line="288" w:lineRule="auto"/>
              <w:ind w:left="0"/>
              <w:jc w:val="left"/>
            </w:pPr>
            <w:r>
              <w:rPr>
                <w:rFonts w:ascii="Arial" w:hAnsi="Arial" w:eastAsia="等线" w:cs="Arial"/>
                <w:sz w:val="22"/>
              </w:rPr>
              <w:t>国际收支平衡表</w:t>
            </w:r>
          </w:p>
        </w:tc>
        <w:tc>
          <w:tcPr>
            <w:tcW w:w="3480" w:type="dxa"/>
            <w:tcMar>
              <w:top w:w="60" w:type="dxa"/>
              <w:left w:w="120" w:type="dxa"/>
              <w:bottom w:w="30" w:type="dxa"/>
              <w:right w:w="120" w:type="dxa"/>
            </w:tcMar>
          </w:tcPr>
          <w:p w14:paraId="68C36C16">
            <w:pPr>
              <w:spacing w:before="120" w:after="120" w:line="288" w:lineRule="auto"/>
              <w:ind w:left="0"/>
              <w:jc w:val="left"/>
            </w:pPr>
            <w:r>
              <w:rPr>
                <w:rFonts w:ascii="Arial" w:hAnsi="Arial" w:eastAsia="等线" w:cs="Arial"/>
                <w:sz w:val="22"/>
              </w:rPr>
              <w:t>一国在特定时期内与世界各国经济交易的核算。</w:t>
            </w:r>
          </w:p>
        </w:tc>
      </w:tr>
    </w:tbl>
    <w:p w14:paraId="5306975A">
      <w:pPr>
        <w:spacing w:before="320" w:after="120" w:line="288" w:lineRule="auto"/>
        <w:ind w:left="0"/>
        <w:jc w:val="left"/>
        <w:outlineLvl w:val="1"/>
      </w:pPr>
      <w:bookmarkStart w:id="48" w:name="heading_48"/>
      <w:r>
        <w:rPr>
          <w:rFonts w:ascii="Arial" w:hAnsi="Arial" w:eastAsia="等线" w:cs="Arial"/>
          <w:color w:val="3370FF"/>
          <w:sz w:val="32"/>
        </w:rPr>
        <w:t xml:space="preserve">4.3 </w:t>
      </w:r>
      <w:r>
        <w:rPr>
          <w:rFonts w:ascii="Arial" w:hAnsi="Arial" w:eastAsia="等线" w:cs="Arial"/>
          <w:b/>
          <w:sz w:val="32"/>
        </w:rPr>
        <w:t>经济指标、经济因素、经济理论的核心术语</w:t>
      </w:r>
      <w:bookmarkEnd w:id="4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30"/>
        <w:gridCol w:w="2070"/>
        <w:gridCol w:w="3480"/>
      </w:tblGrid>
      <w:tr w14:paraId="19395A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6F899733">
            <w:pPr>
              <w:spacing w:before="120" w:after="120" w:line="288" w:lineRule="auto"/>
              <w:ind w:left="0"/>
              <w:jc w:val="left"/>
            </w:pPr>
            <w:r>
              <w:rPr>
                <w:rFonts w:ascii="Arial" w:hAnsi="Arial" w:eastAsia="等线" w:cs="Arial"/>
                <w:b/>
                <w:sz w:val="22"/>
              </w:rPr>
              <w:t>英文术语</w:t>
            </w:r>
          </w:p>
        </w:tc>
        <w:tc>
          <w:tcPr>
            <w:tcW w:w="2070" w:type="dxa"/>
            <w:tcMar>
              <w:top w:w="60" w:type="dxa"/>
              <w:left w:w="120" w:type="dxa"/>
              <w:bottom w:w="30" w:type="dxa"/>
              <w:right w:w="120" w:type="dxa"/>
            </w:tcMar>
          </w:tcPr>
          <w:p w14:paraId="13A830BD">
            <w:pPr>
              <w:spacing w:before="120" w:after="120" w:line="288" w:lineRule="auto"/>
              <w:ind w:left="0"/>
              <w:jc w:val="left"/>
            </w:pPr>
            <w:r>
              <w:rPr>
                <w:rFonts w:ascii="Arial" w:hAnsi="Arial" w:eastAsia="等线" w:cs="Arial"/>
                <w:b/>
                <w:sz w:val="22"/>
              </w:rPr>
              <w:t>中文释义</w:t>
            </w:r>
          </w:p>
        </w:tc>
        <w:tc>
          <w:tcPr>
            <w:tcW w:w="3480" w:type="dxa"/>
            <w:tcMar>
              <w:top w:w="60" w:type="dxa"/>
              <w:left w:w="120" w:type="dxa"/>
              <w:bottom w:w="30" w:type="dxa"/>
              <w:right w:w="120" w:type="dxa"/>
            </w:tcMar>
          </w:tcPr>
          <w:p w14:paraId="3D977852">
            <w:pPr>
              <w:spacing w:before="120" w:after="120" w:line="288" w:lineRule="auto"/>
              <w:ind w:left="0"/>
              <w:jc w:val="left"/>
            </w:pPr>
            <w:r>
              <w:rPr>
                <w:rFonts w:ascii="Arial" w:hAnsi="Arial" w:eastAsia="等线" w:cs="Arial"/>
                <w:b/>
                <w:sz w:val="22"/>
              </w:rPr>
              <w:t>补充说明</w:t>
            </w:r>
          </w:p>
        </w:tc>
      </w:tr>
      <w:tr w14:paraId="2B354E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12E13B74">
            <w:pPr>
              <w:spacing w:before="120" w:after="120" w:line="288" w:lineRule="auto"/>
              <w:ind w:left="0"/>
              <w:jc w:val="left"/>
            </w:pPr>
            <w:r>
              <w:rPr>
                <w:rFonts w:ascii="Arial" w:hAnsi="Arial" w:eastAsia="等线" w:cs="Arial"/>
                <w:sz w:val="22"/>
              </w:rPr>
              <w:t>Economic Indicators</w:t>
            </w:r>
          </w:p>
        </w:tc>
        <w:tc>
          <w:tcPr>
            <w:tcW w:w="2070" w:type="dxa"/>
            <w:tcMar>
              <w:top w:w="60" w:type="dxa"/>
              <w:left w:w="120" w:type="dxa"/>
              <w:bottom w:w="30" w:type="dxa"/>
              <w:right w:w="120" w:type="dxa"/>
            </w:tcMar>
          </w:tcPr>
          <w:p w14:paraId="724C5CCF">
            <w:pPr>
              <w:spacing w:before="120" w:after="120" w:line="288" w:lineRule="auto"/>
              <w:ind w:left="0"/>
              <w:jc w:val="left"/>
            </w:pPr>
            <w:r>
              <w:rPr>
                <w:rFonts w:ascii="Arial" w:hAnsi="Arial" w:eastAsia="等线" w:cs="Arial"/>
                <w:sz w:val="22"/>
              </w:rPr>
              <w:t>经济指标</w:t>
            </w:r>
          </w:p>
        </w:tc>
        <w:tc>
          <w:tcPr>
            <w:tcW w:w="3480" w:type="dxa"/>
            <w:tcMar>
              <w:top w:w="60" w:type="dxa"/>
              <w:left w:w="120" w:type="dxa"/>
              <w:bottom w:w="30" w:type="dxa"/>
              <w:right w:w="120" w:type="dxa"/>
            </w:tcMar>
          </w:tcPr>
          <w:p w14:paraId="5F7A7D14">
            <w:pPr>
              <w:spacing w:before="120" w:after="120" w:line="288" w:lineRule="auto"/>
              <w:ind w:left="0"/>
              <w:jc w:val="left"/>
            </w:pPr>
            <w:r>
              <w:rPr>
                <w:rFonts w:ascii="Arial" w:hAnsi="Arial" w:eastAsia="等线" w:cs="Arial"/>
                <w:sz w:val="22"/>
              </w:rPr>
              <w:t>经济指标是有助于显示经济表现或走向，并预测近期经济走向的统计数据</w:t>
            </w:r>
          </w:p>
        </w:tc>
      </w:tr>
      <w:tr w14:paraId="71AF2D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4D0E33EC">
            <w:pPr>
              <w:spacing w:before="120" w:after="120" w:line="288" w:lineRule="auto"/>
              <w:ind w:left="0"/>
              <w:jc w:val="left"/>
            </w:pPr>
            <w:r>
              <w:rPr>
                <w:rFonts w:ascii="Arial" w:hAnsi="Arial" w:eastAsia="等线" w:cs="Arial"/>
                <w:sz w:val="22"/>
              </w:rPr>
              <w:t>Leading indicators</w:t>
            </w:r>
          </w:p>
        </w:tc>
        <w:tc>
          <w:tcPr>
            <w:tcW w:w="2070" w:type="dxa"/>
            <w:tcMar>
              <w:top w:w="60" w:type="dxa"/>
              <w:left w:w="120" w:type="dxa"/>
              <w:bottom w:w="30" w:type="dxa"/>
              <w:right w:w="120" w:type="dxa"/>
            </w:tcMar>
          </w:tcPr>
          <w:p w14:paraId="22825EB1">
            <w:pPr>
              <w:spacing w:before="120" w:after="120" w:line="288" w:lineRule="auto"/>
              <w:ind w:left="0"/>
              <w:jc w:val="left"/>
            </w:pPr>
            <w:r>
              <w:rPr>
                <w:rFonts w:ascii="Arial" w:hAnsi="Arial" w:eastAsia="等线" w:cs="Arial"/>
                <w:sz w:val="22"/>
              </w:rPr>
              <w:t>领先指标</w:t>
            </w:r>
          </w:p>
        </w:tc>
        <w:tc>
          <w:tcPr>
            <w:tcW w:w="3480" w:type="dxa"/>
            <w:tcMar>
              <w:top w:w="60" w:type="dxa"/>
              <w:left w:w="120" w:type="dxa"/>
              <w:bottom w:w="30" w:type="dxa"/>
              <w:right w:w="120" w:type="dxa"/>
            </w:tcMar>
          </w:tcPr>
          <w:p w14:paraId="2D4CEB09">
            <w:pPr>
              <w:spacing w:before="120" w:after="120" w:line="288" w:lineRule="auto"/>
              <w:ind w:left="0"/>
              <w:jc w:val="left"/>
            </w:pPr>
            <w:r>
              <w:rPr>
                <w:rFonts w:ascii="Arial" w:hAnsi="Arial" w:eastAsia="等线" w:cs="Arial"/>
                <w:sz w:val="22"/>
              </w:rPr>
              <w:t>指示经济将如何（或可能如何）发展的统计数据</w:t>
            </w:r>
          </w:p>
        </w:tc>
      </w:tr>
      <w:tr w14:paraId="6FBD83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515933D2">
            <w:pPr>
              <w:spacing w:before="120" w:after="120" w:line="288" w:lineRule="auto"/>
              <w:ind w:left="0"/>
              <w:jc w:val="left"/>
            </w:pPr>
            <w:r>
              <w:rPr>
                <w:rFonts w:ascii="Arial" w:hAnsi="Arial" w:eastAsia="等线" w:cs="Arial"/>
                <w:sz w:val="22"/>
              </w:rPr>
              <w:t>Coincident indicators</w:t>
            </w:r>
          </w:p>
        </w:tc>
        <w:tc>
          <w:tcPr>
            <w:tcW w:w="2070" w:type="dxa"/>
            <w:tcMar>
              <w:top w:w="60" w:type="dxa"/>
              <w:left w:w="120" w:type="dxa"/>
              <w:bottom w:w="30" w:type="dxa"/>
              <w:right w:w="120" w:type="dxa"/>
            </w:tcMar>
          </w:tcPr>
          <w:p w14:paraId="54EC22E0">
            <w:pPr>
              <w:spacing w:before="120" w:after="120" w:line="288" w:lineRule="auto"/>
              <w:ind w:left="0"/>
              <w:jc w:val="left"/>
            </w:pPr>
            <w:r>
              <w:rPr>
                <w:rFonts w:ascii="Arial" w:hAnsi="Arial" w:eastAsia="等线" w:cs="Arial"/>
                <w:sz w:val="22"/>
              </w:rPr>
              <w:t>同步指标</w:t>
            </w:r>
          </w:p>
        </w:tc>
        <w:tc>
          <w:tcPr>
            <w:tcW w:w="3480" w:type="dxa"/>
            <w:tcMar>
              <w:top w:w="60" w:type="dxa"/>
              <w:left w:w="120" w:type="dxa"/>
              <w:bottom w:w="30" w:type="dxa"/>
              <w:right w:w="120" w:type="dxa"/>
            </w:tcMar>
          </w:tcPr>
          <w:p w14:paraId="32C467BF">
            <w:pPr>
              <w:spacing w:before="120" w:after="120" w:line="288" w:lineRule="auto"/>
              <w:ind w:left="0"/>
              <w:jc w:val="left"/>
            </w:pPr>
            <w:r>
              <w:rPr>
                <w:rFonts w:ascii="Arial" w:hAnsi="Arial" w:eastAsia="等线" w:cs="Arial"/>
                <w:sz w:val="22"/>
              </w:rPr>
              <w:t>指示当前经济状况的统计数据</w:t>
            </w:r>
          </w:p>
        </w:tc>
      </w:tr>
      <w:tr w14:paraId="02B144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042E218C">
            <w:pPr>
              <w:spacing w:before="120" w:after="120" w:line="288" w:lineRule="auto"/>
              <w:ind w:left="0"/>
              <w:jc w:val="left"/>
            </w:pPr>
            <w:r>
              <w:rPr>
                <w:rFonts w:ascii="Arial" w:hAnsi="Arial" w:eastAsia="等线" w:cs="Arial"/>
                <w:sz w:val="22"/>
              </w:rPr>
              <w:t>Lagging indicators</w:t>
            </w:r>
          </w:p>
        </w:tc>
        <w:tc>
          <w:tcPr>
            <w:tcW w:w="2070" w:type="dxa"/>
            <w:tcMar>
              <w:top w:w="60" w:type="dxa"/>
              <w:left w:w="120" w:type="dxa"/>
              <w:bottom w:w="30" w:type="dxa"/>
              <w:right w:w="120" w:type="dxa"/>
            </w:tcMar>
          </w:tcPr>
          <w:p w14:paraId="61F2D57C">
            <w:pPr>
              <w:spacing w:before="120" w:after="120" w:line="288" w:lineRule="auto"/>
              <w:ind w:left="0"/>
              <w:jc w:val="left"/>
            </w:pPr>
            <w:r>
              <w:rPr>
                <w:rFonts w:ascii="Arial" w:hAnsi="Arial" w:eastAsia="等线" w:cs="Arial"/>
                <w:sz w:val="22"/>
              </w:rPr>
              <w:t>滞后指标</w:t>
            </w:r>
          </w:p>
        </w:tc>
        <w:tc>
          <w:tcPr>
            <w:tcW w:w="3480" w:type="dxa"/>
            <w:tcMar>
              <w:top w:w="60" w:type="dxa"/>
              <w:left w:w="120" w:type="dxa"/>
              <w:bottom w:w="30" w:type="dxa"/>
              <w:right w:w="120" w:type="dxa"/>
            </w:tcMar>
          </w:tcPr>
          <w:p w14:paraId="12E83CC6">
            <w:pPr>
              <w:spacing w:before="120" w:after="120" w:line="288" w:lineRule="auto"/>
              <w:ind w:left="0"/>
              <w:jc w:val="left"/>
            </w:pPr>
            <w:r>
              <w:rPr>
                <w:rFonts w:ascii="Arial" w:hAnsi="Arial" w:eastAsia="等线" w:cs="Arial"/>
                <w:sz w:val="22"/>
              </w:rPr>
              <w:t>反映领先指标的统计数据</w:t>
            </w:r>
          </w:p>
        </w:tc>
      </w:tr>
      <w:tr w14:paraId="535728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4D500B4B">
            <w:pPr>
              <w:numPr>
                <w:ilvl w:val="0"/>
                <w:numId w:val="190"/>
              </w:numPr>
              <w:spacing w:before="120" w:after="120" w:line="288" w:lineRule="auto"/>
              <w:ind w:left="0"/>
              <w:jc w:val="left"/>
            </w:pPr>
            <w:r>
              <w:rPr>
                <w:rFonts w:ascii="Arial" w:hAnsi="Arial" w:eastAsia="等线" w:cs="Arial"/>
                <w:sz w:val="22"/>
              </w:rPr>
              <w:t>GNP</w:t>
            </w:r>
          </w:p>
          <w:p w14:paraId="6F56910E">
            <w:pPr>
              <w:numPr>
                <w:ilvl w:val="0"/>
                <w:numId w:val="191"/>
              </w:numPr>
              <w:spacing w:before="120" w:after="120" w:line="288" w:lineRule="auto"/>
              <w:ind w:left="0"/>
              <w:jc w:val="left"/>
            </w:pPr>
            <w:r>
              <w:rPr>
                <w:rFonts w:ascii="Arial" w:hAnsi="Arial" w:eastAsia="等线" w:cs="Arial"/>
                <w:sz w:val="22"/>
              </w:rPr>
              <w:t>gross national product</w:t>
            </w:r>
          </w:p>
        </w:tc>
        <w:tc>
          <w:tcPr>
            <w:tcW w:w="2070" w:type="dxa"/>
            <w:tcMar>
              <w:top w:w="60" w:type="dxa"/>
              <w:left w:w="120" w:type="dxa"/>
              <w:bottom w:w="30" w:type="dxa"/>
              <w:right w:w="120" w:type="dxa"/>
            </w:tcMar>
          </w:tcPr>
          <w:p w14:paraId="5CF4D640">
            <w:pPr>
              <w:spacing w:before="120" w:after="120" w:line="288" w:lineRule="auto"/>
              <w:ind w:left="0"/>
              <w:jc w:val="left"/>
            </w:pPr>
            <w:r>
              <w:rPr>
                <w:rFonts w:ascii="Arial" w:hAnsi="Arial" w:eastAsia="等线" w:cs="Arial"/>
                <w:sz w:val="22"/>
              </w:rPr>
              <w:t xml:space="preserve">国民生产总值 </w:t>
            </w:r>
          </w:p>
        </w:tc>
        <w:tc>
          <w:tcPr>
            <w:tcW w:w="3480" w:type="dxa"/>
            <w:tcMar>
              <w:top w:w="60" w:type="dxa"/>
              <w:left w:w="120" w:type="dxa"/>
              <w:bottom w:w="30" w:type="dxa"/>
              <w:right w:w="120" w:type="dxa"/>
            </w:tcMar>
          </w:tcPr>
          <w:p w14:paraId="5074531B">
            <w:pPr>
              <w:spacing w:before="120" w:after="120" w:line="288" w:lineRule="auto"/>
              <w:ind w:left="0"/>
              <w:jc w:val="left"/>
            </w:pPr>
            <w:r>
              <w:rPr>
                <w:rFonts w:ascii="Arial" w:hAnsi="Arial" w:eastAsia="等线" w:cs="Arial"/>
                <w:sz w:val="22"/>
              </w:rPr>
              <w:t>某国公民或企业（无论其身在何处）创造的生产和收入</w:t>
            </w:r>
          </w:p>
        </w:tc>
      </w:tr>
      <w:tr w14:paraId="69169D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478E0179">
            <w:pPr>
              <w:numPr>
                <w:ilvl w:val="0"/>
                <w:numId w:val="192"/>
              </w:numPr>
              <w:spacing w:before="120" w:after="120" w:line="288" w:lineRule="auto"/>
              <w:ind w:left="0"/>
              <w:jc w:val="left"/>
            </w:pPr>
            <w:r>
              <w:rPr>
                <w:rFonts w:ascii="Arial" w:hAnsi="Arial" w:eastAsia="等线" w:cs="Arial"/>
                <w:sz w:val="22"/>
              </w:rPr>
              <w:t>GDP</w:t>
            </w:r>
          </w:p>
          <w:p w14:paraId="14D87AFF">
            <w:pPr>
              <w:numPr>
                <w:ilvl w:val="0"/>
                <w:numId w:val="193"/>
              </w:numPr>
              <w:spacing w:before="120" w:after="120" w:line="288" w:lineRule="auto"/>
              <w:ind w:left="0"/>
              <w:jc w:val="left"/>
            </w:pPr>
            <w:r>
              <w:rPr>
                <w:rFonts w:ascii="Arial" w:hAnsi="Arial" w:eastAsia="等线" w:cs="Arial"/>
                <w:sz w:val="22"/>
              </w:rPr>
              <w:t>gross domestic product</w:t>
            </w:r>
          </w:p>
        </w:tc>
        <w:tc>
          <w:tcPr>
            <w:tcW w:w="2070" w:type="dxa"/>
            <w:tcMar>
              <w:top w:w="60" w:type="dxa"/>
              <w:left w:w="120" w:type="dxa"/>
              <w:bottom w:w="30" w:type="dxa"/>
              <w:right w:w="120" w:type="dxa"/>
            </w:tcMar>
          </w:tcPr>
          <w:p w14:paraId="57005675">
            <w:pPr>
              <w:spacing w:before="120" w:after="120" w:line="288" w:lineRule="auto"/>
              <w:ind w:left="0"/>
              <w:jc w:val="left"/>
            </w:pPr>
            <w:r>
              <w:rPr>
                <w:rFonts w:ascii="Arial" w:hAnsi="Arial" w:eastAsia="等线" w:cs="Arial"/>
                <w:sz w:val="22"/>
              </w:rPr>
              <w:t>国内生产总值</w:t>
            </w:r>
          </w:p>
        </w:tc>
        <w:tc>
          <w:tcPr>
            <w:tcW w:w="3480" w:type="dxa"/>
            <w:tcMar>
              <w:top w:w="60" w:type="dxa"/>
              <w:left w:w="120" w:type="dxa"/>
              <w:bottom w:w="30" w:type="dxa"/>
              <w:right w:w="120" w:type="dxa"/>
            </w:tcMar>
          </w:tcPr>
          <w:p w14:paraId="57785A47">
            <w:pPr>
              <w:spacing w:before="120" w:after="120" w:line="288" w:lineRule="auto"/>
              <w:ind w:left="0"/>
              <w:jc w:val="left"/>
            </w:pPr>
            <w:r>
              <w:rPr>
                <w:rFonts w:ascii="Arial" w:hAnsi="Arial" w:eastAsia="等线" w:cs="Arial"/>
                <w:sz w:val="22"/>
              </w:rPr>
              <w:t>在某国领土范围内发生的生产，无论生产者是谁（本国人还是外国人），都算入该国的GDP</w:t>
            </w:r>
          </w:p>
        </w:tc>
      </w:tr>
      <w:tr w14:paraId="60F102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080BD55B">
            <w:pPr>
              <w:spacing w:before="120" w:after="120" w:line="288" w:lineRule="auto"/>
              <w:ind w:left="0"/>
              <w:jc w:val="left"/>
            </w:pPr>
            <w:r>
              <w:rPr>
                <w:rFonts w:ascii="Arial" w:hAnsi="Arial" w:eastAsia="等线" w:cs="Arial"/>
                <w:sz w:val="22"/>
              </w:rPr>
              <w:t>Constant dollars</w:t>
            </w:r>
          </w:p>
        </w:tc>
        <w:tc>
          <w:tcPr>
            <w:tcW w:w="2070" w:type="dxa"/>
            <w:tcMar>
              <w:top w:w="60" w:type="dxa"/>
              <w:left w:w="120" w:type="dxa"/>
              <w:bottom w:w="30" w:type="dxa"/>
              <w:right w:w="120" w:type="dxa"/>
            </w:tcMar>
          </w:tcPr>
          <w:p w14:paraId="6504D683">
            <w:pPr>
              <w:spacing w:before="120" w:after="120" w:line="288" w:lineRule="auto"/>
              <w:ind w:left="0"/>
              <w:jc w:val="left"/>
            </w:pPr>
            <w:r>
              <w:rPr>
                <w:rFonts w:ascii="Arial" w:hAnsi="Arial" w:eastAsia="等线" w:cs="Arial"/>
                <w:sz w:val="22"/>
              </w:rPr>
              <w:t>不变美元</w:t>
            </w:r>
          </w:p>
        </w:tc>
        <w:tc>
          <w:tcPr>
            <w:tcW w:w="3480" w:type="dxa"/>
            <w:tcMar>
              <w:top w:w="60" w:type="dxa"/>
              <w:left w:w="120" w:type="dxa"/>
              <w:bottom w:w="30" w:type="dxa"/>
              <w:right w:w="120" w:type="dxa"/>
            </w:tcMar>
          </w:tcPr>
          <w:p w14:paraId="7F94641F">
            <w:pPr>
              <w:spacing w:before="120" w:after="120" w:line="288" w:lineRule="auto"/>
              <w:ind w:left="0"/>
              <w:jc w:val="left"/>
            </w:pPr>
            <w:r>
              <w:rPr>
                <w:rFonts w:ascii="Arial" w:hAnsi="Arial" w:eastAsia="等线" w:cs="Arial"/>
                <w:sz w:val="22"/>
              </w:rPr>
              <w:t>扣除了通胀因素后，反映的真实经济增长情况</w:t>
            </w:r>
          </w:p>
        </w:tc>
      </w:tr>
      <w:tr w14:paraId="4C690A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6EE42EA4">
            <w:pPr>
              <w:spacing w:before="120" w:after="120" w:line="288" w:lineRule="auto"/>
              <w:ind w:left="0"/>
              <w:jc w:val="left"/>
            </w:pPr>
            <w:r>
              <w:rPr>
                <w:rFonts w:ascii="Arial" w:hAnsi="Arial" w:eastAsia="等线" w:cs="Arial"/>
                <w:sz w:val="22"/>
              </w:rPr>
              <w:t>Cyclical</w:t>
            </w:r>
          </w:p>
        </w:tc>
        <w:tc>
          <w:tcPr>
            <w:tcW w:w="2070" w:type="dxa"/>
            <w:tcMar>
              <w:top w:w="60" w:type="dxa"/>
              <w:left w:w="120" w:type="dxa"/>
              <w:bottom w:w="30" w:type="dxa"/>
              <w:right w:w="120" w:type="dxa"/>
            </w:tcMar>
          </w:tcPr>
          <w:p w14:paraId="7C1BBAE9">
            <w:pPr>
              <w:spacing w:before="120" w:after="120" w:line="288" w:lineRule="auto"/>
              <w:ind w:left="0"/>
              <w:jc w:val="left"/>
            </w:pPr>
            <w:r>
              <w:rPr>
                <w:rFonts w:ascii="Arial" w:hAnsi="Arial" w:eastAsia="等线" w:cs="Arial"/>
                <w:sz w:val="22"/>
              </w:rPr>
              <w:t>周期性</w:t>
            </w:r>
          </w:p>
        </w:tc>
        <w:tc>
          <w:tcPr>
            <w:tcW w:w="3480" w:type="dxa"/>
            <w:tcMar>
              <w:top w:w="60" w:type="dxa"/>
              <w:left w:w="120" w:type="dxa"/>
              <w:bottom w:w="30" w:type="dxa"/>
              <w:right w:w="120" w:type="dxa"/>
            </w:tcMar>
          </w:tcPr>
          <w:p w14:paraId="49970282">
            <w:pPr>
              <w:spacing w:before="120" w:after="120" w:line="288" w:lineRule="auto"/>
              <w:ind w:left="0"/>
              <w:jc w:val="left"/>
            </w:pPr>
            <w:r>
              <w:rPr>
                <w:rFonts w:ascii="Arial" w:hAnsi="Arial" w:eastAsia="等线" w:cs="Arial"/>
                <w:sz w:val="22"/>
              </w:rPr>
              <w:t>业绩取决于经济状况的公司</w:t>
            </w:r>
          </w:p>
        </w:tc>
      </w:tr>
      <w:tr w14:paraId="3D3D90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3D730FA3">
            <w:pPr>
              <w:spacing w:before="120" w:after="120" w:line="288" w:lineRule="auto"/>
              <w:ind w:left="0"/>
              <w:jc w:val="left"/>
            </w:pPr>
            <w:r>
              <w:rPr>
                <w:rFonts w:ascii="Arial" w:hAnsi="Arial" w:eastAsia="等线" w:cs="Arial"/>
                <w:sz w:val="22"/>
              </w:rPr>
              <w:t>Defensive</w:t>
            </w:r>
          </w:p>
        </w:tc>
        <w:tc>
          <w:tcPr>
            <w:tcW w:w="2070" w:type="dxa"/>
            <w:tcMar>
              <w:top w:w="60" w:type="dxa"/>
              <w:left w:w="120" w:type="dxa"/>
              <w:bottom w:w="30" w:type="dxa"/>
              <w:right w:w="120" w:type="dxa"/>
            </w:tcMar>
          </w:tcPr>
          <w:p w14:paraId="371A4A9F">
            <w:pPr>
              <w:spacing w:before="120" w:after="120" w:line="288" w:lineRule="auto"/>
              <w:ind w:left="0"/>
              <w:jc w:val="left"/>
            </w:pPr>
            <w:r>
              <w:rPr>
                <w:rFonts w:ascii="Arial" w:hAnsi="Arial" w:eastAsia="等线" w:cs="Arial"/>
                <w:sz w:val="22"/>
              </w:rPr>
              <w:t>防御型</w:t>
            </w:r>
          </w:p>
        </w:tc>
        <w:tc>
          <w:tcPr>
            <w:tcW w:w="3480" w:type="dxa"/>
            <w:tcMar>
              <w:top w:w="60" w:type="dxa"/>
              <w:left w:w="120" w:type="dxa"/>
              <w:bottom w:w="30" w:type="dxa"/>
              <w:right w:w="120" w:type="dxa"/>
            </w:tcMar>
          </w:tcPr>
          <w:p w14:paraId="4C7412C1">
            <w:pPr>
              <w:spacing w:before="120" w:after="120" w:line="288" w:lineRule="auto"/>
              <w:ind w:left="0"/>
              <w:jc w:val="left"/>
            </w:pPr>
            <w:r>
              <w:rPr>
                <w:rFonts w:ascii="Arial" w:hAnsi="Arial" w:eastAsia="等线" w:cs="Arial"/>
                <w:sz w:val="22"/>
              </w:rPr>
              <w:t>指无论经济表现如何，销售额都保持相对稳定的公司</w:t>
            </w:r>
          </w:p>
        </w:tc>
      </w:tr>
      <w:tr w14:paraId="1ADFA3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031FCC5F">
            <w:pPr>
              <w:spacing w:before="120" w:after="120" w:line="288" w:lineRule="auto"/>
              <w:ind w:left="0"/>
              <w:jc w:val="left"/>
            </w:pPr>
            <w:r>
              <w:rPr>
                <w:rFonts w:ascii="Arial" w:hAnsi="Arial" w:eastAsia="等线" w:cs="Arial"/>
                <w:sz w:val="22"/>
              </w:rPr>
              <w:t>Growth</w:t>
            </w:r>
          </w:p>
        </w:tc>
        <w:tc>
          <w:tcPr>
            <w:tcW w:w="2070" w:type="dxa"/>
            <w:tcMar>
              <w:top w:w="60" w:type="dxa"/>
              <w:left w:w="120" w:type="dxa"/>
              <w:bottom w:w="30" w:type="dxa"/>
              <w:right w:w="120" w:type="dxa"/>
            </w:tcMar>
          </w:tcPr>
          <w:p w14:paraId="37EC98C9">
            <w:pPr>
              <w:spacing w:before="120" w:after="120" w:line="288" w:lineRule="auto"/>
              <w:ind w:left="0"/>
              <w:jc w:val="left"/>
            </w:pPr>
            <w:r>
              <w:rPr>
                <w:rFonts w:ascii="Arial" w:hAnsi="Arial" w:eastAsia="等线" w:cs="Arial"/>
                <w:sz w:val="22"/>
              </w:rPr>
              <w:t>成长型</w:t>
            </w:r>
          </w:p>
        </w:tc>
        <w:tc>
          <w:tcPr>
            <w:tcW w:w="3480" w:type="dxa"/>
            <w:tcMar>
              <w:top w:w="60" w:type="dxa"/>
              <w:left w:w="120" w:type="dxa"/>
              <w:bottom w:w="30" w:type="dxa"/>
              <w:right w:w="120" w:type="dxa"/>
            </w:tcMar>
          </w:tcPr>
          <w:p w14:paraId="06AB1295">
            <w:pPr>
              <w:spacing w:before="120" w:after="120" w:line="288" w:lineRule="auto"/>
              <w:ind w:left="0"/>
              <w:jc w:val="left"/>
            </w:pPr>
            <w:r>
              <w:rPr>
                <w:rFonts w:ascii="Arial" w:hAnsi="Arial" w:eastAsia="等线" w:cs="Arial"/>
                <w:sz w:val="22"/>
              </w:rPr>
              <w:t>指增长速度快于同类公司或整个市场的公司</w:t>
            </w:r>
          </w:p>
        </w:tc>
      </w:tr>
      <w:tr w14:paraId="23FE9D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2A0C8E79">
            <w:pPr>
              <w:spacing w:before="120" w:after="120" w:line="288" w:lineRule="auto"/>
              <w:ind w:left="0"/>
              <w:jc w:val="left"/>
            </w:pPr>
            <w:r>
              <w:rPr>
                <w:rFonts w:ascii="Arial" w:hAnsi="Arial" w:eastAsia="等线" w:cs="Arial"/>
                <w:sz w:val="22"/>
              </w:rPr>
              <w:t>Keynesian</w:t>
            </w:r>
          </w:p>
        </w:tc>
        <w:tc>
          <w:tcPr>
            <w:tcW w:w="2070" w:type="dxa"/>
            <w:tcMar>
              <w:top w:w="60" w:type="dxa"/>
              <w:left w:w="120" w:type="dxa"/>
              <w:bottom w:w="30" w:type="dxa"/>
              <w:right w:w="120" w:type="dxa"/>
            </w:tcMar>
          </w:tcPr>
          <w:p w14:paraId="36945A52">
            <w:pPr>
              <w:spacing w:before="120" w:after="120" w:line="288" w:lineRule="auto"/>
              <w:ind w:left="0"/>
              <w:jc w:val="left"/>
            </w:pPr>
            <w:r>
              <w:rPr>
                <w:rFonts w:ascii="Arial" w:hAnsi="Arial" w:eastAsia="等线" w:cs="Arial"/>
                <w:sz w:val="22"/>
              </w:rPr>
              <w:t>凯恩斯主义</w:t>
            </w:r>
          </w:p>
        </w:tc>
        <w:tc>
          <w:tcPr>
            <w:tcW w:w="3480" w:type="dxa"/>
            <w:tcMar>
              <w:top w:w="60" w:type="dxa"/>
              <w:left w:w="120" w:type="dxa"/>
              <w:bottom w:w="30" w:type="dxa"/>
              <w:right w:w="120" w:type="dxa"/>
            </w:tcMar>
          </w:tcPr>
          <w:p w14:paraId="14B99EA2">
            <w:pPr>
              <w:spacing w:before="120" w:after="120" w:line="288" w:lineRule="auto"/>
              <w:ind w:left="0"/>
              <w:jc w:val="left"/>
            </w:pPr>
            <w:r>
              <w:rPr>
                <w:rFonts w:ascii="Arial" w:hAnsi="Arial" w:eastAsia="等线" w:cs="Arial"/>
                <w:sz w:val="22"/>
              </w:rPr>
              <w:t>又称为需求侧理论。该理论的基础是政府通过财政政策进行干预有助于刺激消费者对商品和服务的需求</w:t>
            </w:r>
          </w:p>
        </w:tc>
      </w:tr>
      <w:tr w14:paraId="02B231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7E067820">
            <w:pPr>
              <w:spacing w:before="120" w:after="120" w:line="288" w:lineRule="auto"/>
              <w:ind w:left="0"/>
              <w:jc w:val="left"/>
            </w:pPr>
            <w:r>
              <w:rPr>
                <w:rFonts w:ascii="Arial" w:hAnsi="Arial" w:eastAsia="等线" w:cs="Arial"/>
                <w:sz w:val="22"/>
              </w:rPr>
              <w:t>Supply side</w:t>
            </w:r>
          </w:p>
          <w:p w14:paraId="0FAD86B3">
            <w:pPr>
              <w:spacing w:before="120" w:after="120" w:line="288" w:lineRule="auto"/>
              <w:ind w:left="0"/>
              <w:jc w:val="left"/>
            </w:pPr>
          </w:p>
        </w:tc>
        <w:tc>
          <w:tcPr>
            <w:tcW w:w="2070" w:type="dxa"/>
            <w:tcMar>
              <w:top w:w="60" w:type="dxa"/>
              <w:left w:w="120" w:type="dxa"/>
              <w:bottom w:w="30" w:type="dxa"/>
              <w:right w:w="120" w:type="dxa"/>
            </w:tcMar>
          </w:tcPr>
          <w:p w14:paraId="7793983D">
            <w:pPr>
              <w:spacing w:before="120" w:after="120" w:line="288" w:lineRule="auto"/>
              <w:ind w:left="0"/>
              <w:jc w:val="left"/>
            </w:pPr>
            <w:r>
              <w:rPr>
                <w:rFonts w:ascii="Arial" w:hAnsi="Arial" w:eastAsia="等线" w:cs="Arial"/>
                <w:sz w:val="22"/>
              </w:rPr>
              <w:t>供给侧理论</w:t>
            </w:r>
          </w:p>
        </w:tc>
        <w:tc>
          <w:tcPr>
            <w:tcW w:w="3480" w:type="dxa"/>
            <w:tcMar>
              <w:top w:w="60" w:type="dxa"/>
              <w:left w:w="120" w:type="dxa"/>
              <w:bottom w:w="30" w:type="dxa"/>
              <w:right w:w="120" w:type="dxa"/>
            </w:tcMar>
          </w:tcPr>
          <w:p w14:paraId="13B05B54">
            <w:pPr>
              <w:spacing w:before="120" w:after="120" w:line="288" w:lineRule="auto"/>
              <w:ind w:left="0"/>
              <w:jc w:val="left"/>
            </w:pPr>
            <w:r>
              <w:rPr>
                <w:rFonts w:ascii="Arial" w:hAnsi="Arial" w:eastAsia="等线" w:cs="Arial"/>
                <w:sz w:val="22"/>
              </w:rPr>
              <w:t>又称为里根（Reaganomics）经济学：它认为政府应该保持相对不作为，经济将自行增长</w:t>
            </w:r>
          </w:p>
        </w:tc>
      </w:tr>
      <w:tr w14:paraId="2D249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416CCD7B">
            <w:pPr>
              <w:spacing w:before="120" w:after="120" w:line="288" w:lineRule="auto"/>
              <w:ind w:left="0"/>
              <w:jc w:val="left"/>
            </w:pPr>
            <w:r>
              <w:rPr>
                <w:rFonts w:ascii="Arial" w:hAnsi="Arial" w:eastAsia="等线" w:cs="Arial"/>
                <w:sz w:val="22"/>
              </w:rPr>
              <w:t>Monetarist</w:t>
            </w:r>
          </w:p>
        </w:tc>
        <w:tc>
          <w:tcPr>
            <w:tcW w:w="2070" w:type="dxa"/>
            <w:tcMar>
              <w:top w:w="60" w:type="dxa"/>
              <w:left w:w="120" w:type="dxa"/>
              <w:bottom w:w="30" w:type="dxa"/>
              <w:right w:w="120" w:type="dxa"/>
            </w:tcMar>
          </w:tcPr>
          <w:p w14:paraId="7E2C05D9">
            <w:pPr>
              <w:spacing w:before="120" w:after="120" w:line="288" w:lineRule="auto"/>
              <w:ind w:left="0"/>
              <w:jc w:val="left"/>
            </w:pPr>
            <w:r>
              <w:rPr>
                <w:rFonts w:ascii="Arial" w:hAnsi="Arial" w:eastAsia="等线" w:cs="Arial"/>
                <w:sz w:val="22"/>
              </w:rPr>
              <w:t>货币主义者</w:t>
            </w:r>
          </w:p>
        </w:tc>
        <w:tc>
          <w:tcPr>
            <w:tcW w:w="3480" w:type="dxa"/>
            <w:tcMar>
              <w:top w:w="60" w:type="dxa"/>
              <w:left w:w="120" w:type="dxa"/>
              <w:bottom w:w="30" w:type="dxa"/>
              <w:right w:w="120" w:type="dxa"/>
            </w:tcMar>
          </w:tcPr>
          <w:p w14:paraId="3CE80315">
            <w:pPr>
              <w:spacing w:before="120" w:after="120" w:line="288" w:lineRule="auto"/>
              <w:ind w:left="0"/>
              <w:jc w:val="left"/>
            </w:pPr>
            <w:r>
              <w:rPr>
                <w:rFonts w:ascii="Arial" w:hAnsi="Arial" w:eastAsia="等线" w:cs="Arial"/>
                <w:sz w:val="22"/>
              </w:rPr>
              <w:t>该理论认为经济表现很大程度上取决于货币供应量</w:t>
            </w:r>
          </w:p>
        </w:tc>
      </w:tr>
    </w:tbl>
    <w:p w14:paraId="02F8B0ED">
      <w:pPr>
        <w:spacing w:before="380" w:after="140" w:line="288" w:lineRule="auto"/>
        <w:ind w:left="0"/>
        <w:jc w:val="left"/>
        <w:outlineLvl w:val="0"/>
      </w:pPr>
      <w:bookmarkStart w:id="49" w:name="heading_49"/>
      <w:r>
        <w:rPr>
          <w:rFonts w:ascii="Arial" w:hAnsi="Arial" w:eastAsia="等线" w:cs="Arial"/>
          <w:color w:val="3370FF"/>
          <w:sz w:val="36"/>
        </w:rPr>
        <w:t xml:space="preserve">5. </w:t>
      </w:r>
      <w:r>
        <w:rPr>
          <w:rFonts w:ascii="Arial" w:hAnsi="Arial" w:eastAsia="等线" w:cs="Arial"/>
          <w:b/>
          <w:sz w:val="36"/>
        </w:rPr>
        <w:t>例题及答案</w:t>
      </w:r>
      <w:bookmarkEnd w:id="49"/>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EC39DE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D9F5D6"/>
            <w:tcMar>
              <w:top w:w="60" w:type="dxa"/>
              <w:left w:w="120" w:type="dxa"/>
              <w:bottom w:w="30" w:type="dxa"/>
              <w:right w:w="120" w:type="dxa"/>
            </w:tcMar>
          </w:tcPr>
          <w:p w14:paraId="4A50E2F0">
            <w:pPr>
              <w:numPr>
                <w:ilvl w:val="0"/>
                <w:numId w:val="194"/>
              </w:numPr>
              <w:spacing w:before="120" w:after="120" w:line="288" w:lineRule="auto"/>
              <w:ind w:left="0"/>
              <w:jc w:val="left"/>
            </w:pPr>
            <w:r>
              <w:rPr>
                <w:rFonts w:ascii="Arial" w:hAnsi="Arial" w:eastAsia="等线" w:cs="Arial"/>
                <w:sz w:val="22"/>
              </w:rPr>
              <w:t xml:space="preserve">One of your clients is interested in purchasing the common stock from several companies based in Europe. As their registered representative, you should explain to them the risks of investing in these securities. </w:t>
            </w:r>
          </w:p>
          <w:p w14:paraId="235DA32A">
            <w:pPr>
              <w:spacing w:before="120" w:after="120" w:line="288" w:lineRule="auto"/>
              <w:ind w:left="0"/>
              <w:jc w:val="left"/>
            </w:pPr>
            <w:r>
              <w:rPr>
                <w:rFonts w:ascii="Arial" w:hAnsi="Arial" w:eastAsia="等线" w:cs="Arial"/>
                <w:sz w:val="22"/>
              </w:rPr>
              <w:t xml:space="preserve">The risks include </w:t>
            </w:r>
          </w:p>
          <w:p w14:paraId="652B5AA4">
            <w:pPr>
              <w:spacing w:before="120" w:after="120" w:line="288" w:lineRule="auto"/>
              <w:ind w:left="0"/>
              <w:jc w:val="left"/>
            </w:pPr>
            <w:r>
              <w:rPr>
                <w:rFonts w:ascii="Arial" w:hAnsi="Arial" w:eastAsia="等线" w:cs="Arial"/>
                <w:sz w:val="22"/>
              </w:rPr>
              <w:t xml:space="preserve">I. political risk </w:t>
            </w:r>
          </w:p>
          <w:p w14:paraId="76843E69">
            <w:pPr>
              <w:spacing w:before="120" w:after="120" w:line="288" w:lineRule="auto"/>
              <w:ind w:left="0"/>
              <w:jc w:val="left"/>
            </w:pPr>
            <w:r>
              <w:rPr>
                <w:rFonts w:ascii="Arial" w:hAnsi="Arial" w:eastAsia="等线" w:cs="Arial"/>
                <w:sz w:val="22"/>
              </w:rPr>
              <w:t xml:space="preserve">II. market risk </w:t>
            </w:r>
          </w:p>
          <w:p w14:paraId="0721DD7D">
            <w:pPr>
              <w:spacing w:before="120" w:after="120" w:line="288" w:lineRule="auto"/>
              <w:ind w:left="0"/>
              <w:jc w:val="left"/>
            </w:pPr>
            <w:r>
              <w:rPr>
                <w:rFonts w:ascii="Arial" w:hAnsi="Arial" w:eastAsia="等线" w:cs="Arial"/>
                <w:sz w:val="22"/>
              </w:rPr>
              <w:t xml:space="preserve">III. currency risk </w:t>
            </w:r>
          </w:p>
          <w:p w14:paraId="3BCC1D72">
            <w:pPr>
              <w:spacing w:before="120" w:after="120" w:line="288" w:lineRule="auto"/>
              <w:ind w:left="0"/>
              <w:jc w:val="left"/>
            </w:pPr>
            <w:r>
              <w:rPr>
                <w:rFonts w:ascii="Arial" w:hAnsi="Arial" w:eastAsia="等线" w:cs="Arial"/>
                <w:sz w:val="22"/>
              </w:rPr>
              <w:t xml:space="preserve">IV. interest rate risk </w:t>
            </w:r>
          </w:p>
          <w:p w14:paraId="3BE42B3B">
            <w:pPr>
              <w:spacing w:before="120" w:after="120" w:line="288" w:lineRule="auto"/>
              <w:ind w:left="0"/>
              <w:jc w:val="left"/>
            </w:pPr>
            <w:r>
              <w:rPr>
                <w:rFonts w:ascii="Arial" w:hAnsi="Arial" w:eastAsia="等线" w:cs="Arial"/>
                <w:sz w:val="22"/>
              </w:rPr>
              <w:t xml:space="preserve">(A)  I and III </w:t>
            </w:r>
          </w:p>
          <w:p w14:paraId="4B3BAC75">
            <w:pPr>
              <w:spacing w:before="120" w:after="120" w:line="288" w:lineRule="auto"/>
              <w:ind w:left="0"/>
              <w:jc w:val="left"/>
            </w:pPr>
            <w:r>
              <w:rPr>
                <w:rFonts w:ascii="Arial" w:hAnsi="Arial" w:eastAsia="等线" w:cs="Arial"/>
                <w:sz w:val="22"/>
              </w:rPr>
              <w:t xml:space="preserve">(B)  I, III, and IV </w:t>
            </w:r>
          </w:p>
          <w:p w14:paraId="120A2F7E">
            <w:pPr>
              <w:spacing w:before="120" w:after="120" w:line="288" w:lineRule="auto"/>
              <w:ind w:left="0"/>
              <w:jc w:val="left"/>
            </w:pPr>
            <w:r>
              <w:rPr>
                <w:rFonts w:ascii="Arial" w:hAnsi="Arial" w:eastAsia="等线" w:cs="Arial"/>
                <w:sz w:val="22"/>
              </w:rPr>
              <w:t xml:space="preserve">(C)  I, II, and III </w:t>
            </w:r>
          </w:p>
          <w:p w14:paraId="31B55D5C">
            <w:pPr>
              <w:spacing w:before="120" w:after="120" w:line="288" w:lineRule="auto"/>
              <w:ind w:left="0"/>
              <w:jc w:val="left"/>
            </w:pPr>
            <w:r>
              <w:rPr>
                <w:rFonts w:ascii="Arial" w:hAnsi="Arial" w:eastAsia="等线" w:cs="Arial"/>
                <w:sz w:val="22"/>
              </w:rPr>
              <w:t>(D)  I, II, III, and IV</w:t>
            </w:r>
          </w:p>
          <w:p w14:paraId="6C7B10C0">
            <w:pPr>
              <w:spacing w:before="120" w:after="120" w:line="288" w:lineRule="auto"/>
              <w:ind w:left="0"/>
              <w:jc w:val="left"/>
            </w:pPr>
          </w:p>
          <w:p w14:paraId="09E26CCF">
            <w:pPr>
              <w:numPr>
                <w:ilvl w:val="0"/>
                <w:numId w:val="195"/>
              </w:numPr>
              <w:spacing w:before="120" w:after="120" w:line="288" w:lineRule="auto"/>
              <w:ind w:left="0"/>
              <w:jc w:val="left"/>
            </w:pPr>
            <w:r>
              <w:rPr>
                <w:rFonts w:ascii="Arial" w:hAnsi="Arial" w:eastAsia="等线" w:cs="Arial"/>
                <w:sz w:val="22"/>
              </w:rPr>
              <w:t>Zero-coupon bonds have no</w:t>
            </w:r>
          </w:p>
          <w:p w14:paraId="41FBBB59">
            <w:pPr>
              <w:spacing w:before="120" w:after="120" w:line="288" w:lineRule="auto"/>
              <w:ind w:left="0"/>
              <w:jc w:val="left"/>
            </w:pPr>
            <w:r>
              <w:rPr>
                <w:rFonts w:ascii="Arial" w:hAnsi="Arial" w:eastAsia="等线" w:cs="Arial"/>
                <w:sz w:val="22"/>
              </w:rPr>
              <w:t>(A) reinvestment risk</w:t>
            </w:r>
          </w:p>
          <w:p w14:paraId="1E39AF11">
            <w:pPr>
              <w:spacing w:before="120" w:after="120" w:line="288" w:lineRule="auto"/>
              <w:ind w:left="0"/>
              <w:jc w:val="left"/>
            </w:pPr>
            <w:r>
              <w:rPr>
                <w:rFonts w:ascii="Arial" w:hAnsi="Arial" w:eastAsia="等线" w:cs="Arial"/>
                <w:sz w:val="22"/>
              </w:rPr>
              <w:t>(B) purchasing power risk</w:t>
            </w:r>
          </w:p>
          <w:p w14:paraId="3209C19D">
            <w:pPr>
              <w:spacing w:before="120" w:after="120" w:line="288" w:lineRule="auto"/>
              <w:ind w:left="0"/>
              <w:jc w:val="left"/>
            </w:pPr>
            <w:r>
              <w:rPr>
                <w:rFonts w:ascii="Arial" w:hAnsi="Arial" w:eastAsia="等线" w:cs="Arial"/>
                <w:sz w:val="22"/>
              </w:rPr>
              <w:t>(C) market risk</w:t>
            </w:r>
          </w:p>
          <w:p w14:paraId="4D9EE38A">
            <w:pPr>
              <w:spacing w:before="120" w:after="120" w:line="288" w:lineRule="auto"/>
              <w:ind w:left="0"/>
              <w:jc w:val="left"/>
            </w:pPr>
            <w:r>
              <w:rPr>
                <w:rFonts w:ascii="Arial" w:hAnsi="Arial" w:eastAsia="等线" w:cs="Arial"/>
                <w:sz w:val="22"/>
              </w:rPr>
              <w:t>(D) interest risk</w:t>
            </w:r>
          </w:p>
          <w:p w14:paraId="0458910D">
            <w:pPr>
              <w:spacing w:before="120" w:after="120" w:line="288" w:lineRule="auto"/>
              <w:ind w:left="0"/>
              <w:jc w:val="left"/>
            </w:pPr>
          </w:p>
          <w:p w14:paraId="2DD5DC4C">
            <w:pPr>
              <w:numPr>
                <w:ilvl w:val="0"/>
                <w:numId w:val="196"/>
              </w:numPr>
              <w:spacing w:before="120" w:after="120" w:line="288" w:lineRule="auto"/>
              <w:ind w:left="0"/>
              <w:jc w:val="left"/>
            </w:pPr>
            <w:r>
              <w:rPr>
                <w:rFonts w:ascii="Arial" w:hAnsi="Arial" w:eastAsia="等线" w:cs="Arial"/>
                <w:sz w:val="22"/>
              </w:rPr>
              <w:t>A holder of which of the following securities is the most exposed to inflationary risk?</w:t>
            </w:r>
          </w:p>
          <w:p w14:paraId="1417DEFE">
            <w:pPr>
              <w:spacing w:before="120" w:after="120" w:line="288" w:lineRule="auto"/>
              <w:ind w:left="0"/>
              <w:jc w:val="left"/>
            </w:pPr>
            <w:r>
              <w:rPr>
                <w:rFonts w:ascii="Arial" w:hAnsi="Arial" w:eastAsia="等线" w:cs="Arial"/>
                <w:sz w:val="22"/>
              </w:rPr>
              <w:t>(A) U.S. Treasury bonds with ten years until maturity</w:t>
            </w:r>
          </w:p>
          <w:p w14:paraId="1017127F">
            <w:pPr>
              <w:spacing w:before="120" w:after="120" w:line="288" w:lineRule="auto"/>
              <w:ind w:left="0"/>
              <w:jc w:val="left"/>
            </w:pPr>
            <w:r>
              <w:rPr>
                <w:rFonts w:ascii="Arial" w:hAnsi="Arial" w:eastAsia="等线" w:cs="Arial"/>
                <w:sz w:val="22"/>
              </w:rPr>
              <w:t>(B) U.S. Treasury bills with one year until maturity</w:t>
            </w:r>
          </w:p>
          <w:p w14:paraId="0C17DDC5">
            <w:pPr>
              <w:spacing w:before="120" w:after="120" w:line="288" w:lineRule="auto"/>
              <w:ind w:left="0"/>
              <w:jc w:val="left"/>
            </w:pPr>
            <w:r>
              <w:rPr>
                <w:rFonts w:ascii="Arial" w:hAnsi="Arial" w:eastAsia="等线" w:cs="Arial"/>
                <w:sz w:val="22"/>
              </w:rPr>
              <w:t>(C) Stocks issued by a utility company</w:t>
            </w:r>
          </w:p>
          <w:p w14:paraId="05DACD48">
            <w:pPr>
              <w:spacing w:before="120" w:after="120" w:line="288" w:lineRule="auto"/>
              <w:ind w:left="0"/>
              <w:jc w:val="left"/>
            </w:pPr>
            <w:r>
              <w:rPr>
                <w:rFonts w:ascii="Arial" w:hAnsi="Arial" w:eastAsia="等线" w:cs="Arial"/>
                <w:sz w:val="22"/>
              </w:rPr>
              <w:t>(D) Pharmaceutical stocks</w:t>
            </w:r>
          </w:p>
          <w:p w14:paraId="25EDA92C">
            <w:pPr>
              <w:spacing w:before="120" w:after="120" w:line="288" w:lineRule="auto"/>
              <w:ind w:left="0"/>
              <w:jc w:val="left"/>
            </w:pPr>
          </w:p>
          <w:p w14:paraId="0EDCBC83">
            <w:pPr>
              <w:numPr>
                <w:ilvl w:val="0"/>
                <w:numId w:val="197"/>
              </w:numPr>
              <w:spacing w:before="120" w:after="120" w:line="288" w:lineRule="auto"/>
              <w:ind w:left="0"/>
              <w:jc w:val="left"/>
            </w:pPr>
            <w:r>
              <w:rPr>
                <w:rFonts w:ascii="Arial" w:hAnsi="Arial" w:eastAsia="等线" w:cs="Arial"/>
                <w:sz w:val="22"/>
              </w:rPr>
              <w:t xml:space="preserve">Which TWO of the following statements are TRUE regarding portfolio diversification? </w:t>
            </w:r>
          </w:p>
          <w:p w14:paraId="0573411F">
            <w:pPr>
              <w:spacing w:before="120" w:after="120" w:line="288" w:lineRule="auto"/>
              <w:ind w:left="453"/>
              <w:jc w:val="left"/>
            </w:pPr>
            <w:r>
              <w:rPr>
                <w:rFonts w:ascii="Arial" w:hAnsi="Arial" w:eastAsia="等线" w:cs="Arial"/>
                <w:sz w:val="22"/>
              </w:rPr>
              <w:t xml:space="preserve">I. Diversification reduces systematic risk. </w:t>
            </w:r>
          </w:p>
          <w:p w14:paraId="579DA16B">
            <w:pPr>
              <w:spacing w:before="120" w:after="120" w:line="288" w:lineRule="auto"/>
              <w:ind w:left="453"/>
              <w:jc w:val="left"/>
            </w:pPr>
            <w:r>
              <w:rPr>
                <w:rFonts w:ascii="Arial" w:hAnsi="Arial" w:eastAsia="等线" w:cs="Arial"/>
                <w:sz w:val="22"/>
              </w:rPr>
              <w:t xml:space="preserve">II. Diversification doesn’t reduce systematic risk. </w:t>
            </w:r>
          </w:p>
          <w:p w14:paraId="10C2448D">
            <w:pPr>
              <w:spacing w:before="120" w:after="120" w:line="288" w:lineRule="auto"/>
              <w:ind w:left="453"/>
              <w:jc w:val="left"/>
            </w:pPr>
            <w:r>
              <w:rPr>
                <w:rFonts w:ascii="Arial" w:hAnsi="Arial" w:eastAsia="等线" w:cs="Arial"/>
                <w:sz w:val="22"/>
              </w:rPr>
              <w:t xml:space="preserve">III. Diversification reduces non-systematic risk. </w:t>
            </w:r>
          </w:p>
          <w:p w14:paraId="1AA4EAC4">
            <w:pPr>
              <w:spacing w:before="120" w:after="120" w:line="288" w:lineRule="auto"/>
              <w:ind w:left="453"/>
              <w:jc w:val="left"/>
            </w:pPr>
            <w:r>
              <w:rPr>
                <w:rFonts w:ascii="Arial" w:hAnsi="Arial" w:eastAsia="等线" w:cs="Arial"/>
                <w:sz w:val="22"/>
              </w:rPr>
              <w:t xml:space="preserve">IV. Diversification doesn’t reduce non-systematic risk. </w:t>
            </w:r>
          </w:p>
          <w:p w14:paraId="24D2CD63">
            <w:pPr>
              <w:numPr>
                <w:ilvl w:val="0"/>
                <w:numId w:val="198"/>
              </w:numPr>
              <w:spacing w:before="120" w:after="120" w:line="288" w:lineRule="auto"/>
              <w:ind w:left="453"/>
              <w:jc w:val="left"/>
            </w:pPr>
            <w:r>
              <w:rPr>
                <w:rFonts w:ascii="Arial" w:hAnsi="Arial" w:eastAsia="等线" w:cs="Arial"/>
                <w:sz w:val="22"/>
              </w:rPr>
              <w:t xml:space="preserve">I and III </w:t>
            </w:r>
          </w:p>
          <w:p w14:paraId="119487B5">
            <w:pPr>
              <w:numPr>
                <w:ilvl w:val="0"/>
                <w:numId w:val="199"/>
              </w:numPr>
              <w:spacing w:before="120" w:after="120" w:line="288" w:lineRule="auto"/>
              <w:ind w:left="453"/>
              <w:jc w:val="left"/>
            </w:pPr>
            <w:r>
              <w:rPr>
                <w:rFonts w:ascii="Arial" w:hAnsi="Arial" w:eastAsia="等线" w:cs="Arial"/>
                <w:sz w:val="22"/>
              </w:rPr>
              <w:t xml:space="preserve">I and IV </w:t>
            </w:r>
          </w:p>
          <w:p w14:paraId="04181C4F">
            <w:pPr>
              <w:numPr>
                <w:ilvl w:val="0"/>
                <w:numId w:val="200"/>
              </w:numPr>
              <w:spacing w:before="120" w:after="120" w:line="288" w:lineRule="auto"/>
              <w:ind w:left="453"/>
              <w:jc w:val="left"/>
            </w:pPr>
            <w:r>
              <w:rPr>
                <w:rFonts w:ascii="Arial" w:hAnsi="Arial" w:eastAsia="等线" w:cs="Arial"/>
                <w:sz w:val="22"/>
              </w:rPr>
              <w:t xml:space="preserve">II and III </w:t>
            </w:r>
          </w:p>
          <w:p w14:paraId="36212FCA">
            <w:pPr>
              <w:numPr>
                <w:ilvl w:val="0"/>
                <w:numId w:val="201"/>
              </w:numPr>
              <w:spacing w:before="120" w:after="120" w:line="288" w:lineRule="auto"/>
              <w:ind w:left="453"/>
              <w:jc w:val="left"/>
            </w:pPr>
            <w:r>
              <w:rPr>
                <w:rFonts w:ascii="Arial" w:hAnsi="Arial" w:eastAsia="等线" w:cs="Arial"/>
                <w:sz w:val="22"/>
              </w:rPr>
              <w:t>II and IV</w:t>
            </w:r>
          </w:p>
          <w:p w14:paraId="5DA0D1BD">
            <w:pPr>
              <w:spacing w:before="120" w:after="120" w:line="288" w:lineRule="auto"/>
              <w:ind w:left="0"/>
              <w:jc w:val="left"/>
            </w:pPr>
          </w:p>
          <w:p w14:paraId="795EF41E">
            <w:pPr>
              <w:numPr>
                <w:ilvl w:val="0"/>
                <w:numId w:val="202"/>
              </w:numPr>
              <w:spacing w:before="120" w:after="120" w:line="288" w:lineRule="auto"/>
              <w:ind w:left="0"/>
              <w:jc w:val="left"/>
            </w:pPr>
            <w:r>
              <w:rPr>
                <w:rFonts w:ascii="Arial" w:hAnsi="Arial" w:eastAsia="等线" w:cs="Arial"/>
                <w:sz w:val="22"/>
              </w:rPr>
              <w:t xml:space="preserve">A client new to investing has $10,000 to invest and wants to build a diversified portfolio. Which of the following is the BEST investment recommendation? </w:t>
            </w:r>
          </w:p>
          <w:p w14:paraId="470095F2">
            <w:pPr>
              <w:numPr>
                <w:ilvl w:val="0"/>
                <w:numId w:val="203"/>
              </w:numPr>
              <w:spacing w:before="120" w:after="120" w:line="288" w:lineRule="auto"/>
              <w:ind w:left="453"/>
              <w:jc w:val="left"/>
            </w:pPr>
            <w:r>
              <w:rPr>
                <w:rFonts w:ascii="Arial" w:hAnsi="Arial" w:eastAsia="等线" w:cs="Arial"/>
                <w:sz w:val="22"/>
              </w:rPr>
              <w:t xml:space="preserve">Purchasing several different mutual funds </w:t>
            </w:r>
          </w:p>
          <w:p w14:paraId="5710BD94">
            <w:pPr>
              <w:numPr>
                <w:ilvl w:val="0"/>
                <w:numId w:val="204"/>
              </w:numPr>
              <w:spacing w:before="120" w:after="120" w:line="288" w:lineRule="auto"/>
              <w:ind w:left="453"/>
              <w:jc w:val="left"/>
            </w:pPr>
            <w:r>
              <w:rPr>
                <w:rFonts w:ascii="Arial" w:hAnsi="Arial" w:eastAsia="等线" w:cs="Arial"/>
                <w:sz w:val="22"/>
              </w:rPr>
              <w:t xml:space="preserve">Purchasing three different types of bonds and several different blue chip stocks </w:t>
            </w:r>
          </w:p>
          <w:p w14:paraId="265ACFBB">
            <w:pPr>
              <w:numPr>
                <w:ilvl w:val="0"/>
                <w:numId w:val="205"/>
              </w:numPr>
              <w:spacing w:before="120" w:after="120" w:line="288" w:lineRule="auto"/>
              <w:ind w:left="453"/>
              <w:jc w:val="left"/>
            </w:pPr>
            <w:r>
              <w:rPr>
                <w:rFonts w:ascii="Arial" w:hAnsi="Arial" w:eastAsia="等线" w:cs="Arial"/>
                <w:sz w:val="22"/>
              </w:rPr>
              <w:t xml:space="preserve">Purchasing T-bonds and gradually adding stocks to the portfolio with the interest received </w:t>
            </w:r>
          </w:p>
          <w:p w14:paraId="5CA08029">
            <w:pPr>
              <w:numPr>
                <w:ilvl w:val="0"/>
                <w:numId w:val="206"/>
              </w:numPr>
              <w:spacing w:before="120" w:after="120" w:line="288" w:lineRule="auto"/>
              <w:ind w:left="453"/>
              <w:jc w:val="left"/>
            </w:pPr>
            <w:r>
              <w:rPr>
                <w:rFonts w:ascii="Arial" w:hAnsi="Arial" w:eastAsia="等线" w:cs="Arial"/>
                <w:sz w:val="22"/>
              </w:rPr>
              <w:t>Waiting until the client has more money to invest because you can’t build a diversified portfolio with $10,000</w:t>
            </w:r>
          </w:p>
          <w:p w14:paraId="47339CD3">
            <w:pPr>
              <w:spacing w:before="120" w:after="120" w:line="288" w:lineRule="auto"/>
              <w:ind w:left="0"/>
              <w:jc w:val="left"/>
            </w:pPr>
          </w:p>
          <w:p w14:paraId="4C862AF8">
            <w:pPr>
              <w:numPr>
                <w:ilvl w:val="0"/>
                <w:numId w:val="207"/>
              </w:numPr>
              <w:spacing w:before="120" w:after="120" w:line="288" w:lineRule="auto"/>
              <w:ind w:left="0"/>
              <w:jc w:val="left"/>
            </w:pPr>
            <w:r>
              <w:rPr>
                <w:rFonts w:ascii="Arial" w:hAnsi="Arial" w:eastAsia="等线" w:cs="Arial"/>
                <w:sz w:val="22"/>
              </w:rPr>
              <w:t>Which of the following is a way an investor can diversify investments?</w:t>
            </w:r>
          </w:p>
          <w:p w14:paraId="41C2398C">
            <w:pPr>
              <w:spacing w:before="120" w:after="120" w:line="288" w:lineRule="auto"/>
              <w:ind w:left="0"/>
              <w:jc w:val="left"/>
            </w:pPr>
            <w:r>
              <w:rPr>
                <w:rFonts w:ascii="Arial" w:hAnsi="Arial" w:eastAsia="等线" w:cs="Arial"/>
                <w:sz w:val="22"/>
              </w:rPr>
              <w:t>(A) Geographically</w:t>
            </w:r>
          </w:p>
          <w:p w14:paraId="37F87325">
            <w:pPr>
              <w:spacing w:before="120" w:after="120" w:line="288" w:lineRule="auto"/>
              <w:ind w:left="0"/>
              <w:jc w:val="left"/>
            </w:pPr>
            <w:r>
              <w:rPr>
                <w:rFonts w:ascii="Arial" w:hAnsi="Arial" w:eastAsia="等线" w:cs="Arial"/>
                <w:sz w:val="22"/>
              </w:rPr>
              <w:t>(B) Investing in stocks from different sectors</w:t>
            </w:r>
          </w:p>
          <w:p w14:paraId="38FF6488">
            <w:pPr>
              <w:spacing w:before="120" w:after="120" w:line="288" w:lineRule="auto"/>
              <w:ind w:left="0"/>
              <w:jc w:val="left"/>
            </w:pPr>
            <w:r>
              <w:rPr>
                <w:rFonts w:ascii="Arial" w:hAnsi="Arial" w:eastAsia="等线" w:cs="Arial"/>
                <w:sz w:val="22"/>
              </w:rPr>
              <w:t>(C) Purchasing bonds with different maturity dates</w:t>
            </w:r>
          </w:p>
          <w:p w14:paraId="52BF3D75">
            <w:pPr>
              <w:spacing w:before="120" w:after="120" w:line="288" w:lineRule="auto"/>
              <w:ind w:left="0"/>
              <w:jc w:val="left"/>
            </w:pPr>
            <w:r>
              <w:rPr>
                <w:rFonts w:ascii="Arial" w:hAnsi="Arial" w:eastAsia="等线" w:cs="Arial"/>
                <w:sz w:val="22"/>
              </w:rPr>
              <w:t>(D) All of the above</w:t>
            </w:r>
          </w:p>
          <w:p w14:paraId="4B299813">
            <w:pPr>
              <w:spacing w:before="120" w:after="120" w:line="288" w:lineRule="auto"/>
              <w:ind w:left="0"/>
              <w:jc w:val="left"/>
            </w:pPr>
          </w:p>
          <w:p w14:paraId="231A6D29">
            <w:pPr>
              <w:numPr>
                <w:ilvl w:val="0"/>
                <w:numId w:val="208"/>
              </w:numPr>
              <w:spacing w:before="120" w:after="120" w:line="288" w:lineRule="auto"/>
              <w:ind w:left="0"/>
              <w:jc w:val="left"/>
            </w:pPr>
            <w:r>
              <w:rPr>
                <w:rFonts w:ascii="Arial" w:hAnsi="Arial" w:eastAsia="等线" w:cs="Arial"/>
                <w:sz w:val="22"/>
              </w:rPr>
              <w:t>Melissa wants to invest in a retirement plan that protects against purchasing power risk. Which</w:t>
            </w:r>
          </w:p>
          <w:p w14:paraId="1B261F37">
            <w:pPr>
              <w:spacing w:before="120" w:after="120" w:line="288" w:lineRule="auto"/>
              <w:ind w:left="0"/>
              <w:jc w:val="left"/>
            </w:pPr>
            <w:r>
              <w:rPr>
                <w:rFonts w:ascii="Arial" w:hAnsi="Arial" w:eastAsia="等线" w:cs="Arial"/>
                <w:sz w:val="22"/>
              </w:rPr>
              <w:t>of the following would be the most suitable investment?</w:t>
            </w:r>
          </w:p>
          <w:p w14:paraId="731A15B1">
            <w:pPr>
              <w:spacing w:before="120" w:after="120" w:line="288" w:lineRule="auto"/>
              <w:ind w:left="0"/>
              <w:jc w:val="left"/>
            </w:pPr>
            <w:r>
              <w:rPr>
                <w:rFonts w:ascii="Arial" w:hAnsi="Arial" w:eastAsia="等线" w:cs="Arial"/>
                <w:sz w:val="22"/>
              </w:rPr>
              <w:t>(A) Municipal bonds</w:t>
            </w:r>
          </w:p>
          <w:p w14:paraId="0877CB96">
            <w:pPr>
              <w:spacing w:before="120" w:after="120" w:line="288" w:lineRule="auto"/>
              <w:ind w:left="0"/>
              <w:jc w:val="left"/>
            </w:pPr>
            <w:r>
              <w:rPr>
                <w:rFonts w:ascii="Arial" w:hAnsi="Arial" w:eastAsia="等线" w:cs="Arial"/>
                <w:sz w:val="22"/>
              </w:rPr>
              <w:t>(B) Common stock</w:t>
            </w:r>
          </w:p>
          <w:p w14:paraId="676008DA">
            <w:pPr>
              <w:spacing w:before="120" w:after="120" w:line="288" w:lineRule="auto"/>
              <w:ind w:left="0"/>
              <w:jc w:val="left"/>
            </w:pPr>
            <w:r>
              <w:rPr>
                <w:rFonts w:ascii="Arial" w:hAnsi="Arial" w:eastAsia="等线" w:cs="Arial"/>
                <w:sz w:val="22"/>
              </w:rPr>
              <w:t>(C) Variable annuities</w:t>
            </w:r>
          </w:p>
          <w:p w14:paraId="319563FF">
            <w:pPr>
              <w:spacing w:before="120" w:after="120" w:line="288" w:lineRule="auto"/>
              <w:ind w:left="0"/>
              <w:jc w:val="left"/>
            </w:pPr>
            <w:r>
              <w:rPr>
                <w:rFonts w:ascii="Arial" w:hAnsi="Arial" w:eastAsia="等线" w:cs="Arial"/>
                <w:sz w:val="22"/>
              </w:rPr>
              <w:t>(D) Fixed annuities</w:t>
            </w:r>
          </w:p>
          <w:p w14:paraId="54F0B94B">
            <w:pPr>
              <w:spacing w:before="120" w:after="120" w:line="288" w:lineRule="auto"/>
              <w:ind w:left="0"/>
              <w:jc w:val="left"/>
            </w:pPr>
          </w:p>
          <w:p w14:paraId="10E47147">
            <w:pPr>
              <w:numPr>
                <w:ilvl w:val="0"/>
                <w:numId w:val="209"/>
              </w:numPr>
              <w:spacing w:before="120" w:after="120" w:line="288" w:lineRule="auto"/>
              <w:ind w:left="0"/>
              <w:jc w:val="left"/>
            </w:pPr>
            <w:r>
              <w:rPr>
                <w:rFonts w:ascii="Arial" w:hAnsi="Arial" w:eastAsia="等线" w:cs="Arial"/>
                <w:sz w:val="22"/>
              </w:rPr>
              <w:t>A registered representative from Missed Again Securities is reviewing one of their client’s</w:t>
            </w:r>
          </w:p>
          <w:p w14:paraId="5E875126">
            <w:pPr>
              <w:spacing w:before="120" w:after="120" w:line="288" w:lineRule="auto"/>
              <w:ind w:left="0"/>
              <w:jc w:val="left"/>
            </w:pPr>
            <w:r>
              <w:rPr>
                <w:rFonts w:ascii="Arial" w:hAnsi="Arial" w:eastAsia="等线" w:cs="Arial"/>
                <w:sz w:val="22"/>
              </w:rPr>
              <w:t>portfolios. They see that the client has 35 percent invested in TUV Energy Company, 15 percent</w:t>
            </w:r>
          </w:p>
          <w:p w14:paraId="14A083A5">
            <w:pPr>
              <w:spacing w:before="120" w:after="120" w:line="288" w:lineRule="auto"/>
              <w:ind w:left="0"/>
              <w:jc w:val="left"/>
            </w:pPr>
            <w:r>
              <w:rPr>
                <w:rFonts w:ascii="Arial" w:hAnsi="Arial" w:eastAsia="等线" w:cs="Arial"/>
                <w:sz w:val="22"/>
              </w:rPr>
              <w:t>invested in ETFs tracking the S&amp;P 500, 35 percent in LMN Healthcare Company, 15 percent in</w:t>
            </w:r>
          </w:p>
          <w:p w14:paraId="36A8612C">
            <w:pPr>
              <w:spacing w:before="120" w:after="120" w:line="288" w:lineRule="auto"/>
              <w:ind w:left="0"/>
              <w:jc w:val="left"/>
            </w:pPr>
            <w:r>
              <w:rPr>
                <w:rFonts w:ascii="Arial" w:hAnsi="Arial" w:eastAsia="等线" w:cs="Arial"/>
                <w:sz w:val="22"/>
              </w:rPr>
              <w:t>U.S. government securities, and 10 percent in money market funds. Which of the following risks</w:t>
            </w:r>
          </w:p>
          <w:p w14:paraId="3C3E73A6">
            <w:pPr>
              <w:spacing w:before="120" w:after="120" w:line="288" w:lineRule="auto"/>
              <w:ind w:left="0"/>
              <w:jc w:val="left"/>
            </w:pPr>
            <w:r>
              <w:rPr>
                <w:rFonts w:ascii="Arial" w:hAnsi="Arial" w:eastAsia="等线" w:cs="Arial"/>
                <w:sz w:val="22"/>
              </w:rPr>
              <w:t>are built into this portfolio?</w:t>
            </w:r>
          </w:p>
          <w:p w14:paraId="28A0A9CC">
            <w:pPr>
              <w:spacing w:before="120" w:after="120" w:line="288" w:lineRule="auto"/>
              <w:ind w:left="0"/>
              <w:jc w:val="left"/>
            </w:pPr>
            <w:r>
              <w:rPr>
                <w:rFonts w:ascii="Arial" w:hAnsi="Arial" w:eastAsia="等线" w:cs="Arial"/>
                <w:sz w:val="22"/>
              </w:rPr>
              <w:t>(A) Liquidity risk</w:t>
            </w:r>
          </w:p>
          <w:p w14:paraId="5E207DCC">
            <w:pPr>
              <w:spacing w:before="120" w:after="120" w:line="288" w:lineRule="auto"/>
              <w:ind w:left="0"/>
              <w:jc w:val="left"/>
            </w:pPr>
            <w:r>
              <w:rPr>
                <w:rFonts w:ascii="Arial" w:hAnsi="Arial" w:eastAsia="等线" w:cs="Arial"/>
                <w:sz w:val="22"/>
              </w:rPr>
              <w:t>(B) Political risk</w:t>
            </w:r>
          </w:p>
          <w:p w14:paraId="03336DB5">
            <w:pPr>
              <w:spacing w:before="120" w:after="120" w:line="288" w:lineRule="auto"/>
              <w:ind w:left="0"/>
              <w:jc w:val="left"/>
            </w:pPr>
            <w:r>
              <w:rPr>
                <w:rFonts w:ascii="Arial" w:hAnsi="Arial" w:eastAsia="等线" w:cs="Arial"/>
                <w:sz w:val="22"/>
              </w:rPr>
              <w:t>(C) Credit risk</w:t>
            </w:r>
          </w:p>
          <w:p w14:paraId="294D72FB">
            <w:pPr>
              <w:spacing w:before="120" w:after="120" w:line="288" w:lineRule="auto"/>
              <w:ind w:left="0"/>
              <w:jc w:val="left"/>
            </w:pPr>
            <w:r>
              <w:rPr>
                <w:rFonts w:ascii="Arial" w:hAnsi="Arial" w:eastAsia="等线" w:cs="Arial"/>
                <w:sz w:val="22"/>
              </w:rPr>
              <w:t>(D) Nonsystematic risk</w:t>
            </w:r>
          </w:p>
          <w:p w14:paraId="5ACFE063">
            <w:pPr>
              <w:spacing w:before="120" w:after="120" w:line="288" w:lineRule="auto"/>
              <w:ind w:left="0"/>
              <w:jc w:val="left"/>
            </w:pPr>
          </w:p>
          <w:p w14:paraId="06AF19EE">
            <w:pPr>
              <w:numPr>
                <w:ilvl w:val="0"/>
                <w:numId w:val="210"/>
              </w:numPr>
              <w:spacing w:before="120" w:after="120" w:line="288" w:lineRule="auto"/>
              <w:ind w:left="0"/>
              <w:jc w:val="left"/>
            </w:pPr>
            <w:r>
              <w:rPr>
                <w:rFonts w:ascii="Arial" w:hAnsi="Arial" w:eastAsia="等线" w:cs="Arial"/>
                <w:sz w:val="22"/>
              </w:rPr>
              <w:t>Which of the following risks apply to both domestic and foreign debt securities?</w:t>
            </w:r>
          </w:p>
          <w:p w14:paraId="395092FE">
            <w:pPr>
              <w:spacing w:before="120" w:after="120" w:line="288" w:lineRule="auto"/>
              <w:ind w:left="0"/>
              <w:jc w:val="left"/>
            </w:pPr>
            <w:r>
              <w:rPr>
                <w:rFonts w:ascii="Arial" w:hAnsi="Arial" w:eastAsia="等线" w:cs="Arial"/>
                <w:sz w:val="22"/>
              </w:rPr>
              <w:t>(A) Regulatory</w:t>
            </w:r>
          </w:p>
          <w:p w14:paraId="37940E15">
            <w:pPr>
              <w:spacing w:before="120" w:after="120" w:line="288" w:lineRule="auto"/>
              <w:ind w:left="0"/>
              <w:jc w:val="left"/>
            </w:pPr>
            <w:r>
              <w:rPr>
                <w:rFonts w:ascii="Arial" w:hAnsi="Arial" w:eastAsia="等线" w:cs="Arial"/>
                <w:sz w:val="22"/>
              </w:rPr>
              <w:t>(B) Political</w:t>
            </w:r>
          </w:p>
          <w:p w14:paraId="76FA170B">
            <w:pPr>
              <w:spacing w:before="120" w:after="120" w:line="288" w:lineRule="auto"/>
              <w:ind w:left="0"/>
              <w:jc w:val="left"/>
            </w:pPr>
            <w:r>
              <w:rPr>
                <w:rFonts w:ascii="Arial" w:hAnsi="Arial" w:eastAsia="等线" w:cs="Arial"/>
                <w:sz w:val="22"/>
              </w:rPr>
              <w:t>(C) Interest rate</w:t>
            </w:r>
          </w:p>
          <w:p w14:paraId="43622094">
            <w:pPr>
              <w:spacing w:before="120" w:after="120" w:line="288" w:lineRule="auto"/>
              <w:ind w:left="0"/>
              <w:jc w:val="left"/>
            </w:pPr>
            <w:r>
              <w:rPr>
                <w:rFonts w:ascii="Arial" w:hAnsi="Arial" w:eastAsia="等线" w:cs="Arial"/>
                <w:sz w:val="22"/>
              </w:rPr>
              <w:t>(D) All of the above</w:t>
            </w:r>
          </w:p>
          <w:p w14:paraId="3620A68C">
            <w:pPr>
              <w:spacing w:before="120" w:after="120" w:line="288" w:lineRule="auto"/>
              <w:ind w:left="0"/>
              <w:jc w:val="left"/>
            </w:pPr>
          </w:p>
          <w:p w14:paraId="4DCF1094">
            <w:pPr>
              <w:numPr>
                <w:ilvl w:val="0"/>
                <w:numId w:val="211"/>
              </w:numPr>
              <w:spacing w:before="120" w:after="120" w:line="288" w:lineRule="auto"/>
              <w:ind w:left="0"/>
              <w:jc w:val="left"/>
            </w:pPr>
            <w:r>
              <w:rPr>
                <w:rFonts w:ascii="Arial" w:hAnsi="Arial" w:eastAsia="等线" w:cs="Arial"/>
                <w:sz w:val="22"/>
              </w:rPr>
              <w:t>The greatest investment risk that an investor would face when purchasing a variable annuity is</w:t>
            </w:r>
          </w:p>
          <w:p w14:paraId="6CC056DF">
            <w:pPr>
              <w:spacing w:before="120" w:after="120" w:line="288" w:lineRule="auto"/>
              <w:ind w:left="0"/>
              <w:jc w:val="left"/>
            </w:pPr>
            <w:r>
              <w:rPr>
                <w:rFonts w:ascii="Arial" w:hAnsi="Arial" w:eastAsia="等线" w:cs="Arial"/>
                <w:sz w:val="22"/>
              </w:rPr>
              <w:t>(A) interest rate risk</w:t>
            </w:r>
          </w:p>
          <w:p w14:paraId="550D4258">
            <w:pPr>
              <w:spacing w:before="120" w:after="120" w:line="288" w:lineRule="auto"/>
              <w:ind w:left="0"/>
              <w:jc w:val="left"/>
            </w:pPr>
            <w:r>
              <w:rPr>
                <w:rFonts w:ascii="Arial" w:hAnsi="Arial" w:eastAsia="等线" w:cs="Arial"/>
                <w:sz w:val="22"/>
              </w:rPr>
              <w:t>(B) market risk</w:t>
            </w:r>
          </w:p>
          <w:p w14:paraId="3A1598A7">
            <w:pPr>
              <w:spacing w:before="120" w:after="120" w:line="288" w:lineRule="auto"/>
              <w:ind w:left="0"/>
              <w:jc w:val="left"/>
            </w:pPr>
            <w:r>
              <w:rPr>
                <w:rFonts w:ascii="Arial" w:hAnsi="Arial" w:eastAsia="等线" w:cs="Arial"/>
                <w:sz w:val="22"/>
              </w:rPr>
              <w:t>(C) purchasing power risk</w:t>
            </w:r>
          </w:p>
          <w:p w14:paraId="0A289BBB">
            <w:pPr>
              <w:spacing w:before="120" w:after="120" w:line="288" w:lineRule="auto"/>
              <w:ind w:left="0"/>
              <w:jc w:val="left"/>
            </w:pPr>
            <w:r>
              <w:rPr>
                <w:rFonts w:ascii="Arial" w:hAnsi="Arial" w:eastAsia="等线" w:cs="Arial"/>
                <w:sz w:val="22"/>
              </w:rPr>
              <w:t>(D) credit risk</w:t>
            </w:r>
          </w:p>
          <w:p w14:paraId="2377D37C">
            <w:pPr>
              <w:spacing w:before="120" w:after="120" w:line="288" w:lineRule="auto"/>
              <w:ind w:left="0"/>
              <w:jc w:val="left"/>
            </w:pPr>
          </w:p>
          <w:p w14:paraId="6202B31C">
            <w:pPr>
              <w:numPr>
                <w:ilvl w:val="0"/>
                <w:numId w:val="212"/>
              </w:numPr>
              <w:spacing w:before="120" w:after="120" w:line="288" w:lineRule="auto"/>
              <w:ind w:left="0"/>
              <w:jc w:val="left"/>
            </w:pPr>
            <w:r>
              <w:rPr>
                <w:rFonts w:ascii="Arial" w:hAnsi="Arial" w:eastAsia="等线" w:cs="Arial"/>
                <w:sz w:val="22"/>
              </w:rPr>
              <w:t>A fundamental analyst examines all of the following EXCEPT</w:t>
            </w:r>
          </w:p>
          <w:p w14:paraId="5E18C141">
            <w:pPr>
              <w:spacing w:before="120" w:after="120" w:line="288" w:lineRule="auto"/>
              <w:ind w:left="0" w:firstLine="0"/>
              <w:jc w:val="left"/>
            </w:pPr>
            <w:r>
              <w:rPr>
                <w:rFonts w:ascii="Arial" w:hAnsi="Arial" w:eastAsia="等线" w:cs="Arial"/>
                <w:sz w:val="22"/>
              </w:rPr>
              <w:t>(A) earnings per share</w:t>
            </w:r>
          </w:p>
          <w:p w14:paraId="47CBC2B9">
            <w:pPr>
              <w:spacing w:before="120" w:after="120" w:line="288" w:lineRule="auto"/>
              <w:ind w:left="0" w:firstLine="0"/>
              <w:jc w:val="left"/>
            </w:pPr>
            <w:r>
              <w:rPr>
                <w:rFonts w:ascii="Arial" w:hAnsi="Arial" w:eastAsia="等线" w:cs="Arial"/>
                <w:sz w:val="22"/>
              </w:rPr>
              <w:t>(B) balance sheets</w:t>
            </w:r>
          </w:p>
          <w:p w14:paraId="5608C4C9">
            <w:pPr>
              <w:spacing w:before="120" w:after="120" w:line="288" w:lineRule="auto"/>
              <w:ind w:left="0"/>
              <w:jc w:val="left"/>
            </w:pPr>
            <w:r>
              <w:rPr>
                <w:rFonts w:ascii="Arial" w:hAnsi="Arial" w:eastAsia="等线" w:cs="Arial"/>
                <w:sz w:val="22"/>
              </w:rPr>
              <w:t xml:space="preserve">(C) income statements </w:t>
            </w:r>
          </w:p>
          <w:p w14:paraId="77510EA0">
            <w:pPr>
              <w:spacing w:before="120" w:after="120" w:line="288" w:lineRule="auto"/>
              <w:ind w:left="0" w:firstLine="0"/>
              <w:jc w:val="left"/>
            </w:pPr>
            <w:r>
              <w:rPr>
                <w:rFonts w:ascii="Arial" w:hAnsi="Arial" w:eastAsia="等线" w:cs="Arial"/>
                <w:sz w:val="22"/>
              </w:rPr>
              <w:t>(D) trend lines</w:t>
            </w:r>
          </w:p>
          <w:p w14:paraId="0269C1CB">
            <w:pPr>
              <w:spacing w:before="120" w:after="120" w:line="288" w:lineRule="auto"/>
              <w:ind w:left="0"/>
              <w:jc w:val="left"/>
            </w:pPr>
          </w:p>
          <w:p w14:paraId="5F390E3B">
            <w:pPr>
              <w:numPr>
                <w:ilvl w:val="0"/>
                <w:numId w:val="213"/>
              </w:numPr>
              <w:spacing w:before="120" w:after="120" w:line="288" w:lineRule="auto"/>
              <w:ind w:left="0"/>
              <w:jc w:val="left"/>
            </w:pPr>
            <w:r>
              <w:rPr>
                <w:rFonts w:ascii="Arial" w:hAnsi="Arial" w:eastAsia="等线" w:cs="Arial"/>
                <w:sz w:val="22"/>
              </w:rPr>
              <w:t>All of the following are examined by a fundamental analyst EXCEPT</w:t>
            </w:r>
          </w:p>
          <w:p w14:paraId="207BDF55">
            <w:pPr>
              <w:spacing w:before="120" w:after="120" w:line="288" w:lineRule="auto"/>
              <w:ind w:left="0"/>
              <w:jc w:val="left"/>
            </w:pPr>
            <w:r>
              <w:rPr>
                <w:rFonts w:ascii="Arial" w:hAnsi="Arial" w:eastAsia="等线" w:cs="Arial"/>
                <w:sz w:val="22"/>
              </w:rPr>
              <w:t>(A) earnings per share</w:t>
            </w:r>
          </w:p>
          <w:p w14:paraId="6AC34C15">
            <w:pPr>
              <w:spacing w:before="120" w:after="120" w:line="288" w:lineRule="auto"/>
              <w:ind w:left="0"/>
              <w:jc w:val="left"/>
            </w:pPr>
            <w:r>
              <w:rPr>
                <w:rFonts w:ascii="Arial" w:hAnsi="Arial" w:eastAsia="等线" w:cs="Arial"/>
                <w:sz w:val="22"/>
              </w:rPr>
              <w:t>(B) balance sheets</w:t>
            </w:r>
          </w:p>
          <w:p w14:paraId="6EFED2FE">
            <w:pPr>
              <w:spacing w:before="120" w:after="120" w:line="288" w:lineRule="auto"/>
              <w:ind w:left="0"/>
              <w:jc w:val="left"/>
            </w:pPr>
            <w:r>
              <w:rPr>
                <w:rFonts w:ascii="Arial" w:hAnsi="Arial" w:eastAsia="等线" w:cs="Arial"/>
                <w:sz w:val="22"/>
              </w:rPr>
              <w:t>(C) the industry</w:t>
            </w:r>
          </w:p>
          <w:p w14:paraId="34B8F90C">
            <w:pPr>
              <w:spacing w:before="120" w:after="120" w:line="288" w:lineRule="auto"/>
              <w:ind w:left="0"/>
              <w:jc w:val="left"/>
            </w:pPr>
            <w:r>
              <w:rPr>
                <w:rFonts w:ascii="Arial" w:hAnsi="Arial" w:eastAsia="等线" w:cs="Arial"/>
                <w:sz w:val="22"/>
              </w:rPr>
              <w:t>(D) timing</w:t>
            </w:r>
          </w:p>
          <w:p w14:paraId="60FCFB34">
            <w:pPr>
              <w:spacing w:before="120" w:after="120" w:line="288" w:lineRule="auto"/>
              <w:ind w:left="0"/>
              <w:jc w:val="left"/>
            </w:pPr>
          </w:p>
          <w:p w14:paraId="6197511E">
            <w:pPr>
              <w:numPr>
                <w:ilvl w:val="0"/>
                <w:numId w:val="214"/>
              </w:numPr>
              <w:spacing w:before="120" w:after="120" w:line="288" w:lineRule="auto"/>
              <w:ind w:left="0"/>
              <w:jc w:val="left"/>
            </w:pPr>
            <w:r>
              <w:rPr>
                <w:rFonts w:ascii="Arial" w:hAnsi="Arial" w:eastAsia="等线" w:cs="Arial"/>
                <w:sz w:val="22"/>
              </w:rPr>
              <w:t>All of the following can be found on a corporation’s balance sheet EXCEPT</w:t>
            </w:r>
          </w:p>
          <w:p w14:paraId="5667E153">
            <w:pPr>
              <w:spacing w:before="120" w:after="120" w:line="288" w:lineRule="auto"/>
              <w:ind w:left="0"/>
              <w:jc w:val="left"/>
            </w:pPr>
            <w:r>
              <w:rPr>
                <w:rFonts w:ascii="Arial" w:hAnsi="Arial" w:eastAsia="等线" w:cs="Arial"/>
                <w:sz w:val="22"/>
              </w:rPr>
              <w:t>(A)  fixed assets</w:t>
            </w:r>
          </w:p>
          <w:p w14:paraId="64FC7034">
            <w:pPr>
              <w:spacing w:before="120" w:after="120" w:line="288" w:lineRule="auto"/>
              <w:ind w:left="0"/>
              <w:jc w:val="left"/>
            </w:pPr>
            <w:r>
              <w:rPr>
                <w:rFonts w:ascii="Arial" w:hAnsi="Arial" w:eastAsia="等线" w:cs="Arial"/>
                <w:sz w:val="22"/>
              </w:rPr>
              <w:t xml:space="preserve">(B)  long-term liabilities </w:t>
            </w:r>
          </w:p>
          <w:p w14:paraId="5FED18A6">
            <w:pPr>
              <w:spacing w:before="120" w:after="120" w:line="288" w:lineRule="auto"/>
              <w:ind w:left="0"/>
              <w:jc w:val="left"/>
            </w:pPr>
            <w:r>
              <w:rPr>
                <w:rFonts w:ascii="Arial" w:hAnsi="Arial" w:eastAsia="等线" w:cs="Arial"/>
                <w:sz w:val="22"/>
              </w:rPr>
              <w:t>(C)  retained earnings</w:t>
            </w:r>
          </w:p>
          <w:p w14:paraId="0917DF02">
            <w:pPr>
              <w:spacing w:before="120" w:after="120" w:line="288" w:lineRule="auto"/>
              <w:ind w:left="0"/>
              <w:jc w:val="left"/>
            </w:pPr>
            <w:r>
              <w:rPr>
                <w:rFonts w:ascii="Arial" w:hAnsi="Arial" w:eastAsia="等线" w:cs="Arial"/>
                <w:sz w:val="22"/>
              </w:rPr>
              <w:t>(D)  net income</w:t>
            </w:r>
          </w:p>
          <w:p w14:paraId="2F342EA1">
            <w:pPr>
              <w:spacing w:before="120" w:after="120" w:line="288" w:lineRule="auto"/>
              <w:ind w:left="0"/>
              <w:jc w:val="left"/>
            </w:pPr>
          </w:p>
          <w:p w14:paraId="4C43D0BA">
            <w:pPr>
              <w:numPr>
                <w:ilvl w:val="0"/>
                <w:numId w:val="215"/>
              </w:numPr>
              <w:spacing w:before="120" w:after="120" w:line="288" w:lineRule="auto"/>
              <w:ind w:left="0"/>
              <w:jc w:val="left"/>
            </w:pPr>
            <w:r>
              <w:rPr>
                <w:rFonts w:ascii="Arial" w:hAnsi="Arial" w:eastAsia="等线" w:cs="Arial"/>
                <w:sz w:val="22"/>
              </w:rPr>
              <w:t xml:space="preserve">Which of the following is the balance sheet equation? </w:t>
            </w:r>
          </w:p>
          <w:p w14:paraId="00FF1EFB">
            <w:pPr>
              <w:spacing w:before="120" w:after="120" w:line="288" w:lineRule="auto"/>
              <w:ind w:left="0"/>
              <w:jc w:val="left"/>
            </w:pPr>
            <w:r>
              <w:rPr>
                <w:rFonts w:ascii="Arial" w:hAnsi="Arial" w:eastAsia="等线" w:cs="Arial"/>
                <w:sz w:val="22"/>
              </w:rPr>
              <w:t xml:space="preserve">（A）Assets = liabilities + shareholder’s equity </w:t>
            </w:r>
          </w:p>
          <w:p w14:paraId="766D9F94">
            <w:pPr>
              <w:spacing w:before="120" w:after="120" w:line="288" w:lineRule="auto"/>
              <w:ind w:left="0"/>
              <w:jc w:val="left"/>
            </w:pPr>
            <w:r>
              <w:rPr>
                <w:rFonts w:ascii="Arial" w:hAnsi="Arial" w:eastAsia="等线" w:cs="Arial"/>
                <w:sz w:val="22"/>
              </w:rPr>
              <w:t xml:space="preserve">（B）Assets + liabilities = shareholder’s equity </w:t>
            </w:r>
          </w:p>
          <w:p w14:paraId="153C7A6F">
            <w:pPr>
              <w:spacing w:before="120" w:after="120" w:line="288" w:lineRule="auto"/>
              <w:ind w:left="0"/>
              <w:jc w:val="left"/>
            </w:pPr>
            <w:r>
              <w:rPr>
                <w:rFonts w:ascii="Arial" w:hAnsi="Arial" w:eastAsia="等线" w:cs="Arial"/>
                <w:sz w:val="22"/>
              </w:rPr>
              <w:t xml:space="preserve">（C）Shareholder’s equity + assets = liabilities </w:t>
            </w:r>
          </w:p>
          <w:p w14:paraId="12EE3A68">
            <w:pPr>
              <w:spacing w:before="120" w:after="120" w:line="288" w:lineRule="auto"/>
              <w:ind w:left="0"/>
              <w:jc w:val="left"/>
            </w:pPr>
            <w:r>
              <w:rPr>
                <w:rFonts w:ascii="Arial" w:hAnsi="Arial" w:eastAsia="等线" w:cs="Arial"/>
                <w:sz w:val="22"/>
              </w:rPr>
              <w:t>（D）None of the above</w:t>
            </w:r>
          </w:p>
          <w:p w14:paraId="4C12B4B6">
            <w:pPr>
              <w:spacing w:before="120" w:after="120" w:line="288" w:lineRule="auto"/>
              <w:ind w:left="0"/>
              <w:jc w:val="left"/>
            </w:pPr>
          </w:p>
          <w:p w14:paraId="254420FE">
            <w:pPr>
              <w:numPr>
                <w:ilvl w:val="0"/>
                <w:numId w:val="216"/>
              </w:numPr>
              <w:spacing w:before="120" w:after="120" w:line="288" w:lineRule="auto"/>
              <w:ind w:left="0"/>
              <w:jc w:val="left"/>
            </w:pPr>
            <w:r>
              <w:rPr>
                <w:rFonts w:ascii="Arial" w:hAnsi="Arial" w:eastAsia="等线" w:cs="Arial"/>
                <w:sz w:val="22"/>
              </w:rPr>
              <w:t>Proponents of the Dow Theory look at</w:t>
            </w:r>
          </w:p>
          <w:p w14:paraId="6BA49158">
            <w:pPr>
              <w:spacing w:before="120" w:after="120" w:line="288" w:lineRule="auto"/>
              <w:ind w:left="0"/>
              <w:jc w:val="left"/>
            </w:pPr>
            <w:r>
              <w:rPr>
                <w:rFonts w:ascii="Arial" w:hAnsi="Arial" w:eastAsia="等线" w:cs="Arial"/>
                <w:sz w:val="22"/>
              </w:rPr>
              <w:t>(A) the Dow Jones Composite Average and the DJIA</w:t>
            </w:r>
          </w:p>
          <w:p w14:paraId="487AC848">
            <w:pPr>
              <w:spacing w:before="120" w:after="120" w:line="288" w:lineRule="auto"/>
              <w:ind w:left="0"/>
              <w:jc w:val="left"/>
            </w:pPr>
            <w:r>
              <w:rPr>
                <w:rFonts w:ascii="Arial" w:hAnsi="Arial" w:eastAsia="等线" w:cs="Arial"/>
                <w:sz w:val="22"/>
              </w:rPr>
              <w:t>(B) the Dow Jones Utility Average and the Dow Jones Transportation Average</w:t>
            </w:r>
          </w:p>
          <w:p w14:paraId="6D9B1E5E">
            <w:pPr>
              <w:spacing w:before="120" w:after="120" w:line="288" w:lineRule="auto"/>
              <w:ind w:left="0"/>
              <w:jc w:val="left"/>
            </w:pPr>
            <w:r>
              <w:rPr>
                <w:rFonts w:ascii="Arial" w:hAnsi="Arial" w:eastAsia="等线" w:cs="Arial"/>
                <w:sz w:val="22"/>
              </w:rPr>
              <w:t>(C) the DJIA and the Dow Jones Transportation Average</w:t>
            </w:r>
          </w:p>
          <w:p w14:paraId="17A294CE">
            <w:pPr>
              <w:spacing w:before="120" w:after="120" w:line="288" w:lineRule="auto"/>
              <w:ind w:left="0"/>
              <w:jc w:val="left"/>
            </w:pPr>
            <w:r>
              <w:rPr>
                <w:rFonts w:ascii="Arial" w:hAnsi="Arial" w:eastAsia="等线" w:cs="Arial"/>
                <w:sz w:val="22"/>
              </w:rPr>
              <w:t>(D) the Dow Jones Composite Average and the Dow Jones Utility Average</w:t>
            </w:r>
          </w:p>
          <w:p w14:paraId="4D71CCEB">
            <w:pPr>
              <w:spacing w:before="120" w:after="120" w:line="288" w:lineRule="auto"/>
              <w:ind w:left="0"/>
              <w:jc w:val="left"/>
            </w:pPr>
          </w:p>
          <w:p w14:paraId="2AE013E4">
            <w:pPr>
              <w:numPr>
                <w:ilvl w:val="0"/>
                <w:numId w:val="217"/>
              </w:numPr>
              <w:spacing w:before="120" w:after="120" w:line="288" w:lineRule="auto"/>
              <w:ind w:left="0"/>
              <w:jc w:val="left"/>
            </w:pPr>
            <w:r>
              <w:rPr>
                <w:rFonts w:ascii="Arial" w:hAnsi="Arial" w:eastAsia="等线" w:cs="Arial"/>
                <w:sz w:val="22"/>
              </w:rPr>
              <w:t xml:space="preserve">Bearish strategies include </w:t>
            </w:r>
          </w:p>
          <w:p w14:paraId="5FB7E7C0">
            <w:pPr>
              <w:spacing w:before="120" w:after="120" w:line="288" w:lineRule="auto"/>
              <w:ind w:left="0"/>
              <w:jc w:val="left"/>
            </w:pPr>
            <w:r>
              <w:rPr>
                <w:rFonts w:ascii="Arial" w:hAnsi="Arial" w:eastAsia="等线" w:cs="Arial"/>
                <w:sz w:val="22"/>
              </w:rPr>
              <w:t xml:space="preserve">I. selling stocks short </w:t>
            </w:r>
          </w:p>
          <w:p w14:paraId="6706B86D">
            <w:pPr>
              <w:spacing w:before="120" w:after="120" w:line="288" w:lineRule="auto"/>
              <w:ind w:left="0"/>
              <w:jc w:val="left"/>
            </w:pPr>
            <w:r>
              <w:rPr>
                <w:rFonts w:ascii="Arial" w:hAnsi="Arial" w:eastAsia="等线" w:cs="Arial"/>
                <w:sz w:val="22"/>
              </w:rPr>
              <w:t xml:space="preserve">II. buying put options </w:t>
            </w:r>
          </w:p>
          <w:p w14:paraId="236FC185">
            <w:pPr>
              <w:spacing w:before="120" w:after="120" w:line="288" w:lineRule="auto"/>
              <w:ind w:left="0"/>
              <w:jc w:val="left"/>
            </w:pPr>
            <w:r>
              <w:rPr>
                <w:rFonts w:ascii="Arial" w:hAnsi="Arial" w:eastAsia="等线" w:cs="Arial"/>
                <w:sz w:val="22"/>
              </w:rPr>
              <w:t xml:space="preserve">III. buying inverse ETFs </w:t>
            </w:r>
          </w:p>
          <w:p w14:paraId="097F6828">
            <w:pPr>
              <w:spacing w:before="120" w:after="120" w:line="288" w:lineRule="auto"/>
              <w:ind w:left="0"/>
              <w:jc w:val="left"/>
            </w:pPr>
            <w:r>
              <w:rPr>
                <w:rFonts w:ascii="Arial" w:hAnsi="Arial" w:eastAsia="等线" w:cs="Arial"/>
                <w:sz w:val="22"/>
              </w:rPr>
              <w:t>IV. selling uncovered put options</w:t>
            </w:r>
          </w:p>
          <w:p w14:paraId="26A635DD">
            <w:pPr>
              <w:spacing w:before="120" w:after="120" w:line="288" w:lineRule="auto"/>
              <w:ind w:left="0"/>
              <w:jc w:val="left"/>
            </w:pPr>
            <w:r>
              <w:rPr>
                <w:rFonts w:ascii="Arial" w:hAnsi="Arial" w:eastAsia="等线" w:cs="Arial"/>
                <w:sz w:val="22"/>
              </w:rPr>
              <w:t xml:space="preserve">(A)  I, II, and III </w:t>
            </w:r>
          </w:p>
          <w:p w14:paraId="51CA8A39">
            <w:pPr>
              <w:spacing w:before="120" w:after="120" w:line="288" w:lineRule="auto"/>
              <w:ind w:left="0"/>
              <w:jc w:val="left"/>
            </w:pPr>
            <w:r>
              <w:rPr>
                <w:rFonts w:ascii="Arial" w:hAnsi="Arial" w:eastAsia="等线" w:cs="Arial"/>
                <w:sz w:val="22"/>
              </w:rPr>
              <w:t xml:space="preserve">(B)  I and IV </w:t>
            </w:r>
          </w:p>
          <w:p w14:paraId="592E5C14">
            <w:pPr>
              <w:spacing w:before="120" w:after="120" w:line="288" w:lineRule="auto"/>
              <w:ind w:left="0"/>
              <w:jc w:val="left"/>
            </w:pPr>
            <w:r>
              <w:rPr>
                <w:rFonts w:ascii="Arial" w:hAnsi="Arial" w:eastAsia="等线" w:cs="Arial"/>
                <w:sz w:val="22"/>
              </w:rPr>
              <w:t xml:space="preserve">(C)  II, III, and IV </w:t>
            </w:r>
          </w:p>
          <w:p w14:paraId="3435E048">
            <w:pPr>
              <w:spacing w:before="120" w:after="120" w:line="288" w:lineRule="auto"/>
              <w:ind w:left="0"/>
              <w:jc w:val="left"/>
            </w:pPr>
            <w:r>
              <w:rPr>
                <w:rFonts w:ascii="Arial" w:hAnsi="Arial" w:eastAsia="等线" w:cs="Arial"/>
                <w:sz w:val="22"/>
              </w:rPr>
              <w:t>(D)  I, III, and IV</w:t>
            </w:r>
          </w:p>
          <w:p w14:paraId="670B8F6D">
            <w:pPr>
              <w:spacing w:before="120" w:after="120" w:line="288" w:lineRule="auto"/>
              <w:ind w:left="0"/>
              <w:jc w:val="left"/>
            </w:pPr>
          </w:p>
          <w:p w14:paraId="2E14043D">
            <w:pPr>
              <w:numPr>
                <w:ilvl w:val="0"/>
                <w:numId w:val="218"/>
              </w:numPr>
              <w:spacing w:before="120" w:after="120" w:line="288" w:lineRule="auto"/>
              <w:ind w:left="0"/>
              <w:jc w:val="left"/>
            </w:pPr>
            <w:r>
              <w:rPr>
                <w:rFonts w:ascii="Arial" w:hAnsi="Arial" w:eastAsia="等线" w:cs="Arial"/>
                <w:sz w:val="22"/>
              </w:rPr>
              <w:t>All of the following are bearish positions EXCEPT</w:t>
            </w:r>
          </w:p>
          <w:p w14:paraId="4F3821FC">
            <w:pPr>
              <w:spacing w:before="120" w:after="120" w:line="288" w:lineRule="auto"/>
              <w:ind w:left="0"/>
              <w:jc w:val="left"/>
            </w:pPr>
            <w:r>
              <w:rPr>
                <w:rFonts w:ascii="Arial" w:hAnsi="Arial" w:eastAsia="等线" w:cs="Arial"/>
                <w:sz w:val="22"/>
              </w:rPr>
              <w:t>(A) buying inverse ETFs</w:t>
            </w:r>
          </w:p>
          <w:p w14:paraId="5BBAA45E">
            <w:pPr>
              <w:spacing w:before="120" w:after="120" w:line="288" w:lineRule="auto"/>
              <w:ind w:left="0"/>
              <w:jc w:val="left"/>
            </w:pPr>
            <w:r>
              <w:rPr>
                <w:rFonts w:ascii="Arial" w:hAnsi="Arial" w:eastAsia="等线" w:cs="Arial"/>
                <w:sz w:val="22"/>
              </w:rPr>
              <w:t>(B) selling uncovered call options</w:t>
            </w:r>
          </w:p>
          <w:p w14:paraId="589D3A9A">
            <w:pPr>
              <w:spacing w:before="120" w:after="120" w:line="288" w:lineRule="auto"/>
              <w:ind w:left="0"/>
              <w:jc w:val="left"/>
            </w:pPr>
            <w:r>
              <w:rPr>
                <w:rFonts w:ascii="Arial" w:hAnsi="Arial" w:eastAsia="等线" w:cs="Arial"/>
                <w:sz w:val="22"/>
              </w:rPr>
              <w:t>(C) selling short</w:t>
            </w:r>
          </w:p>
          <w:p w14:paraId="3DC469BF">
            <w:pPr>
              <w:spacing w:before="120" w:after="120" w:line="288" w:lineRule="auto"/>
              <w:ind w:left="0"/>
              <w:jc w:val="left"/>
            </w:pPr>
            <w:r>
              <w:rPr>
                <w:rFonts w:ascii="Arial" w:hAnsi="Arial" w:eastAsia="等线" w:cs="Arial"/>
                <w:sz w:val="22"/>
              </w:rPr>
              <w:t>(D) selling naked put options</w:t>
            </w:r>
          </w:p>
          <w:p w14:paraId="075F3E1D">
            <w:pPr>
              <w:spacing w:before="120" w:after="120" w:line="288" w:lineRule="auto"/>
              <w:ind w:left="0"/>
              <w:jc w:val="left"/>
            </w:pPr>
          </w:p>
          <w:p w14:paraId="14E779A1">
            <w:pPr>
              <w:numPr>
                <w:ilvl w:val="0"/>
                <w:numId w:val="219"/>
              </w:numPr>
              <w:spacing w:before="120" w:after="120" w:line="288" w:lineRule="auto"/>
              <w:ind w:left="0"/>
              <w:jc w:val="left"/>
            </w:pPr>
            <w:r>
              <w:rPr>
                <w:rFonts w:ascii="Arial" w:hAnsi="Arial" w:eastAsia="等线" w:cs="Arial"/>
                <w:sz w:val="22"/>
              </w:rPr>
              <w:t xml:space="preserve">Which of the following is responsible for conducting the U.S. monetary policy? </w:t>
            </w:r>
          </w:p>
          <w:p w14:paraId="271B6179">
            <w:pPr>
              <w:numPr>
                <w:ilvl w:val="0"/>
                <w:numId w:val="220"/>
              </w:numPr>
              <w:spacing w:before="120" w:after="120" w:line="288" w:lineRule="auto"/>
              <w:ind w:left="453"/>
              <w:jc w:val="left"/>
            </w:pPr>
            <w:r>
              <w:rPr>
                <w:rFonts w:ascii="Arial" w:hAnsi="Arial" w:eastAsia="等线" w:cs="Arial"/>
                <w:sz w:val="22"/>
              </w:rPr>
              <w:t xml:space="preserve">The Federal Reserve Board </w:t>
            </w:r>
          </w:p>
          <w:p w14:paraId="60580B1C">
            <w:pPr>
              <w:numPr>
                <w:ilvl w:val="0"/>
                <w:numId w:val="221"/>
              </w:numPr>
              <w:spacing w:before="120" w:after="120" w:line="288" w:lineRule="auto"/>
              <w:ind w:left="453"/>
              <w:jc w:val="left"/>
            </w:pPr>
            <w:r>
              <w:rPr>
                <w:rFonts w:ascii="Arial" w:hAnsi="Arial" w:eastAsia="等线" w:cs="Arial"/>
                <w:sz w:val="22"/>
              </w:rPr>
              <w:t xml:space="preserve">The Securities and Exchange Commission </w:t>
            </w:r>
          </w:p>
          <w:p w14:paraId="6423CD6D">
            <w:pPr>
              <w:numPr>
                <w:ilvl w:val="0"/>
                <w:numId w:val="222"/>
              </w:numPr>
              <w:spacing w:before="120" w:after="120" w:line="288" w:lineRule="auto"/>
              <w:ind w:left="453"/>
              <w:jc w:val="left"/>
            </w:pPr>
            <w:r>
              <w:rPr>
                <w:rFonts w:ascii="Arial" w:hAnsi="Arial" w:eastAsia="等线" w:cs="Arial"/>
                <w:sz w:val="22"/>
              </w:rPr>
              <w:t xml:space="preserve">The Internal Revenue Service </w:t>
            </w:r>
          </w:p>
          <w:p w14:paraId="28B96462">
            <w:pPr>
              <w:numPr>
                <w:ilvl w:val="0"/>
                <w:numId w:val="223"/>
              </w:numPr>
              <w:spacing w:before="120" w:after="120" w:line="288" w:lineRule="auto"/>
              <w:ind w:left="453"/>
              <w:jc w:val="left"/>
            </w:pPr>
            <w:r>
              <w:rPr>
                <w:rFonts w:ascii="Arial" w:hAnsi="Arial" w:eastAsia="等线" w:cs="Arial"/>
                <w:sz w:val="22"/>
              </w:rPr>
              <w:t>All of the above</w:t>
            </w:r>
          </w:p>
          <w:p w14:paraId="6D8DC9F4">
            <w:pPr>
              <w:spacing w:before="120" w:after="120" w:line="288" w:lineRule="auto"/>
              <w:ind w:left="0"/>
              <w:jc w:val="left"/>
            </w:pPr>
          </w:p>
          <w:p w14:paraId="449100E2">
            <w:pPr>
              <w:numPr>
                <w:ilvl w:val="0"/>
                <w:numId w:val="224"/>
              </w:numPr>
              <w:spacing w:before="120" w:after="120" w:line="288" w:lineRule="auto"/>
              <w:ind w:left="0"/>
              <w:jc w:val="left"/>
            </w:pPr>
            <w:r>
              <w:rPr>
                <w:rFonts w:ascii="Arial" w:hAnsi="Arial" w:eastAsia="等线" w:cs="Arial"/>
                <w:sz w:val="22"/>
              </w:rPr>
              <w:t>Looking at the stages of the business cycle, if the economy is expanding, what stages would you</w:t>
            </w:r>
          </w:p>
          <w:p w14:paraId="18FFD2BB">
            <w:pPr>
              <w:spacing w:before="120" w:after="120" w:line="288" w:lineRule="auto"/>
              <w:ind w:left="0"/>
              <w:jc w:val="left"/>
            </w:pPr>
            <w:r>
              <w:rPr>
                <w:rFonts w:ascii="Arial" w:hAnsi="Arial" w:eastAsia="等线" w:cs="Arial"/>
                <w:sz w:val="22"/>
              </w:rPr>
              <w:t>expect to follow, in order from first to last?</w:t>
            </w:r>
          </w:p>
          <w:p w14:paraId="7712BD93">
            <w:pPr>
              <w:spacing w:before="120" w:after="120" w:line="288" w:lineRule="auto"/>
              <w:ind w:left="0"/>
              <w:jc w:val="left"/>
            </w:pPr>
            <w:r>
              <w:rPr>
                <w:rFonts w:ascii="Arial" w:hAnsi="Arial" w:eastAsia="等线" w:cs="Arial"/>
                <w:sz w:val="22"/>
              </w:rPr>
              <w:t>I. Trough</w:t>
            </w:r>
          </w:p>
          <w:p w14:paraId="797C5AE0">
            <w:pPr>
              <w:spacing w:before="120" w:after="120" w:line="288" w:lineRule="auto"/>
              <w:ind w:left="0"/>
              <w:jc w:val="left"/>
            </w:pPr>
            <w:r>
              <w:rPr>
                <w:rFonts w:ascii="Arial" w:hAnsi="Arial" w:eastAsia="等线" w:cs="Arial"/>
                <w:sz w:val="22"/>
              </w:rPr>
              <w:t>II. Peak</w:t>
            </w:r>
          </w:p>
          <w:p w14:paraId="318435AD">
            <w:pPr>
              <w:spacing w:before="120" w:after="120" w:line="288" w:lineRule="auto"/>
              <w:ind w:left="0"/>
              <w:jc w:val="left"/>
            </w:pPr>
            <w:r>
              <w:rPr>
                <w:rFonts w:ascii="Arial" w:hAnsi="Arial" w:eastAsia="等线" w:cs="Arial"/>
                <w:sz w:val="22"/>
              </w:rPr>
              <w:t>III. Contraction</w:t>
            </w:r>
          </w:p>
          <w:p w14:paraId="4EDB1605">
            <w:pPr>
              <w:spacing w:before="120" w:after="120" w:line="288" w:lineRule="auto"/>
              <w:ind w:left="0"/>
              <w:jc w:val="left"/>
            </w:pPr>
            <w:r>
              <w:rPr>
                <w:rFonts w:ascii="Arial" w:hAnsi="Arial" w:eastAsia="等线" w:cs="Arial"/>
                <w:sz w:val="22"/>
              </w:rPr>
              <w:t>(A) I, II, III</w:t>
            </w:r>
          </w:p>
          <w:p w14:paraId="68AFE3CB">
            <w:pPr>
              <w:spacing w:before="120" w:after="120" w:line="288" w:lineRule="auto"/>
              <w:ind w:left="0"/>
              <w:jc w:val="left"/>
            </w:pPr>
            <w:r>
              <w:rPr>
                <w:rFonts w:ascii="Arial" w:hAnsi="Arial" w:eastAsia="等线" w:cs="Arial"/>
                <w:sz w:val="22"/>
              </w:rPr>
              <w:t>(B) II, III, I</w:t>
            </w:r>
          </w:p>
          <w:p w14:paraId="6B553FDD">
            <w:pPr>
              <w:spacing w:before="120" w:after="120" w:line="288" w:lineRule="auto"/>
              <w:ind w:left="0"/>
              <w:jc w:val="left"/>
            </w:pPr>
            <w:r>
              <w:rPr>
                <w:rFonts w:ascii="Arial" w:hAnsi="Arial" w:eastAsia="等线" w:cs="Arial"/>
                <w:sz w:val="22"/>
              </w:rPr>
              <w:t>(C) III, II, I</w:t>
            </w:r>
          </w:p>
          <w:p w14:paraId="79B28848">
            <w:pPr>
              <w:spacing w:before="120" w:after="120" w:line="288" w:lineRule="auto"/>
              <w:ind w:left="0"/>
              <w:jc w:val="left"/>
            </w:pPr>
            <w:r>
              <w:rPr>
                <w:rFonts w:ascii="Arial" w:hAnsi="Arial" w:eastAsia="等线" w:cs="Arial"/>
                <w:sz w:val="22"/>
              </w:rPr>
              <w:t>(D) I, III, II</w:t>
            </w:r>
          </w:p>
          <w:p w14:paraId="41734B6B">
            <w:pPr>
              <w:spacing w:before="120" w:after="120" w:line="288" w:lineRule="auto"/>
              <w:ind w:left="0"/>
              <w:jc w:val="left"/>
            </w:pPr>
          </w:p>
          <w:p w14:paraId="68481F59">
            <w:pPr>
              <w:numPr>
                <w:ilvl w:val="0"/>
                <w:numId w:val="225"/>
              </w:numPr>
              <w:spacing w:before="120" w:after="120" w:line="288" w:lineRule="auto"/>
              <w:ind w:left="0"/>
              <w:jc w:val="left"/>
            </w:pPr>
            <w:r>
              <w:rPr>
                <w:rFonts w:ascii="Arial" w:hAnsi="Arial" w:eastAsia="等线" w:cs="Arial"/>
                <w:sz w:val="22"/>
              </w:rPr>
              <w:t xml:space="preserve">Which of the following is a way the Fed can use to tighten the money supply? </w:t>
            </w:r>
          </w:p>
          <w:p w14:paraId="41821F2F">
            <w:pPr>
              <w:spacing w:before="120" w:after="120" w:line="288" w:lineRule="auto"/>
              <w:ind w:left="0"/>
              <w:jc w:val="left"/>
            </w:pPr>
            <w:r>
              <w:rPr>
                <w:rFonts w:ascii="Arial" w:hAnsi="Arial" w:eastAsia="等线" w:cs="Arial"/>
                <w:sz w:val="22"/>
              </w:rPr>
              <w:t xml:space="preserve">(A)  Selling U.S. Treasury securities to banks </w:t>
            </w:r>
          </w:p>
          <w:p w14:paraId="6A171B59">
            <w:pPr>
              <w:spacing w:before="120" w:after="120" w:line="288" w:lineRule="auto"/>
              <w:ind w:left="0"/>
              <w:jc w:val="left"/>
            </w:pPr>
            <w:r>
              <w:rPr>
                <w:rFonts w:ascii="Arial" w:hAnsi="Arial" w:eastAsia="等线" w:cs="Arial"/>
                <w:sz w:val="22"/>
              </w:rPr>
              <w:t xml:space="preserve">(B)  Increasing the discount rate </w:t>
            </w:r>
          </w:p>
          <w:p w14:paraId="0A2A027C">
            <w:pPr>
              <w:spacing w:before="120" w:after="120" w:line="288" w:lineRule="auto"/>
              <w:ind w:left="0"/>
              <w:jc w:val="left"/>
            </w:pPr>
            <w:r>
              <w:rPr>
                <w:rFonts w:ascii="Arial" w:hAnsi="Arial" w:eastAsia="等线" w:cs="Arial"/>
                <w:sz w:val="22"/>
              </w:rPr>
              <w:t xml:space="preserve">(C)  Increasing reserve requirements </w:t>
            </w:r>
          </w:p>
          <w:p w14:paraId="43ACDA18">
            <w:pPr>
              <w:spacing w:before="120" w:after="120" w:line="288" w:lineRule="auto"/>
              <w:ind w:left="0"/>
              <w:jc w:val="left"/>
            </w:pPr>
            <w:r>
              <w:rPr>
                <w:rFonts w:ascii="Arial" w:hAnsi="Arial" w:eastAsia="等线" w:cs="Arial"/>
                <w:sz w:val="22"/>
              </w:rPr>
              <w:t>(D)  All of the above</w:t>
            </w:r>
          </w:p>
          <w:p w14:paraId="12A64066">
            <w:pPr>
              <w:spacing w:before="120" w:after="120" w:line="288" w:lineRule="auto"/>
              <w:ind w:left="0"/>
              <w:jc w:val="left"/>
            </w:pPr>
          </w:p>
          <w:p w14:paraId="60C901FC">
            <w:pPr>
              <w:numPr>
                <w:ilvl w:val="0"/>
                <w:numId w:val="226"/>
              </w:numPr>
              <w:spacing w:before="120" w:after="120" w:line="288" w:lineRule="auto"/>
              <w:ind w:left="0"/>
              <w:jc w:val="left"/>
            </w:pPr>
            <w:r>
              <w:rPr>
                <w:rFonts w:ascii="Arial" w:hAnsi="Arial" w:eastAsia="等线" w:cs="Arial"/>
                <w:sz w:val="22"/>
              </w:rPr>
              <w:t>Which of the following best describes the discount rate?</w:t>
            </w:r>
          </w:p>
          <w:p w14:paraId="065A309E">
            <w:pPr>
              <w:spacing w:before="120" w:after="120" w:line="288" w:lineRule="auto"/>
              <w:ind w:left="0"/>
              <w:jc w:val="left"/>
            </w:pPr>
            <w:r>
              <w:rPr>
                <w:rFonts w:ascii="Arial" w:hAnsi="Arial" w:eastAsia="等线" w:cs="Arial"/>
                <w:sz w:val="22"/>
              </w:rPr>
              <w:t>(A) The interest rate that banks charge one another for overnight loans</w:t>
            </w:r>
          </w:p>
          <w:p w14:paraId="3342534F">
            <w:pPr>
              <w:spacing w:before="120" w:after="120" w:line="288" w:lineRule="auto"/>
              <w:ind w:left="0"/>
              <w:jc w:val="left"/>
            </w:pPr>
            <w:r>
              <w:rPr>
                <w:rFonts w:ascii="Arial" w:hAnsi="Arial" w:eastAsia="等线" w:cs="Arial"/>
                <w:sz w:val="22"/>
              </w:rPr>
              <w:t>(B) The interest rate that the banks charge their best customers for loans</w:t>
            </w:r>
          </w:p>
          <w:p w14:paraId="781F702A">
            <w:pPr>
              <w:spacing w:before="120" w:after="120" w:line="288" w:lineRule="auto"/>
              <w:ind w:left="0"/>
              <w:jc w:val="left"/>
            </w:pPr>
            <w:r>
              <w:rPr>
                <w:rFonts w:ascii="Arial" w:hAnsi="Arial" w:eastAsia="等线" w:cs="Arial"/>
                <w:sz w:val="22"/>
              </w:rPr>
              <w:t>(C) The interest rate that the Fed charges banks for loans</w:t>
            </w:r>
          </w:p>
          <w:p w14:paraId="5D411300">
            <w:pPr>
              <w:spacing w:before="120" w:after="120" w:line="288" w:lineRule="auto"/>
              <w:ind w:left="0"/>
              <w:jc w:val="left"/>
            </w:pPr>
            <w:r>
              <w:rPr>
                <w:rFonts w:ascii="Arial" w:hAnsi="Arial" w:eastAsia="等线" w:cs="Arial"/>
                <w:sz w:val="22"/>
              </w:rPr>
              <w:t>(D) The interest rates charged in margin accounts</w:t>
            </w:r>
          </w:p>
          <w:p w14:paraId="1C1451E1">
            <w:pPr>
              <w:spacing w:before="120" w:after="120" w:line="288" w:lineRule="auto"/>
              <w:ind w:left="0"/>
              <w:jc w:val="left"/>
            </w:pPr>
          </w:p>
          <w:p w14:paraId="57000D85">
            <w:pPr>
              <w:numPr>
                <w:ilvl w:val="0"/>
                <w:numId w:val="227"/>
              </w:numPr>
              <w:spacing w:before="120" w:after="120" w:line="288" w:lineRule="auto"/>
              <w:ind w:left="0"/>
              <w:jc w:val="left"/>
            </w:pPr>
            <w:r>
              <w:rPr>
                <w:rFonts w:ascii="Arial" w:hAnsi="Arial" w:eastAsia="等线" w:cs="Arial"/>
                <w:sz w:val="22"/>
              </w:rPr>
              <w:t>Which TWO of the following actions may the Fed take to ease the money supply?</w:t>
            </w:r>
          </w:p>
          <w:p w14:paraId="11F9D01E">
            <w:pPr>
              <w:spacing w:before="120" w:after="120" w:line="288" w:lineRule="auto"/>
              <w:ind w:left="0"/>
              <w:jc w:val="left"/>
            </w:pPr>
            <w:r>
              <w:rPr>
                <w:rFonts w:ascii="Arial" w:hAnsi="Arial" w:eastAsia="等线" w:cs="Arial"/>
                <w:sz w:val="22"/>
              </w:rPr>
              <w:t>I. Purchase T-bills</w:t>
            </w:r>
          </w:p>
          <w:p w14:paraId="13EE7809">
            <w:pPr>
              <w:spacing w:before="120" w:after="120" w:line="288" w:lineRule="auto"/>
              <w:ind w:left="0"/>
              <w:jc w:val="left"/>
            </w:pPr>
            <w:r>
              <w:rPr>
                <w:rFonts w:ascii="Arial" w:hAnsi="Arial" w:eastAsia="等线" w:cs="Arial"/>
                <w:sz w:val="22"/>
              </w:rPr>
              <w:t>II. Sell T-bills</w:t>
            </w:r>
          </w:p>
          <w:p w14:paraId="6DDA268C">
            <w:pPr>
              <w:spacing w:before="120" w:after="120" w:line="288" w:lineRule="auto"/>
              <w:ind w:left="0"/>
              <w:jc w:val="left"/>
            </w:pPr>
            <w:r>
              <w:rPr>
                <w:rFonts w:ascii="Arial" w:hAnsi="Arial" w:eastAsia="等线" w:cs="Arial"/>
                <w:sz w:val="22"/>
              </w:rPr>
              <w:t>III. Increase reserve requirements</w:t>
            </w:r>
          </w:p>
          <w:p w14:paraId="15696C90">
            <w:pPr>
              <w:spacing w:before="120" w:after="120" w:line="288" w:lineRule="auto"/>
              <w:ind w:left="0"/>
              <w:jc w:val="left"/>
            </w:pPr>
            <w:r>
              <w:rPr>
                <w:rFonts w:ascii="Arial" w:hAnsi="Arial" w:eastAsia="等线" w:cs="Arial"/>
                <w:sz w:val="22"/>
              </w:rPr>
              <w:t>IV. Decrease reserve requirements</w:t>
            </w:r>
          </w:p>
          <w:p w14:paraId="2F0E8132">
            <w:pPr>
              <w:spacing w:before="120" w:after="120" w:line="288" w:lineRule="auto"/>
              <w:ind w:left="0"/>
              <w:jc w:val="left"/>
            </w:pPr>
            <w:r>
              <w:rPr>
                <w:rFonts w:ascii="Arial" w:hAnsi="Arial" w:eastAsia="等线" w:cs="Arial"/>
                <w:sz w:val="22"/>
              </w:rPr>
              <w:t>(A) I and III</w:t>
            </w:r>
          </w:p>
          <w:p w14:paraId="3904762C">
            <w:pPr>
              <w:spacing w:before="120" w:after="120" w:line="288" w:lineRule="auto"/>
              <w:ind w:left="0"/>
              <w:jc w:val="left"/>
            </w:pPr>
            <w:r>
              <w:rPr>
                <w:rFonts w:ascii="Arial" w:hAnsi="Arial" w:eastAsia="等线" w:cs="Arial"/>
                <w:sz w:val="22"/>
              </w:rPr>
              <w:t>(B) I and IV</w:t>
            </w:r>
          </w:p>
          <w:p w14:paraId="3C81E893">
            <w:pPr>
              <w:spacing w:before="120" w:after="120" w:line="288" w:lineRule="auto"/>
              <w:ind w:left="0"/>
              <w:jc w:val="left"/>
            </w:pPr>
            <w:r>
              <w:rPr>
                <w:rFonts w:ascii="Arial" w:hAnsi="Arial" w:eastAsia="等线" w:cs="Arial"/>
                <w:sz w:val="22"/>
              </w:rPr>
              <w:t>(C) II and III</w:t>
            </w:r>
          </w:p>
          <w:p w14:paraId="424CDBAD">
            <w:pPr>
              <w:spacing w:before="120" w:after="120" w:line="288" w:lineRule="auto"/>
              <w:ind w:left="0"/>
              <w:jc w:val="left"/>
            </w:pPr>
            <w:r>
              <w:rPr>
                <w:rFonts w:ascii="Arial" w:hAnsi="Arial" w:eastAsia="等线" w:cs="Arial"/>
                <w:sz w:val="22"/>
              </w:rPr>
              <w:t>(D) II and IV</w:t>
            </w:r>
          </w:p>
          <w:p w14:paraId="1F87CCC5">
            <w:pPr>
              <w:spacing w:before="120" w:after="120" w:line="288" w:lineRule="auto"/>
              <w:ind w:left="0"/>
              <w:jc w:val="left"/>
            </w:pPr>
          </w:p>
          <w:p w14:paraId="2991EBD5">
            <w:pPr>
              <w:numPr>
                <w:ilvl w:val="0"/>
                <w:numId w:val="228"/>
              </w:numPr>
              <w:spacing w:before="120" w:after="120" w:line="288" w:lineRule="auto"/>
              <w:ind w:left="0"/>
              <w:jc w:val="left"/>
            </w:pPr>
            <w:r>
              <w:rPr>
                <w:rFonts w:ascii="Arial" w:hAnsi="Arial" w:eastAsia="等线" w:cs="Arial"/>
                <w:sz w:val="22"/>
              </w:rPr>
              <w:t xml:space="preserve">The U.S. dollar has been on a steady decline to foreign currencies. If this continues, which of the following are likely to occur? </w:t>
            </w:r>
          </w:p>
          <w:p w14:paraId="718D5ABA">
            <w:pPr>
              <w:numPr>
                <w:ilvl w:val="0"/>
                <w:numId w:val="229"/>
              </w:numPr>
              <w:spacing w:before="120" w:after="120" w:line="288" w:lineRule="auto"/>
              <w:ind w:left="453"/>
              <w:jc w:val="left"/>
            </w:pPr>
            <w:r>
              <w:rPr>
                <w:rFonts w:ascii="Arial" w:hAnsi="Arial" w:eastAsia="等线" w:cs="Arial"/>
                <w:sz w:val="22"/>
              </w:rPr>
              <w:t xml:space="preserve">U.S. exports are likely to fall. </w:t>
            </w:r>
          </w:p>
          <w:p w14:paraId="1352FE44">
            <w:pPr>
              <w:numPr>
                <w:ilvl w:val="0"/>
                <w:numId w:val="230"/>
              </w:numPr>
              <w:spacing w:before="120" w:after="120" w:line="288" w:lineRule="auto"/>
              <w:ind w:left="453"/>
              <w:jc w:val="left"/>
            </w:pPr>
            <w:r>
              <w:rPr>
                <w:rFonts w:ascii="Arial" w:hAnsi="Arial" w:eastAsia="等线" w:cs="Arial"/>
                <w:sz w:val="22"/>
              </w:rPr>
              <w:t xml:space="preserve">The Euro will buy fewer U.S. dollars. </w:t>
            </w:r>
          </w:p>
          <w:p w14:paraId="00FD272A">
            <w:pPr>
              <w:numPr>
                <w:ilvl w:val="0"/>
                <w:numId w:val="231"/>
              </w:numPr>
              <w:spacing w:before="120" w:after="120" w:line="288" w:lineRule="auto"/>
              <w:ind w:left="453"/>
              <w:jc w:val="left"/>
            </w:pPr>
            <w:r>
              <w:rPr>
                <w:rFonts w:ascii="Arial" w:hAnsi="Arial" w:eastAsia="等线" w:cs="Arial"/>
                <w:sz w:val="22"/>
              </w:rPr>
              <w:t xml:space="preserve">U.S. products will cost more for foreign consumers. </w:t>
            </w:r>
          </w:p>
          <w:p w14:paraId="71B148DD">
            <w:pPr>
              <w:numPr>
                <w:ilvl w:val="0"/>
                <w:numId w:val="232"/>
              </w:numPr>
              <w:spacing w:before="120" w:after="120" w:line="288" w:lineRule="auto"/>
              <w:ind w:left="453"/>
              <w:jc w:val="left"/>
            </w:pPr>
            <w:r>
              <w:rPr>
                <w:rFonts w:ascii="Arial" w:hAnsi="Arial" w:eastAsia="等线" w:cs="Arial"/>
                <w:sz w:val="22"/>
              </w:rPr>
              <w:t>U.S. exports will increase.</w:t>
            </w:r>
          </w:p>
          <w:p w14:paraId="16B70D0A">
            <w:pPr>
              <w:spacing w:before="120" w:after="120" w:line="288" w:lineRule="auto"/>
              <w:ind w:left="0"/>
              <w:jc w:val="left"/>
            </w:pPr>
          </w:p>
          <w:p w14:paraId="6C024BB8">
            <w:pPr>
              <w:numPr>
                <w:ilvl w:val="0"/>
                <w:numId w:val="233"/>
              </w:numPr>
              <w:spacing w:before="120" w:after="120" w:line="288" w:lineRule="auto"/>
              <w:ind w:left="0"/>
              <w:jc w:val="left"/>
            </w:pPr>
            <w:r>
              <w:rPr>
                <w:rFonts w:ascii="Arial" w:hAnsi="Arial" w:eastAsia="等线" w:cs="Arial"/>
                <w:sz w:val="22"/>
              </w:rPr>
              <w:t xml:space="preserve">Which of the following is a leading economic indicator? </w:t>
            </w:r>
          </w:p>
          <w:p w14:paraId="5C9783EE">
            <w:pPr>
              <w:numPr>
                <w:ilvl w:val="0"/>
                <w:numId w:val="234"/>
              </w:numPr>
              <w:spacing w:before="120" w:after="120" w:line="288" w:lineRule="auto"/>
              <w:ind w:left="453"/>
              <w:jc w:val="left"/>
            </w:pPr>
            <w:r>
              <w:rPr>
                <w:rFonts w:ascii="Arial" w:hAnsi="Arial" w:eastAsia="等线" w:cs="Arial"/>
                <w:sz w:val="22"/>
              </w:rPr>
              <w:t xml:space="preserve">Industrial production </w:t>
            </w:r>
          </w:p>
          <w:p w14:paraId="43D947E5">
            <w:pPr>
              <w:numPr>
                <w:ilvl w:val="0"/>
                <w:numId w:val="235"/>
              </w:numPr>
              <w:spacing w:before="120" w:after="120" w:line="288" w:lineRule="auto"/>
              <w:ind w:left="453"/>
              <w:jc w:val="left"/>
            </w:pPr>
            <w:r>
              <w:rPr>
                <w:rFonts w:ascii="Arial" w:hAnsi="Arial" w:eastAsia="等线" w:cs="Arial"/>
                <w:sz w:val="22"/>
              </w:rPr>
              <w:t xml:space="preserve">The unemployment rate </w:t>
            </w:r>
          </w:p>
          <w:p w14:paraId="66DE9DFC">
            <w:pPr>
              <w:numPr>
                <w:ilvl w:val="0"/>
                <w:numId w:val="236"/>
              </w:numPr>
              <w:spacing w:before="120" w:after="120" w:line="288" w:lineRule="auto"/>
              <w:ind w:left="453"/>
              <w:jc w:val="left"/>
            </w:pPr>
            <w:r>
              <w:rPr>
                <w:rFonts w:ascii="Arial" w:hAnsi="Arial" w:eastAsia="等线" w:cs="Arial"/>
                <w:sz w:val="22"/>
              </w:rPr>
              <w:t>Building permits</w:t>
            </w:r>
          </w:p>
          <w:p w14:paraId="4643AA1B">
            <w:pPr>
              <w:numPr>
                <w:ilvl w:val="0"/>
                <w:numId w:val="237"/>
              </w:numPr>
              <w:spacing w:before="120" w:after="120" w:line="288" w:lineRule="auto"/>
              <w:ind w:left="453"/>
              <w:jc w:val="left"/>
            </w:pPr>
            <w:r>
              <w:rPr>
                <w:rFonts w:ascii="Arial" w:hAnsi="Arial" w:eastAsia="等线" w:cs="Arial"/>
                <w:sz w:val="22"/>
              </w:rPr>
              <w:t>GDP</w:t>
            </w:r>
          </w:p>
          <w:p w14:paraId="48E8B8FF">
            <w:pPr>
              <w:spacing w:before="120" w:after="120" w:line="288" w:lineRule="auto"/>
              <w:ind w:left="0"/>
              <w:jc w:val="left"/>
            </w:pPr>
          </w:p>
          <w:p w14:paraId="079D9FF2">
            <w:pPr>
              <w:numPr>
                <w:ilvl w:val="0"/>
                <w:numId w:val="238"/>
              </w:numPr>
              <w:spacing w:before="120" w:after="120" w:line="288" w:lineRule="auto"/>
              <w:ind w:left="0"/>
              <w:jc w:val="left"/>
            </w:pPr>
            <w:r>
              <w:rPr>
                <w:rFonts w:ascii="Arial" w:hAnsi="Arial" w:eastAsia="等线" w:cs="Arial"/>
                <w:sz w:val="22"/>
              </w:rPr>
              <w:t>All of the following are leading indicators EXCEPT</w:t>
            </w:r>
          </w:p>
          <w:p w14:paraId="5835720A">
            <w:pPr>
              <w:spacing w:before="120" w:after="120" w:line="288" w:lineRule="auto"/>
              <w:ind w:left="0"/>
              <w:jc w:val="left"/>
            </w:pPr>
            <w:r>
              <w:rPr>
                <w:rFonts w:ascii="Arial" w:hAnsi="Arial" w:eastAsia="等线" w:cs="Arial"/>
                <w:sz w:val="22"/>
              </w:rPr>
              <w:t>(A) the prime rate</w:t>
            </w:r>
          </w:p>
          <w:p w14:paraId="175DF7CA">
            <w:pPr>
              <w:spacing w:before="120" w:after="120" w:line="288" w:lineRule="auto"/>
              <w:ind w:left="0"/>
              <w:jc w:val="left"/>
            </w:pPr>
            <w:r>
              <w:rPr>
                <w:rFonts w:ascii="Arial" w:hAnsi="Arial" w:eastAsia="等线" w:cs="Arial"/>
                <w:sz w:val="22"/>
              </w:rPr>
              <w:t>(B) M2 money supply</w:t>
            </w:r>
          </w:p>
          <w:p w14:paraId="343E2D33">
            <w:pPr>
              <w:spacing w:before="120" w:after="120" w:line="288" w:lineRule="auto"/>
              <w:ind w:left="0"/>
              <w:jc w:val="left"/>
            </w:pPr>
            <w:r>
              <w:rPr>
                <w:rFonts w:ascii="Arial" w:hAnsi="Arial" w:eastAsia="等线" w:cs="Arial"/>
                <w:sz w:val="22"/>
              </w:rPr>
              <w:t>(C) the discount rate</w:t>
            </w:r>
          </w:p>
          <w:p w14:paraId="693A1FAA">
            <w:pPr>
              <w:spacing w:before="120" w:after="120" w:line="288" w:lineRule="auto"/>
              <w:ind w:left="0"/>
              <w:jc w:val="left"/>
            </w:pPr>
            <w:r>
              <w:rPr>
                <w:rFonts w:ascii="Arial" w:hAnsi="Arial" w:eastAsia="等线" w:cs="Arial"/>
                <w:sz w:val="22"/>
              </w:rPr>
              <w:t>(D) stock prices</w:t>
            </w:r>
          </w:p>
          <w:p w14:paraId="3519ECD1">
            <w:pPr>
              <w:spacing w:before="120" w:after="120" w:line="288" w:lineRule="auto"/>
              <w:ind w:left="0"/>
              <w:jc w:val="left"/>
            </w:pPr>
          </w:p>
          <w:p w14:paraId="5E1E927B">
            <w:pPr>
              <w:numPr>
                <w:ilvl w:val="0"/>
                <w:numId w:val="239"/>
              </w:numPr>
              <w:spacing w:before="120" w:after="120" w:line="288" w:lineRule="auto"/>
              <w:ind w:left="0"/>
              <w:jc w:val="left"/>
            </w:pPr>
            <w:r>
              <w:rPr>
                <w:rFonts w:ascii="Arial" w:hAnsi="Arial" w:eastAsia="等线" w:cs="Arial"/>
                <w:sz w:val="22"/>
              </w:rPr>
              <w:t>Which of the following is measured in constant dollars?</w:t>
            </w:r>
          </w:p>
          <w:p w14:paraId="19BC1C1A">
            <w:pPr>
              <w:spacing w:before="120" w:after="120" w:line="288" w:lineRule="auto"/>
              <w:ind w:left="0"/>
              <w:jc w:val="left"/>
            </w:pPr>
            <w:r>
              <w:rPr>
                <w:rFonts w:ascii="Arial" w:hAnsi="Arial" w:eastAsia="等线" w:cs="Arial"/>
                <w:sz w:val="22"/>
              </w:rPr>
              <w:t>(A) The Fed funds rate</w:t>
            </w:r>
          </w:p>
          <w:p w14:paraId="6C84542B">
            <w:pPr>
              <w:spacing w:before="120" w:after="120" w:line="288" w:lineRule="auto"/>
              <w:ind w:left="0"/>
              <w:jc w:val="left"/>
            </w:pPr>
            <w:r>
              <w:rPr>
                <w:rFonts w:ascii="Arial" w:hAnsi="Arial" w:eastAsia="等线" w:cs="Arial"/>
                <w:sz w:val="22"/>
              </w:rPr>
              <w:t>(B) The M2 money supply</w:t>
            </w:r>
          </w:p>
          <w:p w14:paraId="3CC50FBD">
            <w:pPr>
              <w:spacing w:before="120" w:after="120" w:line="288" w:lineRule="auto"/>
              <w:ind w:left="0"/>
              <w:jc w:val="left"/>
            </w:pPr>
            <w:r>
              <w:rPr>
                <w:rFonts w:ascii="Arial" w:hAnsi="Arial" w:eastAsia="等线" w:cs="Arial"/>
                <w:sz w:val="22"/>
              </w:rPr>
              <w:t>(C) The prime rate</w:t>
            </w:r>
          </w:p>
          <w:p w14:paraId="00C0A7CC">
            <w:pPr>
              <w:spacing w:before="120" w:after="120" w:line="288" w:lineRule="auto"/>
              <w:ind w:left="0"/>
              <w:jc w:val="left"/>
            </w:pPr>
            <w:r>
              <w:rPr>
                <w:rFonts w:ascii="Arial" w:hAnsi="Arial" w:eastAsia="等线" w:cs="Arial"/>
                <w:sz w:val="22"/>
              </w:rPr>
              <w:t>(D) GDP</w:t>
            </w:r>
          </w:p>
          <w:p w14:paraId="61CFCBBC">
            <w:pPr>
              <w:spacing w:before="120" w:after="120" w:line="288" w:lineRule="auto"/>
              <w:ind w:left="0"/>
              <w:jc w:val="left"/>
            </w:pPr>
          </w:p>
          <w:p w14:paraId="06FE30EB">
            <w:pPr>
              <w:numPr>
                <w:ilvl w:val="0"/>
                <w:numId w:val="240"/>
              </w:numPr>
              <w:spacing w:before="120" w:after="120" w:line="288" w:lineRule="auto"/>
              <w:ind w:left="0"/>
              <w:jc w:val="left"/>
            </w:pPr>
            <w:r>
              <w:rPr>
                <w:rFonts w:ascii="Arial" w:hAnsi="Arial" w:eastAsia="等线" w:cs="Arial"/>
                <w:sz w:val="22"/>
              </w:rPr>
              <w:t xml:space="preserve">Which of the following types of companies are countercyclical? </w:t>
            </w:r>
          </w:p>
          <w:p w14:paraId="59DAAEB7">
            <w:pPr>
              <w:spacing w:before="120" w:after="120" w:line="288" w:lineRule="auto"/>
              <w:ind w:left="0"/>
              <w:jc w:val="left"/>
            </w:pPr>
            <w:r>
              <w:rPr>
                <w:rFonts w:ascii="Arial" w:hAnsi="Arial" w:eastAsia="等线" w:cs="Arial"/>
                <w:sz w:val="22"/>
              </w:rPr>
              <w:t>(A)  Discount retailers</w:t>
            </w:r>
          </w:p>
          <w:p w14:paraId="46CDF9B8">
            <w:pPr>
              <w:spacing w:before="120" w:after="120" w:line="288" w:lineRule="auto"/>
              <w:ind w:left="0"/>
              <w:jc w:val="left"/>
            </w:pPr>
            <w:r>
              <w:rPr>
                <w:rFonts w:ascii="Arial" w:hAnsi="Arial" w:eastAsia="等线" w:cs="Arial"/>
                <w:sz w:val="22"/>
              </w:rPr>
              <w:t>(B)  Alcohol</w:t>
            </w:r>
          </w:p>
          <w:p w14:paraId="3ABF4B80">
            <w:pPr>
              <w:spacing w:before="120" w:after="120" w:line="288" w:lineRule="auto"/>
              <w:ind w:left="0"/>
              <w:jc w:val="left"/>
            </w:pPr>
            <w:r>
              <w:rPr>
                <w:rFonts w:ascii="Arial" w:hAnsi="Arial" w:eastAsia="等线" w:cs="Arial"/>
                <w:sz w:val="22"/>
              </w:rPr>
              <w:t xml:space="preserve">(C)  Clothing </w:t>
            </w:r>
          </w:p>
          <w:p w14:paraId="3B391320">
            <w:pPr>
              <w:spacing w:before="120" w:after="120" w:line="288" w:lineRule="auto"/>
              <w:ind w:left="0"/>
              <w:jc w:val="left"/>
            </w:pPr>
            <w:r>
              <w:rPr>
                <w:rFonts w:ascii="Arial" w:hAnsi="Arial" w:eastAsia="等线" w:cs="Arial"/>
                <w:sz w:val="22"/>
              </w:rPr>
              <w:t>(D)  Tobacco</w:t>
            </w:r>
          </w:p>
          <w:p w14:paraId="17826978">
            <w:pPr>
              <w:spacing w:before="120" w:after="120" w:line="288" w:lineRule="auto"/>
              <w:ind w:left="0"/>
              <w:jc w:val="left"/>
            </w:pPr>
          </w:p>
          <w:p w14:paraId="728A8B9B">
            <w:pPr>
              <w:numPr>
                <w:ilvl w:val="0"/>
                <w:numId w:val="241"/>
              </w:numPr>
              <w:spacing w:before="120" w:after="120" w:line="288" w:lineRule="auto"/>
              <w:ind w:left="0"/>
              <w:jc w:val="left"/>
            </w:pPr>
            <w:r>
              <w:rPr>
                <w:rFonts w:ascii="Arial" w:hAnsi="Arial" w:eastAsia="等线" w:cs="Arial"/>
                <w:sz w:val="22"/>
              </w:rPr>
              <w:t>Which of the following are defensive industries?</w:t>
            </w:r>
          </w:p>
          <w:p w14:paraId="09228ED5">
            <w:pPr>
              <w:spacing w:before="120" w:after="120" w:line="288" w:lineRule="auto"/>
              <w:ind w:left="0"/>
              <w:jc w:val="left"/>
            </w:pPr>
            <w:r>
              <w:rPr>
                <w:rFonts w:ascii="Arial" w:hAnsi="Arial" w:eastAsia="等线" w:cs="Arial"/>
                <w:sz w:val="22"/>
              </w:rPr>
              <w:t>I. Utilities</w:t>
            </w:r>
          </w:p>
          <w:p w14:paraId="3C61746B">
            <w:pPr>
              <w:spacing w:before="120" w:after="120" w:line="288" w:lineRule="auto"/>
              <w:ind w:left="0"/>
              <w:jc w:val="left"/>
            </w:pPr>
            <w:r>
              <w:rPr>
                <w:rFonts w:ascii="Arial" w:hAnsi="Arial" w:eastAsia="等线" w:cs="Arial"/>
                <w:sz w:val="22"/>
              </w:rPr>
              <w:t>II. Tourism</w:t>
            </w:r>
          </w:p>
          <w:p w14:paraId="1D51CB07">
            <w:pPr>
              <w:spacing w:before="120" w:after="120" w:line="288" w:lineRule="auto"/>
              <w:ind w:left="0"/>
              <w:jc w:val="left"/>
            </w:pPr>
            <w:r>
              <w:rPr>
                <w:rFonts w:ascii="Arial" w:hAnsi="Arial" w:eastAsia="等线" w:cs="Arial"/>
                <w:sz w:val="22"/>
              </w:rPr>
              <w:t>III. Household appliances</w:t>
            </w:r>
          </w:p>
          <w:p w14:paraId="38169373">
            <w:pPr>
              <w:spacing w:before="120" w:after="120" w:line="288" w:lineRule="auto"/>
              <w:ind w:left="0"/>
              <w:jc w:val="left"/>
            </w:pPr>
            <w:r>
              <w:rPr>
                <w:rFonts w:ascii="Arial" w:hAnsi="Arial" w:eastAsia="等线" w:cs="Arial"/>
                <w:sz w:val="22"/>
              </w:rPr>
              <w:t>IV. Food</w:t>
            </w:r>
          </w:p>
          <w:p w14:paraId="03217A68">
            <w:pPr>
              <w:spacing w:before="120" w:after="120" w:line="288" w:lineRule="auto"/>
              <w:ind w:left="0"/>
              <w:jc w:val="left"/>
            </w:pPr>
            <w:r>
              <w:rPr>
                <w:rFonts w:ascii="Arial" w:hAnsi="Arial" w:eastAsia="等线" w:cs="Arial"/>
                <w:sz w:val="22"/>
              </w:rPr>
              <w:t>(A) I and IV</w:t>
            </w:r>
          </w:p>
          <w:p w14:paraId="41B133E3">
            <w:pPr>
              <w:spacing w:before="120" w:after="120" w:line="288" w:lineRule="auto"/>
              <w:ind w:left="0"/>
              <w:jc w:val="left"/>
            </w:pPr>
            <w:r>
              <w:rPr>
                <w:rFonts w:ascii="Arial" w:hAnsi="Arial" w:eastAsia="等线" w:cs="Arial"/>
                <w:sz w:val="22"/>
              </w:rPr>
              <w:t>(B) II, III, and IV</w:t>
            </w:r>
          </w:p>
          <w:p w14:paraId="339E29E0">
            <w:pPr>
              <w:spacing w:before="120" w:after="120" w:line="288" w:lineRule="auto"/>
              <w:ind w:left="0"/>
              <w:jc w:val="left"/>
            </w:pPr>
            <w:r>
              <w:rPr>
                <w:rFonts w:ascii="Arial" w:hAnsi="Arial" w:eastAsia="等线" w:cs="Arial"/>
                <w:sz w:val="22"/>
              </w:rPr>
              <w:t>(C) II and III</w:t>
            </w:r>
          </w:p>
          <w:p w14:paraId="1A9812A4">
            <w:pPr>
              <w:spacing w:before="120" w:after="120" w:line="288" w:lineRule="auto"/>
              <w:ind w:left="0"/>
              <w:jc w:val="left"/>
            </w:pPr>
            <w:r>
              <w:rPr>
                <w:rFonts w:ascii="Arial" w:hAnsi="Arial" w:eastAsia="等线" w:cs="Arial"/>
                <w:sz w:val="22"/>
              </w:rPr>
              <w:t>(D) I, II, III, and IV</w:t>
            </w:r>
          </w:p>
          <w:p w14:paraId="0E5D25A1">
            <w:pPr>
              <w:spacing w:before="120" w:after="120" w:line="288" w:lineRule="auto"/>
              <w:ind w:left="0"/>
              <w:jc w:val="left"/>
            </w:pPr>
          </w:p>
          <w:p w14:paraId="75F18E05">
            <w:pPr>
              <w:numPr>
                <w:ilvl w:val="0"/>
                <w:numId w:val="242"/>
              </w:numPr>
              <w:spacing w:before="120" w:after="120" w:line="288" w:lineRule="auto"/>
              <w:ind w:left="0"/>
              <w:jc w:val="left"/>
            </w:pPr>
            <w:r>
              <w:rPr>
                <w:rFonts w:ascii="Arial" w:hAnsi="Arial" w:eastAsia="等线" w:cs="Arial"/>
                <w:sz w:val="22"/>
              </w:rPr>
              <w:t>This economic theory that supports controlling the money supply in order to stimulate economic growth is called</w:t>
            </w:r>
          </w:p>
          <w:p w14:paraId="79E08914">
            <w:pPr>
              <w:spacing w:before="120" w:after="120" w:line="288" w:lineRule="auto"/>
              <w:ind w:left="0"/>
              <w:jc w:val="left"/>
            </w:pPr>
            <w:r>
              <w:rPr>
                <w:rFonts w:ascii="Arial" w:hAnsi="Arial" w:eastAsia="等线" w:cs="Arial"/>
                <w:sz w:val="22"/>
              </w:rPr>
              <w:t>(A)  the FRB</w:t>
            </w:r>
          </w:p>
          <w:p w14:paraId="20915D50">
            <w:pPr>
              <w:spacing w:before="120" w:after="120" w:line="288" w:lineRule="auto"/>
              <w:ind w:left="0"/>
              <w:jc w:val="left"/>
            </w:pPr>
            <w:r>
              <w:rPr>
                <w:rFonts w:ascii="Arial" w:hAnsi="Arial" w:eastAsia="等线" w:cs="Arial"/>
                <w:sz w:val="22"/>
              </w:rPr>
              <w:t xml:space="preserve">(B)  the Keynesian theory </w:t>
            </w:r>
          </w:p>
          <w:p w14:paraId="17B030DA">
            <w:pPr>
              <w:spacing w:before="120" w:after="120" w:line="288" w:lineRule="auto"/>
              <w:ind w:left="0"/>
              <w:jc w:val="left"/>
            </w:pPr>
            <w:r>
              <w:rPr>
                <w:rFonts w:ascii="Arial" w:hAnsi="Arial" w:eastAsia="等线" w:cs="Arial"/>
                <w:sz w:val="22"/>
              </w:rPr>
              <w:t>(C)  supply-side theory</w:t>
            </w:r>
          </w:p>
          <w:p w14:paraId="01B1E2CF">
            <w:pPr>
              <w:spacing w:before="120" w:after="120" w:line="288" w:lineRule="auto"/>
              <w:ind w:left="0"/>
              <w:jc w:val="left"/>
            </w:pPr>
            <w:r>
              <w:rPr>
                <w:rFonts w:ascii="Arial" w:hAnsi="Arial" w:eastAsia="等线" w:cs="Arial"/>
                <w:sz w:val="22"/>
              </w:rPr>
              <w:t xml:space="preserve">(D) the monetarist theory </w:t>
            </w:r>
          </w:p>
        </w:tc>
      </w:tr>
    </w:tbl>
    <w:p w14:paraId="61A4D2AA">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CF4D1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3FE2BAEE">
            <w:pPr>
              <w:numPr>
                <w:ilvl w:val="0"/>
                <w:numId w:val="243"/>
              </w:numPr>
              <w:spacing w:before="120" w:after="120" w:line="288" w:lineRule="auto"/>
              <w:ind w:left="0"/>
              <w:jc w:val="left"/>
            </w:pPr>
            <w:r>
              <w:rPr>
                <w:rFonts w:ascii="Arial" w:hAnsi="Arial" w:eastAsia="等线" w:cs="Arial"/>
                <w:sz w:val="22"/>
              </w:rPr>
              <w:t>C</w:t>
            </w:r>
          </w:p>
          <w:p w14:paraId="18453191">
            <w:pPr>
              <w:spacing w:before="120" w:after="120" w:line="288" w:lineRule="auto"/>
              <w:ind w:left="0"/>
              <w:jc w:val="left"/>
            </w:pPr>
            <w:r>
              <w:rPr>
                <w:rFonts w:ascii="Arial" w:hAnsi="Arial" w:eastAsia="等线" w:cs="Arial"/>
                <w:sz w:val="22"/>
              </w:rPr>
              <w:t xml:space="preserve">Your client would face political risk, market risk, and currency risk but not interest rate risk because they aren’t buying fixed income securities. Political (legislative) risk is the risk that laws may change that may adversely affect the securities purchased. Market risk is the risk that the securities might decline due to negative market conditions. Currency risk is the risk that the security declines in value due to an unfavorable exchange rate between the U.S. dollar and foreign currencies. </w:t>
            </w:r>
          </w:p>
          <w:p w14:paraId="3760C47F">
            <w:pPr>
              <w:spacing w:before="120" w:after="120" w:line="288" w:lineRule="auto"/>
              <w:ind w:left="0"/>
              <w:jc w:val="left"/>
            </w:pPr>
            <w:r>
              <w:rPr>
                <w:rFonts w:ascii="Arial" w:hAnsi="Arial" w:eastAsia="等线" w:cs="Arial"/>
                <w:sz w:val="22"/>
              </w:rPr>
              <w:t>你的客户将面临政治风险、市场风险和汇率风险，但不会面临利率风险，因为他们没有购买固定收益证券。政治（立法）风险是指法律变更可能对所购买证券产生不利影响的风险。市场风险是指证券由于市场条件不利而可能下跌的风险。货币风险是指由于美元与外国货币之间的不利汇率而导致证券价值下降的风险。</w:t>
            </w:r>
          </w:p>
          <w:p w14:paraId="509AE368">
            <w:pPr>
              <w:spacing w:before="120" w:after="120" w:line="288" w:lineRule="auto"/>
              <w:ind w:left="0"/>
              <w:jc w:val="left"/>
            </w:pPr>
          </w:p>
          <w:p w14:paraId="665187E3">
            <w:pPr>
              <w:numPr>
                <w:ilvl w:val="0"/>
                <w:numId w:val="244"/>
              </w:numPr>
              <w:spacing w:before="120" w:after="120" w:line="288" w:lineRule="auto"/>
              <w:ind w:left="0"/>
              <w:jc w:val="left"/>
            </w:pPr>
            <w:r>
              <w:rPr>
                <w:rFonts w:ascii="Arial" w:hAnsi="Arial" w:eastAsia="等线" w:cs="Arial"/>
                <w:sz w:val="22"/>
              </w:rPr>
              <w:t xml:space="preserve">A </w:t>
            </w:r>
          </w:p>
          <w:p w14:paraId="52297F3D">
            <w:pPr>
              <w:spacing w:before="120" w:after="120" w:line="288" w:lineRule="auto"/>
              <w:ind w:left="0"/>
              <w:jc w:val="left"/>
            </w:pPr>
            <w:r>
              <w:rPr>
                <w:rFonts w:ascii="Arial" w:hAnsi="Arial" w:eastAsia="等线" w:cs="Arial"/>
                <w:sz w:val="22"/>
              </w:rPr>
              <w:t xml:space="preserve">Reinvestment risk is the additional risk taken with interest or dividends received. Since zero-coupon bonds make no interest payments (they are issued at a discount and mature at par value), there is nothing to reinvest. </w:t>
            </w:r>
          </w:p>
          <w:p w14:paraId="7DB01879">
            <w:pPr>
              <w:spacing w:before="120" w:after="120" w:line="288" w:lineRule="auto"/>
              <w:ind w:left="0"/>
              <w:jc w:val="left"/>
            </w:pPr>
            <w:r>
              <w:rPr>
                <w:rFonts w:ascii="Arial" w:hAnsi="Arial" w:eastAsia="等线" w:cs="Arial"/>
                <w:sz w:val="22"/>
              </w:rPr>
              <w:t>再投资风险是指利息或股息带来的额外风险。由于零息债券不支付利息（它们以折扣价发行，以票面价值到期），因此没有什么可再投资的。</w:t>
            </w:r>
          </w:p>
          <w:p w14:paraId="5AFE2307">
            <w:pPr>
              <w:spacing w:before="120" w:after="120" w:line="288" w:lineRule="auto"/>
              <w:ind w:left="0"/>
              <w:jc w:val="left"/>
            </w:pPr>
          </w:p>
          <w:p w14:paraId="4928B8E4">
            <w:pPr>
              <w:numPr>
                <w:ilvl w:val="0"/>
                <w:numId w:val="245"/>
              </w:numPr>
              <w:spacing w:before="120" w:after="120" w:line="288" w:lineRule="auto"/>
              <w:ind w:left="0"/>
              <w:jc w:val="left"/>
            </w:pPr>
            <w:r>
              <w:rPr>
                <w:rFonts w:ascii="Arial" w:hAnsi="Arial" w:eastAsia="等线" w:cs="Arial"/>
                <w:sz w:val="22"/>
              </w:rPr>
              <w:t>A</w:t>
            </w:r>
          </w:p>
          <w:p w14:paraId="15ECAE84">
            <w:pPr>
              <w:spacing w:before="120" w:after="120" w:line="288" w:lineRule="auto"/>
              <w:ind w:left="0"/>
              <w:jc w:val="left"/>
            </w:pPr>
            <w:r>
              <w:rPr>
                <w:rFonts w:ascii="Arial" w:hAnsi="Arial" w:eastAsia="等线" w:cs="Arial"/>
                <w:sz w:val="22"/>
              </w:rPr>
              <w:t>Inflationary risk (purchasing power risk) is the risk that inflation can pose to a security or portfolio over time. Treasury bonds (T bonds) have a longer maturity, and if inflation kicks in, the Fed is likely to raise interest rates. If interest rates increase, outstanding bond prices decrease. Longer-term bonds are affected more than shorter-term bonds, like Treasury bills.</w:t>
            </w:r>
          </w:p>
          <w:p w14:paraId="0A2CFE0B">
            <w:pPr>
              <w:spacing w:before="120" w:after="120" w:line="288" w:lineRule="auto"/>
              <w:ind w:left="0"/>
              <w:jc w:val="left"/>
            </w:pPr>
            <w:r>
              <w:rPr>
                <w:rFonts w:ascii="Arial" w:hAnsi="Arial" w:eastAsia="等线" w:cs="Arial"/>
                <w:sz w:val="22"/>
              </w:rPr>
              <w:t>通货膨胀风险（购买力风险）是指随着时间的推移，通货膨胀可能给证券或投资组合带来的风险。国库券（T债券）期限更长，如果通货膨胀开始，美联储可能会提高利率。如果利率上升，未偿债券价格就会下降。长期债券比短期债券（如国库券）受到的影响更大。</w:t>
            </w:r>
          </w:p>
          <w:p w14:paraId="4A3670E1">
            <w:pPr>
              <w:spacing w:before="120" w:after="120" w:line="288" w:lineRule="auto"/>
              <w:ind w:left="0"/>
              <w:jc w:val="left"/>
            </w:pPr>
          </w:p>
          <w:p w14:paraId="18220830">
            <w:pPr>
              <w:numPr>
                <w:ilvl w:val="0"/>
                <w:numId w:val="246"/>
              </w:numPr>
              <w:spacing w:before="120" w:after="120" w:line="288" w:lineRule="auto"/>
              <w:ind w:left="0"/>
              <w:jc w:val="left"/>
            </w:pPr>
            <w:r>
              <w:rPr>
                <w:rFonts w:ascii="Arial" w:hAnsi="Arial" w:eastAsia="等线" w:cs="Arial"/>
                <w:sz w:val="22"/>
              </w:rPr>
              <w:t>C</w:t>
            </w:r>
          </w:p>
          <w:p w14:paraId="666F7640">
            <w:pPr>
              <w:spacing w:before="120" w:after="120" w:line="288" w:lineRule="auto"/>
              <w:ind w:left="0"/>
              <w:jc w:val="left"/>
            </w:pPr>
            <w:r>
              <w:rPr>
                <w:rFonts w:ascii="Arial" w:hAnsi="Arial" w:eastAsia="等线" w:cs="Arial"/>
                <w:sz w:val="22"/>
              </w:rPr>
              <w:t>Portfolio diversification doesn’t reduce systematic (market) risk because a bearish market can affect all securities. However, portfolio diversification does reduce non-systematic (business) risk because some companies may perform better than expected, even though others may not be performing as well.</w:t>
            </w:r>
          </w:p>
          <w:p w14:paraId="4F7A0003">
            <w:pPr>
              <w:spacing w:before="120" w:after="120" w:line="288" w:lineRule="auto"/>
              <w:ind w:left="0"/>
              <w:jc w:val="left"/>
            </w:pPr>
            <w:r>
              <w:rPr>
                <w:rFonts w:ascii="Arial" w:hAnsi="Arial" w:eastAsia="等线" w:cs="Arial"/>
                <w:sz w:val="22"/>
              </w:rPr>
              <w:t>投资组合多样化并不能降低系统（市场）风险，因为熊市会影响所有证券。然而，投资组合多样化确实减少了非系统性（商业）风险，因为一些公司的表现可能比预期的好，即使其他公司的表现可能不如预期的好。</w:t>
            </w:r>
          </w:p>
          <w:p w14:paraId="251924B3">
            <w:pPr>
              <w:spacing w:before="120" w:after="120" w:line="288" w:lineRule="auto"/>
              <w:ind w:left="0"/>
              <w:jc w:val="left"/>
            </w:pPr>
          </w:p>
          <w:p w14:paraId="43C97A47">
            <w:pPr>
              <w:numPr>
                <w:ilvl w:val="0"/>
                <w:numId w:val="247"/>
              </w:numPr>
              <w:spacing w:before="120" w:after="120" w:line="288" w:lineRule="auto"/>
              <w:ind w:left="0"/>
              <w:jc w:val="left"/>
            </w:pPr>
            <w:r>
              <w:rPr>
                <w:rFonts w:ascii="Arial" w:hAnsi="Arial" w:eastAsia="等线" w:cs="Arial"/>
                <w:sz w:val="22"/>
              </w:rPr>
              <w:t>A</w:t>
            </w:r>
          </w:p>
          <w:p w14:paraId="7006EEE7">
            <w:pPr>
              <w:spacing w:before="120" w:after="120" w:line="288" w:lineRule="auto"/>
              <w:ind w:left="0"/>
              <w:jc w:val="left"/>
            </w:pPr>
            <w:r>
              <w:rPr>
                <w:rFonts w:ascii="Arial" w:hAnsi="Arial" w:eastAsia="等线" w:cs="Arial"/>
                <w:sz w:val="22"/>
              </w:rPr>
              <w:t>Because this investor has no other investments and has only $10,000 to invest, it’s impossible to build a diversified portfolio without mutual funds. Mutual funds are designed for investors who don’t have enough money and/or expertise to build a diversified portfolio. Each mutual fund in itself is diversified because the fund invests in several different securities.</w:t>
            </w:r>
          </w:p>
          <w:p w14:paraId="7E3C09B1">
            <w:pPr>
              <w:spacing w:before="120" w:after="120" w:line="288" w:lineRule="auto"/>
              <w:ind w:left="0"/>
              <w:jc w:val="left"/>
            </w:pPr>
            <w:r>
              <w:rPr>
                <w:rFonts w:ascii="Arial" w:hAnsi="Arial" w:eastAsia="等线" w:cs="Arial"/>
                <w:sz w:val="22"/>
              </w:rPr>
              <w:t>因为这个投资者没有其他投资，只有1万美元可以投资，没有共同基金就不可能建立一个多元化的投资组合。共同基金是为那些没有足够资金和/或专业知识来建立多元化投资组合的投资者设计的。每只共同基金本身都是多元化的，因为基金投资于几种不同的证券。</w:t>
            </w:r>
          </w:p>
          <w:p w14:paraId="41212816">
            <w:pPr>
              <w:spacing w:before="120" w:after="120" w:line="288" w:lineRule="auto"/>
              <w:ind w:left="0"/>
              <w:jc w:val="left"/>
            </w:pPr>
          </w:p>
          <w:p w14:paraId="0344A5DC">
            <w:pPr>
              <w:numPr>
                <w:ilvl w:val="0"/>
                <w:numId w:val="248"/>
              </w:numPr>
              <w:spacing w:before="120" w:after="120" w:line="288" w:lineRule="auto"/>
              <w:ind w:left="0"/>
              <w:jc w:val="left"/>
            </w:pPr>
            <w:r>
              <w:rPr>
                <w:rFonts w:ascii="Arial" w:hAnsi="Arial" w:eastAsia="等线" w:cs="Arial"/>
                <w:sz w:val="22"/>
              </w:rPr>
              <w:t>D</w:t>
            </w:r>
          </w:p>
          <w:p w14:paraId="15493DE5">
            <w:pPr>
              <w:spacing w:before="120" w:after="120" w:line="288" w:lineRule="auto"/>
              <w:ind w:left="0"/>
              <w:jc w:val="left"/>
            </w:pPr>
            <w:r>
              <w:rPr>
                <w:rFonts w:ascii="Arial" w:hAnsi="Arial" w:eastAsia="等线" w:cs="Arial"/>
                <w:sz w:val="22"/>
              </w:rPr>
              <w:t>Diversification helps investors mitigate investment risk. All the choices listed are ways investors can lessen risk. When dealing with clients, you should always help them diversify their portfolio. It’s the old “don’t put all of your eggs in one basket” theory.</w:t>
            </w:r>
          </w:p>
          <w:p w14:paraId="2EF20485">
            <w:pPr>
              <w:spacing w:before="120" w:after="120" w:line="288" w:lineRule="auto"/>
              <w:ind w:left="0"/>
              <w:jc w:val="left"/>
            </w:pPr>
            <w:r>
              <w:rPr>
                <w:rFonts w:ascii="Arial" w:hAnsi="Arial" w:eastAsia="等线" w:cs="Arial"/>
                <w:sz w:val="22"/>
              </w:rPr>
              <w:t>分散投资有助于投资者降低投资风险。列出的所有选择都是投资者降低风险的方法。与客户打交道时，你应该帮助他们分散投资组合。这是古老的“不要把所有的鸡蛋放在一个篮子里”的理论。</w:t>
            </w:r>
          </w:p>
          <w:p w14:paraId="444487D4">
            <w:pPr>
              <w:spacing w:before="120" w:after="120" w:line="288" w:lineRule="auto"/>
              <w:ind w:left="0"/>
              <w:jc w:val="left"/>
            </w:pPr>
          </w:p>
          <w:p w14:paraId="6259A28C">
            <w:pPr>
              <w:numPr>
                <w:ilvl w:val="0"/>
                <w:numId w:val="249"/>
              </w:numPr>
              <w:spacing w:before="120" w:after="120" w:line="288" w:lineRule="auto"/>
              <w:ind w:left="0"/>
              <w:jc w:val="left"/>
            </w:pPr>
            <w:r>
              <w:rPr>
                <w:rFonts w:ascii="Arial" w:hAnsi="Arial" w:eastAsia="等线" w:cs="Arial"/>
                <w:sz w:val="22"/>
              </w:rPr>
              <w:t>C</w:t>
            </w:r>
          </w:p>
          <w:p w14:paraId="42D3C8CA">
            <w:pPr>
              <w:spacing w:before="120" w:after="120" w:line="288" w:lineRule="auto"/>
              <w:ind w:left="0"/>
              <w:jc w:val="left"/>
            </w:pPr>
            <w:r>
              <w:rPr>
                <w:rFonts w:ascii="Arial" w:hAnsi="Arial" w:eastAsia="等线" w:cs="Arial"/>
                <w:sz w:val="22"/>
              </w:rPr>
              <w:t>You can cross off (A) and (B) right away because stocks and bonds are not retirement plans. Out of the two annuity plans, variable annuities do not have purchasing power (inflation) risk because the return is based on the performance of the securities held in the separate account. Ideally, the securities will outperform the rate of inflation.</w:t>
            </w:r>
          </w:p>
          <w:p w14:paraId="056C5490">
            <w:pPr>
              <w:spacing w:before="120" w:after="120" w:line="288" w:lineRule="auto"/>
              <w:ind w:left="0"/>
              <w:jc w:val="left"/>
            </w:pPr>
            <w:r>
              <w:rPr>
                <w:rFonts w:ascii="Arial" w:hAnsi="Arial" w:eastAsia="等线" w:cs="Arial"/>
                <w:sz w:val="22"/>
              </w:rPr>
              <w:t>你可以马上划掉(A)和(B)，因为股票和债券不是退休计划。在这两种年金计划中，可变年金没有购买力（通货膨胀）风险，因为回报是基于在单独账户中持有的证券的表现。理想情况下，这些证券的表现将超过通货膨胀率。</w:t>
            </w:r>
          </w:p>
          <w:p w14:paraId="134D0115">
            <w:pPr>
              <w:spacing w:before="120" w:after="120" w:line="288" w:lineRule="auto"/>
              <w:ind w:left="0"/>
              <w:jc w:val="left"/>
            </w:pPr>
          </w:p>
          <w:p w14:paraId="69CC9E72">
            <w:pPr>
              <w:numPr>
                <w:ilvl w:val="0"/>
                <w:numId w:val="250"/>
              </w:numPr>
              <w:spacing w:before="120" w:after="120" w:line="288" w:lineRule="auto"/>
              <w:ind w:left="0"/>
              <w:jc w:val="left"/>
            </w:pPr>
            <w:r>
              <w:rPr>
                <w:rFonts w:ascii="Arial" w:hAnsi="Arial" w:eastAsia="等线" w:cs="Arial"/>
                <w:sz w:val="22"/>
              </w:rPr>
              <w:t>D</w:t>
            </w:r>
          </w:p>
          <w:p w14:paraId="0057D9AB">
            <w:pPr>
              <w:spacing w:before="120" w:after="120" w:line="288" w:lineRule="auto"/>
              <w:ind w:left="0"/>
              <w:jc w:val="left"/>
            </w:pPr>
            <w:r>
              <w:rPr>
                <w:rFonts w:ascii="Arial" w:hAnsi="Arial" w:eastAsia="等线" w:cs="Arial"/>
                <w:sz w:val="22"/>
              </w:rPr>
              <w:t>This investor has 70 percent of their portfolio invested in two different companies (35 percent in TUV and 35 percent in LMN). Therefore, this customer has nonsystematic (unsystematic or diversifiable) risk built into their portfolio. Nonsystematic risk is the risk that a particular company or industry might do poorly and bring the value of the portfolio down substantially. Obviously, you would look at this portfolio and say that the investments in U.S. government securities, money market funds, and ETFs provide a certain degree of safety. However, those investments are only 30 percent of their portfolio. Therefore, you would likely recommend that the other 70 percent should be spread out to more than two companies.</w:t>
            </w:r>
          </w:p>
          <w:p w14:paraId="5026DDEE">
            <w:pPr>
              <w:spacing w:before="120" w:after="120" w:line="288" w:lineRule="auto"/>
              <w:ind w:left="0"/>
              <w:jc w:val="left"/>
            </w:pPr>
            <w:r>
              <w:rPr>
                <w:rFonts w:ascii="Arial" w:hAnsi="Arial" w:eastAsia="等线" w:cs="Arial"/>
                <w:sz w:val="22"/>
              </w:rPr>
              <w:t>这位投资者将70%的投资组合投资于两家不同的公司（35%投资于TUV， 35%投资于LMN）。因此，该客户的投资组合中存在非系统性（非系统性或可多样化）风险。非系统风险是指某一特定公司或行业可能表现不佳，导致投资组合价值大幅下降的风险。很明显，你会看到这个投资组合，然后说投资于美国政府证券、货币市场基金和交易所交易基金提供了一定程度的安全性。然而，这些投资只占他们投资组合的30%。因此，您可能会建议将剩下的70%分散到两个以上的公司。</w:t>
            </w:r>
          </w:p>
          <w:p w14:paraId="7DF028D7">
            <w:pPr>
              <w:spacing w:before="120" w:after="120" w:line="288" w:lineRule="auto"/>
              <w:ind w:left="0"/>
              <w:jc w:val="left"/>
            </w:pPr>
          </w:p>
          <w:p w14:paraId="5F0C1EB0">
            <w:pPr>
              <w:numPr>
                <w:ilvl w:val="0"/>
                <w:numId w:val="251"/>
              </w:numPr>
              <w:spacing w:before="120" w:after="120" w:line="288" w:lineRule="auto"/>
              <w:ind w:left="0"/>
              <w:jc w:val="left"/>
            </w:pPr>
            <w:r>
              <w:rPr>
                <w:rFonts w:ascii="Arial" w:hAnsi="Arial" w:eastAsia="等线" w:cs="Arial"/>
                <w:sz w:val="22"/>
              </w:rPr>
              <w:t>D</w:t>
            </w:r>
          </w:p>
          <w:p w14:paraId="1EAD9363">
            <w:pPr>
              <w:spacing w:before="120" w:after="120" w:line="288" w:lineRule="auto"/>
              <w:ind w:left="0"/>
              <w:jc w:val="left"/>
            </w:pPr>
            <w:r>
              <w:rPr>
                <w:rFonts w:ascii="Arial" w:hAnsi="Arial" w:eastAsia="等线" w:cs="Arial"/>
                <w:sz w:val="22"/>
              </w:rPr>
              <w:t>All of the choices listed can apply to both domestic and foreign debt securities. Regulatory risk is the risk that law changes will affect the market. Political risk is the risk that politics in a particular country could negatively affect securities. Interest rate (money rate) risk is the risk that bond prices will decline due to increasing interest rates.</w:t>
            </w:r>
          </w:p>
          <w:p w14:paraId="441DA089">
            <w:pPr>
              <w:spacing w:before="120" w:after="120" w:line="288" w:lineRule="auto"/>
              <w:ind w:left="0"/>
              <w:jc w:val="left"/>
            </w:pPr>
            <w:r>
              <w:rPr>
                <w:rFonts w:ascii="Arial" w:hAnsi="Arial" w:eastAsia="等线" w:cs="Arial"/>
                <w:sz w:val="22"/>
              </w:rPr>
              <w:t>列出的所有选择都适用于国内和国外债务证券。监管风险是指法律变更会影响市场的风险。政治风险是指某一特定国家的政治可能对证券产生负面影响的风险。利率（货币利率）风险是指债券价格因利率上升而下跌的风险。</w:t>
            </w:r>
          </w:p>
          <w:p w14:paraId="46EDD769">
            <w:pPr>
              <w:spacing w:before="120" w:after="120" w:line="288" w:lineRule="auto"/>
              <w:ind w:left="0"/>
              <w:jc w:val="left"/>
            </w:pPr>
          </w:p>
          <w:p w14:paraId="5D5188E4">
            <w:pPr>
              <w:numPr>
                <w:ilvl w:val="0"/>
                <w:numId w:val="252"/>
              </w:numPr>
              <w:spacing w:before="120" w:after="120" w:line="288" w:lineRule="auto"/>
              <w:ind w:left="0"/>
              <w:jc w:val="left"/>
            </w:pPr>
            <w:r>
              <w:rPr>
                <w:rFonts w:ascii="Arial" w:hAnsi="Arial" w:eastAsia="等线" w:cs="Arial"/>
                <w:sz w:val="22"/>
              </w:rPr>
              <w:t>B</w:t>
            </w:r>
          </w:p>
          <w:p w14:paraId="6FCBE198">
            <w:pPr>
              <w:spacing w:before="120" w:after="120" w:line="288" w:lineRule="auto"/>
              <w:ind w:left="0"/>
              <w:jc w:val="left"/>
            </w:pPr>
            <w:r>
              <w:rPr>
                <w:rFonts w:ascii="Arial" w:hAnsi="Arial" w:eastAsia="等线" w:cs="Arial"/>
                <w:sz w:val="22"/>
              </w:rPr>
              <w:t>The greatest investment risk that an investor will face when purchasing a variable annuity is market risk. Variable annuities have a separate account where an investor chooses the securities held. The securities held in the account are subject to market risk, which is the risk that the securities can decline due to negative market conditions.</w:t>
            </w:r>
          </w:p>
          <w:p w14:paraId="66F7FFF2">
            <w:pPr>
              <w:spacing w:before="120" w:after="120" w:line="288" w:lineRule="auto"/>
              <w:ind w:left="0"/>
              <w:jc w:val="left"/>
            </w:pPr>
            <w:r>
              <w:rPr>
                <w:rFonts w:ascii="Arial" w:hAnsi="Arial" w:eastAsia="等线" w:cs="Arial"/>
                <w:sz w:val="22"/>
              </w:rPr>
              <w:t>投资者购买可变年金时将面临的最大投资风险是市场风险。可变年金设有一个独立账户，投资者可在该账户中选择持有的证券。账户中持有的证券会面临市场风险，即证券可能因不利的市场环境而下跌的风险。</w:t>
            </w:r>
          </w:p>
          <w:p w14:paraId="37267315">
            <w:pPr>
              <w:spacing w:before="120" w:after="120" w:line="288" w:lineRule="auto"/>
              <w:ind w:left="0"/>
              <w:jc w:val="left"/>
            </w:pPr>
          </w:p>
          <w:p w14:paraId="13DBAFFB">
            <w:pPr>
              <w:numPr>
                <w:ilvl w:val="0"/>
                <w:numId w:val="253"/>
              </w:numPr>
              <w:spacing w:before="120" w:after="120" w:line="288" w:lineRule="auto"/>
              <w:ind w:left="0"/>
              <w:jc w:val="left"/>
            </w:pPr>
            <w:r>
              <w:rPr>
                <w:rFonts w:ascii="Arial" w:hAnsi="Arial" w:eastAsia="等线" w:cs="Arial"/>
                <w:sz w:val="22"/>
              </w:rPr>
              <w:t>D</w:t>
            </w:r>
          </w:p>
          <w:p w14:paraId="4707064E">
            <w:pPr>
              <w:spacing w:before="120" w:after="120" w:line="288" w:lineRule="auto"/>
              <w:ind w:left="0"/>
              <w:jc w:val="left"/>
            </w:pPr>
            <w:r>
              <w:rPr>
                <w:rFonts w:ascii="Arial" w:hAnsi="Arial" w:eastAsia="等线" w:cs="Arial"/>
                <w:sz w:val="22"/>
              </w:rPr>
              <w:t xml:space="preserve">Fundamental analysts decide what to buy, and technical analysts decide when to buy. A fundamental analyst compares the earnings per share (EPS) of different companies as well as balance sheets and income statements. However, trend lines are something that a technical analyst examines. </w:t>
            </w:r>
          </w:p>
          <w:p w14:paraId="7370C9EF">
            <w:pPr>
              <w:spacing w:before="120" w:after="120" w:line="288" w:lineRule="auto"/>
              <w:ind w:left="0"/>
              <w:jc w:val="left"/>
            </w:pPr>
            <w:r>
              <w:rPr>
                <w:rFonts w:ascii="Arial" w:hAnsi="Arial" w:eastAsia="等线" w:cs="Arial"/>
                <w:sz w:val="22"/>
              </w:rPr>
              <w:t>基本面分析师决定买什么，技术分析师决定什么时候买。基本面分析师比较不同公司的每股收益（EPS）以及资产负债表和损益表。然而，趋势线是技术分析师检查的东西。</w:t>
            </w:r>
          </w:p>
          <w:p w14:paraId="5BC9E1A1">
            <w:pPr>
              <w:spacing w:before="120" w:after="120" w:line="288" w:lineRule="auto"/>
              <w:ind w:left="0"/>
              <w:jc w:val="left"/>
            </w:pPr>
          </w:p>
          <w:p w14:paraId="6548D808">
            <w:pPr>
              <w:numPr>
                <w:ilvl w:val="0"/>
                <w:numId w:val="254"/>
              </w:numPr>
              <w:spacing w:before="120" w:after="120" w:line="288" w:lineRule="auto"/>
              <w:ind w:left="0"/>
              <w:jc w:val="left"/>
            </w:pPr>
            <w:r>
              <w:rPr>
                <w:rFonts w:ascii="Arial" w:hAnsi="Arial" w:eastAsia="等线" w:cs="Arial"/>
                <w:sz w:val="22"/>
              </w:rPr>
              <w:t>D</w:t>
            </w:r>
          </w:p>
          <w:p w14:paraId="3F398855">
            <w:pPr>
              <w:spacing w:before="120" w:after="120" w:line="288" w:lineRule="auto"/>
              <w:ind w:left="0"/>
              <w:jc w:val="left"/>
            </w:pPr>
            <w:r>
              <w:rPr>
                <w:rFonts w:ascii="Arial" w:hAnsi="Arial" w:eastAsia="等线" w:cs="Arial"/>
                <w:sz w:val="22"/>
              </w:rPr>
              <w:t>Fundamental analysts look at and compare companies. They do an in-depth analysis to</w:t>
            </w:r>
          </w:p>
          <w:p w14:paraId="3FEF325B">
            <w:pPr>
              <w:spacing w:before="120" w:after="120" w:line="288" w:lineRule="auto"/>
              <w:ind w:left="0"/>
              <w:jc w:val="left"/>
            </w:pPr>
            <w:r>
              <w:rPr>
                <w:rFonts w:ascii="Arial" w:hAnsi="Arial" w:eastAsia="等线" w:cs="Arial"/>
                <w:sz w:val="22"/>
              </w:rPr>
              <w:t>help professionals decide which companies would be good or bad investments. So funda-</w:t>
            </w:r>
          </w:p>
          <w:p w14:paraId="1CCF9A93">
            <w:pPr>
              <w:spacing w:before="120" w:after="120" w:line="288" w:lineRule="auto"/>
              <w:ind w:left="0"/>
              <w:jc w:val="left"/>
            </w:pPr>
            <w:r>
              <w:rPr>
                <w:rFonts w:ascii="Arial" w:hAnsi="Arial" w:eastAsia="等线" w:cs="Arial"/>
                <w:sz w:val="22"/>
              </w:rPr>
              <w:t>mental analysts help decide what to buy, whereas technical analysts look at the market</w:t>
            </w:r>
          </w:p>
          <w:p w14:paraId="635728B0">
            <w:pPr>
              <w:spacing w:before="120" w:after="120" w:line="288" w:lineRule="auto"/>
              <w:ind w:left="0"/>
              <w:jc w:val="left"/>
            </w:pPr>
            <w:r>
              <w:rPr>
                <w:rFonts w:ascii="Arial" w:hAnsi="Arial" w:eastAsia="等线" w:cs="Arial"/>
                <w:sz w:val="22"/>
              </w:rPr>
              <w:t>and help professionals decide when to buy (timing).</w:t>
            </w:r>
          </w:p>
          <w:p w14:paraId="7B32FD8C">
            <w:pPr>
              <w:spacing w:before="120" w:after="120" w:line="288" w:lineRule="auto"/>
              <w:ind w:left="0"/>
              <w:jc w:val="left"/>
            </w:pPr>
            <w:r>
              <w:rPr>
                <w:rFonts w:ascii="Arial" w:hAnsi="Arial" w:eastAsia="等线" w:cs="Arial"/>
                <w:sz w:val="22"/>
              </w:rPr>
              <w:t>基本面分析师观察和比较公司。他们做了一个深入的分析帮助专业人士决定哪些公司是好的或坏的投资。所以基础心理分析师帮助决定买什么，而技术分析师观察市场并帮助专业人士决定何时购买（时机）。</w:t>
            </w:r>
          </w:p>
          <w:p w14:paraId="110E8B51">
            <w:pPr>
              <w:spacing w:before="120" w:after="120" w:line="288" w:lineRule="auto"/>
              <w:ind w:left="0"/>
              <w:jc w:val="left"/>
            </w:pPr>
          </w:p>
          <w:p w14:paraId="4AB86701">
            <w:pPr>
              <w:numPr>
                <w:ilvl w:val="0"/>
                <w:numId w:val="255"/>
              </w:numPr>
              <w:spacing w:before="120" w:after="120" w:line="288" w:lineRule="auto"/>
              <w:ind w:left="0"/>
              <w:jc w:val="left"/>
            </w:pPr>
            <w:r>
              <w:rPr>
                <w:rFonts w:ascii="Arial" w:hAnsi="Arial" w:eastAsia="等线" w:cs="Arial"/>
                <w:sz w:val="22"/>
              </w:rPr>
              <w:t>D</w:t>
            </w:r>
          </w:p>
          <w:p w14:paraId="15F01A8F">
            <w:pPr>
              <w:spacing w:before="120" w:after="120" w:line="288" w:lineRule="auto"/>
              <w:ind w:left="0"/>
              <w:jc w:val="left"/>
            </w:pPr>
            <w:r>
              <w:rPr>
                <w:rFonts w:ascii="Arial" w:hAnsi="Arial" w:eastAsia="等线" w:cs="Arial"/>
                <w:sz w:val="22"/>
              </w:rPr>
              <w:t>The balance sheet is just a snapshot of the net worth (stockholders’ equity) of a company. The balance sheet includes the company’s assets, liabilities, and stockholders’ equity. Net income is derived from a company’s income statement. The income statement looks at a company’s income minus expenses.</w:t>
            </w:r>
          </w:p>
          <w:p w14:paraId="30B98D5B">
            <w:pPr>
              <w:spacing w:before="120" w:after="120" w:line="288" w:lineRule="auto"/>
              <w:ind w:left="0"/>
              <w:jc w:val="left"/>
            </w:pPr>
            <w:r>
              <w:rPr>
                <w:rFonts w:ascii="Arial" w:hAnsi="Arial" w:eastAsia="等线" w:cs="Arial"/>
                <w:sz w:val="22"/>
              </w:rPr>
              <w:t>资产负债表只是公司净资产（股东权益）的缩影。资产负债表包括公司的资产、负债和股东权益。净收入来源于公司的损益表。损益表看的是公司的收入减去费用。</w:t>
            </w:r>
          </w:p>
          <w:p w14:paraId="149B9B3E">
            <w:pPr>
              <w:spacing w:before="120" w:after="120" w:line="288" w:lineRule="auto"/>
              <w:ind w:left="0"/>
              <w:jc w:val="left"/>
            </w:pPr>
          </w:p>
          <w:p w14:paraId="2242E485">
            <w:pPr>
              <w:numPr>
                <w:ilvl w:val="0"/>
                <w:numId w:val="256"/>
              </w:numPr>
              <w:spacing w:before="120" w:after="120" w:line="288" w:lineRule="auto"/>
              <w:ind w:left="0"/>
              <w:jc w:val="left"/>
            </w:pPr>
            <w:r>
              <w:rPr>
                <w:rFonts w:ascii="Arial" w:hAnsi="Arial" w:eastAsia="等线" w:cs="Arial"/>
                <w:sz w:val="22"/>
              </w:rPr>
              <w:t xml:space="preserve">A </w:t>
            </w:r>
          </w:p>
          <w:p w14:paraId="089EB491">
            <w:pPr>
              <w:spacing w:before="120" w:after="120" w:line="288" w:lineRule="auto"/>
              <w:ind w:left="0"/>
              <w:jc w:val="left"/>
            </w:pPr>
            <w:r>
              <w:rPr>
                <w:rFonts w:ascii="Arial" w:hAnsi="Arial" w:eastAsia="等线" w:cs="Arial"/>
                <w:sz w:val="22"/>
              </w:rPr>
              <w:t>When looking at a corporation’s balance sheet, the left side lists the assets, and the right side lists the liabilities and the shareholder’s equity. Each side balances out so the left side equals the right.</w:t>
            </w:r>
          </w:p>
          <w:p w14:paraId="297827EF">
            <w:pPr>
              <w:spacing w:before="120" w:after="120" w:line="288" w:lineRule="auto"/>
              <w:ind w:left="0"/>
              <w:jc w:val="left"/>
            </w:pPr>
            <w:r>
              <w:rPr>
                <w:rFonts w:ascii="Arial" w:hAnsi="Arial" w:eastAsia="等线" w:cs="Arial"/>
                <w:sz w:val="22"/>
              </w:rPr>
              <w:t>看公司的资产负债表时，左边列出资产，右边列出负债和股东权益。两边平衡，所以左边等于右边。</w:t>
            </w:r>
          </w:p>
          <w:p w14:paraId="79981096">
            <w:pPr>
              <w:spacing w:before="120" w:after="120" w:line="288" w:lineRule="auto"/>
              <w:ind w:left="0"/>
              <w:jc w:val="left"/>
            </w:pPr>
          </w:p>
          <w:p w14:paraId="208A65BB">
            <w:pPr>
              <w:numPr>
                <w:ilvl w:val="0"/>
                <w:numId w:val="257"/>
              </w:numPr>
              <w:spacing w:before="120" w:after="120" w:line="288" w:lineRule="auto"/>
              <w:ind w:left="0"/>
              <w:jc w:val="left"/>
            </w:pPr>
            <w:r>
              <w:rPr>
                <w:rFonts w:ascii="Arial" w:hAnsi="Arial" w:eastAsia="等线" w:cs="Arial"/>
                <w:sz w:val="22"/>
              </w:rPr>
              <w:t>C</w:t>
            </w:r>
          </w:p>
          <w:p w14:paraId="4662A6D7">
            <w:pPr>
              <w:spacing w:before="120" w:after="120" w:line="288" w:lineRule="auto"/>
              <w:ind w:left="0"/>
              <w:jc w:val="left"/>
            </w:pPr>
            <w:r>
              <w:rPr>
                <w:rFonts w:ascii="Arial" w:hAnsi="Arial" w:eastAsia="等线" w:cs="Arial"/>
                <w:sz w:val="22"/>
              </w:rPr>
              <w:t>Proponents of the Dow Theory logically believe that major market trends are confirmed</w:t>
            </w:r>
          </w:p>
          <w:p w14:paraId="6C6FB056">
            <w:pPr>
              <w:spacing w:before="120" w:after="120" w:line="288" w:lineRule="auto"/>
              <w:ind w:left="0"/>
              <w:jc w:val="left"/>
            </w:pPr>
            <w:r>
              <w:rPr>
                <w:rFonts w:ascii="Arial" w:hAnsi="Arial" w:eastAsia="等线" w:cs="Arial"/>
                <w:sz w:val="22"/>
              </w:rPr>
              <w:t>if both the DJIA and the Dow Jones Transportation Average are going the same direction.</w:t>
            </w:r>
          </w:p>
          <w:p w14:paraId="2F360AB0">
            <w:pPr>
              <w:spacing w:before="120" w:after="120" w:line="288" w:lineRule="auto"/>
              <w:ind w:left="0"/>
              <w:jc w:val="left"/>
            </w:pPr>
            <w:r>
              <w:rPr>
                <w:rFonts w:ascii="Arial" w:hAnsi="Arial" w:eastAsia="等线" w:cs="Arial"/>
                <w:sz w:val="22"/>
              </w:rPr>
              <w:t>In other words, companies not only have to be making a lot of goods, but also have to be</w:t>
            </w:r>
          </w:p>
          <w:p w14:paraId="59EEFE25">
            <w:pPr>
              <w:spacing w:before="120" w:after="120" w:line="288" w:lineRule="auto"/>
              <w:ind w:left="0"/>
              <w:jc w:val="left"/>
            </w:pPr>
            <w:r>
              <w:rPr>
                <w:rFonts w:ascii="Arial" w:hAnsi="Arial" w:eastAsia="等线" w:cs="Arial"/>
                <w:sz w:val="22"/>
              </w:rPr>
              <w:t>transporting those goods to be considered a positive sign.</w:t>
            </w:r>
          </w:p>
          <w:p w14:paraId="210814B6">
            <w:pPr>
              <w:spacing w:before="120" w:after="120" w:line="288" w:lineRule="auto"/>
              <w:ind w:left="0"/>
              <w:jc w:val="left"/>
            </w:pPr>
            <w:r>
              <w:rPr>
                <w:rFonts w:ascii="Arial" w:hAnsi="Arial" w:eastAsia="等线" w:cs="Arial"/>
                <w:sz w:val="22"/>
              </w:rPr>
              <w:t>道指理论的支持者逻辑上认为主要的市场趋势是确定的如果道琼斯工业平均指数和道琼斯交通平均指数的走势相同。换句话说，公司不仅要生产大量的商品，而且还必须做到运输这些货物被认为是一个积极的迹象。</w:t>
            </w:r>
          </w:p>
          <w:p w14:paraId="61403735">
            <w:pPr>
              <w:spacing w:before="120" w:after="120" w:line="288" w:lineRule="auto"/>
              <w:ind w:left="0"/>
              <w:jc w:val="left"/>
            </w:pPr>
          </w:p>
          <w:p w14:paraId="2335D055">
            <w:pPr>
              <w:numPr>
                <w:ilvl w:val="0"/>
                <w:numId w:val="258"/>
              </w:numPr>
              <w:spacing w:before="120" w:after="120" w:line="288" w:lineRule="auto"/>
              <w:ind w:left="0"/>
              <w:jc w:val="left"/>
            </w:pPr>
            <w:r>
              <w:rPr>
                <w:rFonts w:ascii="Arial" w:hAnsi="Arial" w:eastAsia="等线" w:cs="Arial"/>
                <w:sz w:val="22"/>
              </w:rPr>
              <w:t>A</w:t>
            </w:r>
          </w:p>
          <w:p w14:paraId="7C366FEB">
            <w:pPr>
              <w:spacing w:before="120" w:after="120" w:line="288" w:lineRule="auto"/>
              <w:ind w:left="0"/>
              <w:jc w:val="left"/>
            </w:pPr>
            <w:r>
              <w:rPr>
                <w:rFonts w:ascii="Arial" w:hAnsi="Arial" w:eastAsia="等线" w:cs="Arial"/>
                <w:sz w:val="22"/>
              </w:rPr>
              <w:t>If you’re bearish, you want the price of the underlying security to decrease. Selling stocks short, buying put options, and buying inverse ETFs (exchange traded funds) are all bearish strategies. However, selling uncovered put options is a bullish strategy because the seller would like the price of the underlying security to increase, or at least not go in the money.</w:t>
            </w:r>
          </w:p>
          <w:p w14:paraId="715A375A">
            <w:pPr>
              <w:spacing w:before="120" w:after="120" w:line="288" w:lineRule="auto"/>
              <w:ind w:left="0"/>
              <w:jc w:val="left"/>
            </w:pPr>
            <w:r>
              <w:rPr>
                <w:rFonts w:ascii="Arial" w:hAnsi="Arial" w:eastAsia="等线" w:cs="Arial"/>
                <w:sz w:val="22"/>
              </w:rPr>
              <w:t>如果你看空，你希望标的证券的价格下降。卖空股票、买入看跌期权和买入反向etf（交易所交易基金）都是看跌策略。然而，卖出未抵偿看跌期权是一种看涨策略，因为卖方希望标的证券的价格上涨，或者至少不要大幅下跌。</w:t>
            </w:r>
          </w:p>
          <w:p w14:paraId="35713859">
            <w:pPr>
              <w:spacing w:before="120" w:after="120" w:line="288" w:lineRule="auto"/>
              <w:ind w:left="0"/>
              <w:jc w:val="left"/>
            </w:pPr>
          </w:p>
          <w:p w14:paraId="0A2EF679">
            <w:pPr>
              <w:numPr>
                <w:ilvl w:val="0"/>
                <w:numId w:val="259"/>
              </w:numPr>
              <w:spacing w:before="120" w:after="120" w:line="288" w:lineRule="auto"/>
              <w:ind w:left="0"/>
              <w:jc w:val="left"/>
            </w:pPr>
            <w:r>
              <w:rPr>
                <w:rFonts w:ascii="Arial" w:hAnsi="Arial" w:eastAsia="等线" w:cs="Arial"/>
                <w:sz w:val="22"/>
              </w:rPr>
              <w:t>D</w:t>
            </w:r>
          </w:p>
          <w:p w14:paraId="7C13AC94">
            <w:pPr>
              <w:spacing w:before="120" w:after="120" w:line="288" w:lineRule="auto"/>
              <w:ind w:left="0"/>
              <w:jc w:val="left"/>
            </w:pPr>
            <w:r>
              <w:rPr>
                <w:rFonts w:ascii="Arial" w:hAnsi="Arial" w:eastAsia="等线" w:cs="Arial"/>
                <w:sz w:val="22"/>
              </w:rPr>
              <w:t>Bearish strategies are ones in which you want the price of the security to decrease. Bearish strategies include selling short, buying bearish funds, buying inverse exchangetraded funds, selling uncovered (naked) call options, and so on. Selling naked (uncovered) put options is actually a bullish strategy because the investor who holds that position wants the price of the underlying security to increase.</w:t>
            </w:r>
          </w:p>
          <w:p w14:paraId="7FD54BE1">
            <w:pPr>
              <w:spacing w:before="120" w:after="120" w:line="288" w:lineRule="auto"/>
              <w:ind w:left="0"/>
              <w:jc w:val="left"/>
            </w:pPr>
            <w:r>
              <w:rPr>
                <w:rFonts w:ascii="Arial" w:hAnsi="Arial" w:eastAsia="等线" w:cs="Arial"/>
                <w:sz w:val="22"/>
              </w:rPr>
              <w:t>看跌策略是指你希望证券价格下跌。看跌策略包括卖空、买入看跌基金、买入反向交易所交易基金、卖出未覆盖（裸）看涨期权等。卖出无担保看跌期权实际上是一种看涨策略，因为持有该头寸的投资者希望标的证券的价格上涨。</w:t>
            </w:r>
          </w:p>
          <w:p w14:paraId="77E0C79F">
            <w:pPr>
              <w:spacing w:before="120" w:after="120" w:line="288" w:lineRule="auto"/>
              <w:ind w:left="0"/>
              <w:jc w:val="left"/>
            </w:pPr>
          </w:p>
          <w:p w14:paraId="705A929F">
            <w:pPr>
              <w:numPr>
                <w:ilvl w:val="0"/>
                <w:numId w:val="260"/>
              </w:numPr>
              <w:spacing w:before="120" w:after="120" w:line="288" w:lineRule="auto"/>
              <w:ind w:left="0"/>
              <w:jc w:val="left"/>
            </w:pPr>
            <w:r>
              <w:rPr>
                <w:rFonts w:ascii="Arial" w:hAnsi="Arial" w:eastAsia="等线" w:cs="Arial"/>
                <w:sz w:val="22"/>
              </w:rPr>
              <w:t>A</w:t>
            </w:r>
          </w:p>
          <w:p w14:paraId="519AC6A6">
            <w:pPr>
              <w:spacing w:before="120" w:after="120" w:line="288" w:lineRule="auto"/>
              <w:ind w:left="0"/>
              <w:jc w:val="left"/>
            </w:pPr>
            <w:r>
              <w:rPr>
                <w:rFonts w:ascii="Arial" w:hAnsi="Arial" w:eastAsia="等线" w:cs="Arial"/>
                <w:sz w:val="22"/>
              </w:rPr>
              <w:t xml:space="preserve">The Federal Reserve Board (Fed or FRB) is responsible for the U.S. monetary policy. They are responsible for trying to maintain a slow steady growth of the U.S. economy. </w:t>
            </w:r>
          </w:p>
          <w:p w14:paraId="6E526BC7">
            <w:pPr>
              <w:spacing w:before="120" w:after="120" w:line="288" w:lineRule="auto"/>
              <w:ind w:left="0"/>
              <w:jc w:val="left"/>
            </w:pPr>
            <w:r>
              <w:rPr>
                <w:rFonts w:ascii="Arial" w:hAnsi="Arial" w:eastAsia="等线" w:cs="Arial"/>
                <w:sz w:val="22"/>
              </w:rPr>
              <w:t>联邦储备委员会（Fed或FRB）负责美国的货币政策。他们负责努力保持美国经济缓慢稳定的增长。</w:t>
            </w:r>
          </w:p>
          <w:p w14:paraId="2D237CCD">
            <w:pPr>
              <w:spacing w:before="120" w:after="120" w:line="288" w:lineRule="auto"/>
              <w:ind w:left="0"/>
              <w:jc w:val="left"/>
            </w:pPr>
          </w:p>
          <w:p w14:paraId="3213D116">
            <w:pPr>
              <w:numPr>
                <w:ilvl w:val="0"/>
                <w:numId w:val="261"/>
              </w:numPr>
              <w:spacing w:before="120" w:after="120" w:line="288" w:lineRule="auto"/>
              <w:ind w:left="0"/>
              <w:jc w:val="left"/>
            </w:pPr>
            <w:r>
              <w:rPr>
                <w:rFonts w:ascii="Arial" w:hAnsi="Arial" w:eastAsia="等线" w:cs="Arial"/>
                <w:sz w:val="22"/>
              </w:rPr>
              <w:t>B</w:t>
            </w:r>
          </w:p>
          <w:p w14:paraId="19C2E34A">
            <w:pPr>
              <w:spacing w:before="120" w:after="120" w:line="288" w:lineRule="auto"/>
              <w:ind w:left="0"/>
              <w:jc w:val="left"/>
            </w:pPr>
            <w:r>
              <w:rPr>
                <w:rFonts w:ascii="Arial" w:hAnsi="Arial" w:eastAsia="等线" w:cs="Arial"/>
                <w:sz w:val="22"/>
              </w:rPr>
              <w:t>If the economy is expanding, you would expect it to hit a peak at some point. After reaching the peak, the economy would start to contract until hitting the lowest point, which is the trough. After that, you would expect it to start all over again.</w:t>
            </w:r>
          </w:p>
          <w:p w14:paraId="0E891ECC">
            <w:pPr>
              <w:spacing w:before="120" w:after="120" w:line="288" w:lineRule="auto"/>
              <w:ind w:left="0"/>
              <w:jc w:val="left"/>
            </w:pPr>
            <w:r>
              <w:rPr>
                <w:rFonts w:ascii="Arial" w:hAnsi="Arial" w:eastAsia="等线" w:cs="Arial"/>
                <w:sz w:val="22"/>
              </w:rPr>
              <w:t>如果经济在扩张，你会预期它会在某个时候达到峰值。在达到顶峰后，经济将开始收缩，直到达到最低点，即低谷。在那之后，你会期望一切重新开始。</w:t>
            </w:r>
          </w:p>
          <w:p w14:paraId="66E17C92">
            <w:pPr>
              <w:spacing w:before="120" w:after="120" w:line="288" w:lineRule="auto"/>
              <w:ind w:left="0"/>
              <w:jc w:val="left"/>
            </w:pPr>
          </w:p>
          <w:p w14:paraId="4F26D0A0">
            <w:pPr>
              <w:numPr>
                <w:ilvl w:val="0"/>
                <w:numId w:val="262"/>
              </w:numPr>
              <w:spacing w:before="120" w:after="120" w:line="288" w:lineRule="auto"/>
              <w:ind w:left="0"/>
              <w:jc w:val="left"/>
            </w:pPr>
            <w:r>
              <w:rPr>
                <w:rFonts w:ascii="Arial" w:hAnsi="Arial" w:eastAsia="等线" w:cs="Arial"/>
                <w:sz w:val="22"/>
              </w:rPr>
              <w:t>D</w:t>
            </w:r>
          </w:p>
          <w:p w14:paraId="0CC7B1DC">
            <w:pPr>
              <w:spacing w:before="120" w:after="120" w:line="288" w:lineRule="auto"/>
              <w:ind w:left="0"/>
              <w:jc w:val="left"/>
            </w:pPr>
            <w:r>
              <w:rPr>
                <w:rFonts w:ascii="Arial" w:hAnsi="Arial" w:eastAsia="等线" w:cs="Arial"/>
                <w:sz w:val="22"/>
              </w:rPr>
              <w:t>The Fed (Federal Reserve Board) may use all of the choices listed as a way to tighten the money supply.</w:t>
            </w:r>
          </w:p>
          <w:p w14:paraId="155D3EF2">
            <w:pPr>
              <w:spacing w:before="120" w:after="120" w:line="288" w:lineRule="auto"/>
              <w:ind w:left="0"/>
              <w:jc w:val="left"/>
            </w:pPr>
            <w:r>
              <w:rPr>
                <w:rFonts w:ascii="Arial" w:hAnsi="Arial" w:eastAsia="等线" w:cs="Arial"/>
                <w:sz w:val="22"/>
              </w:rPr>
              <w:t>美联储（联邦储备委员会）可能会使用列出的所有选择来收紧货币供应。</w:t>
            </w:r>
          </w:p>
          <w:p w14:paraId="48714619">
            <w:pPr>
              <w:spacing w:before="120" w:after="120" w:line="288" w:lineRule="auto"/>
              <w:ind w:left="0"/>
              <w:jc w:val="left"/>
            </w:pPr>
          </w:p>
          <w:p w14:paraId="1CD9A3F4">
            <w:pPr>
              <w:numPr>
                <w:ilvl w:val="0"/>
                <w:numId w:val="263"/>
              </w:numPr>
              <w:spacing w:before="120" w:after="120" w:line="288" w:lineRule="auto"/>
              <w:ind w:left="0"/>
              <w:jc w:val="left"/>
            </w:pPr>
            <w:r>
              <w:rPr>
                <w:rFonts w:ascii="Arial" w:hAnsi="Arial" w:eastAsia="等线" w:cs="Arial"/>
                <w:sz w:val="22"/>
              </w:rPr>
              <w:t>C</w:t>
            </w:r>
          </w:p>
          <w:p w14:paraId="40E8B1BD">
            <w:pPr>
              <w:spacing w:before="120" w:after="120" w:line="288" w:lineRule="auto"/>
              <w:ind w:left="0"/>
              <w:jc w:val="left"/>
            </w:pPr>
            <w:r>
              <w:rPr>
                <w:rFonts w:ascii="Arial" w:hAnsi="Arial" w:eastAsia="等线" w:cs="Arial"/>
                <w:sz w:val="22"/>
              </w:rPr>
              <w:t>The discount rate is the rate that the Fed charges banks for loans. These loans are typically overnight loans taken by banks to help them meet their reserve requirements.</w:t>
            </w:r>
          </w:p>
          <w:p w14:paraId="594AAEDA">
            <w:pPr>
              <w:spacing w:before="120" w:after="120" w:line="288" w:lineRule="auto"/>
              <w:ind w:left="0"/>
              <w:jc w:val="left"/>
            </w:pPr>
            <w:r>
              <w:rPr>
                <w:rFonts w:ascii="Arial" w:hAnsi="Arial" w:eastAsia="等线" w:cs="Arial"/>
                <w:sz w:val="22"/>
              </w:rPr>
              <w:t>贴现率是美联储对银行贷款收取的利率。这些贷款通常是银行为满足准备金要求而发放的隔夜贷款。</w:t>
            </w:r>
          </w:p>
          <w:p w14:paraId="5E02AF0B">
            <w:pPr>
              <w:spacing w:before="120" w:after="120" w:line="288" w:lineRule="auto"/>
              <w:ind w:left="0"/>
              <w:jc w:val="left"/>
            </w:pPr>
          </w:p>
          <w:p w14:paraId="7B640042">
            <w:pPr>
              <w:numPr>
                <w:ilvl w:val="0"/>
                <w:numId w:val="264"/>
              </w:numPr>
              <w:spacing w:before="120" w:after="120" w:line="288" w:lineRule="auto"/>
              <w:ind w:left="0"/>
              <w:jc w:val="left"/>
            </w:pPr>
            <w:r>
              <w:rPr>
                <w:rFonts w:ascii="Arial" w:hAnsi="Arial" w:eastAsia="等线" w:cs="Arial"/>
                <w:sz w:val="22"/>
              </w:rPr>
              <w:t>B</w:t>
            </w:r>
          </w:p>
          <w:p w14:paraId="78281505">
            <w:pPr>
              <w:spacing w:before="120" w:after="120" w:line="288" w:lineRule="auto"/>
              <w:ind w:left="0"/>
              <w:jc w:val="left"/>
            </w:pPr>
            <w:r>
              <w:rPr>
                <w:rFonts w:ascii="Arial" w:hAnsi="Arial" w:eastAsia="等线" w:cs="Arial"/>
                <w:sz w:val="22"/>
              </w:rPr>
              <w:t>The Fed has a few tools to help ease or tighten the money supply including open market</w:t>
            </w:r>
          </w:p>
          <w:p w14:paraId="7A86E3F5">
            <w:pPr>
              <w:spacing w:before="120" w:after="120" w:line="288" w:lineRule="auto"/>
              <w:ind w:left="0"/>
              <w:jc w:val="left"/>
            </w:pPr>
            <w:r>
              <w:rPr>
                <w:rFonts w:ascii="Arial" w:hAnsi="Arial" w:eastAsia="等线" w:cs="Arial"/>
                <w:sz w:val="22"/>
              </w:rPr>
              <w:t>operations, adjusting the discount rate, changing reserve requirements, and raising or</w:t>
            </w:r>
          </w:p>
          <w:p w14:paraId="669950BF">
            <w:pPr>
              <w:spacing w:before="120" w:after="120" w:line="288" w:lineRule="auto"/>
              <w:ind w:left="0"/>
              <w:jc w:val="left"/>
            </w:pPr>
            <w:r>
              <w:rPr>
                <w:rFonts w:ascii="Arial" w:hAnsi="Arial" w:eastAsia="等线" w:cs="Arial"/>
                <w:sz w:val="22"/>
              </w:rPr>
              <w:t>lowering Regulation T requirements. Of the choices given, the two that would ease (add</w:t>
            </w:r>
          </w:p>
          <w:p w14:paraId="45DFBFD1">
            <w:pPr>
              <w:spacing w:before="120" w:after="120" w:line="288" w:lineRule="auto"/>
              <w:ind w:left="0"/>
              <w:jc w:val="left"/>
            </w:pPr>
            <w:r>
              <w:rPr>
                <w:rFonts w:ascii="Arial" w:hAnsi="Arial" w:eastAsia="等线" w:cs="Arial"/>
                <w:sz w:val="22"/>
              </w:rPr>
              <w:t>money to) the money supply would be inserting money into the system by purchasing U.S.</w:t>
            </w:r>
          </w:p>
          <w:p w14:paraId="76B520E6">
            <w:pPr>
              <w:spacing w:before="120" w:after="120" w:line="288" w:lineRule="auto"/>
              <w:ind w:left="0"/>
              <w:jc w:val="left"/>
            </w:pPr>
            <w:r>
              <w:rPr>
                <w:rFonts w:ascii="Arial" w:hAnsi="Arial" w:eastAsia="等线" w:cs="Arial"/>
                <w:sz w:val="22"/>
              </w:rPr>
              <w:t>government securities like T-bills and lowering reserve requirements (the percentage of</w:t>
            </w:r>
          </w:p>
          <w:p w14:paraId="6A73C57F">
            <w:pPr>
              <w:spacing w:before="120" w:after="120" w:line="288" w:lineRule="auto"/>
              <w:ind w:left="0"/>
              <w:jc w:val="left"/>
            </w:pPr>
            <w:r>
              <w:rPr>
                <w:rFonts w:ascii="Arial" w:hAnsi="Arial" w:eastAsia="等线" w:cs="Arial"/>
                <w:sz w:val="22"/>
              </w:rPr>
              <w:t>customer deposits banks have to hold each night).</w:t>
            </w:r>
          </w:p>
          <w:p w14:paraId="73B77F88">
            <w:pPr>
              <w:spacing w:before="120" w:after="120" w:line="288" w:lineRule="auto"/>
              <w:ind w:left="0"/>
              <w:jc w:val="left"/>
            </w:pPr>
            <w:r>
              <w:rPr>
                <w:rFonts w:ascii="Arial" w:hAnsi="Arial" w:eastAsia="等线" w:cs="Arial"/>
                <w:sz w:val="22"/>
              </w:rPr>
              <w:t>美联储有一些工具来帮助放松或收紧货币供应，包括公开市场操作，调整贴现率，改变准备金要求，提高或降低法规T的要求。在给出的选项中，有两个选项可以减轻压力货币供给将通过购买美元来向体系中注入资金政府债券，如国库券，降低存款准备金率银行每晚必须持有的客户存款)。</w:t>
            </w:r>
          </w:p>
          <w:p w14:paraId="561C1583">
            <w:pPr>
              <w:spacing w:before="120" w:after="120" w:line="288" w:lineRule="auto"/>
              <w:ind w:left="0"/>
              <w:jc w:val="left"/>
            </w:pPr>
          </w:p>
          <w:p w14:paraId="701C1CFE">
            <w:pPr>
              <w:numPr>
                <w:ilvl w:val="0"/>
                <w:numId w:val="265"/>
              </w:numPr>
              <w:spacing w:before="120" w:after="120" w:line="288" w:lineRule="auto"/>
              <w:ind w:left="0"/>
              <w:jc w:val="left"/>
            </w:pPr>
            <w:r>
              <w:rPr>
                <w:rFonts w:ascii="Arial" w:hAnsi="Arial" w:eastAsia="等线" w:cs="Arial"/>
                <w:sz w:val="22"/>
              </w:rPr>
              <w:t>D</w:t>
            </w:r>
          </w:p>
          <w:p w14:paraId="10FDF136">
            <w:pPr>
              <w:spacing w:before="120" w:after="120" w:line="288" w:lineRule="auto"/>
              <w:ind w:left="0"/>
              <w:jc w:val="left"/>
            </w:pPr>
            <w:r>
              <w:rPr>
                <w:rFonts w:ascii="Arial" w:hAnsi="Arial" w:eastAsia="等线" w:cs="Arial"/>
                <w:sz w:val="22"/>
              </w:rPr>
              <w:t>Answers (A) and (D) are in opposition to each other so one has to be true and one has to be false. We’re looking for the true answer in this case. If the U.S. dollar has been falling, it is cheaper for foreigners to buy U.S. goods. Therefore, U.S. exports will increase.</w:t>
            </w:r>
          </w:p>
          <w:p w14:paraId="6104CC08">
            <w:pPr>
              <w:spacing w:before="120" w:after="120" w:line="288" w:lineRule="auto"/>
              <w:ind w:left="0"/>
              <w:jc w:val="left"/>
            </w:pPr>
            <w:r>
              <w:rPr>
                <w:rFonts w:ascii="Arial" w:hAnsi="Arial" w:eastAsia="等线" w:cs="Arial"/>
                <w:sz w:val="22"/>
              </w:rPr>
              <w:t>答案(A)和(D)是相互对立的，所以一个必须是真的，一个必须是假的。在这种情况下，我们在寻找真实的答案。如果美元一直在贬值，那么外国人购买美国商品就会更便宜。因此，美国的出口将会增加。</w:t>
            </w:r>
          </w:p>
          <w:p w14:paraId="7BC60C32">
            <w:pPr>
              <w:spacing w:before="120" w:after="120" w:line="288" w:lineRule="auto"/>
              <w:ind w:left="0"/>
              <w:jc w:val="left"/>
            </w:pPr>
          </w:p>
          <w:p w14:paraId="33212CB5">
            <w:pPr>
              <w:numPr>
                <w:ilvl w:val="0"/>
                <w:numId w:val="266"/>
              </w:numPr>
              <w:spacing w:before="120" w:after="120" w:line="288" w:lineRule="auto"/>
              <w:ind w:left="0"/>
              <w:jc w:val="left"/>
            </w:pPr>
            <w:r>
              <w:rPr>
                <w:rFonts w:ascii="Arial" w:hAnsi="Arial" w:eastAsia="等线" w:cs="Arial"/>
                <w:sz w:val="22"/>
              </w:rPr>
              <w:t>C</w:t>
            </w:r>
          </w:p>
          <w:p w14:paraId="100F68B4">
            <w:pPr>
              <w:spacing w:before="120" w:after="120" w:line="288" w:lineRule="auto"/>
              <w:ind w:left="0"/>
              <w:jc w:val="left"/>
            </w:pPr>
            <w:r>
              <w:rPr>
                <w:rFonts w:ascii="Arial" w:hAnsi="Arial" w:eastAsia="等线" w:cs="Arial"/>
                <w:sz w:val="22"/>
              </w:rPr>
              <w:t>Leading economic indicators are statistics that indicate how the economy is going to do. Leading indicators include the money supply, stock prices, the discount rate, the federal funds rate, reserve requirements, orders for durable goods, and so on. Industrial production and GDP (gross domestic product) are coincidental indicators, and the unemployment rate is a lagging indicator.</w:t>
            </w:r>
          </w:p>
          <w:p w14:paraId="37C02FAB">
            <w:pPr>
              <w:spacing w:before="120" w:after="120" w:line="288" w:lineRule="auto"/>
              <w:ind w:left="0"/>
              <w:jc w:val="left"/>
            </w:pPr>
            <w:r>
              <w:rPr>
                <w:rFonts w:ascii="Arial" w:hAnsi="Arial" w:eastAsia="等线" w:cs="Arial"/>
                <w:sz w:val="22"/>
              </w:rPr>
              <w:t>先行经济指标是指预示经济走势的统计数据。先行指标包括货币供应量、股票价格、贴现率、联邦基金利率、准备金要求、耐用品订单等。工业生产和国内生产总值（GDP）是同步指标，失业率是滞后指标。</w:t>
            </w:r>
          </w:p>
          <w:p w14:paraId="1D1E5194">
            <w:pPr>
              <w:spacing w:before="120" w:after="120" w:line="288" w:lineRule="auto"/>
              <w:ind w:left="0"/>
              <w:jc w:val="left"/>
            </w:pPr>
          </w:p>
          <w:p w14:paraId="35542161">
            <w:pPr>
              <w:numPr>
                <w:ilvl w:val="0"/>
                <w:numId w:val="267"/>
              </w:numPr>
              <w:spacing w:before="120" w:after="120" w:line="288" w:lineRule="auto"/>
              <w:ind w:left="0"/>
              <w:jc w:val="left"/>
            </w:pPr>
            <w:r>
              <w:rPr>
                <w:rFonts w:ascii="Arial" w:hAnsi="Arial" w:eastAsia="等线" w:cs="Arial"/>
                <w:sz w:val="22"/>
              </w:rPr>
              <w:t>A</w:t>
            </w:r>
          </w:p>
          <w:p w14:paraId="1BAF5CA8">
            <w:pPr>
              <w:spacing w:before="120" w:after="120" w:line="288" w:lineRule="auto"/>
              <w:ind w:left="0"/>
              <w:jc w:val="left"/>
            </w:pPr>
            <w:r>
              <w:rPr>
                <w:rFonts w:ascii="Arial" w:hAnsi="Arial" w:eastAsia="等线" w:cs="Arial"/>
                <w:sz w:val="22"/>
              </w:rPr>
              <w:t>Leading indicators are those that help give an indication of how the economy is going to do. The main leading indicators are M2 money supply, stock prices, the Fed funds rate, and the discount rate. The prime rate — the rate that banks charge their best customers for loans — is a lagging indicator. Lagging indicators go the same direction as the leading indicators but arrive a little later.</w:t>
            </w:r>
          </w:p>
          <w:p w14:paraId="2B0741D4">
            <w:pPr>
              <w:spacing w:before="120" w:after="120" w:line="288" w:lineRule="auto"/>
              <w:ind w:left="0"/>
              <w:jc w:val="left"/>
            </w:pPr>
            <w:r>
              <w:rPr>
                <w:rFonts w:ascii="Arial" w:hAnsi="Arial" w:eastAsia="等线" w:cs="Arial"/>
                <w:sz w:val="22"/>
              </w:rPr>
              <w:t>先行指标是指那些有助于表明经济将如何运行的指标。主要领先指标为M2货币供应量、股票价格、联邦基金利率、贴现率。最优惠利率——银行向最佳客户收取的贷款利率——是一个滞后指标。滞后指标与领先指标走向相同，但到达时间稍晚。</w:t>
            </w:r>
          </w:p>
          <w:p w14:paraId="3BEBD530">
            <w:pPr>
              <w:spacing w:before="120" w:after="120" w:line="288" w:lineRule="auto"/>
              <w:ind w:left="0"/>
              <w:jc w:val="left"/>
            </w:pPr>
          </w:p>
          <w:p w14:paraId="505D63A1">
            <w:pPr>
              <w:numPr>
                <w:ilvl w:val="0"/>
                <w:numId w:val="268"/>
              </w:numPr>
              <w:spacing w:before="120" w:after="120" w:line="288" w:lineRule="auto"/>
              <w:ind w:left="0"/>
              <w:jc w:val="left"/>
            </w:pPr>
            <w:r>
              <w:rPr>
                <w:rFonts w:ascii="Arial" w:hAnsi="Arial" w:eastAsia="等线" w:cs="Arial"/>
                <w:sz w:val="22"/>
              </w:rPr>
              <w:t>D</w:t>
            </w:r>
          </w:p>
          <w:p w14:paraId="4F78BBB1">
            <w:pPr>
              <w:spacing w:before="120" w:after="120" w:line="288" w:lineRule="auto"/>
              <w:ind w:left="0"/>
              <w:jc w:val="left"/>
            </w:pPr>
            <w:r>
              <w:rPr>
                <w:rFonts w:ascii="Arial" w:hAnsi="Arial" w:eastAsia="等线" w:cs="Arial"/>
                <w:sz w:val="22"/>
              </w:rPr>
              <w:t>Both the GDP and GNP are measured in constant dollars. When measuring in constant dollars, they are factoring inflation into the equation to see whether the economy is actually expanding or contracting year to year.</w:t>
            </w:r>
          </w:p>
          <w:p w14:paraId="73C0A891">
            <w:pPr>
              <w:spacing w:before="120" w:after="120" w:line="288" w:lineRule="auto"/>
              <w:ind w:left="0"/>
              <w:jc w:val="left"/>
            </w:pPr>
            <w:r>
              <w:rPr>
                <w:rFonts w:ascii="Arial" w:hAnsi="Arial" w:eastAsia="等线" w:cs="Arial"/>
                <w:sz w:val="22"/>
              </w:rPr>
              <w:t>国内生产总值和国民生产总值都是以不变的美元来衡量的。当以不变美元衡量时，他们将通货膨胀因素考虑到等式中，以确定经济实际上是在逐年扩张还是收缩。</w:t>
            </w:r>
          </w:p>
          <w:p w14:paraId="027845D2">
            <w:pPr>
              <w:spacing w:before="120" w:after="120" w:line="288" w:lineRule="auto"/>
              <w:ind w:left="0"/>
              <w:jc w:val="left"/>
            </w:pPr>
          </w:p>
          <w:p w14:paraId="383534D3">
            <w:pPr>
              <w:numPr>
                <w:ilvl w:val="0"/>
                <w:numId w:val="269"/>
              </w:numPr>
              <w:spacing w:before="120" w:after="120" w:line="288" w:lineRule="auto"/>
              <w:ind w:left="0"/>
              <w:jc w:val="left"/>
            </w:pPr>
            <w:r>
              <w:rPr>
                <w:rFonts w:ascii="Arial" w:hAnsi="Arial" w:eastAsia="等线" w:cs="Arial"/>
                <w:sz w:val="22"/>
              </w:rPr>
              <w:t xml:space="preserve">A </w:t>
            </w:r>
          </w:p>
          <w:p w14:paraId="2D0006F1">
            <w:pPr>
              <w:spacing w:before="120" w:after="120" w:line="288" w:lineRule="auto"/>
              <w:ind w:left="0"/>
              <w:jc w:val="left"/>
            </w:pPr>
            <w:r>
              <w:rPr>
                <w:rFonts w:ascii="Arial" w:hAnsi="Arial" w:eastAsia="等线" w:cs="Arial"/>
                <w:sz w:val="22"/>
              </w:rPr>
              <w:t>Countercyclical companies are ones that perform better when the economy isn’t performing well. These include companies such as fast food, discount retailers, auto parts companies, and so on.</w:t>
            </w:r>
          </w:p>
          <w:p w14:paraId="20991B04">
            <w:pPr>
              <w:spacing w:before="120" w:after="120" w:line="288" w:lineRule="auto"/>
              <w:ind w:left="0"/>
              <w:jc w:val="left"/>
            </w:pPr>
            <w:r>
              <w:rPr>
                <w:rFonts w:ascii="Arial" w:hAnsi="Arial" w:eastAsia="等线" w:cs="Arial"/>
                <w:sz w:val="22"/>
              </w:rPr>
              <w:t>反周期公司是指在经济表现不佳时表现更好的公司。这些公司包括快餐、折扣零售商、汽车零部件公司等。</w:t>
            </w:r>
          </w:p>
          <w:p w14:paraId="3C8A0718">
            <w:pPr>
              <w:spacing w:before="120" w:after="120" w:line="288" w:lineRule="auto"/>
              <w:ind w:left="0"/>
              <w:jc w:val="left"/>
            </w:pPr>
          </w:p>
          <w:p w14:paraId="595BE185">
            <w:pPr>
              <w:numPr>
                <w:ilvl w:val="0"/>
                <w:numId w:val="270"/>
              </w:numPr>
              <w:spacing w:before="120" w:after="120" w:line="288" w:lineRule="auto"/>
              <w:ind w:left="0"/>
              <w:jc w:val="left"/>
            </w:pPr>
            <w:r>
              <w:rPr>
                <w:rFonts w:ascii="Arial" w:hAnsi="Arial" w:eastAsia="等线" w:cs="Arial"/>
                <w:sz w:val="22"/>
              </w:rPr>
              <w:t>A</w:t>
            </w:r>
          </w:p>
          <w:p w14:paraId="4AFB5640">
            <w:pPr>
              <w:spacing w:before="120" w:after="120" w:line="288" w:lineRule="auto"/>
              <w:ind w:left="0"/>
              <w:jc w:val="left"/>
            </w:pPr>
            <w:r>
              <w:rPr>
                <w:rFonts w:ascii="Arial" w:hAnsi="Arial" w:eastAsia="等线" w:cs="Arial"/>
                <w:sz w:val="22"/>
              </w:rPr>
              <w:t>Defensive industries are ones that are pretty much resistant to economic downturns.</w:t>
            </w:r>
          </w:p>
          <w:p w14:paraId="7258E826">
            <w:pPr>
              <w:spacing w:before="120" w:after="120" w:line="288" w:lineRule="auto"/>
              <w:ind w:left="0"/>
              <w:jc w:val="left"/>
            </w:pPr>
            <w:r>
              <w:rPr>
                <w:rFonts w:ascii="Arial" w:hAnsi="Arial" w:eastAsia="等线" w:cs="Arial"/>
                <w:sz w:val="22"/>
              </w:rPr>
              <w:t>These include utilities, food, clothing, alcohol, tobacco, cosmetics, and so on. Tourism and</w:t>
            </w:r>
          </w:p>
          <w:p w14:paraId="336A497A">
            <w:pPr>
              <w:spacing w:before="120" w:after="120" w:line="288" w:lineRule="auto"/>
              <w:ind w:left="0"/>
              <w:jc w:val="left"/>
            </w:pPr>
            <w:r>
              <w:rPr>
                <w:rFonts w:ascii="Arial" w:hAnsi="Arial" w:eastAsia="等线" w:cs="Arial"/>
                <w:sz w:val="22"/>
              </w:rPr>
              <w:t>household appliance–related companies suffer during economic downturns and, therefore,</w:t>
            </w:r>
          </w:p>
          <w:p w14:paraId="7C02260F">
            <w:pPr>
              <w:spacing w:before="120" w:after="120" w:line="288" w:lineRule="auto"/>
              <w:ind w:left="0"/>
              <w:jc w:val="left"/>
            </w:pPr>
            <w:r>
              <w:rPr>
                <w:rFonts w:ascii="Arial" w:hAnsi="Arial" w:eastAsia="等线" w:cs="Arial"/>
                <w:sz w:val="22"/>
              </w:rPr>
              <w:t>are considered to be cyclical companies.</w:t>
            </w:r>
          </w:p>
          <w:p w14:paraId="3A6E8ECF">
            <w:pPr>
              <w:spacing w:before="120" w:after="120" w:line="288" w:lineRule="auto"/>
              <w:ind w:left="0"/>
              <w:jc w:val="left"/>
            </w:pPr>
            <w:r>
              <w:rPr>
                <w:rFonts w:ascii="Arial" w:hAnsi="Arial" w:eastAsia="等线" w:cs="Arial"/>
                <w:sz w:val="22"/>
              </w:rPr>
              <w:t>防御性产业是指那些对经济衰退相当有抵抗力的产业。这些包括水电费、食品、服装、酒精、烟草、化妆品等。旅游和与家用电器相关的公司在经济衰退期间受到影响，因此，被认为是周期性公司。</w:t>
            </w:r>
          </w:p>
          <w:p w14:paraId="3D19B4A4">
            <w:pPr>
              <w:spacing w:before="120" w:after="120" w:line="288" w:lineRule="auto"/>
              <w:ind w:left="0"/>
              <w:jc w:val="left"/>
            </w:pPr>
          </w:p>
          <w:p w14:paraId="4E246FDA">
            <w:pPr>
              <w:numPr>
                <w:ilvl w:val="0"/>
                <w:numId w:val="271"/>
              </w:numPr>
              <w:spacing w:before="120" w:after="120" w:line="288" w:lineRule="auto"/>
              <w:ind w:left="0"/>
              <w:jc w:val="left"/>
            </w:pPr>
            <w:r>
              <w:rPr>
                <w:rFonts w:ascii="Arial" w:hAnsi="Arial" w:eastAsia="等线" w:cs="Arial"/>
                <w:sz w:val="22"/>
              </w:rPr>
              <w:t>D</w:t>
            </w:r>
          </w:p>
          <w:p w14:paraId="115837F9">
            <w:pPr>
              <w:spacing w:before="120" w:after="120" w:line="288" w:lineRule="auto"/>
              <w:ind w:left="0"/>
              <w:jc w:val="left"/>
            </w:pPr>
            <w:r>
              <w:rPr>
                <w:rFonts w:ascii="Arial" w:hAnsi="Arial" w:eastAsia="等线" w:cs="Arial"/>
                <w:sz w:val="22"/>
              </w:rPr>
              <w:t>Controlling the money supply implies a hands-on approach. That approach is called the monetarist theory.</w:t>
            </w:r>
          </w:p>
          <w:p w14:paraId="11F1A70C">
            <w:pPr>
              <w:spacing w:before="120" w:after="120" w:line="288" w:lineRule="auto"/>
              <w:ind w:left="0"/>
              <w:jc w:val="left"/>
            </w:pPr>
            <w:r>
              <w:rPr>
                <w:rFonts w:ascii="Arial" w:hAnsi="Arial" w:eastAsia="等线" w:cs="Arial"/>
                <w:sz w:val="22"/>
              </w:rPr>
              <w:t>控制货币供应意味着一种亲力亲为的方式。这种方法被称为货币主义理论。</w:t>
            </w:r>
          </w:p>
        </w:tc>
      </w:tr>
    </w:tbl>
    <w:p w14:paraId="4E3F597C">
      <w:pPr>
        <w:spacing w:before="120" w:after="120" w:line="288" w:lineRule="auto"/>
        <w:ind w:left="0"/>
        <w:jc w:val="left"/>
      </w:pPr>
      <w:bookmarkStart w:id="50" w:name="_GoBack"/>
      <w:bookmarkEnd w:id="5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62E0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429C">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3"/>
      <w:numFmt w:val="decimal"/>
      <w:lvlText w:val="%1."/>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7"/>
      <w:numFmt w:val="decimal"/>
      <w:lvlText w:val="%1."/>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9017BA21"/>
    <w:multiLevelType w:val="singleLevel"/>
    <w:tmpl w:val="9017BA21"/>
    <w:lvl w:ilvl="0" w:tentative="0">
      <w:start w:val="13"/>
      <w:numFmt w:val="decimal"/>
      <w:lvlText w:val="%1."/>
      <w:lvlJc w:val="left"/>
      <w:rPr>
        <w:color w:val="3370FF"/>
      </w:rPr>
    </w:lvl>
  </w:abstractNum>
  <w:abstractNum w:abstractNumId="11">
    <w:nsid w:val="90D96B34"/>
    <w:multiLevelType w:val="singleLevel"/>
    <w:tmpl w:val="90D96B34"/>
    <w:lvl w:ilvl="0" w:tentative="0">
      <w:start w:val="10"/>
      <w:numFmt w:val="decimal"/>
      <w:lvlText w:val="%1."/>
      <w:lvlJc w:val="left"/>
      <w:rPr>
        <w:color w:val="3370FF"/>
      </w:rPr>
    </w:lvl>
  </w:abstractNum>
  <w:abstractNum w:abstractNumId="12">
    <w:nsid w:val="91995D4F"/>
    <w:multiLevelType w:val="singleLevel"/>
    <w:tmpl w:val="91995D4F"/>
    <w:lvl w:ilvl="0" w:tentative="0">
      <w:start w:val="0"/>
      <w:numFmt w:val="bullet"/>
      <w:lvlText w:val="•"/>
      <w:lvlJc w:val="left"/>
      <w:rPr>
        <w:color w:val="3370FF"/>
      </w:rPr>
    </w:lvl>
  </w:abstractNum>
  <w:abstractNum w:abstractNumId="13">
    <w:nsid w:val="91B69C97"/>
    <w:multiLevelType w:val="singleLevel"/>
    <w:tmpl w:val="91B69C97"/>
    <w:lvl w:ilvl="0" w:tentative="0">
      <w:start w:val="0"/>
      <w:numFmt w:val="bullet"/>
      <w:lvlText w:val="•"/>
      <w:lvlJc w:val="left"/>
      <w:rPr>
        <w:color w:val="3370FF"/>
      </w:rPr>
    </w:lvl>
  </w:abstractNum>
  <w:abstractNum w:abstractNumId="14">
    <w:nsid w:val="9239341B"/>
    <w:multiLevelType w:val="singleLevel"/>
    <w:tmpl w:val="9239341B"/>
    <w:lvl w:ilvl="0" w:tentative="0">
      <w:start w:val="0"/>
      <w:numFmt w:val="bullet"/>
      <w:lvlText w:val="•"/>
      <w:lvlJc w:val="left"/>
      <w:rPr>
        <w:color w:val="3370FF"/>
      </w:rPr>
    </w:lvl>
  </w:abstractNum>
  <w:abstractNum w:abstractNumId="15">
    <w:nsid w:val="9288B902"/>
    <w:multiLevelType w:val="singleLevel"/>
    <w:tmpl w:val="9288B902"/>
    <w:lvl w:ilvl="0" w:tentative="0">
      <w:start w:val="0"/>
      <w:numFmt w:val="bullet"/>
      <w:lvlText w:val="•"/>
      <w:lvlJc w:val="left"/>
      <w:rPr>
        <w:color w:val="3370FF"/>
      </w:rPr>
    </w:lvl>
  </w:abstractNum>
  <w:abstractNum w:abstractNumId="16">
    <w:nsid w:val="92C4F22A"/>
    <w:multiLevelType w:val="singleLevel"/>
    <w:tmpl w:val="92C4F22A"/>
    <w:lvl w:ilvl="0" w:tentative="0">
      <w:start w:val="3"/>
      <w:numFmt w:val="lowerLetter"/>
      <w:lvlText w:val="%1."/>
      <w:lvlJc w:val="left"/>
      <w:rPr>
        <w:color w:val="3370FF"/>
      </w:rPr>
    </w:lvl>
  </w:abstractNum>
  <w:abstractNum w:abstractNumId="17">
    <w:nsid w:val="930EE254"/>
    <w:multiLevelType w:val="singleLevel"/>
    <w:tmpl w:val="930EE254"/>
    <w:lvl w:ilvl="0" w:tentative="0">
      <w:start w:val="0"/>
      <w:numFmt w:val="bullet"/>
      <w:lvlText w:val="•"/>
      <w:lvlJc w:val="left"/>
      <w:rPr>
        <w:color w:val="3370FF"/>
      </w:rPr>
    </w:lvl>
  </w:abstractNum>
  <w:abstractNum w:abstractNumId="18">
    <w:nsid w:val="9377BC45"/>
    <w:multiLevelType w:val="singleLevel"/>
    <w:tmpl w:val="9377BC45"/>
    <w:lvl w:ilvl="0" w:tentative="0">
      <w:start w:val="0"/>
      <w:numFmt w:val="bullet"/>
      <w:lvlText w:val="•"/>
      <w:lvlJc w:val="left"/>
      <w:rPr>
        <w:color w:val="3370FF"/>
      </w:rPr>
    </w:lvl>
  </w:abstractNum>
  <w:abstractNum w:abstractNumId="19">
    <w:nsid w:val="941D12A9"/>
    <w:multiLevelType w:val="singleLevel"/>
    <w:tmpl w:val="941D12A9"/>
    <w:lvl w:ilvl="0" w:tentative="0">
      <w:start w:val="0"/>
      <w:numFmt w:val="bullet"/>
      <w:lvlText w:val="•"/>
      <w:lvlJc w:val="left"/>
      <w:rPr>
        <w:color w:val="3370FF"/>
      </w:rPr>
    </w:lvl>
  </w:abstractNum>
  <w:abstractNum w:abstractNumId="20">
    <w:nsid w:val="952530A5"/>
    <w:multiLevelType w:val="singleLevel"/>
    <w:tmpl w:val="952530A5"/>
    <w:lvl w:ilvl="0" w:tentative="0">
      <w:start w:val="1"/>
      <w:numFmt w:val="lowerLetter"/>
      <w:lvlText w:val="%1."/>
      <w:lvlJc w:val="left"/>
      <w:rPr>
        <w:color w:val="3370FF"/>
      </w:rPr>
    </w:lvl>
  </w:abstractNum>
  <w:abstractNum w:abstractNumId="21">
    <w:nsid w:val="95E682A1"/>
    <w:multiLevelType w:val="singleLevel"/>
    <w:tmpl w:val="95E682A1"/>
    <w:lvl w:ilvl="0" w:tentative="0">
      <w:start w:val="0"/>
      <w:numFmt w:val="bullet"/>
      <w:lvlText w:val="•"/>
      <w:lvlJc w:val="left"/>
      <w:rPr>
        <w:color w:val="3370FF"/>
      </w:rPr>
    </w:lvl>
  </w:abstractNum>
  <w:abstractNum w:abstractNumId="22">
    <w:nsid w:val="96E5236C"/>
    <w:multiLevelType w:val="singleLevel"/>
    <w:tmpl w:val="96E5236C"/>
    <w:lvl w:ilvl="0" w:tentative="0">
      <w:start w:val="3"/>
      <w:numFmt w:val="lowerLetter"/>
      <w:lvlText w:val="%1."/>
      <w:lvlJc w:val="left"/>
      <w:rPr>
        <w:color w:val="3370FF"/>
      </w:rPr>
    </w:lvl>
  </w:abstractNum>
  <w:abstractNum w:abstractNumId="23">
    <w:nsid w:val="98CD717A"/>
    <w:multiLevelType w:val="singleLevel"/>
    <w:tmpl w:val="98CD717A"/>
    <w:lvl w:ilvl="0" w:tentative="0">
      <w:start w:val="0"/>
      <w:numFmt w:val="bullet"/>
      <w:lvlText w:val="￮"/>
      <w:lvlJc w:val="left"/>
      <w:rPr>
        <w:color w:val="3370FF"/>
      </w:rPr>
    </w:lvl>
  </w:abstractNum>
  <w:abstractNum w:abstractNumId="24">
    <w:nsid w:val="9ACF65A0"/>
    <w:multiLevelType w:val="singleLevel"/>
    <w:tmpl w:val="9ACF65A0"/>
    <w:lvl w:ilvl="0" w:tentative="0">
      <w:start w:val="0"/>
      <w:numFmt w:val="bullet"/>
      <w:lvlText w:val="•"/>
      <w:lvlJc w:val="left"/>
      <w:rPr>
        <w:color w:val="3370FF"/>
      </w:rPr>
    </w:lvl>
  </w:abstractNum>
  <w:abstractNum w:abstractNumId="25">
    <w:nsid w:val="9B1F845E"/>
    <w:multiLevelType w:val="singleLevel"/>
    <w:tmpl w:val="9B1F845E"/>
    <w:lvl w:ilvl="0" w:tentative="0">
      <w:start w:val="10"/>
      <w:numFmt w:val="decimal"/>
      <w:lvlText w:val="%1."/>
      <w:lvlJc w:val="left"/>
      <w:rPr>
        <w:color w:val="3370FF"/>
      </w:rPr>
    </w:lvl>
  </w:abstractNum>
  <w:abstractNum w:abstractNumId="26">
    <w:nsid w:val="9BA6347D"/>
    <w:multiLevelType w:val="singleLevel"/>
    <w:tmpl w:val="9BA6347D"/>
    <w:lvl w:ilvl="0" w:tentative="0">
      <w:start w:val="29"/>
      <w:numFmt w:val="decimal"/>
      <w:lvlText w:val="%1."/>
      <w:lvlJc w:val="left"/>
      <w:rPr>
        <w:color w:val="3370FF"/>
      </w:rPr>
    </w:lvl>
  </w:abstractNum>
  <w:abstractNum w:abstractNumId="27">
    <w:nsid w:val="9C11E984"/>
    <w:multiLevelType w:val="singleLevel"/>
    <w:tmpl w:val="9C11E984"/>
    <w:lvl w:ilvl="0" w:tentative="0">
      <w:start w:val="0"/>
      <w:numFmt w:val="bullet"/>
      <w:lvlText w:val="•"/>
      <w:lvlJc w:val="left"/>
      <w:rPr>
        <w:color w:val="3370FF"/>
      </w:rPr>
    </w:lvl>
  </w:abstractNum>
  <w:abstractNum w:abstractNumId="28">
    <w:nsid w:val="9C7198AA"/>
    <w:multiLevelType w:val="singleLevel"/>
    <w:tmpl w:val="9C7198AA"/>
    <w:lvl w:ilvl="0" w:tentative="0">
      <w:start w:val="0"/>
      <w:numFmt w:val="bullet"/>
      <w:lvlText w:val="￮"/>
      <w:lvlJc w:val="left"/>
      <w:rPr>
        <w:color w:val="3370FF"/>
      </w:rPr>
    </w:lvl>
  </w:abstractNum>
  <w:abstractNum w:abstractNumId="29">
    <w:nsid w:val="9C8AC8EF"/>
    <w:multiLevelType w:val="singleLevel"/>
    <w:tmpl w:val="9C8AC8EF"/>
    <w:lvl w:ilvl="0" w:tentative="0">
      <w:start w:val="0"/>
      <w:numFmt w:val="bullet"/>
      <w:lvlText w:val="•"/>
      <w:lvlJc w:val="left"/>
      <w:rPr>
        <w:color w:val="3370FF"/>
      </w:rPr>
    </w:lvl>
  </w:abstractNum>
  <w:abstractNum w:abstractNumId="30">
    <w:nsid w:val="9C919DE1"/>
    <w:multiLevelType w:val="singleLevel"/>
    <w:tmpl w:val="9C919DE1"/>
    <w:lvl w:ilvl="0" w:tentative="0">
      <w:start w:val="18"/>
      <w:numFmt w:val="decimal"/>
      <w:lvlText w:val="%1."/>
      <w:lvlJc w:val="left"/>
      <w:rPr>
        <w:color w:val="3370FF"/>
      </w:rPr>
    </w:lvl>
  </w:abstractNum>
  <w:abstractNum w:abstractNumId="31">
    <w:nsid w:val="9CD0C84A"/>
    <w:multiLevelType w:val="singleLevel"/>
    <w:tmpl w:val="9CD0C84A"/>
    <w:lvl w:ilvl="0" w:tentative="0">
      <w:start w:val="15"/>
      <w:numFmt w:val="decimal"/>
      <w:lvlText w:val="%1."/>
      <w:lvlJc w:val="left"/>
      <w:rPr>
        <w:color w:val="3370FF"/>
      </w:rPr>
    </w:lvl>
  </w:abstractNum>
  <w:abstractNum w:abstractNumId="32">
    <w:nsid w:val="9D5D7490"/>
    <w:multiLevelType w:val="singleLevel"/>
    <w:tmpl w:val="9D5D7490"/>
    <w:lvl w:ilvl="0" w:tentative="0">
      <w:start w:val="0"/>
      <w:numFmt w:val="bullet"/>
      <w:lvlText w:val="•"/>
      <w:lvlJc w:val="left"/>
      <w:rPr>
        <w:color w:val="3370FF"/>
      </w:rPr>
    </w:lvl>
  </w:abstractNum>
  <w:abstractNum w:abstractNumId="33">
    <w:nsid w:val="9D7EB8E6"/>
    <w:multiLevelType w:val="singleLevel"/>
    <w:tmpl w:val="9D7EB8E6"/>
    <w:lvl w:ilvl="0" w:tentative="0">
      <w:start w:val="0"/>
      <w:numFmt w:val="bullet"/>
      <w:lvlText w:val="￮"/>
      <w:lvlJc w:val="left"/>
      <w:rPr>
        <w:color w:val="3370FF"/>
      </w:rPr>
    </w:lvl>
  </w:abstractNum>
  <w:abstractNum w:abstractNumId="34">
    <w:nsid w:val="9D9F4F4D"/>
    <w:multiLevelType w:val="singleLevel"/>
    <w:tmpl w:val="9D9F4F4D"/>
    <w:lvl w:ilvl="0" w:tentative="0">
      <w:start w:val="5"/>
      <w:numFmt w:val="decimal"/>
      <w:lvlText w:val="%1."/>
      <w:lvlJc w:val="left"/>
      <w:rPr>
        <w:color w:val="3370FF"/>
      </w:rPr>
    </w:lvl>
  </w:abstractNum>
  <w:abstractNum w:abstractNumId="35">
    <w:nsid w:val="9DFC6F65"/>
    <w:multiLevelType w:val="singleLevel"/>
    <w:tmpl w:val="9DFC6F65"/>
    <w:lvl w:ilvl="0" w:tentative="0">
      <w:start w:val="0"/>
      <w:numFmt w:val="bullet"/>
      <w:lvlText w:val="•"/>
      <w:lvlJc w:val="left"/>
      <w:rPr>
        <w:color w:val="3370FF"/>
      </w:rPr>
    </w:lvl>
  </w:abstractNum>
  <w:abstractNum w:abstractNumId="36">
    <w:nsid w:val="9F81B9F9"/>
    <w:multiLevelType w:val="singleLevel"/>
    <w:tmpl w:val="9F81B9F9"/>
    <w:lvl w:ilvl="0" w:tentative="0">
      <w:start w:val="0"/>
      <w:numFmt w:val="bullet"/>
      <w:lvlText w:val="•"/>
      <w:lvlJc w:val="left"/>
      <w:rPr>
        <w:color w:val="3370FF"/>
      </w:rPr>
    </w:lvl>
  </w:abstractNum>
  <w:abstractNum w:abstractNumId="37">
    <w:nsid w:val="9F91FE98"/>
    <w:multiLevelType w:val="singleLevel"/>
    <w:tmpl w:val="9F91FE98"/>
    <w:lvl w:ilvl="0" w:tentative="0">
      <w:start w:val="12"/>
      <w:numFmt w:val="decimal"/>
      <w:lvlText w:val="%1."/>
      <w:lvlJc w:val="left"/>
      <w:rPr>
        <w:color w:val="3370FF"/>
      </w:rPr>
    </w:lvl>
  </w:abstractNum>
  <w:abstractNum w:abstractNumId="38">
    <w:nsid w:val="A0C93552"/>
    <w:multiLevelType w:val="singleLevel"/>
    <w:tmpl w:val="A0C93552"/>
    <w:lvl w:ilvl="0" w:tentative="0">
      <w:start w:val="0"/>
      <w:numFmt w:val="bullet"/>
      <w:lvlText w:val="•"/>
      <w:lvlJc w:val="left"/>
      <w:rPr>
        <w:color w:val="3370FF"/>
      </w:rPr>
    </w:lvl>
  </w:abstractNum>
  <w:abstractNum w:abstractNumId="39">
    <w:nsid w:val="A0F05207"/>
    <w:multiLevelType w:val="singleLevel"/>
    <w:tmpl w:val="A0F05207"/>
    <w:lvl w:ilvl="0" w:tentative="0">
      <w:start w:val="0"/>
      <w:numFmt w:val="bullet"/>
      <w:lvlText w:val="￮"/>
      <w:lvlJc w:val="left"/>
      <w:rPr>
        <w:color w:val="3370FF"/>
      </w:rPr>
    </w:lvl>
  </w:abstractNum>
  <w:abstractNum w:abstractNumId="40">
    <w:nsid w:val="A0F25EF7"/>
    <w:multiLevelType w:val="singleLevel"/>
    <w:tmpl w:val="A0F25EF7"/>
    <w:lvl w:ilvl="0" w:tentative="0">
      <w:start w:val="3"/>
      <w:numFmt w:val="lowerLetter"/>
      <w:lvlText w:val="%1."/>
      <w:lvlJc w:val="left"/>
      <w:rPr>
        <w:color w:val="3370FF"/>
      </w:rPr>
    </w:lvl>
  </w:abstractNum>
  <w:abstractNum w:abstractNumId="41">
    <w:nsid w:val="A25F19CE"/>
    <w:multiLevelType w:val="singleLevel"/>
    <w:tmpl w:val="A25F19CE"/>
    <w:lvl w:ilvl="0" w:tentative="0">
      <w:start w:val="26"/>
      <w:numFmt w:val="decimal"/>
      <w:lvlText w:val="%1."/>
      <w:lvlJc w:val="left"/>
      <w:rPr>
        <w:color w:val="3370FF"/>
      </w:rPr>
    </w:lvl>
  </w:abstractNum>
  <w:abstractNum w:abstractNumId="42">
    <w:nsid w:val="A362769C"/>
    <w:multiLevelType w:val="singleLevel"/>
    <w:tmpl w:val="A362769C"/>
    <w:lvl w:ilvl="0" w:tentative="0">
      <w:start w:val="29"/>
      <w:numFmt w:val="decimal"/>
      <w:lvlText w:val="%1."/>
      <w:lvlJc w:val="left"/>
      <w:rPr>
        <w:color w:val="3370FF"/>
      </w:rPr>
    </w:lvl>
  </w:abstractNum>
  <w:abstractNum w:abstractNumId="43">
    <w:nsid w:val="A5435042"/>
    <w:multiLevelType w:val="singleLevel"/>
    <w:tmpl w:val="A5435042"/>
    <w:lvl w:ilvl="0" w:tentative="0">
      <w:start w:val="0"/>
      <w:numFmt w:val="bullet"/>
      <w:lvlText w:val="•"/>
      <w:lvlJc w:val="left"/>
      <w:rPr>
        <w:color w:val="3370FF"/>
      </w:rPr>
    </w:lvl>
  </w:abstractNum>
  <w:abstractNum w:abstractNumId="44">
    <w:nsid w:val="A97D620A"/>
    <w:multiLevelType w:val="singleLevel"/>
    <w:tmpl w:val="A97D620A"/>
    <w:lvl w:ilvl="0" w:tentative="0">
      <w:start w:val="0"/>
      <w:numFmt w:val="bullet"/>
      <w:lvlText w:val="•"/>
      <w:lvlJc w:val="left"/>
      <w:rPr>
        <w:color w:val="3370FF"/>
      </w:rPr>
    </w:lvl>
  </w:abstractNum>
  <w:abstractNum w:abstractNumId="45">
    <w:nsid w:val="A9AC3AA7"/>
    <w:multiLevelType w:val="singleLevel"/>
    <w:tmpl w:val="A9AC3AA7"/>
    <w:lvl w:ilvl="0" w:tentative="0">
      <w:start w:val="0"/>
      <w:numFmt w:val="bullet"/>
      <w:lvlText w:val="•"/>
      <w:lvlJc w:val="left"/>
      <w:rPr>
        <w:color w:val="3370FF"/>
      </w:rPr>
    </w:lvl>
  </w:abstractNum>
  <w:abstractNum w:abstractNumId="46">
    <w:nsid w:val="AAF3F3FA"/>
    <w:multiLevelType w:val="singleLevel"/>
    <w:tmpl w:val="AAF3F3FA"/>
    <w:lvl w:ilvl="0" w:tentative="0">
      <w:start w:val="0"/>
      <w:numFmt w:val="bullet"/>
      <w:lvlText w:val="•"/>
      <w:lvlJc w:val="left"/>
      <w:rPr>
        <w:color w:val="3370FF"/>
      </w:rPr>
    </w:lvl>
  </w:abstractNum>
  <w:abstractNum w:abstractNumId="47">
    <w:nsid w:val="AC38AFEB"/>
    <w:multiLevelType w:val="singleLevel"/>
    <w:tmpl w:val="AC38AFEB"/>
    <w:lvl w:ilvl="0" w:tentative="0">
      <w:start w:val="4"/>
      <w:numFmt w:val="lowerLetter"/>
      <w:lvlText w:val="%1."/>
      <w:lvlJc w:val="left"/>
      <w:rPr>
        <w:color w:val="3370FF"/>
      </w:rPr>
    </w:lvl>
  </w:abstractNum>
  <w:abstractNum w:abstractNumId="48">
    <w:nsid w:val="AD37AD84"/>
    <w:multiLevelType w:val="singleLevel"/>
    <w:tmpl w:val="AD37AD84"/>
    <w:lvl w:ilvl="0" w:tentative="0">
      <w:start w:val="27"/>
      <w:numFmt w:val="decimal"/>
      <w:lvlText w:val="%1."/>
      <w:lvlJc w:val="left"/>
      <w:rPr>
        <w:color w:val="3370FF"/>
      </w:rPr>
    </w:lvl>
  </w:abstractNum>
  <w:abstractNum w:abstractNumId="49">
    <w:nsid w:val="AF139D7D"/>
    <w:multiLevelType w:val="singleLevel"/>
    <w:tmpl w:val="AF139D7D"/>
    <w:lvl w:ilvl="0" w:tentative="0">
      <w:start w:val="19"/>
      <w:numFmt w:val="decimal"/>
      <w:lvlText w:val="%1."/>
      <w:lvlJc w:val="left"/>
      <w:rPr>
        <w:color w:val="3370FF"/>
      </w:rPr>
    </w:lvl>
  </w:abstractNum>
  <w:abstractNum w:abstractNumId="50">
    <w:nsid w:val="B0082E4F"/>
    <w:multiLevelType w:val="singleLevel"/>
    <w:tmpl w:val="B0082E4F"/>
    <w:lvl w:ilvl="0" w:tentative="0">
      <w:start w:val="4"/>
      <w:numFmt w:val="decimal"/>
      <w:lvlText w:val="%1."/>
      <w:lvlJc w:val="left"/>
      <w:rPr>
        <w:color w:val="3370FF"/>
      </w:rPr>
    </w:lvl>
  </w:abstractNum>
  <w:abstractNum w:abstractNumId="51">
    <w:nsid w:val="B08374AC"/>
    <w:multiLevelType w:val="singleLevel"/>
    <w:tmpl w:val="B08374AC"/>
    <w:lvl w:ilvl="0" w:tentative="0">
      <w:start w:val="0"/>
      <w:numFmt w:val="bullet"/>
      <w:lvlText w:val="￮"/>
      <w:lvlJc w:val="left"/>
      <w:rPr>
        <w:color w:val="3370FF"/>
      </w:rPr>
    </w:lvl>
  </w:abstractNum>
  <w:abstractNum w:abstractNumId="52">
    <w:nsid w:val="B0ED9BEA"/>
    <w:multiLevelType w:val="singleLevel"/>
    <w:tmpl w:val="B0ED9BEA"/>
    <w:lvl w:ilvl="0" w:tentative="0">
      <w:start w:val="0"/>
      <w:numFmt w:val="bullet"/>
      <w:lvlText w:val="•"/>
      <w:lvlJc w:val="left"/>
      <w:rPr>
        <w:color w:val="3370FF"/>
      </w:rPr>
    </w:lvl>
  </w:abstractNum>
  <w:abstractNum w:abstractNumId="53">
    <w:nsid w:val="B0F1ACD9"/>
    <w:multiLevelType w:val="singleLevel"/>
    <w:tmpl w:val="B0F1ACD9"/>
    <w:lvl w:ilvl="0" w:tentative="0">
      <w:start w:val="0"/>
      <w:numFmt w:val="bullet"/>
      <w:lvlText w:val="•"/>
      <w:lvlJc w:val="left"/>
      <w:rPr>
        <w:color w:val="3370FF"/>
      </w:rPr>
    </w:lvl>
  </w:abstractNum>
  <w:abstractNum w:abstractNumId="54">
    <w:nsid w:val="B15ABE86"/>
    <w:multiLevelType w:val="singleLevel"/>
    <w:tmpl w:val="B15ABE86"/>
    <w:lvl w:ilvl="0" w:tentative="0">
      <w:start w:val="4"/>
      <w:numFmt w:val="lowerLetter"/>
      <w:lvlText w:val="%1."/>
      <w:lvlJc w:val="left"/>
      <w:rPr>
        <w:color w:val="3370FF"/>
      </w:rPr>
    </w:lvl>
  </w:abstractNum>
  <w:abstractNum w:abstractNumId="55">
    <w:nsid w:val="B1CC6FF1"/>
    <w:multiLevelType w:val="singleLevel"/>
    <w:tmpl w:val="B1CC6FF1"/>
    <w:lvl w:ilvl="0" w:tentative="0">
      <w:start w:val="1"/>
      <w:numFmt w:val="lowerLetter"/>
      <w:lvlText w:val="%1."/>
      <w:lvlJc w:val="left"/>
      <w:rPr>
        <w:color w:val="3370FF"/>
      </w:rPr>
    </w:lvl>
  </w:abstractNum>
  <w:abstractNum w:abstractNumId="56">
    <w:nsid w:val="B23A94A9"/>
    <w:multiLevelType w:val="singleLevel"/>
    <w:tmpl w:val="B23A94A9"/>
    <w:lvl w:ilvl="0" w:tentative="0">
      <w:start w:val="0"/>
      <w:numFmt w:val="bullet"/>
      <w:lvlText w:val="￮"/>
      <w:lvlJc w:val="left"/>
      <w:rPr>
        <w:color w:val="3370FF"/>
      </w:rPr>
    </w:lvl>
  </w:abstractNum>
  <w:abstractNum w:abstractNumId="57">
    <w:nsid w:val="B4E02BC3"/>
    <w:multiLevelType w:val="singleLevel"/>
    <w:tmpl w:val="B4E02BC3"/>
    <w:lvl w:ilvl="0" w:tentative="0">
      <w:start w:val="0"/>
      <w:numFmt w:val="bullet"/>
      <w:lvlText w:val="•"/>
      <w:lvlJc w:val="left"/>
      <w:rPr>
        <w:color w:val="3370FF"/>
      </w:rPr>
    </w:lvl>
  </w:abstractNum>
  <w:abstractNum w:abstractNumId="58">
    <w:nsid w:val="B53F3350"/>
    <w:multiLevelType w:val="singleLevel"/>
    <w:tmpl w:val="B53F3350"/>
    <w:lvl w:ilvl="0" w:tentative="0">
      <w:start w:val="0"/>
      <w:numFmt w:val="bullet"/>
      <w:lvlText w:val="•"/>
      <w:lvlJc w:val="left"/>
      <w:rPr>
        <w:color w:val="3370FF"/>
      </w:rPr>
    </w:lvl>
  </w:abstractNum>
  <w:abstractNum w:abstractNumId="59">
    <w:nsid w:val="B5601969"/>
    <w:multiLevelType w:val="singleLevel"/>
    <w:tmpl w:val="B5601969"/>
    <w:lvl w:ilvl="0" w:tentative="0">
      <w:start w:val="0"/>
      <w:numFmt w:val="bullet"/>
      <w:lvlText w:val="•"/>
      <w:lvlJc w:val="left"/>
      <w:rPr>
        <w:color w:val="3370FF"/>
      </w:rPr>
    </w:lvl>
  </w:abstractNum>
  <w:abstractNum w:abstractNumId="60">
    <w:nsid w:val="B5CF74F5"/>
    <w:multiLevelType w:val="singleLevel"/>
    <w:tmpl w:val="B5CF74F5"/>
    <w:lvl w:ilvl="0" w:tentative="0">
      <w:start w:val="0"/>
      <w:numFmt w:val="bullet"/>
      <w:lvlText w:val="•"/>
      <w:lvlJc w:val="left"/>
      <w:rPr>
        <w:color w:val="3370FF"/>
      </w:rPr>
    </w:lvl>
  </w:abstractNum>
  <w:abstractNum w:abstractNumId="61">
    <w:nsid w:val="B5E306ED"/>
    <w:multiLevelType w:val="singleLevel"/>
    <w:tmpl w:val="B5E306ED"/>
    <w:lvl w:ilvl="0" w:tentative="0">
      <w:start w:val="0"/>
      <w:numFmt w:val="bullet"/>
      <w:lvlText w:val="•"/>
      <w:lvlJc w:val="left"/>
      <w:rPr>
        <w:color w:val="3370FF"/>
      </w:rPr>
    </w:lvl>
  </w:abstractNum>
  <w:abstractNum w:abstractNumId="62">
    <w:nsid w:val="B88D21A8"/>
    <w:multiLevelType w:val="singleLevel"/>
    <w:tmpl w:val="B88D21A8"/>
    <w:lvl w:ilvl="0" w:tentative="0">
      <w:start w:val="0"/>
      <w:numFmt w:val="bullet"/>
      <w:lvlText w:val="•"/>
      <w:lvlJc w:val="left"/>
      <w:rPr>
        <w:color w:val="3370FF"/>
      </w:rPr>
    </w:lvl>
  </w:abstractNum>
  <w:abstractNum w:abstractNumId="63">
    <w:nsid w:val="B8CEF35B"/>
    <w:multiLevelType w:val="singleLevel"/>
    <w:tmpl w:val="B8CEF35B"/>
    <w:lvl w:ilvl="0" w:tentative="0">
      <w:start w:val="0"/>
      <w:numFmt w:val="bullet"/>
      <w:lvlText w:val="•"/>
      <w:lvlJc w:val="left"/>
      <w:rPr>
        <w:color w:val="3370FF"/>
      </w:rPr>
    </w:lvl>
  </w:abstractNum>
  <w:abstractNum w:abstractNumId="64">
    <w:nsid w:val="B99465BD"/>
    <w:multiLevelType w:val="singleLevel"/>
    <w:tmpl w:val="B99465BD"/>
    <w:lvl w:ilvl="0" w:tentative="0">
      <w:start w:val="4"/>
      <w:numFmt w:val="lowerLetter"/>
      <w:lvlText w:val="%1."/>
      <w:lvlJc w:val="left"/>
      <w:rPr>
        <w:color w:val="3370FF"/>
      </w:rPr>
    </w:lvl>
  </w:abstractNum>
  <w:abstractNum w:abstractNumId="65">
    <w:nsid w:val="BA550FDB"/>
    <w:multiLevelType w:val="singleLevel"/>
    <w:tmpl w:val="BA550FDB"/>
    <w:lvl w:ilvl="0" w:tentative="0">
      <w:start w:val="3"/>
      <w:numFmt w:val="lowerLetter"/>
      <w:lvlText w:val="%1."/>
      <w:lvlJc w:val="left"/>
      <w:rPr>
        <w:color w:val="3370FF"/>
      </w:rPr>
    </w:lvl>
  </w:abstractNum>
  <w:abstractNum w:abstractNumId="66">
    <w:nsid w:val="BB64CFA9"/>
    <w:multiLevelType w:val="singleLevel"/>
    <w:tmpl w:val="BB64CFA9"/>
    <w:lvl w:ilvl="0" w:tentative="0">
      <w:start w:val="0"/>
      <w:numFmt w:val="bullet"/>
      <w:lvlText w:val="•"/>
      <w:lvlJc w:val="left"/>
      <w:rPr>
        <w:color w:val="3370FF"/>
      </w:rPr>
    </w:lvl>
  </w:abstractNum>
  <w:abstractNum w:abstractNumId="67">
    <w:nsid w:val="BC837A95"/>
    <w:multiLevelType w:val="singleLevel"/>
    <w:tmpl w:val="BC837A95"/>
    <w:lvl w:ilvl="0" w:tentative="0">
      <w:start w:val="0"/>
      <w:numFmt w:val="bullet"/>
      <w:lvlText w:val="•"/>
      <w:lvlJc w:val="left"/>
      <w:rPr>
        <w:color w:val="3370FF"/>
      </w:rPr>
    </w:lvl>
  </w:abstractNum>
  <w:abstractNum w:abstractNumId="68">
    <w:nsid w:val="BCECA0B4"/>
    <w:multiLevelType w:val="singleLevel"/>
    <w:tmpl w:val="BCECA0B4"/>
    <w:lvl w:ilvl="0" w:tentative="0">
      <w:start w:val="0"/>
      <w:numFmt w:val="bullet"/>
      <w:lvlText w:val="•"/>
      <w:lvlJc w:val="left"/>
      <w:rPr>
        <w:color w:val="3370FF"/>
      </w:rPr>
    </w:lvl>
  </w:abstractNum>
  <w:abstractNum w:abstractNumId="69">
    <w:nsid w:val="BDA1395C"/>
    <w:multiLevelType w:val="singleLevel"/>
    <w:tmpl w:val="BDA1395C"/>
    <w:lvl w:ilvl="0" w:tentative="0">
      <w:start w:val="0"/>
      <w:numFmt w:val="bullet"/>
      <w:lvlText w:val="•"/>
      <w:lvlJc w:val="left"/>
      <w:rPr>
        <w:color w:val="3370FF"/>
      </w:rPr>
    </w:lvl>
  </w:abstractNum>
  <w:abstractNum w:abstractNumId="70">
    <w:nsid w:val="BE8A4F4C"/>
    <w:multiLevelType w:val="singleLevel"/>
    <w:tmpl w:val="BE8A4F4C"/>
    <w:lvl w:ilvl="0" w:tentative="0">
      <w:start w:val="0"/>
      <w:numFmt w:val="bullet"/>
      <w:lvlText w:val="•"/>
      <w:lvlJc w:val="left"/>
      <w:rPr>
        <w:color w:val="3370FF"/>
      </w:rPr>
    </w:lvl>
  </w:abstractNum>
  <w:abstractNum w:abstractNumId="71">
    <w:nsid w:val="BE923771"/>
    <w:multiLevelType w:val="singleLevel"/>
    <w:tmpl w:val="BE923771"/>
    <w:lvl w:ilvl="0" w:tentative="0">
      <w:start w:val="0"/>
      <w:numFmt w:val="bullet"/>
      <w:lvlText w:val="•"/>
      <w:lvlJc w:val="left"/>
      <w:rPr>
        <w:color w:val="3370FF"/>
      </w:rPr>
    </w:lvl>
  </w:abstractNum>
  <w:abstractNum w:abstractNumId="72">
    <w:nsid w:val="BF205925"/>
    <w:multiLevelType w:val="singleLevel"/>
    <w:tmpl w:val="BF205925"/>
    <w:lvl w:ilvl="0" w:tentative="0">
      <w:start w:val="0"/>
      <w:numFmt w:val="bullet"/>
      <w:lvlText w:val="•"/>
      <w:lvlJc w:val="left"/>
      <w:rPr>
        <w:color w:val="3370FF"/>
      </w:rPr>
    </w:lvl>
  </w:abstractNum>
  <w:abstractNum w:abstractNumId="73">
    <w:nsid w:val="BF50FE6B"/>
    <w:multiLevelType w:val="singleLevel"/>
    <w:tmpl w:val="BF50FE6B"/>
    <w:lvl w:ilvl="0" w:tentative="0">
      <w:start w:val="0"/>
      <w:numFmt w:val="bullet"/>
      <w:lvlText w:val="￮"/>
      <w:lvlJc w:val="left"/>
      <w:rPr>
        <w:color w:val="3370FF"/>
      </w:rPr>
    </w:lvl>
  </w:abstractNum>
  <w:abstractNum w:abstractNumId="74">
    <w:nsid w:val="C0283A65"/>
    <w:multiLevelType w:val="singleLevel"/>
    <w:tmpl w:val="C0283A65"/>
    <w:lvl w:ilvl="0" w:tentative="0">
      <w:start w:val="0"/>
      <w:numFmt w:val="bullet"/>
      <w:lvlText w:val="•"/>
      <w:lvlJc w:val="left"/>
      <w:rPr>
        <w:color w:val="3370FF"/>
      </w:rPr>
    </w:lvl>
  </w:abstractNum>
  <w:abstractNum w:abstractNumId="75">
    <w:nsid w:val="C0915F4F"/>
    <w:multiLevelType w:val="singleLevel"/>
    <w:tmpl w:val="C0915F4F"/>
    <w:lvl w:ilvl="0" w:tentative="0">
      <w:start w:val="0"/>
      <w:numFmt w:val="bullet"/>
      <w:lvlText w:val="•"/>
      <w:lvlJc w:val="left"/>
      <w:rPr>
        <w:color w:val="3370FF"/>
      </w:rPr>
    </w:lvl>
  </w:abstractNum>
  <w:abstractNum w:abstractNumId="76">
    <w:nsid w:val="C4E0D24A"/>
    <w:multiLevelType w:val="singleLevel"/>
    <w:tmpl w:val="C4E0D24A"/>
    <w:lvl w:ilvl="0" w:tentative="0">
      <w:start w:val="3"/>
      <w:numFmt w:val="lowerLetter"/>
      <w:lvlText w:val="%1."/>
      <w:lvlJc w:val="left"/>
      <w:rPr>
        <w:color w:val="3370FF"/>
      </w:rPr>
    </w:lvl>
  </w:abstractNum>
  <w:abstractNum w:abstractNumId="77">
    <w:nsid w:val="C4EA4DBF"/>
    <w:multiLevelType w:val="singleLevel"/>
    <w:tmpl w:val="C4EA4DBF"/>
    <w:lvl w:ilvl="0" w:tentative="0">
      <w:start w:val="2"/>
      <w:numFmt w:val="decimal"/>
      <w:lvlText w:val="%1."/>
      <w:lvlJc w:val="left"/>
      <w:rPr>
        <w:color w:val="3370FF"/>
      </w:rPr>
    </w:lvl>
  </w:abstractNum>
  <w:abstractNum w:abstractNumId="78">
    <w:nsid w:val="C560BE57"/>
    <w:multiLevelType w:val="singleLevel"/>
    <w:tmpl w:val="C560BE57"/>
    <w:lvl w:ilvl="0" w:tentative="0">
      <w:start w:val="20"/>
      <w:numFmt w:val="decimal"/>
      <w:lvlText w:val="%1."/>
      <w:lvlJc w:val="left"/>
      <w:rPr>
        <w:color w:val="3370FF"/>
      </w:rPr>
    </w:lvl>
  </w:abstractNum>
  <w:abstractNum w:abstractNumId="79">
    <w:nsid w:val="C83AAF60"/>
    <w:multiLevelType w:val="singleLevel"/>
    <w:tmpl w:val="C83AAF60"/>
    <w:lvl w:ilvl="0" w:tentative="0">
      <w:start w:val="28"/>
      <w:numFmt w:val="decimal"/>
      <w:lvlText w:val="%1."/>
      <w:lvlJc w:val="left"/>
      <w:rPr>
        <w:color w:val="3370FF"/>
      </w:rPr>
    </w:lvl>
  </w:abstractNum>
  <w:abstractNum w:abstractNumId="80">
    <w:nsid w:val="C8879AEF"/>
    <w:multiLevelType w:val="singleLevel"/>
    <w:tmpl w:val="C8879AEF"/>
    <w:lvl w:ilvl="0" w:tentative="0">
      <w:start w:val="0"/>
      <w:numFmt w:val="bullet"/>
      <w:lvlText w:val="•"/>
      <w:lvlJc w:val="left"/>
      <w:rPr>
        <w:color w:val="3370FF"/>
      </w:rPr>
    </w:lvl>
  </w:abstractNum>
  <w:abstractNum w:abstractNumId="81">
    <w:nsid w:val="C90D1B09"/>
    <w:multiLevelType w:val="singleLevel"/>
    <w:tmpl w:val="C90D1B09"/>
    <w:lvl w:ilvl="0" w:tentative="0">
      <w:start w:val="0"/>
      <w:numFmt w:val="bullet"/>
      <w:lvlText w:val="￮"/>
      <w:lvlJc w:val="left"/>
      <w:rPr>
        <w:color w:val="3370FF"/>
      </w:rPr>
    </w:lvl>
  </w:abstractNum>
  <w:abstractNum w:abstractNumId="82">
    <w:nsid w:val="C9412743"/>
    <w:multiLevelType w:val="singleLevel"/>
    <w:tmpl w:val="C9412743"/>
    <w:lvl w:ilvl="0" w:tentative="0">
      <w:start w:val="0"/>
      <w:numFmt w:val="bullet"/>
      <w:lvlText w:val="•"/>
      <w:lvlJc w:val="left"/>
      <w:rPr>
        <w:color w:val="3370FF"/>
      </w:rPr>
    </w:lvl>
  </w:abstractNum>
  <w:abstractNum w:abstractNumId="83">
    <w:nsid w:val="C9C05784"/>
    <w:multiLevelType w:val="singleLevel"/>
    <w:tmpl w:val="C9C05784"/>
    <w:lvl w:ilvl="0" w:tentative="0">
      <w:start w:val="24"/>
      <w:numFmt w:val="decimal"/>
      <w:lvlText w:val="%1."/>
      <w:lvlJc w:val="left"/>
      <w:rPr>
        <w:color w:val="3370FF"/>
      </w:rPr>
    </w:lvl>
  </w:abstractNum>
  <w:abstractNum w:abstractNumId="84">
    <w:nsid w:val="CB0CECA5"/>
    <w:multiLevelType w:val="singleLevel"/>
    <w:tmpl w:val="CB0CECA5"/>
    <w:lvl w:ilvl="0" w:tentative="0">
      <w:start w:val="2"/>
      <w:numFmt w:val="lowerLetter"/>
      <w:lvlText w:val="%1."/>
      <w:lvlJc w:val="left"/>
      <w:rPr>
        <w:color w:val="3370FF"/>
      </w:rPr>
    </w:lvl>
  </w:abstractNum>
  <w:abstractNum w:abstractNumId="85">
    <w:nsid w:val="CB94649F"/>
    <w:multiLevelType w:val="singleLevel"/>
    <w:tmpl w:val="CB94649F"/>
    <w:lvl w:ilvl="0" w:tentative="0">
      <w:start w:val="0"/>
      <w:numFmt w:val="bullet"/>
      <w:lvlText w:val="•"/>
      <w:lvlJc w:val="left"/>
      <w:rPr>
        <w:color w:val="3370FF"/>
      </w:rPr>
    </w:lvl>
  </w:abstractNum>
  <w:abstractNum w:abstractNumId="86">
    <w:nsid w:val="CD699D1D"/>
    <w:multiLevelType w:val="singleLevel"/>
    <w:tmpl w:val="CD699D1D"/>
    <w:lvl w:ilvl="0" w:tentative="0">
      <w:start w:val="0"/>
      <w:numFmt w:val="bullet"/>
      <w:lvlText w:val="•"/>
      <w:lvlJc w:val="left"/>
      <w:rPr>
        <w:color w:val="3370FF"/>
      </w:rPr>
    </w:lvl>
  </w:abstractNum>
  <w:abstractNum w:abstractNumId="87">
    <w:nsid w:val="CF092B84"/>
    <w:multiLevelType w:val="singleLevel"/>
    <w:tmpl w:val="CF092B84"/>
    <w:lvl w:ilvl="0" w:tentative="0">
      <w:start w:val="0"/>
      <w:numFmt w:val="bullet"/>
      <w:lvlText w:val="•"/>
      <w:lvlJc w:val="left"/>
      <w:rPr>
        <w:color w:val="3370FF"/>
      </w:rPr>
    </w:lvl>
  </w:abstractNum>
  <w:abstractNum w:abstractNumId="88">
    <w:nsid w:val="D1EB1714"/>
    <w:multiLevelType w:val="singleLevel"/>
    <w:tmpl w:val="D1EB1714"/>
    <w:lvl w:ilvl="0" w:tentative="0">
      <w:start w:val="0"/>
      <w:numFmt w:val="bullet"/>
      <w:lvlText w:val="•"/>
      <w:lvlJc w:val="left"/>
      <w:rPr>
        <w:color w:val="3370FF"/>
      </w:rPr>
    </w:lvl>
  </w:abstractNum>
  <w:abstractNum w:abstractNumId="89">
    <w:nsid w:val="D2B2DAFD"/>
    <w:multiLevelType w:val="singleLevel"/>
    <w:tmpl w:val="D2B2DAFD"/>
    <w:lvl w:ilvl="0" w:tentative="0">
      <w:start w:val="16"/>
      <w:numFmt w:val="decimal"/>
      <w:lvlText w:val="%1."/>
      <w:lvlJc w:val="left"/>
      <w:rPr>
        <w:color w:val="3370FF"/>
      </w:rPr>
    </w:lvl>
  </w:abstractNum>
  <w:abstractNum w:abstractNumId="90">
    <w:nsid w:val="D42187FE"/>
    <w:multiLevelType w:val="singleLevel"/>
    <w:tmpl w:val="D42187FE"/>
    <w:lvl w:ilvl="0" w:tentative="0">
      <w:start w:val="13"/>
      <w:numFmt w:val="decimal"/>
      <w:lvlText w:val="%1."/>
      <w:lvlJc w:val="left"/>
      <w:rPr>
        <w:color w:val="3370FF"/>
      </w:rPr>
    </w:lvl>
  </w:abstractNum>
  <w:abstractNum w:abstractNumId="91">
    <w:nsid w:val="D5F12F34"/>
    <w:multiLevelType w:val="singleLevel"/>
    <w:tmpl w:val="D5F12F34"/>
    <w:lvl w:ilvl="0" w:tentative="0">
      <w:start w:val="0"/>
      <w:numFmt w:val="bullet"/>
      <w:lvlText w:val="•"/>
      <w:lvlJc w:val="left"/>
      <w:rPr>
        <w:color w:val="3370FF"/>
      </w:rPr>
    </w:lvl>
  </w:abstractNum>
  <w:abstractNum w:abstractNumId="92">
    <w:nsid w:val="D7936317"/>
    <w:multiLevelType w:val="singleLevel"/>
    <w:tmpl w:val="D7936317"/>
    <w:lvl w:ilvl="0" w:tentative="0">
      <w:start w:val="0"/>
      <w:numFmt w:val="bullet"/>
      <w:lvlText w:val="￮"/>
      <w:lvlJc w:val="left"/>
      <w:rPr>
        <w:color w:val="3370FF"/>
      </w:rPr>
    </w:lvl>
  </w:abstractNum>
  <w:abstractNum w:abstractNumId="93">
    <w:nsid w:val="D7D140E4"/>
    <w:multiLevelType w:val="singleLevel"/>
    <w:tmpl w:val="D7D140E4"/>
    <w:lvl w:ilvl="0" w:tentative="0">
      <w:start w:val="0"/>
      <w:numFmt w:val="bullet"/>
      <w:lvlText w:val="•"/>
      <w:lvlJc w:val="left"/>
      <w:rPr>
        <w:color w:val="3370FF"/>
      </w:rPr>
    </w:lvl>
  </w:abstractNum>
  <w:abstractNum w:abstractNumId="94">
    <w:nsid w:val="D7F9FE59"/>
    <w:multiLevelType w:val="singleLevel"/>
    <w:tmpl w:val="D7F9FE59"/>
    <w:lvl w:ilvl="0" w:tentative="0">
      <w:start w:val="0"/>
      <w:numFmt w:val="bullet"/>
      <w:lvlText w:val="•"/>
      <w:lvlJc w:val="left"/>
      <w:rPr>
        <w:color w:val="3370FF"/>
      </w:rPr>
    </w:lvl>
  </w:abstractNum>
  <w:abstractNum w:abstractNumId="95">
    <w:nsid w:val="DAD3A854"/>
    <w:multiLevelType w:val="singleLevel"/>
    <w:tmpl w:val="DAD3A854"/>
    <w:lvl w:ilvl="0" w:tentative="0">
      <w:start w:val="0"/>
      <w:numFmt w:val="bullet"/>
      <w:lvlText w:val="•"/>
      <w:lvlJc w:val="left"/>
      <w:rPr>
        <w:color w:val="3370FF"/>
      </w:rPr>
    </w:lvl>
  </w:abstractNum>
  <w:abstractNum w:abstractNumId="96">
    <w:nsid w:val="DAE62134"/>
    <w:multiLevelType w:val="singleLevel"/>
    <w:tmpl w:val="DAE62134"/>
    <w:lvl w:ilvl="0" w:tentative="0">
      <w:start w:val="3"/>
      <w:numFmt w:val="lowerLetter"/>
      <w:lvlText w:val="%1."/>
      <w:lvlJc w:val="left"/>
      <w:rPr>
        <w:color w:val="3370FF"/>
      </w:rPr>
    </w:lvl>
  </w:abstractNum>
  <w:abstractNum w:abstractNumId="97">
    <w:nsid w:val="DAF63FD3"/>
    <w:multiLevelType w:val="singleLevel"/>
    <w:tmpl w:val="DAF63FD3"/>
    <w:lvl w:ilvl="0" w:tentative="0">
      <w:start w:val="2"/>
      <w:numFmt w:val="lowerLetter"/>
      <w:lvlText w:val="%1."/>
      <w:lvlJc w:val="left"/>
      <w:rPr>
        <w:color w:val="3370FF"/>
      </w:rPr>
    </w:lvl>
  </w:abstractNum>
  <w:abstractNum w:abstractNumId="98">
    <w:nsid w:val="DCBA6B53"/>
    <w:multiLevelType w:val="singleLevel"/>
    <w:tmpl w:val="DCBA6B53"/>
    <w:lvl w:ilvl="0" w:tentative="0">
      <w:start w:val="0"/>
      <w:numFmt w:val="bullet"/>
      <w:lvlText w:val="•"/>
      <w:lvlJc w:val="left"/>
      <w:rPr>
        <w:color w:val="3370FF"/>
      </w:rPr>
    </w:lvl>
  </w:abstractNum>
  <w:abstractNum w:abstractNumId="99">
    <w:nsid w:val="DD02F921"/>
    <w:multiLevelType w:val="singleLevel"/>
    <w:tmpl w:val="DD02F921"/>
    <w:lvl w:ilvl="0" w:tentative="0">
      <w:start w:val="9"/>
      <w:numFmt w:val="decimal"/>
      <w:lvlText w:val="%1."/>
      <w:lvlJc w:val="left"/>
      <w:rPr>
        <w:color w:val="3370FF"/>
      </w:rPr>
    </w:lvl>
  </w:abstractNum>
  <w:abstractNum w:abstractNumId="100">
    <w:nsid w:val="DD3DB379"/>
    <w:multiLevelType w:val="singleLevel"/>
    <w:tmpl w:val="DD3DB379"/>
    <w:lvl w:ilvl="0" w:tentative="0">
      <w:start w:val="11"/>
      <w:numFmt w:val="decimal"/>
      <w:lvlText w:val="%1."/>
      <w:lvlJc w:val="left"/>
      <w:rPr>
        <w:color w:val="3370FF"/>
      </w:rPr>
    </w:lvl>
  </w:abstractNum>
  <w:abstractNum w:abstractNumId="101">
    <w:nsid w:val="DD474A30"/>
    <w:multiLevelType w:val="singleLevel"/>
    <w:tmpl w:val="DD474A30"/>
    <w:lvl w:ilvl="0" w:tentative="0">
      <w:start w:val="12"/>
      <w:numFmt w:val="decimal"/>
      <w:lvlText w:val="%1."/>
      <w:lvlJc w:val="left"/>
      <w:rPr>
        <w:color w:val="3370FF"/>
      </w:rPr>
    </w:lvl>
  </w:abstractNum>
  <w:abstractNum w:abstractNumId="102">
    <w:nsid w:val="E0294EC7"/>
    <w:multiLevelType w:val="singleLevel"/>
    <w:tmpl w:val="E0294EC7"/>
    <w:lvl w:ilvl="0" w:tentative="0">
      <w:start w:val="0"/>
      <w:numFmt w:val="bullet"/>
      <w:lvlText w:val="•"/>
      <w:lvlJc w:val="left"/>
      <w:rPr>
        <w:color w:val="3370FF"/>
      </w:rPr>
    </w:lvl>
  </w:abstractNum>
  <w:abstractNum w:abstractNumId="103">
    <w:nsid w:val="E093A4B0"/>
    <w:multiLevelType w:val="singleLevel"/>
    <w:tmpl w:val="E093A4B0"/>
    <w:lvl w:ilvl="0" w:tentative="0">
      <w:start w:val="0"/>
      <w:numFmt w:val="bullet"/>
      <w:lvlText w:val="•"/>
      <w:lvlJc w:val="left"/>
      <w:rPr>
        <w:color w:val="3370FF"/>
      </w:rPr>
    </w:lvl>
  </w:abstractNum>
  <w:abstractNum w:abstractNumId="104">
    <w:nsid w:val="E43A772E"/>
    <w:multiLevelType w:val="singleLevel"/>
    <w:tmpl w:val="E43A772E"/>
    <w:lvl w:ilvl="0" w:tentative="0">
      <w:start w:val="0"/>
      <w:numFmt w:val="bullet"/>
      <w:lvlText w:val="•"/>
      <w:lvlJc w:val="left"/>
      <w:rPr>
        <w:color w:val="3370FF"/>
      </w:rPr>
    </w:lvl>
  </w:abstractNum>
  <w:abstractNum w:abstractNumId="105">
    <w:nsid w:val="E4D85DB5"/>
    <w:multiLevelType w:val="singleLevel"/>
    <w:tmpl w:val="E4D85DB5"/>
    <w:lvl w:ilvl="0" w:tentative="0">
      <w:start w:val="22"/>
      <w:numFmt w:val="decimal"/>
      <w:lvlText w:val="%1."/>
      <w:lvlJc w:val="left"/>
      <w:rPr>
        <w:color w:val="3370FF"/>
      </w:rPr>
    </w:lvl>
  </w:abstractNum>
  <w:abstractNum w:abstractNumId="106">
    <w:nsid w:val="E504947C"/>
    <w:multiLevelType w:val="singleLevel"/>
    <w:tmpl w:val="E504947C"/>
    <w:lvl w:ilvl="0" w:tentative="0">
      <w:start w:val="2"/>
      <w:numFmt w:val="lowerLetter"/>
      <w:lvlText w:val="%1."/>
      <w:lvlJc w:val="left"/>
      <w:rPr>
        <w:color w:val="3370FF"/>
      </w:rPr>
    </w:lvl>
  </w:abstractNum>
  <w:abstractNum w:abstractNumId="107">
    <w:nsid w:val="E52D9448"/>
    <w:multiLevelType w:val="singleLevel"/>
    <w:tmpl w:val="E52D9448"/>
    <w:lvl w:ilvl="0" w:tentative="0">
      <w:start w:val="0"/>
      <w:numFmt w:val="bullet"/>
      <w:lvlText w:val="•"/>
      <w:lvlJc w:val="left"/>
      <w:rPr>
        <w:color w:val="3370FF"/>
      </w:rPr>
    </w:lvl>
  </w:abstractNum>
  <w:abstractNum w:abstractNumId="108">
    <w:nsid w:val="E6E98F67"/>
    <w:multiLevelType w:val="singleLevel"/>
    <w:tmpl w:val="E6E98F67"/>
    <w:lvl w:ilvl="0" w:tentative="0">
      <w:start w:val="23"/>
      <w:numFmt w:val="decimal"/>
      <w:lvlText w:val="%1."/>
      <w:lvlJc w:val="left"/>
      <w:rPr>
        <w:color w:val="3370FF"/>
      </w:rPr>
    </w:lvl>
  </w:abstractNum>
  <w:abstractNum w:abstractNumId="109">
    <w:nsid w:val="E7B27C5B"/>
    <w:multiLevelType w:val="singleLevel"/>
    <w:tmpl w:val="E7B27C5B"/>
    <w:lvl w:ilvl="0" w:tentative="0">
      <w:start w:val="0"/>
      <w:numFmt w:val="bullet"/>
      <w:lvlText w:val="•"/>
      <w:lvlJc w:val="left"/>
      <w:rPr>
        <w:color w:val="3370FF"/>
      </w:rPr>
    </w:lvl>
  </w:abstractNum>
  <w:abstractNum w:abstractNumId="110">
    <w:nsid w:val="E887D337"/>
    <w:multiLevelType w:val="singleLevel"/>
    <w:tmpl w:val="E887D337"/>
    <w:lvl w:ilvl="0" w:tentative="0">
      <w:start w:val="14"/>
      <w:numFmt w:val="decimal"/>
      <w:lvlText w:val="%1."/>
      <w:lvlJc w:val="left"/>
      <w:rPr>
        <w:color w:val="3370FF"/>
      </w:rPr>
    </w:lvl>
  </w:abstractNum>
  <w:abstractNum w:abstractNumId="111">
    <w:nsid w:val="E93EBC56"/>
    <w:multiLevelType w:val="singleLevel"/>
    <w:tmpl w:val="E93EBC56"/>
    <w:lvl w:ilvl="0" w:tentative="0">
      <w:start w:val="1"/>
      <w:numFmt w:val="decimal"/>
      <w:lvlText w:val="%1."/>
      <w:lvlJc w:val="left"/>
      <w:rPr>
        <w:color w:val="3370FF"/>
      </w:rPr>
    </w:lvl>
  </w:abstractNum>
  <w:abstractNum w:abstractNumId="112">
    <w:nsid w:val="EA28CC15"/>
    <w:multiLevelType w:val="singleLevel"/>
    <w:tmpl w:val="EA28CC15"/>
    <w:lvl w:ilvl="0" w:tentative="0">
      <w:start w:val="3"/>
      <w:numFmt w:val="lowerLetter"/>
      <w:lvlText w:val="%1."/>
      <w:lvlJc w:val="left"/>
      <w:rPr>
        <w:color w:val="3370FF"/>
      </w:rPr>
    </w:lvl>
  </w:abstractNum>
  <w:abstractNum w:abstractNumId="113">
    <w:nsid w:val="EFCECDC7"/>
    <w:multiLevelType w:val="singleLevel"/>
    <w:tmpl w:val="EFCECDC7"/>
    <w:lvl w:ilvl="0" w:tentative="0">
      <w:start w:val="17"/>
      <w:numFmt w:val="decimal"/>
      <w:lvlText w:val="%1."/>
      <w:lvlJc w:val="left"/>
      <w:rPr>
        <w:color w:val="3370FF"/>
      </w:rPr>
    </w:lvl>
  </w:abstractNum>
  <w:abstractNum w:abstractNumId="114">
    <w:nsid w:val="F066642F"/>
    <w:multiLevelType w:val="singleLevel"/>
    <w:tmpl w:val="F066642F"/>
    <w:lvl w:ilvl="0" w:tentative="0">
      <w:start w:val="0"/>
      <w:numFmt w:val="bullet"/>
      <w:lvlText w:val="•"/>
      <w:lvlJc w:val="left"/>
      <w:rPr>
        <w:color w:val="3370FF"/>
      </w:rPr>
    </w:lvl>
  </w:abstractNum>
  <w:abstractNum w:abstractNumId="115">
    <w:nsid w:val="F0E89278"/>
    <w:multiLevelType w:val="singleLevel"/>
    <w:tmpl w:val="F0E89278"/>
    <w:lvl w:ilvl="0" w:tentative="0">
      <w:start w:val="0"/>
      <w:numFmt w:val="bullet"/>
      <w:lvlText w:val="•"/>
      <w:lvlJc w:val="left"/>
      <w:rPr>
        <w:color w:val="3370FF"/>
      </w:rPr>
    </w:lvl>
  </w:abstractNum>
  <w:abstractNum w:abstractNumId="116">
    <w:nsid w:val="F1FCDEFA"/>
    <w:multiLevelType w:val="singleLevel"/>
    <w:tmpl w:val="F1FCDEFA"/>
    <w:lvl w:ilvl="0" w:tentative="0">
      <w:start w:val="0"/>
      <w:numFmt w:val="bullet"/>
      <w:lvlText w:val="•"/>
      <w:lvlJc w:val="left"/>
      <w:rPr>
        <w:color w:val="3370FF"/>
      </w:rPr>
    </w:lvl>
  </w:abstractNum>
  <w:abstractNum w:abstractNumId="117">
    <w:nsid w:val="F237ACA1"/>
    <w:multiLevelType w:val="singleLevel"/>
    <w:tmpl w:val="F237ACA1"/>
    <w:lvl w:ilvl="0" w:tentative="0">
      <w:start w:val="0"/>
      <w:numFmt w:val="bullet"/>
      <w:lvlText w:val="•"/>
      <w:lvlJc w:val="left"/>
      <w:rPr>
        <w:color w:val="3370FF"/>
      </w:rPr>
    </w:lvl>
  </w:abstractNum>
  <w:abstractNum w:abstractNumId="118">
    <w:nsid w:val="F2A81E1A"/>
    <w:multiLevelType w:val="singleLevel"/>
    <w:tmpl w:val="F2A81E1A"/>
    <w:lvl w:ilvl="0" w:tentative="0">
      <w:start w:val="0"/>
      <w:numFmt w:val="bullet"/>
      <w:lvlText w:val="•"/>
      <w:lvlJc w:val="left"/>
      <w:rPr>
        <w:color w:val="3370FF"/>
      </w:rPr>
    </w:lvl>
  </w:abstractNum>
  <w:abstractNum w:abstractNumId="119">
    <w:nsid w:val="F30FC083"/>
    <w:multiLevelType w:val="singleLevel"/>
    <w:tmpl w:val="F30FC083"/>
    <w:lvl w:ilvl="0" w:tentative="0">
      <w:start w:val="0"/>
      <w:numFmt w:val="bullet"/>
      <w:lvlText w:val="•"/>
      <w:lvlJc w:val="left"/>
      <w:rPr>
        <w:color w:val="3370FF"/>
      </w:rPr>
    </w:lvl>
  </w:abstractNum>
  <w:abstractNum w:abstractNumId="120">
    <w:nsid w:val="F3A33954"/>
    <w:multiLevelType w:val="singleLevel"/>
    <w:tmpl w:val="F3A33954"/>
    <w:lvl w:ilvl="0" w:tentative="0">
      <w:start w:val="0"/>
      <w:numFmt w:val="bullet"/>
      <w:lvlText w:val="￮"/>
      <w:lvlJc w:val="left"/>
      <w:rPr>
        <w:color w:val="3370FF"/>
      </w:rPr>
    </w:lvl>
  </w:abstractNum>
  <w:abstractNum w:abstractNumId="121">
    <w:nsid w:val="F411B296"/>
    <w:multiLevelType w:val="singleLevel"/>
    <w:tmpl w:val="F411B296"/>
    <w:lvl w:ilvl="0" w:tentative="0">
      <w:start w:val="2"/>
      <w:numFmt w:val="lowerLetter"/>
      <w:lvlText w:val="%1."/>
      <w:lvlJc w:val="left"/>
      <w:rPr>
        <w:color w:val="3370FF"/>
      </w:rPr>
    </w:lvl>
  </w:abstractNum>
  <w:abstractNum w:abstractNumId="122">
    <w:nsid w:val="F46CCC20"/>
    <w:multiLevelType w:val="singleLevel"/>
    <w:tmpl w:val="F46CCC20"/>
    <w:lvl w:ilvl="0" w:tentative="0">
      <w:start w:val="0"/>
      <w:numFmt w:val="bullet"/>
      <w:lvlText w:val="￮"/>
      <w:lvlJc w:val="left"/>
      <w:rPr>
        <w:color w:val="3370FF"/>
      </w:rPr>
    </w:lvl>
  </w:abstractNum>
  <w:abstractNum w:abstractNumId="123">
    <w:nsid w:val="F4A942FE"/>
    <w:multiLevelType w:val="singleLevel"/>
    <w:tmpl w:val="F4A942FE"/>
    <w:lvl w:ilvl="0" w:tentative="0">
      <w:start w:val="0"/>
      <w:numFmt w:val="bullet"/>
      <w:lvlText w:val="•"/>
      <w:lvlJc w:val="left"/>
      <w:rPr>
        <w:color w:val="3370FF"/>
      </w:rPr>
    </w:lvl>
  </w:abstractNum>
  <w:abstractNum w:abstractNumId="124">
    <w:nsid w:val="F4B5D9F5"/>
    <w:multiLevelType w:val="singleLevel"/>
    <w:tmpl w:val="F4B5D9F5"/>
    <w:lvl w:ilvl="0" w:tentative="0">
      <w:start w:val="0"/>
      <w:numFmt w:val="bullet"/>
      <w:lvlText w:val="•"/>
      <w:lvlJc w:val="left"/>
      <w:rPr>
        <w:color w:val="3370FF"/>
      </w:rPr>
    </w:lvl>
  </w:abstractNum>
  <w:abstractNum w:abstractNumId="125">
    <w:nsid w:val="F585BF25"/>
    <w:multiLevelType w:val="singleLevel"/>
    <w:tmpl w:val="F585BF25"/>
    <w:lvl w:ilvl="0" w:tentative="0">
      <w:start w:val="0"/>
      <w:numFmt w:val="bullet"/>
      <w:lvlText w:val="•"/>
      <w:lvlJc w:val="left"/>
      <w:rPr>
        <w:color w:val="3370FF"/>
      </w:rPr>
    </w:lvl>
  </w:abstractNum>
  <w:abstractNum w:abstractNumId="126">
    <w:nsid w:val="F689643B"/>
    <w:multiLevelType w:val="singleLevel"/>
    <w:tmpl w:val="F689643B"/>
    <w:lvl w:ilvl="0" w:tentative="0">
      <w:start w:val="0"/>
      <w:numFmt w:val="bullet"/>
      <w:lvlText w:val="￮"/>
      <w:lvlJc w:val="left"/>
      <w:rPr>
        <w:color w:val="3370FF"/>
      </w:rPr>
    </w:lvl>
  </w:abstractNum>
  <w:abstractNum w:abstractNumId="127">
    <w:nsid w:val="F7735DC9"/>
    <w:multiLevelType w:val="singleLevel"/>
    <w:tmpl w:val="F7735DC9"/>
    <w:lvl w:ilvl="0" w:tentative="0">
      <w:start w:val="0"/>
      <w:numFmt w:val="bullet"/>
      <w:lvlText w:val="•"/>
      <w:lvlJc w:val="left"/>
      <w:rPr>
        <w:color w:val="3370FF"/>
      </w:rPr>
    </w:lvl>
  </w:abstractNum>
  <w:abstractNum w:abstractNumId="128">
    <w:nsid w:val="F8949042"/>
    <w:multiLevelType w:val="singleLevel"/>
    <w:tmpl w:val="F8949042"/>
    <w:lvl w:ilvl="0" w:tentative="0">
      <w:start w:val="1"/>
      <w:numFmt w:val="decimal"/>
      <w:lvlText w:val="%1."/>
      <w:lvlJc w:val="left"/>
      <w:rPr>
        <w:color w:val="3370FF"/>
      </w:rPr>
    </w:lvl>
  </w:abstractNum>
  <w:abstractNum w:abstractNumId="129">
    <w:nsid w:val="F9718D3C"/>
    <w:multiLevelType w:val="singleLevel"/>
    <w:tmpl w:val="F9718D3C"/>
    <w:lvl w:ilvl="0" w:tentative="0">
      <w:start w:val="0"/>
      <w:numFmt w:val="bullet"/>
      <w:lvlText w:val="￮"/>
      <w:lvlJc w:val="left"/>
      <w:rPr>
        <w:color w:val="3370FF"/>
      </w:rPr>
    </w:lvl>
  </w:abstractNum>
  <w:abstractNum w:abstractNumId="130">
    <w:nsid w:val="F97CED97"/>
    <w:multiLevelType w:val="singleLevel"/>
    <w:tmpl w:val="F97CED97"/>
    <w:lvl w:ilvl="0" w:tentative="0">
      <w:start w:val="2"/>
      <w:numFmt w:val="lowerLetter"/>
      <w:lvlText w:val="%1."/>
      <w:lvlJc w:val="left"/>
      <w:rPr>
        <w:color w:val="3370FF"/>
      </w:rPr>
    </w:lvl>
  </w:abstractNum>
  <w:abstractNum w:abstractNumId="131">
    <w:nsid w:val="FCC85EE2"/>
    <w:multiLevelType w:val="singleLevel"/>
    <w:tmpl w:val="FCC85EE2"/>
    <w:lvl w:ilvl="0" w:tentative="0">
      <w:start w:val="0"/>
      <w:numFmt w:val="bullet"/>
      <w:lvlText w:val="•"/>
      <w:lvlJc w:val="left"/>
      <w:rPr>
        <w:color w:val="3370FF"/>
      </w:rPr>
    </w:lvl>
  </w:abstractNum>
  <w:abstractNum w:abstractNumId="132">
    <w:nsid w:val="FEC2EA36"/>
    <w:multiLevelType w:val="singleLevel"/>
    <w:tmpl w:val="FEC2EA36"/>
    <w:lvl w:ilvl="0" w:tentative="0">
      <w:start w:val="0"/>
      <w:numFmt w:val="bullet"/>
      <w:lvlText w:val="•"/>
      <w:lvlJc w:val="left"/>
      <w:rPr>
        <w:color w:val="3370FF"/>
      </w:rPr>
    </w:lvl>
  </w:abstractNum>
  <w:abstractNum w:abstractNumId="133">
    <w:nsid w:val="0039509F"/>
    <w:multiLevelType w:val="singleLevel"/>
    <w:tmpl w:val="0039509F"/>
    <w:lvl w:ilvl="0" w:tentative="0">
      <w:start w:val="17"/>
      <w:numFmt w:val="decimal"/>
      <w:lvlText w:val="%1."/>
      <w:lvlJc w:val="left"/>
      <w:rPr>
        <w:color w:val="3370FF"/>
      </w:rPr>
    </w:lvl>
  </w:abstractNum>
  <w:abstractNum w:abstractNumId="134">
    <w:nsid w:val="0053208E"/>
    <w:multiLevelType w:val="singleLevel"/>
    <w:tmpl w:val="0053208E"/>
    <w:lvl w:ilvl="0" w:tentative="0">
      <w:start w:val="0"/>
      <w:numFmt w:val="bullet"/>
      <w:lvlText w:val="•"/>
      <w:lvlJc w:val="left"/>
      <w:rPr>
        <w:color w:val="3370FF"/>
      </w:rPr>
    </w:lvl>
  </w:abstractNum>
  <w:abstractNum w:abstractNumId="135">
    <w:nsid w:val="01836A6D"/>
    <w:multiLevelType w:val="singleLevel"/>
    <w:tmpl w:val="01836A6D"/>
    <w:lvl w:ilvl="0" w:tentative="0">
      <w:start w:val="0"/>
      <w:numFmt w:val="bullet"/>
      <w:lvlText w:val="￮"/>
      <w:lvlJc w:val="left"/>
      <w:rPr>
        <w:color w:val="3370FF"/>
      </w:rPr>
    </w:lvl>
  </w:abstractNum>
  <w:abstractNum w:abstractNumId="136">
    <w:nsid w:val="01D7E1C7"/>
    <w:multiLevelType w:val="singleLevel"/>
    <w:tmpl w:val="01D7E1C7"/>
    <w:lvl w:ilvl="0" w:tentative="0">
      <w:start w:val="0"/>
      <w:numFmt w:val="bullet"/>
      <w:lvlText w:val="•"/>
      <w:lvlJc w:val="left"/>
      <w:rPr>
        <w:color w:val="3370FF"/>
      </w:rPr>
    </w:lvl>
  </w:abstractNum>
  <w:abstractNum w:abstractNumId="137">
    <w:nsid w:val="0248C179"/>
    <w:multiLevelType w:val="singleLevel"/>
    <w:tmpl w:val="0248C179"/>
    <w:lvl w:ilvl="0" w:tentative="0">
      <w:start w:val="2"/>
      <w:numFmt w:val="decimal"/>
      <w:lvlText w:val="%1."/>
      <w:lvlJc w:val="left"/>
      <w:rPr>
        <w:color w:val="3370FF"/>
      </w:rPr>
    </w:lvl>
  </w:abstractNum>
  <w:abstractNum w:abstractNumId="138">
    <w:nsid w:val="0258E135"/>
    <w:multiLevelType w:val="singleLevel"/>
    <w:tmpl w:val="0258E135"/>
    <w:lvl w:ilvl="0" w:tentative="0">
      <w:start w:val="9"/>
      <w:numFmt w:val="decimal"/>
      <w:lvlText w:val="%1."/>
      <w:lvlJc w:val="left"/>
      <w:rPr>
        <w:color w:val="3370FF"/>
      </w:rPr>
    </w:lvl>
  </w:abstractNum>
  <w:abstractNum w:abstractNumId="139">
    <w:nsid w:val="025EB27A"/>
    <w:multiLevelType w:val="singleLevel"/>
    <w:tmpl w:val="025EB27A"/>
    <w:lvl w:ilvl="0" w:tentative="0">
      <w:start w:val="3"/>
      <w:numFmt w:val="decimal"/>
      <w:lvlText w:val="%1."/>
      <w:lvlJc w:val="left"/>
      <w:rPr>
        <w:color w:val="3370FF"/>
      </w:rPr>
    </w:lvl>
  </w:abstractNum>
  <w:abstractNum w:abstractNumId="140">
    <w:nsid w:val="03A63A41"/>
    <w:multiLevelType w:val="singleLevel"/>
    <w:tmpl w:val="03A63A41"/>
    <w:lvl w:ilvl="0" w:tentative="0">
      <w:start w:val="0"/>
      <w:numFmt w:val="bullet"/>
      <w:lvlText w:val="•"/>
      <w:lvlJc w:val="left"/>
      <w:rPr>
        <w:color w:val="3370FF"/>
      </w:rPr>
    </w:lvl>
  </w:abstractNum>
  <w:abstractNum w:abstractNumId="141">
    <w:nsid w:val="03C240C0"/>
    <w:multiLevelType w:val="singleLevel"/>
    <w:tmpl w:val="03C240C0"/>
    <w:lvl w:ilvl="0" w:tentative="0">
      <w:start w:val="0"/>
      <w:numFmt w:val="bullet"/>
      <w:lvlText w:val="￮"/>
      <w:lvlJc w:val="left"/>
      <w:rPr>
        <w:color w:val="3370FF"/>
      </w:rPr>
    </w:lvl>
  </w:abstractNum>
  <w:abstractNum w:abstractNumId="142">
    <w:nsid w:val="03D62ECE"/>
    <w:multiLevelType w:val="singleLevel"/>
    <w:tmpl w:val="03D62ECE"/>
    <w:lvl w:ilvl="0" w:tentative="0">
      <w:start w:val="0"/>
      <w:numFmt w:val="bullet"/>
      <w:lvlText w:val="•"/>
      <w:lvlJc w:val="left"/>
      <w:rPr>
        <w:color w:val="3370FF"/>
      </w:rPr>
    </w:lvl>
  </w:abstractNum>
  <w:abstractNum w:abstractNumId="143">
    <w:nsid w:val="03EF4B97"/>
    <w:multiLevelType w:val="singleLevel"/>
    <w:tmpl w:val="03EF4B97"/>
    <w:lvl w:ilvl="0" w:tentative="0">
      <w:start w:val="25"/>
      <w:numFmt w:val="decimal"/>
      <w:lvlText w:val="%1."/>
      <w:lvlJc w:val="left"/>
      <w:rPr>
        <w:color w:val="3370FF"/>
      </w:rPr>
    </w:lvl>
  </w:abstractNum>
  <w:abstractNum w:abstractNumId="144">
    <w:nsid w:val="04C1F4F1"/>
    <w:multiLevelType w:val="singleLevel"/>
    <w:tmpl w:val="04C1F4F1"/>
    <w:lvl w:ilvl="0" w:tentative="0">
      <w:start w:val="21"/>
      <w:numFmt w:val="decimal"/>
      <w:lvlText w:val="%1."/>
      <w:lvlJc w:val="left"/>
      <w:rPr>
        <w:color w:val="3370FF"/>
      </w:rPr>
    </w:lvl>
  </w:abstractNum>
  <w:abstractNum w:abstractNumId="145">
    <w:nsid w:val="05D9A6EC"/>
    <w:multiLevelType w:val="singleLevel"/>
    <w:tmpl w:val="05D9A6EC"/>
    <w:lvl w:ilvl="0" w:tentative="0">
      <w:start w:val="25"/>
      <w:numFmt w:val="decimal"/>
      <w:lvlText w:val="%1."/>
      <w:lvlJc w:val="left"/>
      <w:rPr>
        <w:color w:val="3370FF"/>
      </w:rPr>
    </w:lvl>
  </w:abstractNum>
  <w:abstractNum w:abstractNumId="146">
    <w:nsid w:val="0709FD3E"/>
    <w:multiLevelType w:val="singleLevel"/>
    <w:tmpl w:val="0709FD3E"/>
    <w:lvl w:ilvl="0" w:tentative="0">
      <w:start w:val="0"/>
      <w:numFmt w:val="bullet"/>
      <w:lvlText w:val="•"/>
      <w:lvlJc w:val="left"/>
      <w:rPr>
        <w:color w:val="3370FF"/>
      </w:rPr>
    </w:lvl>
  </w:abstractNum>
  <w:abstractNum w:abstractNumId="147">
    <w:nsid w:val="07F2E950"/>
    <w:multiLevelType w:val="singleLevel"/>
    <w:tmpl w:val="07F2E950"/>
    <w:lvl w:ilvl="0" w:tentative="0">
      <w:start w:val="16"/>
      <w:numFmt w:val="decimal"/>
      <w:lvlText w:val="%1."/>
      <w:lvlJc w:val="left"/>
      <w:rPr>
        <w:color w:val="3370FF"/>
      </w:rPr>
    </w:lvl>
  </w:abstractNum>
  <w:abstractNum w:abstractNumId="148">
    <w:nsid w:val="07F5BCC3"/>
    <w:multiLevelType w:val="singleLevel"/>
    <w:tmpl w:val="07F5BCC3"/>
    <w:lvl w:ilvl="0" w:tentative="0">
      <w:start w:val="0"/>
      <w:numFmt w:val="bullet"/>
      <w:lvlText w:val="￮"/>
      <w:lvlJc w:val="left"/>
      <w:rPr>
        <w:color w:val="3370FF"/>
      </w:rPr>
    </w:lvl>
  </w:abstractNum>
  <w:abstractNum w:abstractNumId="149">
    <w:nsid w:val="0C0E1E13"/>
    <w:multiLevelType w:val="singleLevel"/>
    <w:tmpl w:val="0C0E1E13"/>
    <w:lvl w:ilvl="0" w:tentative="0">
      <w:start w:val="2"/>
      <w:numFmt w:val="lowerLetter"/>
      <w:lvlText w:val="%1."/>
      <w:lvlJc w:val="left"/>
      <w:rPr>
        <w:color w:val="3370FF"/>
      </w:rPr>
    </w:lvl>
  </w:abstractNum>
  <w:abstractNum w:abstractNumId="150">
    <w:nsid w:val="0CCB9E98"/>
    <w:multiLevelType w:val="singleLevel"/>
    <w:tmpl w:val="0CCB9E98"/>
    <w:lvl w:ilvl="0" w:tentative="0">
      <w:start w:val="6"/>
      <w:numFmt w:val="decimal"/>
      <w:lvlText w:val="%1."/>
      <w:lvlJc w:val="left"/>
      <w:rPr>
        <w:color w:val="3370FF"/>
      </w:rPr>
    </w:lvl>
  </w:abstractNum>
  <w:abstractNum w:abstractNumId="151">
    <w:nsid w:val="0CEF100B"/>
    <w:multiLevelType w:val="singleLevel"/>
    <w:tmpl w:val="0CEF100B"/>
    <w:lvl w:ilvl="0" w:tentative="0">
      <w:start w:val="0"/>
      <w:numFmt w:val="bullet"/>
      <w:lvlText w:val="•"/>
      <w:lvlJc w:val="left"/>
      <w:rPr>
        <w:color w:val="3370FF"/>
      </w:rPr>
    </w:lvl>
  </w:abstractNum>
  <w:abstractNum w:abstractNumId="152">
    <w:nsid w:val="0DBDD408"/>
    <w:multiLevelType w:val="singleLevel"/>
    <w:tmpl w:val="0DBDD408"/>
    <w:lvl w:ilvl="0" w:tentative="0">
      <w:start w:val="22"/>
      <w:numFmt w:val="decimal"/>
      <w:lvlText w:val="%1."/>
      <w:lvlJc w:val="left"/>
      <w:rPr>
        <w:color w:val="3370FF"/>
      </w:rPr>
    </w:lvl>
  </w:abstractNum>
  <w:abstractNum w:abstractNumId="153">
    <w:nsid w:val="0DC629B0"/>
    <w:multiLevelType w:val="singleLevel"/>
    <w:tmpl w:val="0DC629B0"/>
    <w:lvl w:ilvl="0" w:tentative="0">
      <w:start w:val="0"/>
      <w:numFmt w:val="bullet"/>
      <w:lvlText w:val="•"/>
      <w:lvlJc w:val="left"/>
      <w:rPr>
        <w:color w:val="3370FF"/>
      </w:rPr>
    </w:lvl>
  </w:abstractNum>
  <w:abstractNum w:abstractNumId="154">
    <w:nsid w:val="0E640482"/>
    <w:multiLevelType w:val="singleLevel"/>
    <w:tmpl w:val="0E640482"/>
    <w:lvl w:ilvl="0" w:tentative="0">
      <w:start w:val="0"/>
      <w:numFmt w:val="bullet"/>
      <w:lvlText w:val="•"/>
      <w:lvlJc w:val="left"/>
      <w:rPr>
        <w:color w:val="3370FF"/>
      </w:rPr>
    </w:lvl>
  </w:abstractNum>
  <w:abstractNum w:abstractNumId="155">
    <w:nsid w:val="0F929F01"/>
    <w:multiLevelType w:val="singleLevel"/>
    <w:tmpl w:val="0F929F01"/>
    <w:lvl w:ilvl="0" w:tentative="0">
      <w:start w:val="7"/>
      <w:numFmt w:val="decimal"/>
      <w:lvlText w:val="%1."/>
      <w:lvlJc w:val="left"/>
      <w:rPr>
        <w:color w:val="3370FF"/>
      </w:rPr>
    </w:lvl>
  </w:abstractNum>
  <w:abstractNum w:abstractNumId="156">
    <w:nsid w:val="0F9F9CCA"/>
    <w:multiLevelType w:val="singleLevel"/>
    <w:tmpl w:val="0F9F9CCA"/>
    <w:lvl w:ilvl="0" w:tentative="0">
      <w:start w:val="0"/>
      <w:numFmt w:val="bullet"/>
      <w:lvlText w:val="•"/>
      <w:lvlJc w:val="left"/>
      <w:rPr>
        <w:color w:val="3370FF"/>
      </w:rPr>
    </w:lvl>
  </w:abstractNum>
  <w:abstractNum w:abstractNumId="157">
    <w:nsid w:val="10502DFD"/>
    <w:multiLevelType w:val="singleLevel"/>
    <w:tmpl w:val="10502DFD"/>
    <w:lvl w:ilvl="0" w:tentative="0">
      <w:start w:val="18"/>
      <w:numFmt w:val="decimal"/>
      <w:lvlText w:val="%1."/>
      <w:lvlJc w:val="left"/>
      <w:rPr>
        <w:color w:val="3370FF"/>
      </w:rPr>
    </w:lvl>
  </w:abstractNum>
  <w:abstractNum w:abstractNumId="158">
    <w:nsid w:val="10D591E5"/>
    <w:multiLevelType w:val="singleLevel"/>
    <w:tmpl w:val="10D591E5"/>
    <w:lvl w:ilvl="0" w:tentative="0">
      <w:start w:val="0"/>
      <w:numFmt w:val="bullet"/>
      <w:lvlText w:val="•"/>
      <w:lvlJc w:val="left"/>
      <w:rPr>
        <w:color w:val="3370FF"/>
      </w:rPr>
    </w:lvl>
  </w:abstractNum>
  <w:abstractNum w:abstractNumId="159">
    <w:nsid w:val="10F0DB0B"/>
    <w:multiLevelType w:val="singleLevel"/>
    <w:tmpl w:val="10F0DB0B"/>
    <w:lvl w:ilvl="0" w:tentative="0">
      <w:start w:val="0"/>
      <w:numFmt w:val="bullet"/>
      <w:lvlText w:val="•"/>
      <w:lvlJc w:val="left"/>
      <w:rPr>
        <w:color w:val="3370FF"/>
      </w:rPr>
    </w:lvl>
  </w:abstractNum>
  <w:abstractNum w:abstractNumId="160">
    <w:nsid w:val="12EADF99"/>
    <w:multiLevelType w:val="singleLevel"/>
    <w:tmpl w:val="12EADF99"/>
    <w:lvl w:ilvl="0" w:tentative="0">
      <w:start w:val="0"/>
      <w:numFmt w:val="bullet"/>
      <w:lvlText w:val="￮"/>
      <w:lvlJc w:val="left"/>
      <w:rPr>
        <w:color w:val="3370FF"/>
      </w:rPr>
    </w:lvl>
  </w:abstractNum>
  <w:abstractNum w:abstractNumId="161">
    <w:nsid w:val="13660E3F"/>
    <w:multiLevelType w:val="singleLevel"/>
    <w:tmpl w:val="13660E3F"/>
    <w:lvl w:ilvl="0" w:tentative="0">
      <w:start w:val="1"/>
      <w:numFmt w:val="lowerLetter"/>
      <w:lvlText w:val="%1."/>
      <w:lvlJc w:val="left"/>
      <w:rPr>
        <w:color w:val="3370FF"/>
      </w:rPr>
    </w:lvl>
  </w:abstractNum>
  <w:abstractNum w:abstractNumId="162">
    <w:nsid w:val="1450273B"/>
    <w:multiLevelType w:val="singleLevel"/>
    <w:tmpl w:val="1450273B"/>
    <w:lvl w:ilvl="0" w:tentative="0">
      <w:start w:val="0"/>
      <w:numFmt w:val="bullet"/>
      <w:lvlText w:val="•"/>
      <w:lvlJc w:val="left"/>
      <w:rPr>
        <w:color w:val="3370FF"/>
      </w:rPr>
    </w:lvl>
  </w:abstractNum>
  <w:abstractNum w:abstractNumId="163">
    <w:nsid w:val="1483906D"/>
    <w:multiLevelType w:val="singleLevel"/>
    <w:tmpl w:val="1483906D"/>
    <w:lvl w:ilvl="0" w:tentative="0">
      <w:start w:val="0"/>
      <w:numFmt w:val="bullet"/>
      <w:lvlText w:val="•"/>
      <w:lvlJc w:val="left"/>
      <w:rPr>
        <w:color w:val="3370FF"/>
      </w:rPr>
    </w:lvl>
  </w:abstractNum>
  <w:abstractNum w:abstractNumId="164">
    <w:nsid w:val="17371721"/>
    <w:multiLevelType w:val="singleLevel"/>
    <w:tmpl w:val="17371721"/>
    <w:lvl w:ilvl="0" w:tentative="0">
      <w:start w:val="5"/>
      <w:numFmt w:val="decimal"/>
      <w:lvlText w:val="%1."/>
      <w:lvlJc w:val="left"/>
      <w:rPr>
        <w:color w:val="3370FF"/>
      </w:rPr>
    </w:lvl>
  </w:abstractNum>
  <w:abstractNum w:abstractNumId="165">
    <w:nsid w:val="18F74015"/>
    <w:multiLevelType w:val="singleLevel"/>
    <w:tmpl w:val="18F74015"/>
    <w:lvl w:ilvl="0" w:tentative="0">
      <w:start w:val="0"/>
      <w:numFmt w:val="bullet"/>
      <w:lvlText w:val="•"/>
      <w:lvlJc w:val="left"/>
      <w:rPr>
        <w:color w:val="3370FF"/>
      </w:rPr>
    </w:lvl>
  </w:abstractNum>
  <w:abstractNum w:abstractNumId="166">
    <w:nsid w:val="192B173A"/>
    <w:multiLevelType w:val="singleLevel"/>
    <w:tmpl w:val="192B173A"/>
    <w:lvl w:ilvl="0" w:tentative="0">
      <w:start w:val="1"/>
      <w:numFmt w:val="lowerLetter"/>
      <w:lvlText w:val="%1."/>
      <w:lvlJc w:val="left"/>
      <w:rPr>
        <w:color w:val="3370FF"/>
      </w:rPr>
    </w:lvl>
  </w:abstractNum>
  <w:abstractNum w:abstractNumId="167">
    <w:nsid w:val="1ACDE60F"/>
    <w:multiLevelType w:val="singleLevel"/>
    <w:tmpl w:val="1ACDE60F"/>
    <w:lvl w:ilvl="0" w:tentative="0">
      <w:start w:val="0"/>
      <w:numFmt w:val="bullet"/>
      <w:lvlText w:val="•"/>
      <w:lvlJc w:val="left"/>
      <w:rPr>
        <w:color w:val="3370FF"/>
      </w:rPr>
    </w:lvl>
  </w:abstractNum>
  <w:abstractNum w:abstractNumId="168">
    <w:nsid w:val="1AD50295"/>
    <w:multiLevelType w:val="singleLevel"/>
    <w:tmpl w:val="1AD50295"/>
    <w:lvl w:ilvl="0" w:tentative="0">
      <w:start w:val="0"/>
      <w:numFmt w:val="bullet"/>
      <w:lvlText w:val="•"/>
      <w:lvlJc w:val="left"/>
      <w:rPr>
        <w:color w:val="3370FF"/>
      </w:rPr>
    </w:lvl>
  </w:abstractNum>
  <w:abstractNum w:abstractNumId="169">
    <w:nsid w:val="1B3FCE26"/>
    <w:multiLevelType w:val="singleLevel"/>
    <w:tmpl w:val="1B3FCE26"/>
    <w:lvl w:ilvl="0" w:tentative="0">
      <w:start w:val="3"/>
      <w:numFmt w:val="lowerLetter"/>
      <w:lvlText w:val="%1."/>
      <w:lvlJc w:val="left"/>
      <w:rPr>
        <w:color w:val="3370FF"/>
      </w:rPr>
    </w:lvl>
  </w:abstractNum>
  <w:abstractNum w:abstractNumId="170">
    <w:nsid w:val="1BCBBCF0"/>
    <w:multiLevelType w:val="singleLevel"/>
    <w:tmpl w:val="1BCBBCF0"/>
    <w:lvl w:ilvl="0" w:tentative="0">
      <w:start w:val="0"/>
      <w:numFmt w:val="bullet"/>
      <w:lvlText w:val="•"/>
      <w:lvlJc w:val="left"/>
      <w:rPr>
        <w:color w:val="3370FF"/>
      </w:rPr>
    </w:lvl>
  </w:abstractNum>
  <w:abstractNum w:abstractNumId="171">
    <w:nsid w:val="1C01D09A"/>
    <w:multiLevelType w:val="singleLevel"/>
    <w:tmpl w:val="1C01D09A"/>
    <w:lvl w:ilvl="0" w:tentative="0">
      <w:start w:val="2"/>
      <w:numFmt w:val="decimal"/>
      <w:lvlText w:val="%1."/>
      <w:lvlJc w:val="left"/>
      <w:rPr>
        <w:color w:val="3370FF"/>
      </w:rPr>
    </w:lvl>
  </w:abstractNum>
  <w:abstractNum w:abstractNumId="172">
    <w:nsid w:val="1C257C7B"/>
    <w:multiLevelType w:val="singleLevel"/>
    <w:tmpl w:val="1C257C7B"/>
    <w:lvl w:ilvl="0" w:tentative="0">
      <w:start w:val="0"/>
      <w:numFmt w:val="bullet"/>
      <w:lvlText w:val="•"/>
      <w:lvlJc w:val="left"/>
      <w:rPr>
        <w:color w:val="3370FF"/>
      </w:rPr>
    </w:lvl>
  </w:abstractNum>
  <w:abstractNum w:abstractNumId="173">
    <w:nsid w:val="1DEB737C"/>
    <w:multiLevelType w:val="singleLevel"/>
    <w:tmpl w:val="1DEB737C"/>
    <w:lvl w:ilvl="0" w:tentative="0">
      <w:start w:val="21"/>
      <w:numFmt w:val="decimal"/>
      <w:lvlText w:val="%1."/>
      <w:lvlJc w:val="left"/>
      <w:rPr>
        <w:color w:val="3370FF"/>
      </w:rPr>
    </w:lvl>
  </w:abstractNum>
  <w:abstractNum w:abstractNumId="174">
    <w:nsid w:val="2007DCFD"/>
    <w:multiLevelType w:val="singleLevel"/>
    <w:tmpl w:val="2007DCFD"/>
    <w:lvl w:ilvl="0" w:tentative="0">
      <w:start w:val="1"/>
      <w:numFmt w:val="lowerLetter"/>
      <w:lvlText w:val="%1."/>
      <w:lvlJc w:val="left"/>
      <w:rPr>
        <w:color w:val="3370FF"/>
      </w:rPr>
    </w:lvl>
  </w:abstractNum>
  <w:abstractNum w:abstractNumId="175">
    <w:nsid w:val="21B3B1B1"/>
    <w:multiLevelType w:val="singleLevel"/>
    <w:tmpl w:val="21B3B1B1"/>
    <w:lvl w:ilvl="0" w:tentative="0">
      <w:start w:val="0"/>
      <w:numFmt w:val="bullet"/>
      <w:lvlText w:val="•"/>
      <w:lvlJc w:val="left"/>
      <w:rPr>
        <w:color w:val="3370FF"/>
      </w:rPr>
    </w:lvl>
  </w:abstractNum>
  <w:abstractNum w:abstractNumId="176">
    <w:nsid w:val="227C9188"/>
    <w:multiLevelType w:val="singleLevel"/>
    <w:tmpl w:val="227C9188"/>
    <w:lvl w:ilvl="0" w:tentative="0">
      <w:start w:val="0"/>
      <w:numFmt w:val="bullet"/>
      <w:lvlText w:val="￮"/>
      <w:lvlJc w:val="left"/>
      <w:rPr>
        <w:color w:val="3370FF"/>
      </w:rPr>
    </w:lvl>
  </w:abstractNum>
  <w:abstractNum w:abstractNumId="177">
    <w:nsid w:val="23E97754"/>
    <w:multiLevelType w:val="singleLevel"/>
    <w:tmpl w:val="23E97754"/>
    <w:lvl w:ilvl="0" w:tentative="0">
      <w:start w:val="0"/>
      <w:numFmt w:val="bullet"/>
      <w:lvlText w:val="•"/>
      <w:lvlJc w:val="left"/>
      <w:rPr>
        <w:color w:val="3370FF"/>
      </w:rPr>
    </w:lvl>
  </w:abstractNum>
  <w:abstractNum w:abstractNumId="178">
    <w:nsid w:val="243FCF68"/>
    <w:multiLevelType w:val="singleLevel"/>
    <w:tmpl w:val="243FCF68"/>
    <w:lvl w:ilvl="0" w:tentative="0">
      <w:start w:val="0"/>
      <w:numFmt w:val="bullet"/>
      <w:lvlText w:val="•"/>
      <w:lvlJc w:val="left"/>
      <w:rPr>
        <w:color w:val="3370FF"/>
      </w:rPr>
    </w:lvl>
  </w:abstractNum>
  <w:abstractNum w:abstractNumId="179">
    <w:nsid w:val="2470EC97"/>
    <w:multiLevelType w:val="singleLevel"/>
    <w:tmpl w:val="2470EC97"/>
    <w:lvl w:ilvl="0" w:tentative="0">
      <w:start w:val="0"/>
      <w:numFmt w:val="bullet"/>
      <w:lvlText w:val="•"/>
      <w:lvlJc w:val="left"/>
      <w:rPr>
        <w:color w:val="3370FF"/>
      </w:rPr>
    </w:lvl>
  </w:abstractNum>
  <w:abstractNum w:abstractNumId="180">
    <w:nsid w:val="249218D2"/>
    <w:multiLevelType w:val="singleLevel"/>
    <w:tmpl w:val="249218D2"/>
    <w:lvl w:ilvl="0" w:tentative="0">
      <w:start w:val="20"/>
      <w:numFmt w:val="decimal"/>
      <w:lvlText w:val="%1."/>
      <w:lvlJc w:val="left"/>
      <w:rPr>
        <w:color w:val="3370FF"/>
      </w:rPr>
    </w:lvl>
  </w:abstractNum>
  <w:abstractNum w:abstractNumId="181">
    <w:nsid w:val="251342A6"/>
    <w:multiLevelType w:val="singleLevel"/>
    <w:tmpl w:val="251342A6"/>
    <w:lvl w:ilvl="0" w:tentative="0">
      <w:start w:val="0"/>
      <w:numFmt w:val="bullet"/>
      <w:lvlText w:val="￮"/>
      <w:lvlJc w:val="left"/>
      <w:rPr>
        <w:color w:val="3370FF"/>
      </w:rPr>
    </w:lvl>
  </w:abstractNum>
  <w:abstractNum w:abstractNumId="182">
    <w:nsid w:val="252BF6AB"/>
    <w:multiLevelType w:val="singleLevel"/>
    <w:tmpl w:val="252BF6AB"/>
    <w:lvl w:ilvl="0" w:tentative="0">
      <w:start w:val="0"/>
      <w:numFmt w:val="bullet"/>
      <w:lvlText w:val="•"/>
      <w:lvlJc w:val="left"/>
      <w:rPr>
        <w:color w:val="3370FF"/>
      </w:rPr>
    </w:lvl>
  </w:abstractNum>
  <w:abstractNum w:abstractNumId="183">
    <w:nsid w:val="25B654F3"/>
    <w:multiLevelType w:val="singleLevel"/>
    <w:tmpl w:val="25B654F3"/>
    <w:lvl w:ilvl="0" w:tentative="0">
      <w:start w:val="0"/>
      <w:numFmt w:val="bullet"/>
      <w:lvlText w:val="•"/>
      <w:lvlJc w:val="left"/>
      <w:rPr>
        <w:color w:val="3370FF"/>
      </w:rPr>
    </w:lvl>
  </w:abstractNum>
  <w:abstractNum w:abstractNumId="184">
    <w:nsid w:val="269945CE"/>
    <w:multiLevelType w:val="singleLevel"/>
    <w:tmpl w:val="269945CE"/>
    <w:lvl w:ilvl="0" w:tentative="0">
      <w:start w:val="0"/>
      <w:numFmt w:val="bullet"/>
      <w:lvlText w:val="•"/>
      <w:lvlJc w:val="left"/>
      <w:rPr>
        <w:color w:val="3370FF"/>
      </w:rPr>
    </w:lvl>
  </w:abstractNum>
  <w:abstractNum w:abstractNumId="185">
    <w:nsid w:val="274D3D9B"/>
    <w:multiLevelType w:val="singleLevel"/>
    <w:tmpl w:val="274D3D9B"/>
    <w:lvl w:ilvl="0" w:tentative="0">
      <w:start w:val="0"/>
      <w:numFmt w:val="bullet"/>
      <w:lvlText w:val="•"/>
      <w:lvlJc w:val="left"/>
      <w:rPr>
        <w:color w:val="3370FF"/>
      </w:rPr>
    </w:lvl>
  </w:abstractNum>
  <w:abstractNum w:abstractNumId="186">
    <w:nsid w:val="2A8F537B"/>
    <w:multiLevelType w:val="singleLevel"/>
    <w:tmpl w:val="2A8F537B"/>
    <w:lvl w:ilvl="0" w:tentative="0">
      <w:start w:val="0"/>
      <w:numFmt w:val="bullet"/>
      <w:lvlText w:val="•"/>
      <w:lvlJc w:val="left"/>
      <w:rPr>
        <w:color w:val="3370FF"/>
      </w:rPr>
    </w:lvl>
  </w:abstractNum>
  <w:abstractNum w:abstractNumId="187">
    <w:nsid w:val="2B3F3F89"/>
    <w:multiLevelType w:val="singleLevel"/>
    <w:tmpl w:val="2B3F3F89"/>
    <w:lvl w:ilvl="0" w:tentative="0">
      <w:start w:val="0"/>
      <w:numFmt w:val="bullet"/>
      <w:lvlText w:val="•"/>
      <w:lvlJc w:val="left"/>
      <w:rPr>
        <w:color w:val="3370FF"/>
      </w:rPr>
    </w:lvl>
  </w:abstractNum>
  <w:abstractNum w:abstractNumId="188">
    <w:nsid w:val="2C9424EE"/>
    <w:multiLevelType w:val="singleLevel"/>
    <w:tmpl w:val="2C9424EE"/>
    <w:lvl w:ilvl="0" w:tentative="0">
      <w:start w:val="26"/>
      <w:numFmt w:val="decimal"/>
      <w:lvlText w:val="%1."/>
      <w:lvlJc w:val="left"/>
      <w:rPr>
        <w:color w:val="3370FF"/>
      </w:rPr>
    </w:lvl>
  </w:abstractNum>
  <w:abstractNum w:abstractNumId="189">
    <w:nsid w:val="2F2D79CE"/>
    <w:multiLevelType w:val="singleLevel"/>
    <w:tmpl w:val="2F2D79CE"/>
    <w:lvl w:ilvl="0" w:tentative="0">
      <w:start w:val="0"/>
      <w:numFmt w:val="bullet"/>
      <w:lvlText w:val="•"/>
      <w:lvlJc w:val="left"/>
      <w:rPr>
        <w:color w:val="3370FF"/>
      </w:rPr>
    </w:lvl>
  </w:abstractNum>
  <w:abstractNum w:abstractNumId="190">
    <w:nsid w:val="30A0AC00"/>
    <w:multiLevelType w:val="singleLevel"/>
    <w:tmpl w:val="30A0AC00"/>
    <w:lvl w:ilvl="0" w:tentative="0">
      <w:start w:val="0"/>
      <w:numFmt w:val="bullet"/>
      <w:lvlText w:val="•"/>
      <w:lvlJc w:val="left"/>
      <w:rPr>
        <w:color w:val="3370FF"/>
      </w:rPr>
    </w:lvl>
  </w:abstractNum>
  <w:abstractNum w:abstractNumId="191">
    <w:nsid w:val="30FC5B15"/>
    <w:multiLevelType w:val="singleLevel"/>
    <w:tmpl w:val="30FC5B15"/>
    <w:lvl w:ilvl="0" w:tentative="0">
      <w:start w:val="0"/>
      <w:numFmt w:val="bullet"/>
      <w:lvlText w:val="•"/>
      <w:lvlJc w:val="left"/>
      <w:rPr>
        <w:color w:val="3370FF"/>
      </w:rPr>
    </w:lvl>
  </w:abstractNum>
  <w:abstractNum w:abstractNumId="192">
    <w:nsid w:val="311F749C"/>
    <w:multiLevelType w:val="singleLevel"/>
    <w:tmpl w:val="311F749C"/>
    <w:lvl w:ilvl="0" w:tentative="0">
      <w:start w:val="4"/>
      <w:numFmt w:val="lowerLetter"/>
      <w:lvlText w:val="%1."/>
      <w:lvlJc w:val="left"/>
      <w:rPr>
        <w:color w:val="3370FF"/>
      </w:rPr>
    </w:lvl>
  </w:abstractNum>
  <w:abstractNum w:abstractNumId="193">
    <w:nsid w:val="322D85CA"/>
    <w:multiLevelType w:val="singleLevel"/>
    <w:tmpl w:val="322D85CA"/>
    <w:lvl w:ilvl="0" w:tentative="0">
      <w:start w:val="0"/>
      <w:numFmt w:val="bullet"/>
      <w:lvlText w:val="•"/>
      <w:lvlJc w:val="left"/>
      <w:rPr>
        <w:color w:val="3370FF"/>
      </w:rPr>
    </w:lvl>
  </w:abstractNum>
  <w:abstractNum w:abstractNumId="194">
    <w:nsid w:val="3287CD95"/>
    <w:multiLevelType w:val="singleLevel"/>
    <w:tmpl w:val="3287CD95"/>
    <w:lvl w:ilvl="0" w:tentative="0">
      <w:start w:val="1"/>
      <w:numFmt w:val="lowerLetter"/>
      <w:lvlText w:val="%1."/>
      <w:lvlJc w:val="left"/>
      <w:rPr>
        <w:color w:val="3370FF"/>
      </w:rPr>
    </w:lvl>
  </w:abstractNum>
  <w:abstractNum w:abstractNumId="195">
    <w:nsid w:val="329A4FD1"/>
    <w:multiLevelType w:val="singleLevel"/>
    <w:tmpl w:val="329A4FD1"/>
    <w:lvl w:ilvl="0" w:tentative="0">
      <w:start w:val="0"/>
      <w:numFmt w:val="bullet"/>
      <w:lvlText w:val="•"/>
      <w:lvlJc w:val="left"/>
      <w:rPr>
        <w:color w:val="3370FF"/>
      </w:rPr>
    </w:lvl>
  </w:abstractNum>
  <w:abstractNum w:abstractNumId="196">
    <w:nsid w:val="32A7AF2D"/>
    <w:multiLevelType w:val="singleLevel"/>
    <w:tmpl w:val="32A7AF2D"/>
    <w:lvl w:ilvl="0" w:tentative="0">
      <w:start w:val="0"/>
      <w:numFmt w:val="bullet"/>
      <w:lvlText w:val="•"/>
      <w:lvlJc w:val="left"/>
      <w:rPr>
        <w:color w:val="3370FF"/>
      </w:rPr>
    </w:lvl>
  </w:abstractNum>
  <w:abstractNum w:abstractNumId="197">
    <w:nsid w:val="333E8B90"/>
    <w:multiLevelType w:val="singleLevel"/>
    <w:tmpl w:val="333E8B90"/>
    <w:lvl w:ilvl="0" w:tentative="0">
      <w:start w:val="0"/>
      <w:numFmt w:val="bullet"/>
      <w:lvlText w:val="•"/>
      <w:lvlJc w:val="left"/>
      <w:rPr>
        <w:color w:val="3370FF"/>
      </w:rPr>
    </w:lvl>
  </w:abstractNum>
  <w:abstractNum w:abstractNumId="198">
    <w:nsid w:val="35E83B33"/>
    <w:multiLevelType w:val="singleLevel"/>
    <w:tmpl w:val="35E83B33"/>
    <w:lvl w:ilvl="0" w:tentative="0">
      <w:start w:val="0"/>
      <w:numFmt w:val="bullet"/>
      <w:lvlText w:val="•"/>
      <w:lvlJc w:val="left"/>
      <w:rPr>
        <w:color w:val="3370FF"/>
      </w:rPr>
    </w:lvl>
  </w:abstractNum>
  <w:abstractNum w:abstractNumId="199">
    <w:nsid w:val="35ECE9CB"/>
    <w:multiLevelType w:val="singleLevel"/>
    <w:tmpl w:val="35ECE9CB"/>
    <w:lvl w:ilvl="0" w:tentative="0">
      <w:start w:val="0"/>
      <w:numFmt w:val="bullet"/>
      <w:lvlText w:val="￮"/>
      <w:lvlJc w:val="left"/>
      <w:rPr>
        <w:color w:val="3370FF"/>
      </w:rPr>
    </w:lvl>
  </w:abstractNum>
  <w:abstractNum w:abstractNumId="200">
    <w:nsid w:val="3664A4D1"/>
    <w:multiLevelType w:val="singleLevel"/>
    <w:tmpl w:val="3664A4D1"/>
    <w:lvl w:ilvl="0" w:tentative="0">
      <w:start w:val="8"/>
      <w:numFmt w:val="decimal"/>
      <w:lvlText w:val="%1."/>
      <w:lvlJc w:val="left"/>
      <w:rPr>
        <w:color w:val="3370FF"/>
      </w:rPr>
    </w:lvl>
  </w:abstractNum>
  <w:abstractNum w:abstractNumId="201">
    <w:nsid w:val="38EAC418"/>
    <w:multiLevelType w:val="singleLevel"/>
    <w:tmpl w:val="38EAC418"/>
    <w:lvl w:ilvl="0" w:tentative="0">
      <w:start w:val="1"/>
      <w:numFmt w:val="lowerLetter"/>
      <w:lvlText w:val="%1."/>
      <w:lvlJc w:val="left"/>
      <w:rPr>
        <w:color w:val="3370FF"/>
      </w:rPr>
    </w:lvl>
  </w:abstractNum>
  <w:abstractNum w:abstractNumId="202">
    <w:nsid w:val="39A0D9AC"/>
    <w:multiLevelType w:val="singleLevel"/>
    <w:tmpl w:val="39A0D9AC"/>
    <w:lvl w:ilvl="0" w:tentative="0">
      <w:start w:val="0"/>
      <w:numFmt w:val="bullet"/>
      <w:lvlText w:val="•"/>
      <w:lvlJc w:val="left"/>
      <w:rPr>
        <w:color w:val="3370FF"/>
      </w:rPr>
    </w:lvl>
  </w:abstractNum>
  <w:abstractNum w:abstractNumId="203">
    <w:nsid w:val="3A7FBA26"/>
    <w:multiLevelType w:val="singleLevel"/>
    <w:tmpl w:val="3A7FBA26"/>
    <w:lvl w:ilvl="0" w:tentative="0">
      <w:start w:val="0"/>
      <w:numFmt w:val="bullet"/>
      <w:lvlText w:val="•"/>
      <w:lvlJc w:val="left"/>
      <w:rPr>
        <w:color w:val="3370FF"/>
      </w:rPr>
    </w:lvl>
  </w:abstractNum>
  <w:abstractNum w:abstractNumId="204">
    <w:nsid w:val="3B8127DF"/>
    <w:multiLevelType w:val="singleLevel"/>
    <w:tmpl w:val="3B8127DF"/>
    <w:lvl w:ilvl="0" w:tentative="0">
      <w:start w:val="0"/>
      <w:numFmt w:val="bullet"/>
      <w:lvlText w:val="•"/>
      <w:lvlJc w:val="left"/>
      <w:rPr>
        <w:color w:val="3370FF"/>
      </w:rPr>
    </w:lvl>
  </w:abstractNum>
  <w:abstractNum w:abstractNumId="205">
    <w:nsid w:val="3D950AF9"/>
    <w:multiLevelType w:val="singleLevel"/>
    <w:tmpl w:val="3D950AF9"/>
    <w:lvl w:ilvl="0" w:tentative="0">
      <w:start w:val="2"/>
      <w:numFmt w:val="lowerLetter"/>
      <w:lvlText w:val="%1."/>
      <w:lvlJc w:val="left"/>
      <w:rPr>
        <w:color w:val="3370FF"/>
      </w:rPr>
    </w:lvl>
  </w:abstractNum>
  <w:abstractNum w:abstractNumId="206">
    <w:nsid w:val="3FE315B6"/>
    <w:multiLevelType w:val="singleLevel"/>
    <w:tmpl w:val="3FE315B6"/>
    <w:lvl w:ilvl="0" w:tentative="0">
      <w:start w:val="0"/>
      <w:numFmt w:val="bullet"/>
      <w:lvlText w:val="￮"/>
      <w:lvlJc w:val="left"/>
      <w:rPr>
        <w:color w:val="3370FF"/>
      </w:rPr>
    </w:lvl>
  </w:abstractNum>
  <w:abstractNum w:abstractNumId="207">
    <w:nsid w:val="408860E8"/>
    <w:multiLevelType w:val="singleLevel"/>
    <w:tmpl w:val="408860E8"/>
    <w:lvl w:ilvl="0" w:tentative="0">
      <w:start w:val="0"/>
      <w:numFmt w:val="bullet"/>
      <w:lvlText w:val="•"/>
      <w:lvlJc w:val="left"/>
      <w:rPr>
        <w:color w:val="3370FF"/>
      </w:rPr>
    </w:lvl>
  </w:abstractNum>
  <w:abstractNum w:abstractNumId="208">
    <w:nsid w:val="40B249F9"/>
    <w:multiLevelType w:val="singleLevel"/>
    <w:tmpl w:val="40B249F9"/>
    <w:lvl w:ilvl="0" w:tentative="0">
      <w:start w:val="0"/>
      <w:numFmt w:val="bullet"/>
      <w:lvlText w:val="•"/>
      <w:lvlJc w:val="left"/>
      <w:rPr>
        <w:color w:val="3370FF"/>
      </w:rPr>
    </w:lvl>
  </w:abstractNum>
  <w:abstractNum w:abstractNumId="209">
    <w:nsid w:val="40F245EA"/>
    <w:multiLevelType w:val="singleLevel"/>
    <w:tmpl w:val="40F245EA"/>
    <w:lvl w:ilvl="0" w:tentative="0">
      <w:start w:val="0"/>
      <w:numFmt w:val="bullet"/>
      <w:lvlText w:val="•"/>
      <w:lvlJc w:val="left"/>
      <w:rPr>
        <w:color w:val="3370FF"/>
      </w:rPr>
    </w:lvl>
  </w:abstractNum>
  <w:abstractNum w:abstractNumId="210">
    <w:nsid w:val="4258023A"/>
    <w:multiLevelType w:val="singleLevel"/>
    <w:tmpl w:val="4258023A"/>
    <w:lvl w:ilvl="0" w:tentative="0">
      <w:start w:val="0"/>
      <w:numFmt w:val="bullet"/>
      <w:lvlText w:val="￮"/>
      <w:lvlJc w:val="left"/>
      <w:rPr>
        <w:color w:val="3370FF"/>
      </w:rPr>
    </w:lvl>
  </w:abstractNum>
  <w:abstractNum w:abstractNumId="211">
    <w:nsid w:val="429CD0B5"/>
    <w:multiLevelType w:val="singleLevel"/>
    <w:tmpl w:val="429CD0B5"/>
    <w:lvl w:ilvl="0" w:tentative="0">
      <w:start w:val="0"/>
      <w:numFmt w:val="bullet"/>
      <w:lvlText w:val="•"/>
      <w:lvlJc w:val="left"/>
      <w:rPr>
        <w:color w:val="3370FF"/>
      </w:rPr>
    </w:lvl>
  </w:abstractNum>
  <w:abstractNum w:abstractNumId="212">
    <w:nsid w:val="43D68054"/>
    <w:multiLevelType w:val="singleLevel"/>
    <w:tmpl w:val="43D68054"/>
    <w:lvl w:ilvl="0" w:tentative="0">
      <w:start w:val="4"/>
      <w:numFmt w:val="lowerLetter"/>
      <w:lvlText w:val="%1."/>
      <w:lvlJc w:val="left"/>
      <w:rPr>
        <w:color w:val="3370FF"/>
      </w:rPr>
    </w:lvl>
  </w:abstractNum>
  <w:abstractNum w:abstractNumId="213">
    <w:nsid w:val="446EAEE1"/>
    <w:multiLevelType w:val="singleLevel"/>
    <w:tmpl w:val="446EAEE1"/>
    <w:lvl w:ilvl="0" w:tentative="0">
      <w:start w:val="19"/>
      <w:numFmt w:val="decimal"/>
      <w:lvlText w:val="%1."/>
      <w:lvlJc w:val="left"/>
      <w:rPr>
        <w:color w:val="3370FF"/>
      </w:rPr>
    </w:lvl>
  </w:abstractNum>
  <w:abstractNum w:abstractNumId="214">
    <w:nsid w:val="46A08BB8"/>
    <w:multiLevelType w:val="singleLevel"/>
    <w:tmpl w:val="46A08BB8"/>
    <w:lvl w:ilvl="0" w:tentative="0">
      <w:start w:val="0"/>
      <w:numFmt w:val="bullet"/>
      <w:lvlText w:val="•"/>
      <w:lvlJc w:val="left"/>
      <w:rPr>
        <w:color w:val="3370FF"/>
      </w:rPr>
    </w:lvl>
  </w:abstractNum>
  <w:abstractNum w:abstractNumId="215">
    <w:nsid w:val="4A51D704"/>
    <w:multiLevelType w:val="singleLevel"/>
    <w:tmpl w:val="4A51D704"/>
    <w:lvl w:ilvl="0" w:tentative="0">
      <w:start w:val="0"/>
      <w:numFmt w:val="bullet"/>
      <w:lvlText w:val="•"/>
      <w:lvlJc w:val="left"/>
      <w:rPr>
        <w:color w:val="3370FF"/>
      </w:rPr>
    </w:lvl>
  </w:abstractNum>
  <w:abstractNum w:abstractNumId="216">
    <w:nsid w:val="4AD1D84F"/>
    <w:multiLevelType w:val="singleLevel"/>
    <w:tmpl w:val="4AD1D84F"/>
    <w:lvl w:ilvl="0" w:tentative="0">
      <w:start w:val="0"/>
      <w:numFmt w:val="bullet"/>
      <w:lvlText w:val="•"/>
      <w:lvlJc w:val="left"/>
      <w:rPr>
        <w:color w:val="3370FF"/>
      </w:rPr>
    </w:lvl>
  </w:abstractNum>
  <w:abstractNum w:abstractNumId="217">
    <w:nsid w:val="4C1BAE26"/>
    <w:multiLevelType w:val="singleLevel"/>
    <w:tmpl w:val="4C1BAE26"/>
    <w:lvl w:ilvl="0" w:tentative="0">
      <w:start w:val="0"/>
      <w:numFmt w:val="bullet"/>
      <w:lvlText w:val="•"/>
      <w:lvlJc w:val="left"/>
      <w:rPr>
        <w:color w:val="3370FF"/>
      </w:rPr>
    </w:lvl>
  </w:abstractNum>
  <w:abstractNum w:abstractNumId="218">
    <w:nsid w:val="4C3D7A74"/>
    <w:multiLevelType w:val="singleLevel"/>
    <w:tmpl w:val="4C3D7A74"/>
    <w:lvl w:ilvl="0" w:tentative="0">
      <w:start w:val="0"/>
      <w:numFmt w:val="bullet"/>
      <w:lvlText w:val="￮"/>
      <w:lvlJc w:val="left"/>
      <w:rPr>
        <w:color w:val="3370FF"/>
      </w:rPr>
    </w:lvl>
  </w:abstractNum>
  <w:abstractNum w:abstractNumId="219">
    <w:nsid w:val="4CD1E351"/>
    <w:multiLevelType w:val="singleLevel"/>
    <w:tmpl w:val="4CD1E351"/>
    <w:lvl w:ilvl="0" w:tentative="0">
      <w:start w:val="0"/>
      <w:numFmt w:val="bullet"/>
      <w:lvlText w:val="•"/>
      <w:lvlJc w:val="left"/>
      <w:rPr>
        <w:color w:val="3370FF"/>
      </w:rPr>
    </w:lvl>
  </w:abstractNum>
  <w:abstractNum w:abstractNumId="220">
    <w:nsid w:val="4D4DC07F"/>
    <w:multiLevelType w:val="singleLevel"/>
    <w:tmpl w:val="4D4DC07F"/>
    <w:lvl w:ilvl="0" w:tentative="0">
      <w:start w:val="0"/>
      <w:numFmt w:val="bullet"/>
      <w:lvlText w:val="•"/>
      <w:lvlJc w:val="left"/>
      <w:rPr>
        <w:color w:val="3370FF"/>
      </w:rPr>
    </w:lvl>
  </w:abstractNum>
  <w:abstractNum w:abstractNumId="221">
    <w:nsid w:val="4D63189B"/>
    <w:multiLevelType w:val="singleLevel"/>
    <w:tmpl w:val="4D63189B"/>
    <w:lvl w:ilvl="0" w:tentative="0">
      <w:start w:val="0"/>
      <w:numFmt w:val="bullet"/>
      <w:lvlText w:val="￮"/>
      <w:lvlJc w:val="left"/>
      <w:rPr>
        <w:color w:val="3370FF"/>
      </w:rPr>
    </w:lvl>
  </w:abstractNum>
  <w:abstractNum w:abstractNumId="222">
    <w:nsid w:val="4D94DA66"/>
    <w:multiLevelType w:val="singleLevel"/>
    <w:tmpl w:val="4D94DA66"/>
    <w:lvl w:ilvl="0" w:tentative="0">
      <w:start w:val="0"/>
      <w:numFmt w:val="bullet"/>
      <w:lvlText w:val="•"/>
      <w:lvlJc w:val="left"/>
      <w:rPr>
        <w:color w:val="3370FF"/>
      </w:rPr>
    </w:lvl>
  </w:abstractNum>
  <w:abstractNum w:abstractNumId="223">
    <w:nsid w:val="4E709187"/>
    <w:multiLevelType w:val="singleLevel"/>
    <w:tmpl w:val="4E709187"/>
    <w:lvl w:ilvl="0" w:tentative="0">
      <w:start w:val="14"/>
      <w:numFmt w:val="decimal"/>
      <w:lvlText w:val="%1."/>
      <w:lvlJc w:val="left"/>
      <w:rPr>
        <w:color w:val="3370FF"/>
      </w:rPr>
    </w:lvl>
  </w:abstractNum>
  <w:abstractNum w:abstractNumId="224">
    <w:nsid w:val="4EA76503"/>
    <w:multiLevelType w:val="singleLevel"/>
    <w:tmpl w:val="4EA76503"/>
    <w:lvl w:ilvl="0" w:tentative="0">
      <w:start w:val="2"/>
      <w:numFmt w:val="lowerLetter"/>
      <w:lvlText w:val="%1."/>
      <w:lvlJc w:val="left"/>
      <w:rPr>
        <w:color w:val="3370FF"/>
      </w:rPr>
    </w:lvl>
  </w:abstractNum>
  <w:abstractNum w:abstractNumId="225">
    <w:nsid w:val="4F00C6B4"/>
    <w:multiLevelType w:val="singleLevel"/>
    <w:tmpl w:val="4F00C6B4"/>
    <w:lvl w:ilvl="0" w:tentative="0">
      <w:start w:val="0"/>
      <w:numFmt w:val="bullet"/>
      <w:lvlText w:val="•"/>
      <w:lvlJc w:val="left"/>
      <w:rPr>
        <w:color w:val="3370FF"/>
      </w:rPr>
    </w:lvl>
  </w:abstractNum>
  <w:abstractNum w:abstractNumId="226">
    <w:nsid w:val="4FA7FC34"/>
    <w:multiLevelType w:val="singleLevel"/>
    <w:tmpl w:val="4FA7FC34"/>
    <w:lvl w:ilvl="0" w:tentative="0">
      <w:start w:val="0"/>
      <w:numFmt w:val="bullet"/>
      <w:lvlText w:val="•"/>
      <w:lvlJc w:val="left"/>
      <w:rPr>
        <w:color w:val="3370FF"/>
      </w:rPr>
    </w:lvl>
  </w:abstractNum>
  <w:abstractNum w:abstractNumId="227">
    <w:nsid w:val="4FB438A5"/>
    <w:multiLevelType w:val="singleLevel"/>
    <w:tmpl w:val="4FB438A5"/>
    <w:lvl w:ilvl="0" w:tentative="0">
      <w:start w:val="0"/>
      <w:numFmt w:val="bullet"/>
      <w:lvlText w:val="￮"/>
      <w:lvlJc w:val="left"/>
      <w:rPr>
        <w:color w:val="3370FF"/>
      </w:rPr>
    </w:lvl>
  </w:abstractNum>
  <w:abstractNum w:abstractNumId="228">
    <w:nsid w:val="51C4BC33"/>
    <w:multiLevelType w:val="singleLevel"/>
    <w:tmpl w:val="51C4BC33"/>
    <w:lvl w:ilvl="0" w:tentative="0">
      <w:start w:val="0"/>
      <w:numFmt w:val="bullet"/>
      <w:lvlText w:val="•"/>
      <w:lvlJc w:val="left"/>
      <w:rPr>
        <w:color w:val="3370FF"/>
      </w:rPr>
    </w:lvl>
  </w:abstractNum>
  <w:abstractNum w:abstractNumId="229">
    <w:nsid w:val="54701CA1"/>
    <w:multiLevelType w:val="singleLevel"/>
    <w:tmpl w:val="54701CA1"/>
    <w:lvl w:ilvl="0" w:tentative="0">
      <w:start w:val="0"/>
      <w:numFmt w:val="bullet"/>
      <w:lvlText w:val="•"/>
      <w:lvlJc w:val="left"/>
      <w:rPr>
        <w:color w:val="3370FF"/>
      </w:rPr>
    </w:lvl>
  </w:abstractNum>
  <w:abstractNum w:abstractNumId="230">
    <w:nsid w:val="568750A4"/>
    <w:multiLevelType w:val="singleLevel"/>
    <w:tmpl w:val="568750A4"/>
    <w:lvl w:ilvl="0" w:tentative="0">
      <w:start w:val="6"/>
      <w:numFmt w:val="decimal"/>
      <w:lvlText w:val="%1."/>
      <w:lvlJc w:val="left"/>
      <w:rPr>
        <w:color w:val="3370FF"/>
      </w:rPr>
    </w:lvl>
  </w:abstractNum>
  <w:abstractNum w:abstractNumId="231">
    <w:nsid w:val="57DED440"/>
    <w:multiLevelType w:val="singleLevel"/>
    <w:tmpl w:val="57DED440"/>
    <w:lvl w:ilvl="0" w:tentative="0">
      <w:start w:val="4"/>
      <w:numFmt w:val="decimal"/>
      <w:lvlText w:val="%1."/>
      <w:lvlJc w:val="left"/>
      <w:rPr>
        <w:color w:val="3370FF"/>
      </w:rPr>
    </w:lvl>
  </w:abstractNum>
  <w:abstractNum w:abstractNumId="232">
    <w:nsid w:val="58765686"/>
    <w:multiLevelType w:val="singleLevel"/>
    <w:tmpl w:val="58765686"/>
    <w:lvl w:ilvl="0" w:tentative="0">
      <w:start w:val="0"/>
      <w:numFmt w:val="bullet"/>
      <w:lvlText w:val="•"/>
      <w:lvlJc w:val="left"/>
      <w:rPr>
        <w:color w:val="3370FF"/>
      </w:rPr>
    </w:lvl>
  </w:abstractNum>
  <w:abstractNum w:abstractNumId="233">
    <w:nsid w:val="598DAF6D"/>
    <w:multiLevelType w:val="singleLevel"/>
    <w:tmpl w:val="598DAF6D"/>
    <w:lvl w:ilvl="0" w:tentative="0">
      <w:start w:val="11"/>
      <w:numFmt w:val="decimal"/>
      <w:lvlText w:val="%1."/>
      <w:lvlJc w:val="left"/>
      <w:rPr>
        <w:color w:val="3370FF"/>
      </w:rPr>
    </w:lvl>
  </w:abstractNum>
  <w:abstractNum w:abstractNumId="234">
    <w:nsid w:val="59ADCABA"/>
    <w:multiLevelType w:val="singleLevel"/>
    <w:tmpl w:val="59ADCABA"/>
    <w:lvl w:ilvl="0" w:tentative="0">
      <w:start w:val="0"/>
      <w:numFmt w:val="bullet"/>
      <w:lvlText w:val="•"/>
      <w:lvlJc w:val="left"/>
      <w:rPr>
        <w:color w:val="3370FF"/>
      </w:rPr>
    </w:lvl>
  </w:abstractNum>
  <w:abstractNum w:abstractNumId="235">
    <w:nsid w:val="59EEFD2A"/>
    <w:multiLevelType w:val="singleLevel"/>
    <w:tmpl w:val="59EEFD2A"/>
    <w:lvl w:ilvl="0" w:tentative="0">
      <w:start w:val="0"/>
      <w:numFmt w:val="bullet"/>
      <w:lvlText w:val="•"/>
      <w:lvlJc w:val="left"/>
      <w:rPr>
        <w:color w:val="3370FF"/>
      </w:rPr>
    </w:lvl>
  </w:abstractNum>
  <w:abstractNum w:abstractNumId="236">
    <w:nsid w:val="5A241D34"/>
    <w:multiLevelType w:val="singleLevel"/>
    <w:tmpl w:val="5A241D34"/>
    <w:lvl w:ilvl="0" w:tentative="0">
      <w:start w:val="0"/>
      <w:numFmt w:val="bullet"/>
      <w:lvlText w:val="•"/>
      <w:lvlJc w:val="left"/>
      <w:rPr>
        <w:color w:val="3370FF"/>
      </w:rPr>
    </w:lvl>
  </w:abstractNum>
  <w:abstractNum w:abstractNumId="237">
    <w:nsid w:val="5A8377A7"/>
    <w:multiLevelType w:val="singleLevel"/>
    <w:tmpl w:val="5A8377A7"/>
    <w:lvl w:ilvl="0" w:tentative="0">
      <w:start w:val="0"/>
      <w:numFmt w:val="bullet"/>
      <w:lvlText w:val="•"/>
      <w:lvlJc w:val="left"/>
      <w:rPr>
        <w:color w:val="3370FF"/>
      </w:rPr>
    </w:lvl>
  </w:abstractNum>
  <w:abstractNum w:abstractNumId="238">
    <w:nsid w:val="5E29AB5A"/>
    <w:multiLevelType w:val="singleLevel"/>
    <w:tmpl w:val="5E29AB5A"/>
    <w:lvl w:ilvl="0" w:tentative="0">
      <w:start w:val="0"/>
      <w:numFmt w:val="bullet"/>
      <w:lvlText w:val="•"/>
      <w:lvlJc w:val="left"/>
      <w:rPr>
        <w:color w:val="3370FF"/>
      </w:rPr>
    </w:lvl>
  </w:abstractNum>
  <w:abstractNum w:abstractNumId="239">
    <w:nsid w:val="5F098F1B"/>
    <w:multiLevelType w:val="singleLevel"/>
    <w:tmpl w:val="5F098F1B"/>
    <w:lvl w:ilvl="0" w:tentative="0">
      <w:start w:val="28"/>
      <w:numFmt w:val="decimal"/>
      <w:lvlText w:val="%1."/>
      <w:lvlJc w:val="left"/>
      <w:rPr>
        <w:color w:val="3370FF"/>
      </w:rPr>
    </w:lvl>
  </w:abstractNum>
  <w:abstractNum w:abstractNumId="240">
    <w:nsid w:val="5FCE4367"/>
    <w:multiLevelType w:val="singleLevel"/>
    <w:tmpl w:val="5FCE4367"/>
    <w:lvl w:ilvl="0" w:tentative="0">
      <w:start w:val="0"/>
      <w:numFmt w:val="bullet"/>
      <w:lvlText w:val="￮"/>
      <w:lvlJc w:val="left"/>
      <w:rPr>
        <w:color w:val="3370FF"/>
      </w:rPr>
    </w:lvl>
  </w:abstractNum>
  <w:abstractNum w:abstractNumId="241">
    <w:nsid w:val="5FFFB1A7"/>
    <w:multiLevelType w:val="singleLevel"/>
    <w:tmpl w:val="5FFFB1A7"/>
    <w:lvl w:ilvl="0" w:tentative="0">
      <w:start w:val="0"/>
      <w:numFmt w:val="bullet"/>
      <w:lvlText w:val="￮"/>
      <w:lvlJc w:val="left"/>
      <w:rPr>
        <w:color w:val="3370FF"/>
      </w:rPr>
    </w:lvl>
  </w:abstractNum>
  <w:abstractNum w:abstractNumId="242">
    <w:nsid w:val="60382F6E"/>
    <w:multiLevelType w:val="singleLevel"/>
    <w:tmpl w:val="60382F6E"/>
    <w:lvl w:ilvl="0" w:tentative="0">
      <w:start w:val="0"/>
      <w:numFmt w:val="bullet"/>
      <w:lvlText w:val="•"/>
      <w:lvlJc w:val="left"/>
      <w:rPr>
        <w:color w:val="3370FF"/>
      </w:rPr>
    </w:lvl>
  </w:abstractNum>
  <w:abstractNum w:abstractNumId="243">
    <w:nsid w:val="610EFE5C"/>
    <w:multiLevelType w:val="singleLevel"/>
    <w:tmpl w:val="610EFE5C"/>
    <w:lvl w:ilvl="0" w:tentative="0">
      <w:start w:val="0"/>
      <w:numFmt w:val="bullet"/>
      <w:lvlText w:val="￮"/>
      <w:lvlJc w:val="left"/>
      <w:rPr>
        <w:color w:val="3370FF"/>
      </w:rPr>
    </w:lvl>
  </w:abstractNum>
  <w:abstractNum w:abstractNumId="244">
    <w:nsid w:val="629F7852"/>
    <w:multiLevelType w:val="singleLevel"/>
    <w:tmpl w:val="629F7852"/>
    <w:lvl w:ilvl="0" w:tentative="0">
      <w:start w:val="0"/>
      <w:numFmt w:val="bullet"/>
      <w:lvlText w:val="•"/>
      <w:lvlJc w:val="left"/>
      <w:rPr>
        <w:color w:val="3370FF"/>
      </w:rPr>
    </w:lvl>
  </w:abstractNum>
  <w:abstractNum w:abstractNumId="245">
    <w:nsid w:val="63B12E74"/>
    <w:multiLevelType w:val="singleLevel"/>
    <w:tmpl w:val="63B12E74"/>
    <w:lvl w:ilvl="0" w:tentative="0">
      <w:start w:val="0"/>
      <w:numFmt w:val="bullet"/>
      <w:lvlText w:val="•"/>
      <w:lvlJc w:val="left"/>
      <w:rPr>
        <w:color w:val="3370FF"/>
      </w:rPr>
    </w:lvl>
  </w:abstractNum>
  <w:abstractNum w:abstractNumId="246">
    <w:nsid w:val="64574ED8"/>
    <w:multiLevelType w:val="singleLevel"/>
    <w:tmpl w:val="64574ED8"/>
    <w:lvl w:ilvl="0" w:tentative="0">
      <w:start w:val="24"/>
      <w:numFmt w:val="decimal"/>
      <w:lvlText w:val="%1."/>
      <w:lvlJc w:val="left"/>
      <w:rPr>
        <w:color w:val="3370FF"/>
      </w:rPr>
    </w:lvl>
  </w:abstractNum>
  <w:abstractNum w:abstractNumId="247">
    <w:nsid w:val="64C0CB79"/>
    <w:multiLevelType w:val="singleLevel"/>
    <w:tmpl w:val="64C0CB79"/>
    <w:lvl w:ilvl="0" w:tentative="0">
      <w:start w:val="0"/>
      <w:numFmt w:val="bullet"/>
      <w:lvlText w:val="•"/>
      <w:lvlJc w:val="left"/>
      <w:rPr>
        <w:color w:val="3370FF"/>
      </w:rPr>
    </w:lvl>
  </w:abstractNum>
  <w:abstractNum w:abstractNumId="248">
    <w:nsid w:val="651422BE"/>
    <w:multiLevelType w:val="singleLevel"/>
    <w:tmpl w:val="651422BE"/>
    <w:lvl w:ilvl="0" w:tentative="0">
      <w:start w:val="3"/>
      <w:numFmt w:val="lowerLetter"/>
      <w:lvlText w:val="%1."/>
      <w:lvlJc w:val="left"/>
      <w:rPr>
        <w:color w:val="3370FF"/>
      </w:rPr>
    </w:lvl>
  </w:abstractNum>
  <w:abstractNum w:abstractNumId="249">
    <w:nsid w:val="659EB354"/>
    <w:multiLevelType w:val="singleLevel"/>
    <w:tmpl w:val="659EB354"/>
    <w:lvl w:ilvl="0" w:tentative="0">
      <w:start w:val="0"/>
      <w:numFmt w:val="bullet"/>
      <w:lvlText w:val="•"/>
      <w:lvlJc w:val="left"/>
      <w:rPr>
        <w:color w:val="3370FF"/>
      </w:rPr>
    </w:lvl>
  </w:abstractNum>
  <w:abstractNum w:abstractNumId="250">
    <w:nsid w:val="65CD0074"/>
    <w:multiLevelType w:val="singleLevel"/>
    <w:tmpl w:val="65CD0074"/>
    <w:lvl w:ilvl="0" w:tentative="0">
      <w:start w:val="0"/>
      <w:numFmt w:val="bullet"/>
      <w:lvlText w:val="•"/>
      <w:lvlJc w:val="left"/>
      <w:rPr>
        <w:color w:val="3370FF"/>
      </w:rPr>
    </w:lvl>
  </w:abstractNum>
  <w:abstractNum w:abstractNumId="251">
    <w:nsid w:val="68B298F7"/>
    <w:multiLevelType w:val="singleLevel"/>
    <w:tmpl w:val="68B298F7"/>
    <w:lvl w:ilvl="0" w:tentative="0">
      <w:start w:val="0"/>
      <w:numFmt w:val="bullet"/>
      <w:lvlText w:val="•"/>
      <w:lvlJc w:val="left"/>
      <w:rPr>
        <w:color w:val="3370FF"/>
      </w:rPr>
    </w:lvl>
  </w:abstractNum>
  <w:abstractNum w:abstractNumId="252">
    <w:nsid w:val="6AFC2A1C"/>
    <w:multiLevelType w:val="singleLevel"/>
    <w:tmpl w:val="6AFC2A1C"/>
    <w:lvl w:ilvl="0" w:tentative="0">
      <w:start w:val="2"/>
      <w:numFmt w:val="lowerLetter"/>
      <w:lvlText w:val="%1."/>
      <w:lvlJc w:val="left"/>
      <w:rPr>
        <w:color w:val="3370FF"/>
      </w:rPr>
    </w:lvl>
  </w:abstractNum>
  <w:abstractNum w:abstractNumId="253">
    <w:nsid w:val="6C0BE2D1"/>
    <w:multiLevelType w:val="singleLevel"/>
    <w:tmpl w:val="6C0BE2D1"/>
    <w:lvl w:ilvl="0" w:tentative="0">
      <w:start w:val="0"/>
      <w:numFmt w:val="bullet"/>
      <w:lvlText w:val="•"/>
      <w:lvlJc w:val="left"/>
      <w:rPr>
        <w:color w:val="3370FF"/>
      </w:rPr>
    </w:lvl>
  </w:abstractNum>
  <w:abstractNum w:abstractNumId="254">
    <w:nsid w:val="6D423078"/>
    <w:multiLevelType w:val="singleLevel"/>
    <w:tmpl w:val="6D423078"/>
    <w:lvl w:ilvl="0" w:tentative="0">
      <w:start w:val="0"/>
      <w:numFmt w:val="bullet"/>
      <w:lvlText w:val="•"/>
      <w:lvlJc w:val="left"/>
      <w:rPr>
        <w:color w:val="3370FF"/>
      </w:rPr>
    </w:lvl>
  </w:abstractNum>
  <w:abstractNum w:abstractNumId="255">
    <w:nsid w:val="6E840AC9"/>
    <w:multiLevelType w:val="singleLevel"/>
    <w:tmpl w:val="6E840AC9"/>
    <w:lvl w:ilvl="0" w:tentative="0">
      <w:start w:val="23"/>
      <w:numFmt w:val="decimal"/>
      <w:lvlText w:val="%1."/>
      <w:lvlJc w:val="left"/>
      <w:rPr>
        <w:color w:val="3370FF"/>
      </w:rPr>
    </w:lvl>
  </w:abstractNum>
  <w:abstractNum w:abstractNumId="256">
    <w:nsid w:val="700FDCEF"/>
    <w:multiLevelType w:val="singleLevel"/>
    <w:tmpl w:val="700FDCEF"/>
    <w:lvl w:ilvl="0" w:tentative="0">
      <w:start w:val="1"/>
      <w:numFmt w:val="lowerLetter"/>
      <w:lvlText w:val="%1."/>
      <w:lvlJc w:val="left"/>
      <w:rPr>
        <w:color w:val="3370FF"/>
      </w:rPr>
    </w:lvl>
  </w:abstractNum>
  <w:abstractNum w:abstractNumId="257">
    <w:nsid w:val="70AE371C"/>
    <w:multiLevelType w:val="singleLevel"/>
    <w:tmpl w:val="70AE371C"/>
    <w:lvl w:ilvl="0" w:tentative="0">
      <w:start w:val="15"/>
      <w:numFmt w:val="decimal"/>
      <w:lvlText w:val="%1."/>
      <w:lvlJc w:val="left"/>
      <w:rPr>
        <w:color w:val="3370FF"/>
      </w:rPr>
    </w:lvl>
  </w:abstractNum>
  <w:abstractNum w:abstractNumId="258">
    <w:nsid w:val="70F95E71"/>
    <w:multiLevelType w:val="singleLevel"/>
    <w:tmpl w:val="70F95E71"/>
    <w:lvl w:ilvl="0" w:tentative="0">
      <w:start w:val="0"/>
      <w:numFmt w:val="bullet"/>
      <w:lvlText w:val="•"/>
      <w:lvlJc w:val="left"/>
      <w:rPr>
        <w:color w:val="3370FF"/>
      </w:rPr>
    </w:lvl>
  </w:abstractNum>
  <w:abstractNum w:abstractNumId="259">
    <w:nsid w:val="72183CF9"/>
    <w:multiLevelType w:val="singleLevel"/>
    <w:tmpl w:val="72183CF9"/>
    <w:lvl w:ilvl="0" w:tentative="0">
      <w:start w:val="1"/>
      <w:numFmt w:val="decimal"/>
      <w:lvlText w:val="%1."/>
      <w:lvlJc w:val="left"/>
      <w:rPr>
        <w:color w:val="3370FF"/>
      </w:rPr>
    </w:lvl>
  </w:abstractNum>
  <w:abstractNum w:abstractNumId="260">
    <w:nsid w:val="744F3566"/>
    <w:multiLevelType w:val="singleLevel"/>
    <w:tmpl w:val="744F3566"/>
    <w:lvl w:ilvl="0" w:tentative="0">
      <w:start w:val="0"/>
      <w:numFmt w:val="bullet"/>
      <w:lvlText w:val="•"/>
      <w:lvlJc w:val="left"/>
      <w:rPr>
        <w:color w:val="3370FF"/>
      </w:rPr>
    </w:lvl>
  </w:abstractNum>
  <w:abstractNum w:abstractNumId="261">
    <w:nsid w:val="7499D7B3"/>
    <w:multiLevelType w:val="singleLevel"/>
    <w:tmpl w:val="7499D7B3"/>
    <w:lvl w:ilvl="0" w:tentative="0">
      <w:start w:val="0"/>
      <w:numFmt w:val="bullet"/>
      <w:lvlText w:val="•"/>
      <w:lvlJc w:val="left"/>
      <w:rPr>
        <w:color w:val="3370FF"/>
      </w:rPr>
    </w:lvl>
  </w:abstractNum>
  <w:abstractNum w:abstractNumId="262">
    <w:nsid w:val="74C28B35"/>
    <w:multiLevelType w:val="singleLevel"/>
    <w:tmpl w:val="74C28B35"/>
    <w:lvl w:ilvl="0" w:tentative="0">
      <w:start w:val="0"/>
      <w:numFmt w:val="bullet"/>
      <w:lvlText w:val="￮"/>
      <w:lvlJc w:val="left"/>
      <w:rPr>
        <w:color w:val="3370FF"/>
      </w:rPr>
    </w:lvl>
  </w:abstractNum>
  <w:abstractNum w:abstractNumId="263">
    <w:nsid w:val="76A26DF9"/>
    <w:multiLevelType w:val="singleLevel"/>
    <w:tmpl w:val="76A26DF9"/>
    <w:lvl w:ilvl="0" w:tentative="0">
      <w:start w:val="27"/>
      <w:numFmt w:val="decimal"/>
      <w:lvlText w:val="%1."/>
      <w:lvlJc w:val="left"/>
      <w:rPr>
        <w:color w:val="3370FF"/>
      </w:rPr>
    </w:lvl>
  </w:abstractNum>
  <w:abstractNum w:abstractNumId="264">
    <w:nsid w:val="773C851D"/>
    <w:multiLevelType w:val="singleLevel"/>
    <w:tmpl w:val="773C851D"/>
    <w:lvl w:ilvl="0" w:tentative="0">
      <w:start w:val="8"/>
      <w:numFmt w:val="decimal"/>
      <w:lvlText w:val="%1."/>
      <w:lvlJc w:val="left"/>
      <w:rPr>
        <w:color w:val="3370FF"/>
      </w:rPr>
    </w:lvl>
  </w:abstractNum>
  <w:abstractNum w:abstractNumId="265">
    <w:nsid w:val="77633216"/>
    <w:multiLevelType w:val="singleLevel"/>
    <w:tmpl w:val="77633216"/>
    <w:lvl w:ilvl="0" w:tentative="0">
      <w:start w:val="0"/>
      <w:numFmt w:val="bullet"/>
      <w:lvlText w:val="•"/>
      <w:lvlJc w:val="left"/>
      <w:rPr>
        <w:color w:val="3370FF"/>
      </w:rPr>
    </w:lvl>
  </w:abstractNum>
  <w:abstractNum w:abstractNumId="266">
    <w:nsid w:val="77ECEA79"/>
    <w:multiLevelType w:val="singleLevel"/>
    <w:tmpl w:val="77ECEA79"/>
    <w:lvl w:ilvl="0" w:tentative="0">
      <w:start w:val="0"/>
      <w:numFmt w:val="bullet"/>
      <w:lvlText w:val="•"/>
      <w:lvlJc w:val="left"/>
      <w:rPr>
        <w:color w:val="3370FF"/>
      </w:rPr>
    </w:lvl>
  </w:abstractNum>
  <w:abstractNum w:abstractNumId="267">
    <w:nsid w:val="79AA4FA4"/>
    <w:multiLevelType w:val="singleLevel"/>
    <w:tmpl w:val="79AA4FA4"/>
    <w:lvl w:ilvl="0" w:tentative="0">
      <w:start w:val="0"/>
      <w:numFmt w:val="bullet"/>
      <w:lvlText w:val="•"/>
      <w:lvlJc w:val="left"/>
      <w:rPr>
        <w:color w:val="3370FF"/>
      </w:rPr>
    </w:lvl>
  </w:abstractNum>
  <w:abstractNum w:abstractNumId="268">
    <w:nsid w:val="7B1E29B8"/>
    <w:multiLevelType w:val="singleLevel"/>
    <w:tmpl w:val="7B1E29B8"/>
    <w:lvl w:ilvl="0" w:tentative="0">
      <w:start w:val="1"/>
      <w:numFmt w:val="lowerLetter"/>
      <w:lvlText w:val="%1."/>
      <w:lvlJc w:val="left"/>
      <w:rPr>
        <w:color w:val="3370FF"/>
      </w:rPr>
    </w:lvl>
  </w:abstractNum>
  <w:abstractNum w:abstractNumId="269">
    <w:nsid w:val="7C246926"/>
    <w:multiLevelType w:val="singleLevel"/>
    <w:tmpl w:val="7C246926"/>
    <w:lvl w:ilvl="0" w:tentative="0">
      <w:start w:val="0"/>
      <w:numFmt w:val="bullet"/>
      <w:lvlText w:val="•"/>
      <w:lvlJc w:val="left"/>
      <w:rPr>
        <w:color w:val="3370FF"/>
      </w:rPr>
    </w:lvl>
  </w:abstractNum>
  <w:abstractNum w:abstractNumId="270">
    <w:nsid w:val="7DEC2089"/>
    <w:multiLevelType w:val="singleLevel"/>
    <w:tmpl w:val="7DEC2089"/>
    <w:lvl w:ilvl="0" w:tentative="0">
      <w:start w:val="0"/>
      <w:numFmt w:val="bullet"/>
      <w:lvlText w:val="•"/>
      <w:lvlJc w:val="left"/>
      <w:rPr>
        <w:color w:val="3370FF"/>
      </w:rPr>
    </w:lvl>
  </w:abstractNum>
  <w:num w:numId="1">
    <w:abstractNumId w:val="134"/>
  </w:num>
  <w:num w:numId="2">
    <w:abstractNumId w:val="87"/>
  </w:num>
  <w:num w:numId="3">
    <w:abstractNumId w:val="234"/>
  </w:num>
  <w:num w:numId="4">
    <w:abstractNumId w:val="72"/>
  </w:num>
  <w:num w:numId="5">
    <w:abstractNumId w:val="61"/>
  </w:num>
  <w:num w:numId="6">
    <w:abstractNumId w:val="142"/>
  </w:num>
  <w:num w:numId="7">
    <w:abstractNumId w:val="183"/>
  </w:num>
  <w:num w:numId="8">
    <w:abstractNumId w:val="259"/>
  </w:num>
  <w:num w:numId="9">
    <w:abstractNumId w:val="137"/>
  </w:num>
  <w:num w:numId="10">
    <w:abstractNumId w:val="14"/>
  </w:num>
  <w:num w:numId="11">
    <w:abstractNumId w:val="186"/>
  </w:num>
  <w:num w:numId="12">
    <w:abstractNumId w:val="236"/>
  </w:num>
  <w:num w:numId="13">
    <w:abstractNumId w:val="80"/>
  </w:num>
  <w:num w:numId="14">
    <w:abstractNumId w:val="220"/>
  </w:num>
  <w:num w:numId="15">
    <w:abstractNumId w:val="124"/>
  </w:num>
  <w:num w:numId="16">
    <w:abstractNumId w:val="179"/>
  </w:num>
  <w:num w:numId="17">
    <w:abstractNumId w:val="98"/>
  </w:num>
  <w:num w:numId="18">
    <w:abstractNumId w:val="94"/>
  </w:num>
  <w:num w:numId="19">
    <w:abstractNumId w:val="29"/>
  </w:num>
  <w:num w:numId="20">
    <w:abstractNumId w:val="217"/>
  </w:num>
  <w:num w:numId="21">
    <w:abstractNumId w:val="242"/>
  </w:num>
  <w:num w:numId="22">
    <w:abstractNumId w:val="154"/>
  </w:num>
  <w:num w:numId="23">
    <w:abstractNumId w:val="214"/>
  </w:num>
  <w:num w:numId="24">
    <w:abstractNumId w:val="53"/>
  </w:num>
  <w:num w:numId="25">
    <w:abstractNumId w:val="269"/>
  </w:num>
  <w:num w:numId="26">
    <w:abstractNumId w:val="266"/>
  </w:num>
  <w:num w:numId="27">
    <w:abstractNumId w:val="71"/>
  </w:num>
  <w:num w:numId="28">
    <w:abstractNumId w:val="244"/>
  </w:num>
  <w:num w:numId="29">
    <w:abstractNumId w:val="15"/>
  </w:num>
  <w:num w:numId="30">
    <w:abstractNumId w:val="202"/>
  </w:num>
  <w:num w:numId="31">
    <w:abstractNumId w:val="4"/>
  </w:num>
  <w:num w:numId="32">
    <w:abstractNumId w:val="232"/>
  </w:num>
  <w:num w:numId="33">
    <w:abstractNumId w:val="270"/>
  </w:num>
  <w:num w:numId="34">
    <w:abstractNumId w:val="1"/>
  </w:num>
  <w:num w:numId="35">
    <w:abstractNumId w:val="178"/>
  </w:num>
  <w:num w:numId="36">
    <w:abstractNumId w:val="222"/>
  </w:num>
  <w:num w:numId="37">
    <w:abstractNumId w:val="127"/>
  </w:num>
  <w:num w:numId="38">
    <w:abstractNumId w:val="103"/>
  </w:num>
  <w:num w:numId="39">
    <w:abstractNumId w:val="191"/>
  </w:num>
  <w:num w:numId="40">
    <w:abstractNumId w:val="267"/>
  </w:num>
  <w:num w:numId="41">
    <w:abstractNumId w:val="66"/>
  </w:num>
  <w:num w:numId="42">
    <w:abstractNumId w:val="12"/>
  </w:num>
  <w:num w:numId="43">
    <w:abstractNumId w:val="63"/>
  </w:num>
  <w:num w:numId="44">
    <w:abstractNumId w:val="238"/>
  </w:num>
  <w:num w:numId="45">
    <w:abstractNumId w:val="3"/>
  </w:num>
  <w:num w:numId="46">
    <w:abstractNumId w:val="167"/>
  </w:num>
  <w:num w:numId="47">
    <w:abstractNumId w:val="9"/>
  </w:num>
  <w:num w:numId="48">
    <w:abstractNumId w:val="241"/>
  </w:num>
  <w:num w:numId="49">
    <w:abstractNumId w:val="262"/>
  </w:num>
  <w:num w:numId="50">
    <w:abstractNumId w:val="218"/>
  </w:num>
  <w:num w:numId="51">
    <w:abstractNumId w:val="193"/>
  </w:num>
  <w:num w:numId="52">
    <w:abstractNumId w:val="250"/>
  </w:num>
  <w:num w:numId="53">
    <w:abstractNumId w:val="146"/>
  </w:num>
  <w:num w:numId="54">
    <w:abstractNumId w:val="151"/>
  </w:num>
  <w:num w:numId="55">
    <w:abstractNumId w:val="93"/>
  </w:num>
  <w:num w:numId="56">
    <w:abstractNumId w:val="196"/>
  </w:num>
  <w:num w:numId="57">
    <w:abstractNumId w:val="172"/>
  </w:num>
  <w:num w:numId="58">
    <w:abstractNumId w:val="115"/>
  </w:num>
  <w:num w:numId="59">
    <w:abstractNumId w:val="177"/>
  </w:num>
  <w:num w:numId="60">
    <w:abstractNumId w:val="58"/>
  </w:num>
  <w:num w:numId="61">
    <w:abstractNumId w:val="208"/>
  </w:num>
  <w:num w:numId="62">
    <w:abstractNumId w:val="156"/>
  </w:num>
  <w:num w:numId="63">
    <w:abstractNumId w:val="198"/>
  </w:num>
  <w:num w:numId="64">
    <w:abstractNumId w:val="140"/>
  </w:num>
  <w:num w:numId="65">
    <w:abstractNumId w:val="75"/>
  </w:num>
  <w:num w:numId="66">
    <w:abstractNumId w:val="160"/>
  </w:num>
  <w:num w:numId="67">
    <w:abstractNumId w:val="56"/>
  </w:num>
  <w:num w:numId="68">
    <w:abstractNumId w:val="204"/>
  </w:num>
  <w:num w:numId="69">
    <w:abstractNumId w:val="39"/>
  </w:num>
  <w:num w:numId="70">
    <w:abstractNumId w:val="126"/>
  </w:num>
  <w:num w:numId="71">
    <w:abstractNumId w:val="190"/>
  </w:num>
  <w:num w:numId="72">
    <w:abstractNumId w:val="132"/>
  </w:num>
  <w:num w:numId="73">
    <w:abstractNumId w:val="165"/>
  </w:num>
  <w:num w:numId="74">
    <w:abstractNumId w:val="256"/>
  </w:num>
  <w:num w:numId="75">
    <w:abstractNumId w:val="106"/>
  </w:num>
  <w:num w:numId="76">
    <w:abstractNumId w:val="76"/>
  </w:num>
  <w:num w:numId="77">
    <w:abstractNumId w:val="38"/>
  </w:num>
  <w:num w:numId="78">
    <w:abstractNumId w:val="265"/>
  </w:num>
  <w:num w:numId="79">
    <w:abstractNumId w:val="95"/>
  </w:num>
  <w:num w:numId="80">
    <w:abstractNumId w:val="62"/>
  </w:num>
  <w:num w:numId="81">
    <w:abstractNumId w:val="189"/>
  </w:num>
  <w:num w:numId="82">
    <w:abstractNumId w:val="109"/>
  </w:num>
  <w:num w:numId="83">
    <w:abstractNumId w:val="24"/>
  </w:num>
  <w:num w:numId="84">
    <w:abstractNumId w:val="235"/>
  </w:num>
  <w:num w:numId="85">
    <w:abstractNumId w:val="69"/>
  </w:num>
  <w:num w:numId="86">
    <w:abstractNumId w:val="52"/>
  </w:num>
  <w:num w:numId="87">
    <w:abstractNumId w:val="18"/>
  </w:num>
  <w:num w:numId="88">
    <w:abstractNumId w:val="32"/>
  </w:num>
  <w:num w:numId="89">
    <w:abstractNumId w:val="46"/>
  </w:num>
  <w:num w:numId="90">
    <w:abstractNumId w:val="13"/>
  </w:num>
  <w:num w:numId="91">
    <w:abstractNumId w:val="170"/>
  </w:num>
  <w:num w:numId="92">
    <w:abstractNumId w:val="70"/>
  </w:num>
  <w:num w:numId="93">
    <w:abstractNumId w:val="162"/>
  </w:num>
  <w:num w:numId="94">
    <w:abstractNumId w:val="88"/>
  </w:num>
  <w:num w:numId="95">
    <w:abstractNumId w:val="251"/>
  </w:num>
  <w:num w:numId="96">
    <w:abstractNumId w:val="0"/>
  </w:num>
  <w:num w:numId="97">
    <w:abstractNumId w:val="68"/>
  </w:num>
  <w:num w:numId="98">
    <w:abstractNumId w:val="125"/>
  </w:num>
  <w:num w:numId="99">
    <w:abstractNumId w:val="219"/>
  </w:num>
  <w:num w:numId="100">
    <w:abstractNumId w:val="158"/>
  </w:num>
  <w:num w:numId="101">
    <w:abstractNumId w:val="27"/>
  </w:num>
  <w:num w:numId="102">
    <w:abstractNumId w:val="102"/>
  </w:num>
  <w:num w:numId="103">
    <w:abstractNumId w:val="168"/>
  </w:num>
  <w:num w:numId="104">
    <w:abstractNumId w:val="215"/>
  </w:num>
  <w:num w:numId="105">
    <w:abstractNumId w:val="45"/>
  </w:num>
  <w:num w:numId="106">
    <w:abstractNumId w:val="243"/>
  </w:num>
  <w:num w:numId="107">
    <w:abstractNumId w:val="2"/>
  </w:num>
  <w:num w:numId="108">
    <w:abstractNumId w:val="7"/>
  </w:num>
  <w:num w:numId="109">
    <w:abstractNumId w:val="135"/>
  </w:num>
  <w:num w:numId="110">
    <w:abstractNumId w:val="36"/>
  </w:num>
  <w:num w:numId="111">
    <w:abstractNumId w:val="73"/>
  </w:num>
  <w:num w:numId="112">
    <w:abstractNumId w:val="81"/>
  </w:num>
  <w:num w:numId="113">
    <w:abstractNumId w:val="123"/>
  </w:num>
  <w:num w:numId="114">
    <w:abstractNumId w:val="240"/>
  </w:num>
  <w:num w:numId="115">
    <w:abstractNumId w:val="120"/>
  </w:num>
  <w:num w:numId="116">
    <w:abstractNumId w:val="229"/>
  </w:num>
  <w:num w:numId="117">
    <w:abstractNumId w:val="175"/>
  </w:num>
  <w:num w:numId="118">
    <w:abstractNumId w:val="23"/>
  </w:num>
  <w:num w:numId="119">
    <w:abstractNumId w:val="141"/>
  </w:num>
  <w:num w:numId="120">
    <w:abstractNumId w:val="35"/>
  </w:num>
  <w:num w:numId="121">
    <w:abstractNumId w:val="187"/>
  </w:num>
  <w:num w:numId="122">
    <w:abstractNumId w:val="228"/>
  </w:num>
  <w:num w:numId="123">
    <w:abstractNumId w:val="86"/>
  </w:num>
  <w:num w:numId="124">
    <w:abstractNumId w:val="28"/>
  </w:num>
  <w:num w:numId="125">
    <w:abstractNumId w:val="181"/>
  </w:num>
  <w:num w:numId="126">
    <w:abstractNumId w:val="209"/>
  </w:num>
  <w:num w:numId="127">
    <w:abstractNumId w:val="159"/>
  </w:num>
  <w:num w:numId="128">
    <w:abstractNumId w:val="221"/>
  </w:num>
  <w:num w:numId="129">
    <w:abstractNumId w:val="227"/>
  </w:num>
  <w:num w:numId="130">
    <w:abstractNumId w:val="176"/>
  </w:num>
  <w:num w:numId="131">
    <w:abstractNumId w:val="107"/>
  </w:num>
  <w:num w:numId="132">
    <w:abstractNumId w:val="33"/>
  </w:num>
  <w:num w:numId="133">
    <w:abstractNumId w:val="203"/>
  </w:num>
  <w:num w:numId="134">
    <w:abstractNumId w:val="206"/>
  </w:num>
  <w:num w:numId="135">
    <w:abstractNumId w:val="153"/>
  </w:num>
  <w:num w:numId="136">
    <w:abstractNumId w:val="254"/>
  </w:num>
  <w:num w:numId="137">
    <w:abstractNumId w:val="104"/>
  </w:num>
  <w:num w:numId="138">
    <w:abstractNumId w:val="174"/>
  </w:num>
  <w:num w:numId="139">
    <w:abstractNumId w:val="149"/>
  </w:num>
  <w:num w:numId="140">
    <w:abstractNumId w:val="112"/>
  </w:num>
  <w:num w:numId="141">
    <w:abstractNumId w:val="117"/>
  </w:num>
  <w:num w:numId="142">
    <w:abstractNumId w:val="92"/>
  </w:num>
  <w:num w:numId="143">
    <w:abstractNumId w:val="210"/>
  </w:num>
  <w:num w:numId="144">
    <w:abstractNumId w:val="122"/>
  </w:num>
  <w:num w:numId="145">
    <w:abstractNumId w:val="21"/>
  </w:num>
  <w:num w:numId="146">
    <w:abstractNumId w:val="116"/>
  </w:num>
  <w:num w:numId="147">
    <w:abstractNumId w:val="136"/>
  </w:num>
  <w:num w:numId="148">
    <w:abstractNumId w:val="82"/>
  </w:num>
  <w:num w:numId="149">
    <w:abstractNumId w:val="201"/>
  </w:num>
  <w:num w:numId="150">
    <w:abstractNumId w:val="252"/>
  </w:num>
  <w:num w:numId="151">
    <w:abstractNumId w:val="96"/>
  </w:num>
  <w:num w:numId="152">
    <w:abstractNumId w:val="44"/>
  </w:num>
  <w:num w:numId="153">
    <w:abstractNumId w:val="6"/>
  </w:num>
  <w:num w:numId="154">
    <w:abstractNumId w:val="51"/>
  </w:num>
  <w:num w:numId="155">
    <w:abstractNumId w:val="148"/>
  </w:num>
  <w:num w:numId="156">
    <w:abstractNumId w:val="57"/>
  </w:num>
  <w:num w:numId="157">
    <w:abstractNumId w:val="118"/>
  </w:num>
  <w:num w:numId="158">
    <w:abstractNumId w:val="182"/>
  </w:num>
  <w:num w:numId="159">
    <w:abstractNumId w:val="216"/>
  </w:num>
  <w:num w:numId="160">
    <w:abstractNumId w:val="55"/>
  </w:num>
  <w:num w:numId="161">
    <w:abstractNumId w:val="205"/>
  </w:num>
  <w:num w:numId="162">
    <w:abstractNumId w:val="169"/>
  </w:num>
  <w:num w:numId="163">
    <w:abstractNumId w:val="163"/>
  </w:num>
  <w:num w:numId="164">
    <w:abstractNumId w:val="129"/>
  </w:num>
  <w:num w:numId="165">
    <w:abstractNumId w:val="199"/>
  </w:num>
  <w:num w:numId="166">
    <w:abstractNumId w:val="74"/>
  </w:num>
  <w:num w:numId="167">
    <w:abstractNumId w:val="226"/>
  </w:num>
  <w:num w:numId="168">
    <w:abstractNumId w:val="207"/>
  </w:num>
  <w:num w:numId="169">
    <w:abstractNumId w:val="185"/>
  </w:num>
  <w:num w:numId="170">
    <w:abstractNumId w:val="114"/>
  </w:num>
  <w:num w:numId="171">
    <w:abstractNumId w:val="43"/>
  </w:num>
  <w:num w:numId="172">
    <w:abstractNumId w:val="261"/>
  </w:num>
  <w:num w:numId="173">
    <w:abstractNumId w:val="184"/>
  </w:num>
  <w:num w:numId="174">
    <w:abstractNumId w:val="253"/>
  </w:num>
  <w:num w:numId="175">
    <w:abstractNumId w:val="19"/>
  </w:num>
  <w:num w:numId="176">
    <w:abstractNumId w:val="249"/>
  </w:num>
  <w:num w:numId="177">
    <w:abstractNumId w:val="85"/>
  </w:num>
  <w:num w:numId="178">
    <w:abstractNumId w:val="245"/>
  </w:num>
  <w:num w:numId="179">
    <w:abstractNumId w:val="195"/>
  </w:num>
  <w:num w:numId="180">
    <w:abstractNumId w:val="260"/>
  </w:num>
  <w:num w:numId="181">
    <w:abstractNumId w:val="258"/>
  </w:num>
  <w:num w:numId="182">
    <w:abstractNumId w:val="91"/>
  </w:num>
  <w:num w:numId="183">
    <w:abstractNumId w:val="119"/>
  </w:num>
  <w:num w:numId="184">
    <w:abstractNumId w:val="131"/>
  </w:num>
  <w:num w:numId="185">
    <w:abstractNumId w:val="17"/>
  </w:num>
  <w:num w:numId="186">
    <w:abstractNumId w:val="59"/>
  </w:num>
  <w:num w:numId="187">
    <w:abstractNumId w:val="211"/>
  </w:num>
  <w:num w:numId="188">
    <w:abstractNumId w:val="60"/>
  </w:num>
  <w:num w:numId="189">
    <w:abstractNumId w:val="247"/>
  </w:num>
  <w:num w:numId="190">
    <w:abstractNumId w:val="225"/>
  </w:num>
  <w:num w:numId="191">
    <w:abstractNumId w:val="237"/>
  </w:num>
  <w:num w:numId="192">
    <w:abstractNumId w:val="67"/>
  </w:num>
  <w:num w:numId="193">
    <w:abstractNumId w:val="197"/>
  </w:num>
  <w:num w:numId="194">
    <w:abstractNumId w:val="111"/>
  </w:num>
  <w:num w:numId="195">
    <w:abstractNumId w:val="171"/>
  </w:num>
  <w:num w:numId="196">
    <w:abstractNumId w:val="5"/>
  </w:num>
  <w:num w:numId="197">
    <w:abstractNumId w:val="50"/>
  </w:num>
  <w:num w:numId="198">
    <w:abstractNumId w:val="161"/>
  </w:num>
  <w:num w:numId="199">
    <w:abstractNumId w:val="224"/>
  </w:num>
  <w:num w:numId="200">
    <w:abstractNumId w:val="248"/>
  </w:num>
  <w:num w:numId="201">
    <w:abstractNumId w:val="64"/>
  </w:num>
  <w:num w:numId="202">
    <w:abstractNumId w:val="34"/>
  </w:num>
  <w:num w:numId="203">
    <w:abstractNumId w:val="166"/>
  </w:num>
  <w:num w:numId="204">
    <w:abstractNumId w:val="130"/>
  </w:num>
  <w:num w:numId="205">
    <w:abstractNumId w:val="65"/>
  </w:num>
  <w:num w:numId="206">
    <w:abstractNumId w:val="54"/>
  </w:num>
  <w:num w:numId="207">
    <w:abstractNumId w:val="150"/>
  </w:num>
  <w:num w:numId="208">
    <w:abstractNumId w:val="155"/>
  </w:num>
  <w:num w:numId="209">
    <w:abstractNumId w:val="200"/>
  </w:num>
  <w:num w:numId="210">
    <w:abstractNumId w:val="138"/>
  </w:num>
  <w:num w:numId="211">
    <w:abstractNumId w:val="25"/>
  </w:num>
  <w:num w:numId="212">
    <w:abstractNumId w:val="233"/>
  </w:num>
  <w:num w:numId="213">
    <w:abstractNumId w:val="37"/>
  </w:num>
  <w:num w:numId="214">
    <w:abstractNumId w:val="10"/>
  </w:num>
  <w:num w:numId="215">
    <w:abstractNumId w:val="223"/>
  </w:num>
  <w:num w:numId="216">
    <w:abstractNumId w:val="31"/>
  </w:num>
  <w:num w:numId="217">
    <w:abstractNumId w:val="147"/>
  </w:num>
  <w:num w:numId="218">
    <w:abstractNumId w:val="113"/>
  </w:num>
  <w:num w:numId="219">
    <w:abstractNumId w:val="30"/>
  </w:num>
  <w:num w:numId="220">
    <w:abstractNumId w:val="20"/>
  </w:num>
  <w:num w:numId="221">
    <w:abstractNumId w:val="84"/>
  </w:num>
  <w:num w:numId="222">
    <w:abstractNumId w:val="22"/>
  </w:num>
  <w:num w:numId="223">
    <w:abstractNumId w:val="47"/>
  </w:num>
  <w:num w:numId="224">
    <w:abstractNumId w:val="213"/>
  </w:num>
  <w:num w:numId="225">
    <w:abstractNumId w:val="78"/>
  </w:num>
  <w:num w:numId="226">
    <w:abstractNumId w:val="173"/>
  </w:num>
  <w:num w:numId="227">
    <w:abstractNumId w:val="105"/>
  </w:num>
  <w:num w:numId="228">
    <w:abstractNumId w:val="108"/>
  </w:num>
  <w:num w:numId="229">
    <w:abstractNumId w:val="194"/>
  </w:num>
  <w:num w:numId="230">
    <w:abstractNumId w:val="121"/>
  </w:num>
  <w:num w:numId="231">
    <w:abstractNumId w:val="40"/>
  </w:num>
  <w:num w:numId="232">
    <w:abstractNumId w:val="212"/>
  </w:num>
  <w:num w:numId="233">
    <w:abstractNumId w:val="83"/>
  </w:num>
  <w:num w:numId="234">
    <w:abstractNumId w:val="268"/>
  </w:num>
  <w:num w:numId="235">
    <w:abstractNumId w:val="97"/>
  </w:num>
  <w:num w:numId="236">
    <w:abstractNumId w:val="16"/>
  </w:num>
  <w:num w:numId="237">
    <w:abstractNumId w:val="192"/>
  </w:num>
  <w:num w:numId="238">
    <w:abstractNumId w:val="143"/>
  </w:num>
  <w:num w:numId="239">
    <w:abstractNumId w:val="188"/>
  </w:num>
  <w:num w:numId="240">
    <w:abstractNumId w:val="48"/>
  </w:num>
  <w:num w:numId="241">
    <w:abstractNumId w:val="239"/>
  </w:num>
  <w:num w:numId="242">
    <w:abstractNumId w:val="42"/>
  </w:num>
  <w:num w:numId="243">
    <w:abstractNumId w:val="128"/>
  </w:num>
  <w:num w:numId="244">
    <w:abstractNumId w:val="77"/>
  </w:num>
  <w:num w:numId="245">
    <w:abstractNumId w:val="139"/>
  </w:num>
  <w:num w:numId="246">
    <w:abstractNumId w:val="231"/>
  </w:num>
  <w:num w:numId="247">
    <w:abstractNumId w:val="164"/>
  </w:num>
  <w:num w:numId="248">
    <w:abstractNumId w:val="230"/>
  </w:num>
  <w:num w:numId="249">
    <w:abstractNumId w:val="8"/>
  </w:num>
  <w:num w:numId="250">
    <w:abstractNumId w:val="264"/>
  </w:num>
  <w:num w:numId="251">
    <w:abstractNumId w:val="99"/>
  </w:num>
  <w:num w:numId="252">
    <w:abstractNumId w:val="11"/>
  </w:num>
  <w:num w:numId="253">
    <w:abstractNumId w:val="100"/>
  </w:num>
  <w:num w:numId="254">
    <w:abstractNumId w:val="101"/>
  </w:num>
  <w:num w:numId="255">
    <w:abstractNumId w:val="90"/>
  </w:num>
  <w:num w:numId="256">
    <w:abstractNumId w:val="110"/>
  </w:num>
  <w:num w:numId="257">
    <w:abstractNumId w:val="257"/>
  </w:num>
  <w:num w:numId="258">
    <w:abstractNumId w:val="89"/>
  </w:num>
  <w:num w:numId="259">
    <w:abstractNumId w:val="133"/>
  </w:num>
  <w:num w:numId="260">
    <w:abstractNumId w:val="157"/>
  </w:num>
  <w:num w:numId="261">
    <w:abstractNumId w:val="49"/>
  </w:num>
  <w:num w:numId="262">
    <w:abstractNumId w:val="180"/>
  </w:num>
  <w:num w:numId="263">
    <w:abstractNumId w:val="144"/>
  </w:num>
  <w:num w:numId="264">
    <w:abstractNumId w:val="152"/>
  </w:num>
  <w:num w:numId="265">
    <w:abstractNumId w:val="255"/>
  </w:num>
  <w:num w:numId="266">
    <w:abstractNumId w:val="246"/>
  </w:num>
  <w:num w:numId="267">
    <w:abstractNumId w:val="145"/>
  </w:num>
  <w:num w:numId="268">
    <w:abstractNumId w:val="41"/>
  </w:num>
  <w:num w:numId="269">
    <w:abstractNumId w:val="263"/>
  </w:num>
  <w:num w:numId="270">
    <w:abstractNumId w:val="79"/>
  </w:num>
  <w:num w:numId="2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4DA277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45</Pages>
  <Words>14763</Words>
  <Characters>18084</Characters>
  <TotalTime>0</TotalTime>
  <ScaleCrop>false</ScaleCrop>
  <LinksUpToDate>false</LinksUpToDate>
  <CharactersWithSpaces>18596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2025-12-28T11:53:00Z</dcterms:created>
  <dc:creator>Apache POI</dc:creator>
  <cp:lastModifiedBy>一缕清风</cp:lastModifiedBy>
  <dcterms:modified xsi:type="dcterms:W3CDTF">2025-12-28T12:09:37Z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50A3D49F23934CA1B4FBFD95962E165D_12</vt:lpwstr>
  </property>
</Properties>
</file>