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87E5B">
      <w:pPr>
        <w:spacing w:before="480" w:after="480" w:line="288" w:lineRule="auto"/>
        <w:ind w:left="0"/>
      </w:pPr>
      <w:r>
        <w:rPr>
          <w:rFonts w:ascii="Arial" w:hAnsi="Arial" w:eastAsia="等线" w:cs="Arial"/>
          <w:b/>
          <w:sz w:val="52"/>
        </w:rPr>
        <w:t>Chapter 14 Securities Markets: Taking Orders and Executing Trades</w:t>
      </w:r>
    </w:p>
    <w:p w14:paraId="67D15D15">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5D5E5978">
      <w:pPr>
        <w:spacing w:before="120" w:after="120" w:line="288" w:lineRule="auto"/>
        <w:ind w:left="0"/>
        <w:jc w:val="left"/>
      </w:pPr>
      <w:r>
        <w:rPr>
          <w:rFonts w:ascii="Arial" w:hAnsi="Arial" w:eastAsia="等线" w:cs="Arial"/>
          <w:sz w:val="22"/>
        </w:rPr>
        <w:t>这一章是 SIE 考试的重点，因为它涵盖了证券行业日常运作的核心流程：客户如何下单以及券商如何执行这些订单。</w:t>
      </w:r>
    </w:p>
    <w:p w14:paraId="2C64081B">
      <w:pPr>
        <w:spacing w:before="120" w:after="120" w:line="288" w:lineRule="auto"/>
        <w:ind w:left="0"/>
        <w:jc w:val="left"/>
      </w:pPr>
    </w:p>
    <w:p w14:paraId="2F761C3F">
      <w:pPr>
        <w:spacing w:before="120" w:after="120" w:line="288" w:lineRule="auto"/>
        <w:ind w:left="0"/>
        <w:jc w:val="left"/>
      </w:pPr>
      <w:r>
        <w:rPr>
          <w:rFonts w:ascii="Arial" w:hAnsi="Arial" w:eastAsia="等线" w:cs="Arial"/>
          <w:sz w:val="22"/>
        </w:rPr>
        <w:t>本章主要内容如下：</w:t>
      </w:r>
    </w:p>
    <w:p w14:paraId="72BDBA70">
      <w:pPr>
        <w:numPr>
          <w:ilvl w:val="0"/>
          <w:numId w:val="1"/>
        </w:numPr>
        <w:spacing w:before="120" w:after="120" w:line="288" w:lineRule="auto"/>
        <w:ind w:left="0"/>
        <w:jc w:val="left"/>
      </w:pPr>
      <w:r>
        <w:rPr>
          <w:rFonts w:ascii="Arial" w:hAnsi="Arial" w:eastAsia="等线" w:cs="Arial"/>
          <w:sz w:val="22"/>
        </w:rPr>
        <w:t>交易所和场外交易（OTC）市场的基础知识。</w:t>
      </w:r>
    </w:p>
    <w:p w14:paraId="5FE730EF">
      <w:pPr>
        <w:numPr>
          <w:ilvl w:val="0"/>
          <w:numId w:val="2"/>
        </w:numPr>
        <w:spacing w:before="120" w:after="120" w:line="288" w:lineRule="auto"/>
        <w:ind w:left="0"/>
        <w:jc w:val="left"/>
      </w:pPr>
      <w:r>
        <w:rPr>
          <w:rFonts w:ascii="Arial" w:hAnsi="Arial" w:eastAsia="等线" w:cs="Arial"/>
          <w:sz w:val="22"/>
        </w:rPr>
        <w:t>了解帮助市场平稳运行（至少大部分时间是这样）的活跃参与者。</w:t>
      </w:r>
    </w:p>
    <w:p w14:paraId="4B98098E">
      <w:pPr>
        <w:numPr>
          <w:ilvl w:val="0"/>
          <w:numId w:val="3"/>
        </w:numPr>
        <w:spacing w:before="120" w:after="120" w:line="288" w:lineRule="auto"/>
        <w:ind w:left="0"/>
        <w:jc w:val="left"/>
      </w:pPr>
      <w:r>
        <w:rPr>
          <w:rFonts w:ascii="Arial" w:hAnsi="Arial" w:eastAsia="等线" w:cs="Arial"/>
          <w:sz w:val="22"/>
        </w:rPr>
        <w:t>了解基本订单类型和订单特征。</w:t>
      </w:r>
    </w:p>
    <w:p w14:paraId="44A17C6B">
      <w:pPr>
        <w:spacing w:before="120" w:after="120" w:line="288" w:lineRule="auto"/>
        <w:ind w:left="0"/>
        <w:jc w:val="left"/>
      </w:pPr>
    </w:p>
    <w:p w14:paraId="77B580AA">
      <w:pPr>
        <w:spacing w:before="120" w:after="120" w:line="288" w:lineRule="auto"/>
        <w:ind w:left="0"/>
        <w:jc w:val="left"/>
      </w:pPr>
      <w:r>
        <w:rPr>
          <w:rFonts w:ascii="Arial" w:hAnsi="Arial" w:eastAsia="等线" w:cs="Arial"/>
          <w:sz w:val="22"/>
        </w:rPr>
        <w:t>核心思想是：注册代表（RR，Registered Representative）必须严格按照客户的指令行事，并理解不同订单类型和执行方式的含义。</w:t>
      </w:r>
    </w:p>
    <w:p w14:paraId="664AD327">
      <w:pPr>
        <w:spacing w:before="120" w:after="120" w:line="288" w:lineRule="auto"/>
        <w:ind w:left="0"/>
        <w:jc w:val="left"/>
      </w:pPr>
    </w:p>
    <w:p w14:paraId="3D4FD3FE">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7B11F531">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一级市场和二级市场</w:t>
      </w:r>
      <w:bookmarkEnd w:id="2"/>
    </w:p>
    <w:p w14:paraId="1A71ADC1">
      <w:pPr>
        <w:spacing w:before="120" w:after="120" w:line="288" w:lineRule="auto"/>
        <w:ind w:left="0"/>
        <w:jc w:val="left"/>
      </w:pPr>
      <w:r>
        <w:rPr>
          <w:rFonts w:ascii="Arial" w:hAnsi="Arial" w:eastAsia="等线" w:cs="Arial"/>
          <w:sz w:val="22"/>
        </w:rPr>
        <w:t>新发行的证券和已发行的证券在不同市场交易，分别在一级市场和二级市场（Primary and Secondary Markets）交易。</w:t>
      </w:r>
    </w:p>
    <w:p w14:paraId="3D280C52">
      <w:pPr>
        <w:spacing w:before="120" w:after="120" w:line="288" w:lineRule="auto"/>
        <w:ind w:left="0"/>
        <w:jc w:val="left"/>
      </w:pPr>
    </w:p>
    <w:p w14:paraId="452F65A0">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一级市场买新货</w:t>
      </w:r>
      <w:bookmarkEnd w:id="3"/>
    </w:p>
    <w:p w14:paraId="1936882A">
      <w:pPr>
        <w:spacing w:before="120" w:after="120" w:line="288" w:lineRule="auto"/>
        <w:ind w:left="0"/>
        <w:jc w:val="left"/>
      </w:pPr>
      <w:r>
        <w:rPr>
          <w:rFonts w:ascii="Arial" w:hAnsi="Arial" w:eastAsia="等线" w:cs="Arial"/>
          <w:sz w:val="22"/>
        </w:rPr>
        <w:t>一级市场（新股发行市场）是发行人获得证券销售收益的地方。</w:t>
      </w:r>
    </w:p>
    <w:p w14:paraId="68529A0A">
      <w:pPr>
        <w:spacing w:before="120" w:after="120" w:line="288" w:lineRule="auto"/>
        <w:ind w:left="0"/>
        <w:jc w:val="left"/>
      </w:pPr>
    </w:p>
    <w:p w14:paraId="3A25CEE7">
      <w:pPr>
        <w:spacing w:before="120" w:after="120" w:line="288" w:lineRule="auto"/>
        <w:ind w:left="0"/>
        <w:jc w:val="left"/>
      </w:pPr>
      <w:r>
        <w:rPr>
          <w:rFonts w:ascii="Arial" w:hAnsi="Arial" w:eastAsia="等线" w:cs="Arial"/>
          <w:sz w:val="22"/>
        </w:rPr>
        <w:t>一级市场的三种发行类型：</w:t>
      </w:r>
    </w:p>
    <w:p w14:paraId="65B92B80">
      <w:pPr>
        <w:numPr>
          <w:ilvl w:val="0"/>
          <w:numId w:val="4"/>
        </w:numPr>
        <w:spacing w:before="120" w:after="120" w:line="288" w:lineRule="auto"/>
        <w:ind w:left="0"/>
        <w:jc w:val="left"/>
      </w:pPr>
      <w:r>
        <w:rPr>
          <w:rFonts w:ascii="Arial" w:hAnsi="Arial" w:eastAsia="等线" w:cs="Arial"/>
          <w:b/>
          <w:sz w:val="22"/>
        </w:rPr>
        <w:t>首次公开募股（IPO）：</w:t>
      </w:r>
      <w:r>
        <w:rPr>
          <w:rFonts w:ascii="Arial" w:hAnsi="Arial" w:eastAsia="等线" w:cs="Arial"/>
          <w:sz w:val="22"/>
        </w:rPr>
        <w:t>首次公开募股是一家公司首次向公众出售股票以筹集资金。当一家公司首次发行证券时，就被称为上市。因此，首次公开募股是首次一级发行。</w:t>
      </w:r>
    </w:p>
    <w:p w14:paraId="53D02E8D">
      <w:pPr>
        <w:numPr>
          <w:ilvl w:val="0"/>
          <w:numId w:val="5"/>
        </w:numPr>
        <w:spacing w:before="120" w:after="120" w:line="288" w:lineRule="auto"/>
        <w:ind w:left="0"/>
        <w:jc w:val="left"/>
      </w:pPr>
      <w:r>
        <w:rPr>
          <w:rFonts w:ascii="Arial" w:hAnsi="Arial" w:eastAsia="等线" w:cs="Arial"/>
          <w:b/>
          <w:sz w:val="22"/>
        </w:rPr>
        <w:t>首次发行（Primary Offering）</w:t>
      </w:r>
      <w:r>
        <w:rPr>
          <w:rFonts w:ascii="Arial" w:hAnsi="Arial" w:eastAsia="等线" w:cs="Arial"/>
          <w:sz w:val="22"/>
        </w:rPr>
        <w:t>：首次发行是指发行人市场（issuer market），即发行人通过出售股票来筹集资金。当然，首次公开募股（IPO）就属于这一类别。不过，公司通常会预留部分股票供未来使用；之后，公司会将这些证券从储备中取出，并在后续（补充、额外或跟进）发行中出售，这也属于首次发行。一家公司可能被授权发行200万股普通股，但在其首次公开募股中，可能只出售80万股。此时，仍有120万股从未向公众发行过的新股票。一年后，当公司需要筹集额外资金建造新仓库时，它可以在后续的首次发行中出售剩余120万股中的一部分。</w:t>
      </w:r>
    </w:p>
    <w:p w14:paraId="27A33471">
      <w:pPr>
        <w:numPr>
          <w:ilvl w:val="0"/>
          <w:numId w:val="6"/>
        </w:numPr>
        <w:spacing w:before="120" w:after="120" w:line="288" w:lineRule="auto"/>
        <w:ind w:left="0"/>
        <w:jc w:val="left"/>
      </w:pPr>
      <w:r>
        <w:rPr>
          <w:rFonts w:ascii="Arial" w:hAnsi="Arial" w:eastAsia="等线" w:cs="Arial"/>
          <w:b/>
          <w:sz w:val="22"/>
        </w:rPr>
        <w:t>合并（拆分）发行（Combined (split) offering）</w:t>
      </w:r>
      <w:r>
        <w:rPr>
          <w:rFonts w:ascii="Arial" w:hAnsi="Arial" w:eastAsia="等线" w:cs="Arial"/>
          <w:sz w:val="22"/>
        </w:rPr>
        <w:t>：此类发行是新证券与大量已发行或先前已发行证券的组合。</w:t>
      </w:r>
    </w:p>
    <w:p w14:paraId="11868820">
      <w:pPr>
        <w:spacing w:before="120" w:after="120" w:line="288" w:lineRule="auto"/>
        <w:ind w:left="0"/>
        <w:jc w:val="left"/>
      </w:pPr>
      <w:r>
        <w:rPr>
          <w:rFonts w:ascii="Arial" w:hAnsi="Arial" w:eastAsia="等线" w:cs="Arial"/>
          <w:sz w:val="22"/>
        </w:rPr>
        <w:t>当证券在一级市场出售时，大部分销售收益归 Issuer 所有，其余部分则归负责向公众销售证券的实体——换句话说，就是承销商和销售团成员（underwriter/selling group members）（如有）。</w:t>
      </w:r>
    </w:p>
    <w:p w14:paraId="01428429">
      <w:pPr>
        <w:spacing w:before="120" w:after="120" w:line="288" w:lineRule="auto"/>
        <w:ind w:left="0"/>
        <w:jc w:val="left"/>
      </w:pPr>
    </w:p>
    <w:p w14:paraId="791FBF7C">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二级市场买二手货</w:t>
      </w:r>
      <w:bookmarkEnd w:id="4"/>
    </w:p>
    <w:p w14:paraId="0303D458">
      <w:pPr>
        <w:spacing w:before="120" w:after="120" w:line="288" w:lineRule="auto"/>
        <w:ind w:left="0"/>
        <w:jc w:val="left"/>
      </w:pPr>
      <w:r>
        <w:rPr>
          <w:rFonts w:ascii="Arial" w:hAnsi="Arial" w:eastAsia="等线" w:cs="Arial"/>
          <w:sz w:val="22"/>
        </w:rPr>
        <w:t>当证券已在市场上交易时，销售收益会流向另一位投资者，而非发行人。</w:t>
      </w:r>
    </w:p>
    <w:p w14:paraId="458C3896">
      <w:pPr>
        <w:spacing w:before="120" w:after="120" w:line="288" w:lineRule="auto"/>
        <w:ind w:left="0"/>
        <w:jc w:val="left"/>
      </w:pPr>
    </w:p>
    <w:p w14:paraId="32878A4B">
      <w:pPr>
        <w:spacing w:before="120" w:after="120" w:line="288" w:lineRule="auto"/>
        <w:ind w:left="0"/>
        <w:jc w:val="left"/>
      </w:pPr>
      <w:r>
        <w:rPr>
          <w:rFonts w:ascii="Arial" w:hAnsi="Arial" w:eastAsia="等线" w:cs="Arial"/>
          <w:sz w:val="22"/>
        </w:rPr>
        <w:t>二级市场也称为 aftermarket，分为第一市场、第二市场、第三市场和第四市场。</w:t>
      </w:r>
    </w:p>
    <w:p w14:paraId="44F0BD4C">
      <w:pPr>
        <w:spacing w:before="120" w:after="120" w:line="288" w:lineRule="auto"/>
        <w:ind w:left="0"/>
        <w:jc w:val="left"/>
      </w:pPr>
    </w:p>
    <w:p w14:paraId="7FE211CF">
      <w:pPr>
        <w:numPr>
          <w:ilvl w:val="0"/>
          <w:numId w:val="7"/>
        </w:numPr>
        <w:spacing w:before="120" w:after="120" w:line="288" w:lineRule="auto"/>
        <w:ind w:left="0"/>
        <w:jc w:val="left"/>
      </w:pPr>
      <w:r>
        <w:rPr>
          <w:rFonts w:ascii="Arial" w:hAnsi="Arial" w:eastAsia="等线" w:cs="Arial"/>
          <w:b/>
          <w:sz w:val="22"/>
        </w:rPr>
        <w:t>第一个市场（First Market）：</w:t>
      </w:r>
      <w:r>
        <w:rPr>
          <w:rFonts w:ascii="Arial" w:hAnsi="Arial" w:eastAsia="等线" w:cs="Arial"/>
          <w:sz w:val="22"/>
        </w:rPr>
        <w:t>已上市证券（listed securities）在交易所进行交易；</w:t>
      </w:r>
    </w:p>
    <w:p w14:paraId="557475A8">
      <w:pPr>
        <w:numPr>
          <w:ilvl w:val="0"/>
          <w:numId w:val="8"/>
        </w:numPr>
        <w:spacing w:before="120" w:after="120" w:line="288" w:lineRule="auto"/>
        <w:ind w:left="0"/>
        <w:jc w:val="left"/>
      </w:pPr>
      <w:r>
        <w:rPr>
          <w:rFonts w:ascii="Arial" w:hAnsi="Arial" w:eastAsia="等线" w:cs="Arial"/>
          <w:b/>
          <w:sz w:val="22"/>
        </w:rPr>
        <w:t>第二市场（Second market）</w:t>
      </w:r>
      <w:r>
        <w:rPr>
          <w:rFonts w:ascii="Arial" w:hAnsi="Arial" w:eastAsia="等线" w:cs="Arial"/>
          <w:sz w:val="22"/>
        </w:rPr>
        <w:t>：不要与二级市场（Secondary Market）混淆，非上市证券的场外交易（OTC）；</w:t>
      </w:r>
    </w:p>
    <w:p w14:paraId="65F1C60A">
      <w:pPr>
        <w:numPr>
          <w:ilvl w:val="0"/>
          <w:numId w:val="9"/>
        </w:numPr>
        <w:spacing w:before="120" w:after="120" w:line="288" w:lineRule="auto"/>
        <w:ind w:left="0"/>
        <w:jc w:val="left"/>
      </w:pPr>
      <w:r>
        <w:rPr>
          <w:rFonts w:ascii="Arial" w:hAnsi="Arial" w:eastAsia="等线" w:cs="Arial"/>
          <w:b/>
          <w:sz w:val="22"/>
        </w:rPr>
        <w:t>第三市场（Third market）</w:t>
      </w:r>
      <w:r>
        <w:rPr>
          <w:rFonts w:ascii="Arial" w:hAnsi="Arial" w:eastAsia="等线" w:cs="Arial"/>
          <w:sz w:val="22"/>
        </w:rPr>
        <w:t>：已上市证券的场外交易（OTC）市场。在这里价格是通过协商确定的，并且没有集中的交易地点；</w:t>
      </w:r>
    </w:p>
    <w:p w14:paraId="4C268EA3">
      <w:pPr>
        <w:numPr>
          <w:ilvl w:val="0"/>
          <w:numId w:val="10"/>
        </w:numPr>
        <w:spacing w:before="120" w:after="120" w:line="288" w:lineRule="auto"/>
        <w:ind w:left="0"/>
        <w:jc w:val="left"/>
      </w:pPr>
      <w:r>
        <w:rPr>
          <w:rFonts w:ascii="Arial" w:hAnsi="Arial" w:eastAsia="等线" w:cs="Arial"/>
          <w:b/>
          <w:sz w:val="22"/>
        </w:rPr>
        <w:t>第四市场（Fourth market）</w:t>
      </w:r>
      <w:r>
        <w:rPr>
          <w:rFonts w:ascii="Arial" w:hAnsi="Arial" w:eastAsia="等线" w:cs="Arial"/>
          <w:sz w:val="22"/>
        </w:rPr>
        <w:t>：是机构之间不通过经纪公司进行的证券交易。第四市场交易通常通过电子通信网络（ECNs）执行，例如 Instinet。</w:t>
      </w:r>
    </w:p>
    <w:p w14:paraId="572AA101">
      <w:pPr>
        <w:spacing w:before="120" w:after="120" w:line="288" w:lineRule="auto"/>
        <w:ind w:left="0"/>
        <w:jc w:val="left"/>
      </w:pPr>
    </w:p>
    <w:p w14:paraId="41696DCC">
      <w:pPr>
        <w:spacing w:before="320" w:after="120" w:line="288" w:lineRule="auto"/>
        <w:ind w:left="0"/>
        <w:jc w:val="left"/>
        <w:outlineLvl w:val="1"/>
      </w:pPr>
      <w:bookmarkStart w:id="5" w:name="heading_5"/>
      <w:r>
        <w:rPr>
          <w:rFonts w:ascii="Arial" w:hAnsi="Arial" w:eastAsia="等线" w:cs="Arial"/>
          <w:color w:val="3370FF"/>
          <w:sz w:val="32"/>
        </w:rPr>
        <w:t xml:space="preserve">2.2 </w:t>
      </w:r>
      <w:r>
        <w:rPr>
          <w:rFonts w:ascii="Arial" w:hAnsi="Arial" w:eastAsia="等线" w:cs="Arial"/>
          <w:b/>
          <w:sz w:val="32"/>
        </w:rPr>
        <w:t>进行交易（Making the Trade）</w:t>
      </w:r>
      <w:bookmarkEnd w:id="5"/>
    </w:p>
    <w:p w14:paraId="3377D5EC">
      <w:pPr>
        <w:spacing w:before="120" w:after="120" w:line="288" w:lineRule="auto"/>
        <w:ind w:left="0"/>
        <w:jc w:val="left"/>
      </w:pPr>
      <w:r>
        <w:rPr>
          <w:rFonts w:ascii="Arial" w:hAnsi="Arial" w:eastAsia="等线" w:cs="Arial"/>
          <w:sz w:val="22"/>
        </w:rPr>
        <w:t>证券公开发行后，可以在交易所或场外交易市场（OTC market）进行交易。</w:t>
      </w:r>
    </w:p>
    <w:p w14:paraId="4114AA49">
      <w:pPr>
        <w:spacing w:before="120" w:after="120" w:line="288" w:lineRule="auto"/>
        <w:ind w:left="0"/>
        <w:jc w:val="left"/>
      </w:pPr>
    </w:p>
    <w:p w14:paraId="5E4752FE">
      <w:pPr>
        <w:spacing w:before="300" w:after="120" w:line="288" w:lineRule="auto"/>
        <w:ind w:left="0"/>
        <w:jc w:val="left"/>
        <w:outlineLvl w:val="2"/>
      </w:pPr>
      <w:bookmarkStart w:id="6" w:name="heading_6"/>
      <w:r>
        <w:rPr>
          <w:rFonts w:ascii="Arial" w:hAnsi="Arial" w:eastAsia="等线" w:cs="Arial"/>
          <w:color w:val="3370FF"/>
          <w:sz w:val="30"/>
        </w:rPr>
        <w:t xml:space="preserve">2.2.1 </w:t>
      </w:r>
      <w:r>
        <w:rPr>
          <w:rFonts w:ascii="Arial" w:hAnsi="Arial" w:eastAsia="等线" w:cs="Arial"/>
          <w:b/>
          <w:sz w:val="30"/>
        </w:rPr>
        <w:t>在证券交易所拍卖证券</w:t>
      </w:r>
      <w:bookmarkEnd w:id="6"/>
    </w:p>
    <w:p w14:paraId="4EB6D2A8">
      <w:pPr>
        <w:spacing w:before="120" w:after="120" w:line="288" w:lineRule="auto"/>
        <w:ind w:left="0"/>
        <w:jc w:val="left"/>
      </w:pPr>
      <w:r>
        <w:rPr>
          <w:rFonts w:ascii="Arial" w:hAnsi="Arial" w:eastAsia="等线" w:cs="Arial"/>
          <w:sz w:val="22"/>
        </w:rPr>
        <w:t>交易所是拍卖市场（auction markets），买家和卖家聚集在一起进行交易。</w:t>
      </w:r>
    </w:p>
    <w:p w14:paraId="4731FC15">
      <w:pPr>
        <w:spacing w:before="120" w:after="120" w:line="288" w:lineRule="auto"/>
        <w:ind w:left="0"/>
        <w:jc w:val="left"/>
      </w:pPr>
    </w:p>
    <w:p w14:paraId="59F3DE30">
      <w:pPr>
        <w:spacing w:before="120" w:after="120" w:line="288" w:lineRule="auto"/>
        <w:ind w:left="0"/>
        <w:jc w:val="left"/>
      </w:pPr>
      <w:r>
        <w:rPr>
          <w:rFonts w:ascii="Arial" w:hAnsi="Arial" w:eastAsia="等线" w:cs="Arial"/>
          <w:sz w:val="22"/>
        </w:rPr>
        <w:t>我相信你一定在电影或电视节目中见过纽约证券交易所的场景。它看起来确实非常混乱（而且就像一个容易心脏病发作或患上溃疡的好地方）。然而，某种秩序肯定是存在的：</w:t>
      </w:r>
    </w:p>
    <w:p w14:paraId="57E1A378">
      <w:pPr>
        <w:numPr>
          <w:ilvl w:val="0"/>
          <w:numId w:val="11"/>
        </w:numPr>
        <w:spacing w:before="120" w:after="120" w:line="288" w:lineRule="auto"/>
        <w:ind w:left="0"/>
        <w:jc w:val="left"/>
      </w:pPr>
      <w:r>
        <w:rPr>
          <w:rFonts w:ascii="Arial" w:hAnsi="Arial" w:eastAsia="等线" w:cs="Arial"/>
          <w:sz w:val="22"/>
        </w:rPr>
        <w:t>所有的交易所都有一个执行所有交易的交易大厅。</w:t>
      </w:r>
    </w:p>
    <w:p w14:paraId="5010754E">
      <w:pPr>
        <w:numPr>
          <w:ilvl w:val="0"/>
          <w:numId w:val="12"/>
        </w:numPr>
        <w:spacing w:before="120" w:after="120" w:line="288" w:lineRule="auto"/>
        <w:ind w:left="0"/>
        <w:jc w:val="left"/>
      </w:pPr>
      <w:r>
        <w:rPr>
          <w:rFonts w:ascii="Arial" w:hAnsi="Arial" w:eastAsia="等线" w:cs="Arial"/>
          <w:sz w:val="22"/>
        </w:rPr>
        <w:t>交易所上市的每只证券在进行拍卖的交易大厅都有自己的交易台（位置）。</w:t>
      </w:r>
    </w:p>
    <w:p w14:paraId="0974ABD8">
      <w:pPr>
        <w:numPr>
          <w:ilvl w:val="0"/>
          <w:numId w:val="13"/>
        </w:numPr>
        <w:spacing w:before="120" w:after="120" w:line="288" w:lineRule="auto"/>
        <w:ind w:left="0"/>
        <w:jc w:val="left"/>
      </w:pPr>
      <w:r>
        <w:rPr>
          <w:rFonts w:ascii="Arial" w:hAnsi="Arial" w:eastAsia="等线" w:cs="Arial"/>
          <w:sz w:val="22"/>
        </w:rPr>
        <w:t>经纪人想要买入时会大声喊价或/和做出手势，以表明他们愿意为购买某一特定证券支付的价格。</w:t>
      </w:r>
    </w:p>
    <w:p w14:paraId="16802593">
      <w:pPr>
        <w:numPr>
          <w:ilvl w:val="0"/>
          <w:numId w:val="14"/>
        </w:numPr>
        <w:spacing w:before="120" w:after="120" w:line="288" w:lineRule="auto"/>
        <w:ind w:left="0"/>
        <w:jc w:val="left"/>
      </w:pPr>
      <w:r>
        <w:rPr>
          <w:rFonts w:ascii="Arial" w:hAnsi="Arial" w:eastAsia="等线" w:cs="Arial"/>
          <w:sz w:val="22"/>
        </w:rPr>
        <w:t>反过来，卖方喊出他们愿意出售证券的价格。</w:t>
      </w:r>
    </w:p>
    <w:p w14:paraId="1BE637C5">
      <w:pPr>
        <w:numPr>
          <w:ilvl w:val="0"/>
          <w:numId w:val="15"/>
        </w:numPr>
        <w:spacing w:before="120" w:after="120" w:line="288" w:lineRule="auto"/>
        <w:ind w:left="0"/>
        <w:jc w:val="left"/>
      </w:pPr>
      <w:r>
        <w:rPr>
          <w:rFonts w:ascii="Arial" w:hAnsi="Arial" w:eastAsia="等线" w:cs="Arial"/>
          <w:sz w:val="22"/>
        </w:rPr>
        <w:t>如果买卖双方能达成协议，就成交了。</w:t>
      </w:r>
    </w:p>
    <w:p w14:paraId="721725A3">
      <w:pPr>
        <w:spacing w:before="120" w:after="120" w:line="288" w:lineRule="auto"/>
        <w:ind w:left="0"/>
        <w:jc w:val="left"/>
      </w:pPr>
    </w:p>
    <w:p w14:paraId="6C3D278E">
      <w:pPr>
        <w:spacing w:before="120" w:after="120" w:line="288" w:lineRule="auto"/>
        <w:ind w:left="0"/>
        <w:jc w:val="left"/>
      </w:pPr>
      <w:r>
        <w:rPr>
          <w:rFonts w:ascii="Arial" w:hAnsi="Arial" w:eastAsia="等线" w:cs="Arial"/>
          <w:sz w:val="22"/>
        </w:rPr>
        <w:t>SIE 考试主要考察的交易所是纽约证券交易所（NYSE），它也被称为大行情板（Big Board），但还有其他一些交易所，例如：</w:t>
      </w:r>
    </w:p>
    <w:p w14:paraId="7F35F5B6">
      <w:pPr>
        <w:numPr>
          <w:ilvl w:val="0"/>
          <w:numId w:val="16"/>
        </w:numPr>
        <w:spacing w:before="120" w:after="120" w:line="288" w:lineRule="auto"/>
        <w:ind w:left="0"/>
        <w:jc w:val="left"/>
      </w:pPr>
      <w:r>
        <w:rPr>
          <w:rFonts w:ascii="Arial" w:hAnsi="Arial" w:eastAsia="等线" w:cs="Arial"/>
          <w:b/>
          <w:sz w:val="22"/>
        </w:rPr>
        <w:t>纳斯达克证券交易所 (NASDAQ)</w:t>
      </w:r>
      <w:r>
        <w:rPr>
          <w:rFonts w:ascii="Arial" w:hAnsi="Arial" w:eastAsia="等线" w:cs="Arial"/>
          <w:sz w:val="22"/>
        </w:rPr>
        <w:t>：全球首个电子交易市场，科技与创新公司的聚集地。采用做市商（</w:t>
      </w:r>
      <w:r>
        <w:rPr>
          <w:rFonts w:ascii="Arial" w:hAnsi="Arial" w:eastAsia="等线" w:cs="Arial"/>
          <w:color w:val="8F959E"/>
          <w:sz w:val="22"/>
        </w:rPr>
        <w:t>Market Ma</w:t>
      </w:r>
      <w:r>
        <w:rPr>
          <w:rFonts w:ascii="Arial" w:hAnsi="Arial" w:eastAsia="等线" w:cs="Arial"/>
          <w:sz w:val="22"/>
        </w:rPr>
        <w:t>）制度。</w:t>
      </w:r>
    </w:p>
    <w:p w14:paraId="459B9A8C">
      <w:pPr>
        <w:numPr>
          <w:ilvl w:val="0"/>
          <w:numId w:val="17"/>
        </w:numPr>
        <w:spacing w:before="120" w:after="120" w:line="288" w:lineRule="auto"/>
        <w:ind w:left="0"/>
        <w:jc w:val="left"/>
      </w:pPr>
      <w:r>
        <w:rPr>
          <w:rFonts w:ascii="Arial" w:hAnsi="Arial" w:eastAsia="等线" w:cs="Arial"/>
          <w:b/>
          <w:sz w:val="22"/>
        </w:rPr>
        <w:t>美国证券交易所 (AMEX，American Stock Exchange)</w:t>
      </w:r>
      <w:r>
        <w:rPr>
          <w:rFonts w:ascii="Arial" w:hAnsi="Arial" w:eastAsia="等线" w:cs="Arial"/>
          <w:sz w:val="22"/>
        </w:rPr>
        <w:t>：专注于中小市值公司。可同时交易股票、期权和衍生产品。现已并入纽约证券交易所集团，更名为 NYSE American。</w:t>
      </w:r>
    </w:p>
    <w:p w14:paraId="223B94BB">
      <w:pPr>
        <w:numPr>
          <w:ilvl w:val="0"/>
          <w:numId w:val="18"/>
        </w:numPr>
        <w:spacing w:before="120" w:after="120" w:line="288" w:lineRule="auto"/>
        <w:ind w:left="0"/>
        <w:jc w:val="left"/>
      </w:pPr>
      <w:r>
        <w:rPr>
          <w:rFonts w:ascii="Arial" w:hAnsi="Arial" w:eastAsia="等线" w:cs="Arial"/>
          <w:b/>
          <w:sz w:val="22"/>
        </w:rPr>
        <w:t>芝加哥期权交易所 (CBOE，Chicago Board Options Exchange)</w:t>
      </w:r>
      <w:r>
        <w:rPr>
          <w:rFonts w:ascii="Arial" w:hAnsi="Arial" w:eastAsia="等线" w:cs="Arial"/>
          <w:sz w:val="22"/>
        </w:rPr>
        <w:t>：全球首家推出标准化期权合约的交易所。主要交易期权产品，如股票期权和指数期权。</w:t>
      </w:r>
    </w:p>
    <w:p w14:paraId="66DF0F39">
      <w:pPr>
        <w:numPr>
          <w:ilvl w:val="0"/>
          <w:numId w:val="19"/>
        </w:numPr>
        <w:spacing w:before="120" w:after="120" w:line="288" w:lineRule="auto"/>
        <w:ind w:left="0"/>
        <w:jc w:val="left"/>
      </w:pPr>
      <w:r>
        <w:rPr>
          <w:rFonts w:ascii="Arial" w:hAnsi="Arial" w:eastAsia="等线" w:cs="Arial"/>
          <w:b/>
          <w:sz w:val="22"/>
        </w:rPr>
        <w:t>芝加哥商业交易所集团（CME Group）</w:t>
      </w:r>
      <w:r>
        <w:rPr>
          <w:rFonts w:ascii="Arial" w:hAnsi="Arial" w:eastAsia="等线" w:cs="Arial"/>
          <w:sz w:val="22"/>
        </w:rPr>
        <w:t>是全球最大的衍生品市场之一，主要提供商品、金融和股指期货、期权的交易平台。它通过不同的交易所运营，包括：</w:t>
      </w:r>
    </w:p>
    <w:p w14:paraId="12D70ECF">
      <w:pPr>
        <w:numPr>
          <w:ilvl w:val="0"/>
          <w:numId w:val="20"/>
        </w:numPr>
        <w:spacing w:before="120" w:after="120" w:line="288" w:lineRule="auto"/>
        <w:ind w:left="453"/>
        <w:jc w:val="left"/>
      </w:pPr>
      <w:r>
        <w:rPr>
          <w:rFonts w:ascii="Arial" w:hAnsi="Arial" w:eastAsia="等线" w:cs="Arial"/>
          <w:sz w:val="22"/>
        </w:rPr>
        <w:t>CME（Chicago Mercantile Exchange）芝加哥商业交易所，主要交易农业、能源、金属等商品期货，以及金融期货。</w:t>
      </w:r>
    </w:p>
    <w:p w14:paraId="4D69E2A8">
      <w:pPr>
        <w:numPr>
          <w:ilvl w:val="0"/>
          <w:numId w:val="21"/>
        </w:numPr>
        <w:spacing w:before="120" w:after="120" w:line="288" w:lineRule="auto"/>
        <w:ind w:left="453"/>
        <w:jc w:val="left"/>
      </w:pPr>
      <w:r>
        <w:rPr>
          <w:rFonts w:ascii="Arial" w:hAnsi="Arial" w:eastAsia="等线" w:cs="Arial"/>
          <w:sz w:val="22"/>
        </w:rPr>
        <w:t>CBOT（Chicago Board of Trade）芝加哥期货交易所，以农业商品、股指期货等为主。</w:t>
      </w:r>
    </w:p>
    <w:p w14:paraId="63CC037E">
      <w:pPr>
        <w:numPr>
          <w:ilvl w:val="0"/>
          <w:numId w:val="22"/>
        </w:numPr>
        <w:spacing w:before="120" w:after="120" w:line="288" w:lineRule="auto"/>
        <w:ind w:left="453"/>
        <w:jc w:val="left"/>
      </w:pPr>
      <w:r>
        <w:rPr>
          <w:rFonts w:ascii="Arial" w:hAnsi="Arial" w:eastAsia="等线" w:cs="Arial"/>
          <w:sz w:val="22"/>
        </w:rPr>
        <w:t>NYMEX（New York Mercantile Exchange）纽约商业交易所，主要交易能源和贵金属期货。</w:t>
      </w:r>
    </w:p>
    <w:p w14:paraId="2910B182">
      <w:pPr>
        <w:numPr>
          <w:ilvl w:val="0"/>
          <w:numId w:val="23"/>
        </w:numPr>
        <w:spacing w:before="120" w:after="120" w:line="288" w:lineRule="auto"/>
        <w:ind w:left="453"/>
        <w:jc w:val="left"/>
      </w:pPr>
      <w:r>
        <w:rPr>
          <w:rFonts w:ascii="Arial" w:hAnsi="Arial" w:eastAsia="等线" w:cs="Arial"/>
          <w:sz w:val="22"/>
        </w:rPr>
        <w:t>COMEX（Commodity Exchange）是全球最大的金属期货及期权交易市场之一，专门交易黄金、白银、铜等金属的期货和期权合约。</w:t>
      </w:r>
    </w:p>
    <w:p w14:paraId="3FD0E4BE">
      <w:pPr>
        <w:spacing w:before="120" w:after="120" w:line="288" w:lineRule="auto"/>
        <w:ind w:left="0"/>
        <w:jc w:val="left"/>
      </w:pPr>
    </w:p>
    <w:p w14:paraId="16FACA83">
      <w:pPr>
        <w:spacing w:before="120" w:after="120" w:line="288" w:lineRule="auto"/>
        <w:ind w:left="0"/>
        <w:jc w:val="left"/>
      </w:pPr>
      <w:r>
        <w:rPr>
          <w:rFonts w:ascii="Arial" w:hAnsi="Arial" w:eastAsia="等线" w:cs="Arial"/>
          <w:sz w:val="22"/>
        </w:rPr>
        <w:t>交易大厅里的大多数人可归为三类：</w:t>
      </w:r>
    </w:p>
    <w:p w14:paraId="428B9907">
      <w:pPr>
        <w:numPr>
          <w:ilvl w:val="0"/>
          <w:numId w:val="24"/>
        </w:numPr>
        <w:spacing w:before="120" w:after="120" w:line="288" w:lineRule="auto"/>
        <w:ind w:left="0"/>
        <w:jc w:val="left"/>
      </w:pPr>
      <w:r>
        <w:rPr>
          <w:rFonts w:ascii="Arial" w:hAnsi="Arial" w:eastAsia="等线" w:cs="Arial"/>
          <w:b/>
          <w:sz w:val="22"/>
        </w:rPr>
        <w:t>场内经纪人（Floor brokers:）</w:t>
      </w:r>
      <w:r>
        <w:rPr>
          <w:rFonts w:ascii="Arial" w:hAnsi="Arial" w:eastAsia="等线" w:cs="Arial"/>
          <w:sz w:val="22"/>
        </w:rPr>
        <w:t>：这些人作为代理人，代表其公司的客户执行买卖订单。场内经纪人也可以为其公司促成买卖交易。场内经纪人从其公司接收买卖订单，然后要么将订单转交给指定做市商（见下文），要么与其他场内经纪人进行交易。</w:t>
      </w:r>
    </w:p>
    <w:p w14:paraId="70E0CCEC">
      <w:pPr>
        <w:numPr>
          <w:ilvl w:val="0"/>
          <w:numId w:val="25"/>
        </w:numPr>
        <w:spacing w:before="120" w:after="120" w:line="288" w:lineRule="auto"/>
        <w:ind w:left="0"/>
        <w:jc w:val="left"/>
      </w:pPr>
      <w:r>
        <w:rPr>
          <w:rFonts w:ascii="Arial" w:hAnsi="Arial" w:eastAsia="等线" w:cs="Arial"/>
          <w:b/>
          <w:sz w:val="22"/>
        </w:rPr>
        <w:t>两美元经纪人（独立经纪人）（Two-dollar brokers (independent brokers)）</w:t>
      </w:r>
      <w:r>
        <w:rPr>
          <w:rFonts w:ascii="Arial" w:hAnsi="Arial" w:eastAsia="等线" w:cs="Arial"/>
          <w:sz w:val="22"/>
        </w:rPr>
        <w:t>：这些经纪人在繁忙的日子里协助其他场内经纪人执行订单。（顺便说一句，他们被称为两美元经纪人是因为很多很多年前，他们每笔交易通常能得到2美元。从那以后，佣金可能上涨了一些。）</w:t>
      </w:r>
    </w:p>
    <w:p w14:paraId="27F37D22">
      <w:pPr>
        <w:numPr>
          <w:ilvl w:val="0"/>
          <w:numId w:val="26"/>
        </w:numPr>
        <w:spacing w:before="120" w:after="120" w:line="288" w:lineRule="auto"/>
        <w:ind w:left="0"/>
        <w:jc w:val="left"/>
      </w:pPr>
      <w:r>
        <w:rPr>
          <w:rFonts w:ascii="Arial" w:hAnsi="Arial" w:eastAsia="等线" w:cs="Arial"/>
          <w:b/>
          <w:sz w:val="22"/>
        </w:rPr>
        <w:t>指定做市商（Designated market makers，DMMs，前身为专业交易员）</w:t>
      </w:r>
      <w:r>
        <w:rPr>
          <w:rFonts w:ascii="Arial" w:hAnsi="Arial" w:eastAsia="等线" w:cs="Arial"/>
          <w:sz w:val="22"/>
        </w:rPr>
        <w:t>：这些市场专业人士负责特定证券（如果交易不活跃，则为少数几种证券）的拍卖市场交易管理。他们的职责是维护一种或多种证券的“公平有序市场”。指定做市商可以充当经纪商或交易商（broker or dealer），以帮助保持交易的活跃度。指定做市商的一项重要职能是为其他交易所会员跟踪并执行限价订单。</w:t>
      </w:r>
    </w:p>
    <w:p w14:paraId="286BFF95">
      <w:pPr>
        <w:spacing w:before="120" w:after="120" w:line="288" w:lineRule="auto"/>
        <w:ind w:left="0"/>
        <w:jc w:val="left"/>
      </w:pPr>
    </w:p>
    <w:p w14:paraId="242143F4">
      <w:pPr>
        <w:spacing w:before="300" w:after="120" w:line="288" w:lineRule="auto"/>
        <w:ind w:left="0"/>
        <w:jc w:val="left"/>
        <w:outlineLvl w:val="2"/>
      </w:pPr>
      <w:bookmarkStart w:id="7" w:name="heading_7"/>
      <w:r>
        <w:rPr>
          <w:rFonts w:ascii="Arial" w:hAnsi="Arial" w:eastAsia="等线" w:cs="Arial"/>
          <w:color w:val="3370FF"/>
          <w:sz w:val="30"/>
        </w:rPr>
        <w:t xml:space="preserve">2.2.2 </w:t>
      </w:r>
      <w:r>
        <w:rPr>
          <w:rFonts w:ascii="Arial" w:hAnsi="Arial" w:eastAsia="等线" w:cs="Arial"/>
          <w:b/>
          <w:sz w:val="30"/>
        </w:rPr>
        <w:t>场外交易市场</w:t>
      </w:r>
      <w:bookmarkEnd w:id="7"/>
    </w:p>
    <w:p w14:paraId="3D88EE1E">
      <w:pPr>
        <w:spacing w:before="120" w:after="120" w:line="288" w:lineRule="auto"/>
        <w:ind w:left="0"/>
        <w:jc w:val="left"/>
      </w:pPr>
      <w:r>
        <w:rPr>
          <w:rFonts w:ascii="Arial" w:hAnsi="Arial" w:eastAsia="等线" w:cs="Arial"/>
          <w:sz w:val="22"/>
        </w:rPr>
        <w:t>场外交易市场（over the counter market）与交易所不同，被视为协商市场（negotiated market）。</w:t>
      </w:r>
    </w:p>
    <w:p w14:paraId="2FA0C474">
      <w:pPr>
        <w:spacing w:before="120" w:after="120" w:line="288" w:lineRule="auto"/>
        <w:ind w:left="0"/>
        <w:jc w:val="left"/>
      </w:pPr>
    </w:p>
    <w:p w14:paraId="409FD61F">
      <w:pPr>
        <w:spacing w:before="120" w:after="120" w:line="288" w:lineRule="auto"/>
        <w:ind w:left="0"/>
        <w:jc w:val="left"/>
      </w:pPr>
      <w:r>
        <w:rPr>
          <w:rFonts w:ascii="Arial" w:hAnsi="Arial" w:eastAsia="等线" w:cs="Arial"/>
          <w:sz w:val="22"/>
        </w:rPr>
        <w:t>交易员们不通过喊出买入价和卖出价，而是通过电话或电脑交易来买卖证券。</w:t>
      </w:r>
    </w:p>
    <w:p w14:paraId="6B10373E">
      <w:pPr>
        <w:spacing w:before="120" w:after="120" w:line="288" w:lineRule="auto"/>
        <w:ind w:left="0"/>
        <w:jc w:val="left"/>
      </w:pPr>
    </w:p>
    <w:p w14:paraId="2EF2B8AB">
      <w:pPr>
        <w:spacing w:before="120" w:after="120" w:line="288" w:lineRule="auto"/>
        <w:ind w:left="0"/>
        <w:jc w:val="left"/>
      </w:pPr>
      <w:r>
        <w:rPr>
          <w:rFonts w:ascii="Arial" w:hAnsi="Arial" w:eastAsia="等线" w:cs="Arial"/>
          <w:sz w:val="22"/>
        </w:rPr>
        <w:t>场外交易证券没有集中的交易地点。相反，交易员会使用场外交易公告板（Over the Counter Bulletin Board，OTCBB），这是美国金融业监管局（FINRA）为未上市证券运营的报价服务。OTCBB 会显示那些无法满足纳斯达克上市要求的证券的买入价和卖出价。</w:t>
      </w:r>
    </w:p>
    <w:p w14:paraId="30BCFE7A">
      <w:pPr>
        <w:spacing w:before="120" w:after="120" w:line="288" w:lineRule="auto"/>
        <w:ind w:left="0"/>
        <w:jc w:val="left"/>
      </w:pPr>
    </w:p>
    <w:p w14:paraId="72C586C5">
      <w:pPr>
        <w:spacing w:before="120" w:after="120" w:line="288" w:lineRule="auto"/>
        <w:ind w:left="0"/>
        <w:jc w:val="left"/>
      </w:pPr>
      <w:r>
        <w:rPr>
          <w:rFonts w:ascii="Arial" w:hAnsi="Arial" w:eastAsia="等线" w:cs="Arial"/>
          <w:sz w:val="22"/>
        </w:rPr>
        <w:t>规模过小而无法在 OTCBB 上市的公司仍可在粉单市场（有些人更熟知的名称是 Pink Sheets）出售其证券。粉单市场上的公司无需满足上市要求，也无需向美国证券交易委员会（SEC）提交文件。</w:t>
      </w:r>
    </w:p>
    <w:p w14:paraId="10FAC627">
      <w:pPr>
        <w:spacing w:before="120" w:after="120" w:line="288" w:lineRule="auto"/>
        <w:ind w:left="0"/>
        <w:jc w:val="left"/>
      </w:pPr>
    </w:p>
    <w:p w14:paraId="59B22A21">
      <w:pPr>
        <w:spacing w:before="120" w:after="120" w:line="288" w:lineRule="auto"/>
        <w:ind w:left="0"/>
        <w:jc w:val="left"/>
      </w:pPr>
      <w:r>
        <w:rPr>
          <w:rFonts w:ascii="Arial" w:hAnsi="Arial" w:eastAsia="等线" w:cs="Arial"/>
          <w:sz w:val="22"/>
        </w:rPr>
        <w:t>数千种证券——包括上市和未上市的——都在场外交易。事实上，未在交易所上市的非上市证券只能进行场外交易。非上市证券要么是不符合交易所的上市要求，要么是公司因某种原因决定不上市。</w:t>
      </w:r>
    </w:p>
    <w:p w14:paraId="4460E6F2">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3F40F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B2DEB83">
            <w:pPr>
              <w:spacing w:before="120" w:after="120" w:line="288" w:lineRule="auto"/>
              <w:ind w:left="0"/>
              <w:jc w:val="left"/>
            </w:pPr>
            <w:r>
              <w:rPr>
                <w:rFonts w:ascii="Arial" w:hAnsi="Arial" w:eastAsia="等线" w:cs="Arial"/>
                <w:sz w:val="22"/>
              </w:rPr>
              <w:t>美国政府债券和市政债券仅在场外交易。</w:t>
            </w:r>
          </w:p>
        </w:tc>
      </w:tr>
    </w:tbl>
    <w:p w14:paraId="4B17FAD8">
      <w:pPr>
        <w:spacing w:before="260" w:after="120" w:line="288" w:lineRule="auto"/>
        <w:ind w:left="0"/>
        <w:jc w:val="left"/>
        <w:outlineLvl w:val="3"/>
      </w:pPr>
      <w:bookmarkStart w:id="8" w:name="heading_8"/>
      <w:r>
        <w:rPr>
          <w:rFonts w:ascii="Arial" w:hAnsi="Arial" w:eastAsia="等线" w:cs="Arial"/>
          <w:color w:val="3370FF"/>
          <w:sz w:val="28"/>
        </w:rPr>
        <w:t xml:space="preserve">2.2.2.1 </w:t>
      </w:r>
      <w:r>
        <w:rPr>
          <w:rFonts w:ascii="Arial" w:hAnsi="Arial" w:eastAsia="等线" w:cs="Arial"/>
          <w:b/>
          <w:sz w:val="28"/>
        </w:rPr>
        <w:t>场外交易做市商（OTC market makers）</w:t>
      </w:r>
      <w:bookmarkEnd w:id="8"/>
    </w:p>
    <w:p w14:paraId="70430B0F">
      <w:pPr>
        <w:spacing w:before="120" w:after="120" w:line="288" w:lineRule="auto"/>
        <w:ind w:left="0"/>
        <w:jc w:val="left"/>
      </w:pPr>
      <w:r>
        <w:rPr>
          <w:rFonts w:ascii="Arial" w:hAnsi="Arial" w:eastAsia="等线" w:cs="Arial"/>
          <w:sz w:val="22"/>
        </w:rPr>
        <w:t>与交易所不同，场外交易市场无指定做市商，但获得美国金融业监管局（FINRA）批准的公司可自愿为特定证券做市。它们通过报出买入价和卖出价形成内部市场，即所有报价中的最高买价和最低卖价。例如，在为 ABC 普通股报价时，纳斯达克系统通常会汇集多个做市商的报价。</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319A6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9F6138E">
            <w:pPr>
              <w:spacing w:before="120" w:after="120" w:line="288" w:lineRule="auto"/>
              <w:ind w:left="0"/>
              <w:jc w:val="left"/>
            </w:pPr>
            <w:r>
              <w:rPr>
                <w:rFonts w:ascii="Arial" w:hAnsi="Arial" w:eastAsia="等线" w:cs="Arial"/>
                <w:b/>
                <w:sz w:val="22"/>
              </w:rPr>
              <w:t>Market Maker</w:t>
            </w:r>
          </w:p>
        </w:tc>
        <w:tc>
          <w:tcPr>
            <w:tcW w:w="2070" w:type="dxa"/>
            <w:tcMar>
              <w:top w:w="60" w:type="dxa"/>
              <w:left w:w="120" w:type="dxa"/>
              <w:bottom w:w="30" w:type="dxa"/>
              <w:right w:w="120" w:type="dxa"/>
            </w:tcMar>
          </w:tcPr>
          <w:p w14:paraId="45BA63E5">
            <w:pPr>
              <w:spacing w:before="120" w:after="120" w:line="288" w:lineRule="auto"/>
              <w:ind w:left="0"/>
              <w:jc w:val="left"/>
            </w:pPr>
            <w:r>
              <w:rPr>
                <w:rFonts w:ascii="Arial" w:hAnsi="Arial" w:eastAsia="等线" w:cs="Arial"/>
                <w:b/>
                <w:sz w:val="22"/>
              </w:rPr>
              <w:t>BID</w:t>
            </w:r>
          </w:p>
        </w:tc>
        <w:tc>
          <w:tcPr>
            <w:tcW w:w="2070" w:type="dxa"/>
            <w:tcMar>
              <w:top w:w="60" w:type="dxa"/>
              <w:left w:w="120" w:type="dxa"/>
              <w:bottom w:w="30" w:type="dxa"/>
              <w:right w:w="120" w:type="dxa"/>
            </w:tcMar>
          </w:tcPr>
          <w:p w14:paraId="5D382565">
            <w:pPr>
              <w:spacing w:before="120" w:after="120" w:line="288" w:lineRule="auto"/>
              <w:ind w:left="0"/>
              <w:jc w:val="left"/>
            </w:pPr>
            <w:r>
              <w:rPr>
                <w:rFonts w:ascii="Arial" w:hAnsi="Arial" w:eastAsia="等线" w:cs="Arial"/>
                <w:b/>
                <w:sz w:val="22"/>
              </w:rPr>
              <w:t>ASK</w:t>
            </w:r>
          </w:p>
        </w:tc>
        <w:tc>
          <w:tcPr>
            <w:tcW w:w="2070" w:type="dxa"/>
            <w:tcMar>
              <w:top w:w="60" w:type="dxa"/>
              <w:left w:w="120" w:type="dxa"/>
              <w:bottom w:w="30" w:type="dxa"/>
              <w:right w:w="120" w:type="dxa"/>
            </w:tcMar>
          </w:tcPr>
          <w:p w14:paraId="1706F408">
            <w:pPr>
              <w:spacing w:before="120" w:after="120" w:line="288" w:lineRule="auto"/>
              <w:ind w:left="0"/>
              <w:jc w:val="left"/>
            </w:pPr>
            <w:r>
              <w:rPr>
                <w:rFonts w:ascii="Arial" w:hAnsi="Arial" w:eastAsia="等线" w:cs="Arial"/>
                <w:b/>
                <w:sz w:val="22"/>
              </w:rPr>
              <w:t>Size</w:t>
            </w:r>
          </w:p>
        </w:tc>
      </w:tr>
      <w:tr w14:paraId="2528D3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7863B50">
            <w:pPr>
              <w:spacing w:before="120" w:after="120" w:line="288" w:lineRule="auto"/>
              <w:ind w:left="0"/>
              <w:jc w:val="left"/>
            </w:pPr>
            <w:r>
              <w:rPr>
                <w:rFonts w:ascii="Arial" w:hAnsi="Arial" w:eastAsia="等线" w:cs="Arial"/>
                <w:sz w:val="22"/>
              </w:rPr>
              <w:t>DK Broker-Dealer</w:t>
            </w:r>
          </w:p>
        </w:tc>
        <w:tc>
          <w:tcPr>
            <w:tcW w:w="2070" w:type="dxa"/>
            <w:tcMar>
              <w:top w:w="60" w:type="dxa"/>
              <w:left w:w="120" w:type="dxa"/>
              <w:bottom w:w="30" w:type="dxa"/>
              <w:right w:w="120" w:type="dxa"/>
            </w:tcMar>
          </w:tcPr>
          <w:p w14:paraId="4BCE3212">
            <w:pPr>
              <w:spacing w:before="120" w:after="120" w:line="288" w:lineRule="auto"/>
              <w:ind w:left="0"/>
              <w:jc w:val="left"/>
            </w:pPr>
            <w:r>
              <w:rPr>
                <w:rFonts w:ascii="Arial" w:hAnsi="Arial" w:eastAsia="等线" w:cs="Arial"/>
                <w:sz w:val="22"/>
              </w:rPr>
              <w:t>18.30</w:t>
            </w:r>
          </w:p>
        </w:tc>
        <w:tc>
          <w:tcPr>
            <w:tcW w:w="2070" w:type="dxa"/>
            <w:tcMar>
              <w:top w:w="60" w:type="dxa"/>
              <w:left w:w="120" w:type="dxa"/>
              <w:bottom w:w="30" w:type="dxa"/>
              <w:right w:w="120" w:type="dxa"/>
            </w:tcMar>
          </w:tcPr>
          <w:p w14:paraId="469018BD">
            <w:pPr>
              <w:spacing w:before="120" w:after="120" w:line="288" w:lineRule="auto"/>
              <w:ind w:left="0"/>
              <w:jc w:val="left"/>
            </w:pPr>
            <w:r>
              <w:rPr>
                <w:rFonts w:ascii="Arial" w:hAnsi="Arial" w:eastAsia="等线" w:cs="Arial"/>
                <w:sz w:val="22"/>
              </w:rPr>
              <w:t>18.75</w:t>
            </w:r>
          </w:p>
        </w:tc>
        <w:tc>
          <w:tcPr>
            <w:tcW w:w="2070" w:type="dxa"/>
            <w:tcMar>
              <w:top w:w="60" w:type="dxa"/>
              <w:left w:w="120" w:type="dxa"/>
              <w:bottom w:w="30" w:type="dxa"/>
              <w:right w:w="120" w:type="dxa"/>
            </w:tcMar>
          </w:tcPr>
          <w:p w14:paraId="60C9A107">
            <w:pPr>
              <w:spacing w:before="120" w:after="120" w:line="288" w:lineRule="auto"/>
              <w:ind w:left="0"/>
              <w:jc w:val="left"/>
            </w:pPr>
            <w:r>
              <w:rPr>
                <w:rFonts w:ascii="Arial" w:hAnsi="Arial" w:eastAsia="等线" w:cs="Arial"/>
                <w:sz w:val="22"/>
              </w:rPr>
              <w:t>5 x 10</w:t>
            </w:r>
          </w:p>
        </w:tc>
      </w:tr>
      <w:tr w14:paraId="6D02A1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A70E88E">
            <w:pPr>
              <w:spacing w:before="120" w:after="120" w:line="288" w:lineRule="auto"/>
              <w:ind w:left="0"/>
              <w:jc w:val="left"/>
            </w:pPr>
            <w:r>
              <w:rPr>
                <w:rFonts w:ascii="Arial" w:hAnsi="Arial" w:eastAsia="等线" w:cs="Arial"/>
                <w:sz w:val="22"/>
              </w:rPr>
              <w:t>Golden Hammer BD</w:t>
            </w:r>
          </w:p>
        </w:tc>
        <w:tc>
          <w:tcPr>
            <w:tcW w:w="2070" w:type="dxa"/>
            <w:tcMar>
              <w:top w:w="60" w:type="dxa"/>
              <w:left w:w="120" w:type="dxa"/>
              <w:bottom w:w="30" w:type="dxa"/>
              <w:right w:w="120" w:type="dxa"/>
            </w:tcMar>
          </w:tcPr>
          <w:p w14:paraId="55E96607">
            <w:pPr>
              <w:spacing w:before="120" w:after="120" w:line="288" w:lineRule="auto"/>
              <w:ind w:left="0"/>
              <w:jc w:val="left"/>
            </w:pPr>
            <w:r>
              <w:rPr>
                <w:rFonts w:ascii="Arial" w:hAnsi="Arial" w:eastAsia="等线" w:cs="Arial"/>
                <w:sz w:val="22"/>
              </w:rPr>
              <w:t>18.25</w:t>
            </w:r>
          </w:p>
        </w:tc>
        <w:tc>
          <w:tcPr>
            <w:tcW w:w="2070" w:type="dxa"/>
            <w:tcMar>
              <w:top w:w="60" w:type="dxa"/>
              <w:left w:w="120" w:type="dxa"/>
              <w:bottom w:w="30" w:type="dxa"/>
              <w:right w:w="120" w:type="dxa"/>
            </w:tcMar>
          </w:tcPr>
          <w:p w14:paraId="28E4E569">
            <w:pPr>
              <w:spacing w:before="120" w:after="120" w:line="288" w:lineRule="auto"/>
              <w:ind w:left="0"/>
              <w:jc w:val="left"/>
            </w:pPr>
            <w:r>
              <w:rPr>
                <w:rFonts w:ascii="Arial" w:hAnsi="Arial" w:eastAsia="等线" w:cs="Arial"/>
                <w:sz w:val="22"/>
              </w:rPr>
              <w:t>18.80</w:t>
            </w:r>
          </w:p>
        </w:tc>
        <w:tc>
          <w:tcPr>
            <w:tcW w:w="2070" w:type="dxa"/>
            <w:tcMar>
              <w:top w:w="60" w:type="dxa"/>
              <w:left w:w="120" w:type="dxa"/>
              <w:bottom w:w="30" w:type="dxa"/>
              <w:right w:w="120" w:type="dxa"/>
            </w:tcMar>
          </w:tcPr>
          <w:p w14:paraId="0FD89CE7">
            <w:pPr>
              <w:spacing w:before="120" w:after="120" w:line="288" w:lineRule="auto"/>
              <w:ind w:left="0"/>
              <w:jc w:val="left"/>
            </w:pPr>
            <w:r>
              <w:rPr>
                <w:rFonts w:ascii="Arial" w:hAnsi="Arial" w:eastAsia="等线" w:cs="Arial"/>
                <w:sz w:val="22"/>
              </w:rPr>
              <w:t>20 x 3</w:t>
            </w:r>
          </w:p>
        </w:tc>
      </w:tr>
      <w:tr w14:paraId="77AAB9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C4135C">
            <w:pPr>
              <w:spacing w:before="120" w:after="120" w:line="288" w:lineRule="auto"/>
              <w:ind w:left="0"/>
              <w:jc w:val="left"/>
            </w:pPr>
            <w:r>
              <w:rPr>
                <w:rFonts w:ascii="Arial" w:hAnsi="Arial" w:eastAsia="等线" w:cs="Arial"/>
                <w:sz w:val="22"/>
              </w:rPr>
              <w:t>Cardinal Wing Securities</w:t>
            </w:r>
          </w:p>
        </w:tc>
        <w:tc>
          <w:tcPr>
            <w:tcW w:w="2070" w:type="dxa"/>
            <w:tcMar>
              <w:top w:w="60" w:type="dxa"/>
              <w:left w:w="120" w:type="dxa"/>
              <w:bottom w:w="30" w:type="dxa"/>
              <w:right w:w="120" w:type="dxa"/>
            </w:tcMar>
          </w:tcPr>
          <w:p w14:paraId="501EBEE4">
            <w:pPr>
              <w:spacing w:before="120" w:after="120" w:line="288" w:lineRule="auto"/>
              <w:ind w:left="0"/>
              <w:jc w:val="left"/>
            </w:pPr>
            <w:r>
              <w:rPr>
                <w:rFonts w:ascii="Arial" w:hAnsi="Arial" w:eastAsia="等线" w:cs="Arial"/>
                <w:sz w:val="22"/>
              </w:rPr>
              <w:t>18.35</w:t>
            </w:r>
          </w:p>
        </w:tc>
        <w:tc>
          <w:tcPr>
            <w:tcW w:w="2070" w:type="dxa"/>
            <w:tcMar>
              <w:top w:w="60" w:type="dxa"/>
              <w:left w:w="120" w:type="dxa"/>
              <w:bottom w:w="30" w:type="dxa"/>
              <w:right w:w="120" w:type="dxa"/>
            </w:tcMar>
          </w:tcPr>
          <w:p w14:paraId="0C48CD4B">
            <w:pPr>
              <w:spacing w:before="120" w:after="120" w:line="288" w:lineRule="auto"/>
              <w:ind w:left="0"/>
              <w:jc w:val="left"/>
            </w:pPr>
            <w:r>
              <w:rPr>
                <w:rFonts w:ascii="Arial" w:hAnsi="Arial" w:eastAsia="等线" w:cs="Arial"/>
                <w:sz w:val="22"/>
              </w:rPr>
              <w:t>19.05</w:t>
            </w:r>
          </w:p>
        </w:tc>
        <w:tc>
          <w:tcPr>
            <w:tcW w:w="2070" w:type="dxa"/>
            <w:tcMar>
              <w:top w:w="60" w:type="dxa"/>
              <w:left w:w="120" w:type="dxa"/>
              <w:bottom w:w="30" w:type="dxa"/>
              <w:right w:w="120" w:type="dxa"/>
            </w:tcMar>
          </w:tcPr>
          <w:p w14:paraId="40B6390C">
            <w:pPr>
              <w:spacing w:before="120" w:after="120" w:line="288" w:lineRule="auto"/>
              <w:ind w:left="0"/>
              <w:jc w:val="left"/>
            </w:pPr>
            <w:r>
              <w:rPr>
                <w:rFonts w:ascii="Arial" w:hAnsi="Arial" w:eastAsia="等线" w:cs="Arial"/>
                <w:sz w:val="22"/>
              </w:rPr>
              <w:t>7 x 14</w:t>
            </w:r>
          </w:p>
        </w:tc>
      </w:tr>
    </w:tbl>
    <w:p w14:paraId="1F3C4A3B">
      <w:pPr>
        <w:spacing w:before="120" w:after="120" w:line="288" w:lineRule="auto"/>
        <w:ind w:left="0"/>
        <w:jc w:val="left"/>
      </w:pPr>
      <w:r>
        <w:rPr>
          <w:rFonts w:ascii="Arial" w:hAnsi="Arial" w:eastAsia="等线" w:cs="Arial"/>
          <w:sz w:val="22"/>
        </w:rPr>
        <w:t>如果你要下单买入，就会以最低的卖方报价买入。如果你要下单卖出，就会以最高的买方报价卖出。</w:t>
      </w:r>
    </w:p>
    <w:p w14:paraId="6294C553">
      <w:pPr>
        <w:spacing w:before="320" w:after="120" w:line="288" w:lineRule="auto"/>
        <w:ind w:left="0"/>
        <w:jc w:val="left"/>
        <w:outlineLvl w:val="1"/>
      </w:pPr>
      <w:bookmarkStart w:id="9" w:name="heading_9"/>
      <w:r>
        <w:rPr>
          <w:rFonts w:ascii="Arial" w:hAnsi="Arial" w:eastAsia="等线" w:cs="Arial"/>
          <w:color w:val="3370FF"/>
          <w:sz w:val="32"/>
        </w:rPr>
        <w:t xml:space="preserve">2.3 </w:t>
      </w:r>
      <w:r>
        <w:rPr>
          <w:rFonts w:ascii="Arial" w:hAnsi="Arial" w:eastAsia="等线" w:cs="Arial"/>
          <w:b/>
          <w:sz w:val="32"/>
        </w:rPr>
        <w:t>理解经纪商和交易商</w:t>
      </w:r>
      <w:bookmarkEnd w:id="9"/>
    </w:p>
    <w:p w14:paraId="7448D77A">
      <w:pPr>
        <w:spacing w:before="120" w:after="120" w:line="288" w:lineRule="auto"/>
        <w:ind w:left="0"/>
        <w:jc w:val="left"/>
      </w:pPr>
      <w:r>
        <w:rPr>
          <w:rFonts w:ascii="Arial" w:hAnsi="Arial" w:eastAsia="等线" w:cs="Arial"/>
          <w:sz w:val="22"/>
        </w:rPr>
        <w:t>一家公司要被视为经纪交易商（broker–dealer），必须能用自己的账户买卖证券，并且能为非库存证券充当中间人。</w:t>
      </w:r>
    </w:p>
    <w:p w14:paraId="420BB04B">
      <w:pPr>
        <w:spacing w:before="120" w:after="120" w:line="288" w:lineRule="auto"/>
        <w:ind w:left="0"/>
        <w:jc w:val="left"/>
      </w:pPr>
    </w:p>
    <w:p w14:paraId="04B1FBE2">
      <w:pPr>
        <w:spacing w:before="120" w:after="120" w:line="288" w:lineRule="auto"/>
        <w:ind w:left="0"/>
        <w:jc w:val="left"/>
      </w:pPr>
      <w:r>
        <w:rPr>
          <w:rFonts w:ascii="Arial" w:hAnsi="Arial" w:eastAsia="等线" w:cs="Arial"/>
          <w:sz w:val="22"/>
        </w:rPr>
        <w:t>以下是经纪商（Broker）和交易商（Dealer）之间的区别：</w:t>
      </w:r>
    </w:p>
    <w:p w14:paraId="75F8C6AF">
      <w:pPr>
        <w:spacing w:before="120" w:after="120" w:line="288" w:lineRule="auto"/>
        <w:ind w:left="0"/>
        <w:jc w:val="left"/>
      </w:pPr>
    </w:p>
    <w:p w14:paraId="3B3AA31D">
      <w:pPr>
        <w:spacing w:before="120" w:after="120" w:line="288" w:lineRule="auto"/>
        <w:ind w:left="0"/>
        <w:jc w:val="left"/>
      </w:pPr>
      <w:r>
        <w:rPr>
          <w:rFonts w:ascii="Arial" w:hAnsi="Arial" w:eastAsia="等线" w:cs="Arial"/>
          <w:sz w:val="22"/>
        </w:rPr>
        <w:t>经纪商：当一家公司不使用自有库存（own inventory）执行交易时，它就在扮演经纪人的角色。</w:t>
      </w:r>
    </w:p>
    <w:p w14:paraId="6FBFCDBC">
      <w:pPr>
        <w:spacing w:before="120" w:after="120" w:line="288" w:lineRule="auto"/>
        <w:ind w:left="0"/>
        <w:jc w:val="left"/>
      </w:pPr>
    </w:p>
    <w:p w14:paraId="17AEECCA">
      <w:pPr>
        <w:spacing w:before="120" w:after="120" w:line="288" w:lineRule="auto"/>
        <w:ind w:left="0"/>
        <w:jc w:val="left"/>
      </w:pPr>
      <w:r>
        <w:rPr>
          <w:rFonts w:ascii="Arial" w:hAnsi="Arial" w:eastAsia="等线" w:cs="Arial"/>
          <w:sz w:val="22"/>
        </w:rPr>
        <w:t>经纪商为充当买卖双方的中间人而收取佣金（commission）。</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C318D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AC945C6">
            <w:pPr>
              <w:spacing w:before="120" w:after="120" w:line="288" w:lineRule="auto"/>
              <w:ind w:left="0"/>
              <w:jc w:val="left"/>
            </w:pPr>
            <w:r>
              <w:rPr>
                <w:rFonts w:ascii="Arial" w:hAnsi="Arial" w:eastAsia="等线" w:cs="Arial"/>
                <w:color w:val="646A73"/>
                <w:sz w:val="22"/>
              </w:rPr>
              <w:t>出于SIE考试的目的，经纪人（broker）和代理人（agent）这两个术语可以互换使用。注册代表有时被称为代理人或股票经纪人，因为他们充当买卖双方之间的中介。</w:t>
            </w:r>
          </w:p>
        </w:tc>
      </w:tr>
    </w:tbl>
    <w:p w14:paraId="21083D60">
      <w:pPr>
        <w:spacing w:before="120" w:after="120" w:line="288" w:lineRule="auto"/>
        <w:ind w:left="0"/>
        <w:jc w:val="left"/>
      </w:pPr>
    </w:p>
    <w:p w14:paraId="6E0212E9">
      <w:pPr>
        <w:spacing w:before="120" w:after="120" w:line="288" w:lineRule="auto"/>
        <w:ind w:left="0"/>
        <w:jc w:val="left"/>
      </w:pPr>
      <w:r>
        <w:rPr>
          <w:rFonts w:ascii="Arial" w:hAnsi="Arial" w:eastAsia="等线" w:cs="Arial"/>
          <w:sz w:val="22"/>
        </w:rPr>
        <w:t>交易商：当一家公司利用自有库存（own inventory）执行交易时，它就扮演着交易商的角色。</w:t>
      </w:r>
    </w:p>
    <w:p w14:paraId="5F29D857">
      <w:pPr>
        <w:spacing w:before="120" w:after="120" w:line="288" w:lineRule="auto"/>
        <w:ind w:left="0"/>
        <w:jc w:val="left"/>
      </w:pPr>
    </w:p>
    <w:p w14:paraId="11BA15B6">
      <w:pPr>
        <w:spacing w:before="120" w:after="120" w:line="288" w:lineRule="auto"/>
        <w:ind w:left="0"/>
        <w:jc w:val="left"/>
      </w:pPr>
      <w:r>
        <w:rPr>
          <w:rFonts w:ascii="Arial" w:hAnsi="Arial" w:eastAsia="等线" w:cs="Arial"/>
          <w:sz w:val="22"/>
        </w:rPr>
        <w:t>当交易商使用自有库存向客户出售证券时，会收取加价（markup）。当交易商为自有库存从客户手中购买证券时，会收取减价（通过收取销售费用降低客户收到的价格）。公司成为交易商是希望其自有库存中的证券能够升值，以便交易商能从证券的增值（appreciation）及后续销售中获利。</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B3735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396149">
            <w:pPr>
              <w:spacing w:before="120" w:after="120" w:line="288" w:lineRule="auto"/>
              <w:ind w:left="0"/>
              <w:jc w:val="left"/>
            </w:pPr>
            <w:r>
              <w:rPr>
                <w:rFonts w:ascii="Arial" w:hAnsi="Arial" w:eastAsia="等线" w:cs="Arial"/>
                <w:color w:val="646A73"/>
                <w:sz w:val="22"/>
              </w:rPr>
              <w:t>在 SIE 和相关考试中，dealer, principal and market maker 这几个术语可以互换使用。</w:t>
            </w:r>
          </w:p>
        </w:tc>
      </w:tr>
    </w:tbl>
    <w:p w14:paraId="332079FF">
      <w:pPr>
        <w:spacing w:before="120" w:after="120" w:line="288" w:lineRule="auto"/>
        <w:ind w:left="0"/>
        <w:jc w:val="left"/>
      </w:pPr>
    </w:p>
    <w:p w14:paraId="24A3D5A5">
      <w:pPr>
        <w:spacing w:before="120" w:after="120" w:line="288" w:lineRule="auto"/>
        <w:ind w:left="0"/>
        <w:jc w:val="left"/>
      </w:pPr>
      <w:r>
        <w:rPr>
          <w:rFonts w:ascii="Arial" w:hAnsi="Arial" w:eastAsia="等线" w:cs="Arial"/>
          <w:sz w:val="22"/>
        </w:rPr>
        <w:t>行为能力（Capacity）是指公司是以经纪人（代理人 agent）还是交易商（主事方 principal）的身份行事，且必须在确认书（交易收据）上始终披露。如果公司作为经纪人行事，佣金必须在确认书上披露。然而，如果公司作为交易商行事，加价或减价并非必须始终披露。</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BBCDA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FD6243A">
            <w:pPr>
              <w:spacing w:before="120" w:after="120" w:line="288" w:lineRule="auto"/>
              <w:ind w:left="0"/>
              <w:jc w:val="left"/>
            </w:pPr>
            <w:r>
              <w:rPr>
                <w:rFonts w:ascii="Arial" w:hAnsi="Arial" w:eastAsia="等线" w:cs="Arial"/>
                <w:sz w:val="22"/>
              </w:rPr>
              <w:t>一家公司不能在同一笔交易中既充当经纪商又充当交易商。换句话说，在同一笔交易中同时收取加价（或减价）和佣金是违规行为。（有关规章制度的信息，请参见第16章。）</w:t>
            </w:r>
          </w:p>
        </w:tc>
      </w:tr>
    </w:tbl>
    <w:p w14:paraId="548837DB">
      <w:pPr>
        <w:spacing w:before="120" w:after="120" w:line="288" w:lineRule="auto"/>
        <w:ind w:left="0"/>
        <w:jc w:val="left"/>
      </w:pPr>
      <w:r>
        <w:rPr>
          <w:rFonts w:ascii="Arial" w:hAnsi="Arial" w:eastAsia="等线" w:cs="Arial"/>
          <w:sz w:val="22"/>
        </w:rPr>
        <w:t>为了帮助你记住经纪商和交易商之间的区别，可以想想房地产经纪人。房地产经纪人（或代理人）充当卖方和买方之间的中介，并收取佣金，就像股票经纪人一样。相反，交易商就像二手车经销商，从自己的库存中销售商品，收取加价，并且通过购买来希望从这些库存中获利。</w:t>
      </w:r>
    </w:p>
    <w:p w14:paraId="4E1F867A">
      <w:pPr>
        <w:spacing w:before="120" w:after="120" w:line="288" w:lineRule="auto"/>
        <w:ind w:left="0"/>
        <w:jc w:val="left"/>
      </w:pPr>
    </w:p>
    <w:p w14:paraId="0EC8E837">
      <w:pPr>
        <w:spacing w:before="300" w:after="120" w:line="288" w:lineRule="auto"/>
        <w:ind w:left="0"/>
        <w:jc w:val="left"/>
        <w:outlineLvl w:val="2"/>
      </w:pPr>
      <w:bookmarkStart w:id="10" w:name="heading_10"/>
      <w:r>
        <w:rPr>
          <w:rFonts w:ascii="Arial" w:hAnsi="Arial" w:eastAsia="等线" w:cs="Arial"/>
          <w:color w:val="3370FF"/>
          <w:sz w:val="30"/>
        </w:rPr>
        <w:t xml:space="preserve">2.3.1 </w:t>
      </w:r>
      <w:r>
        <w:rPr>
          <w:rFonts w:ascii="Arial" w:hAnsi="Arial" w:eastAsia="等线" w:cs="Arial"/>
          <w:b/>
          <w:sz w:val="30"/>
        </w:rPr>
        <w:t>介绍经纪商</w:t>
      </w:r>
      <w:bookmarkEnd w:id="10"/>
    </w:p>
    <w:p w14:paraId="0147E782">
      <w:pPr>
        <w:spacing w:before="120" w:after="120" w:line="288" w:lineRule="auto"/>
        <w:ind w:left="0"/>
        <w:jc w:val="left"/>
      </w:pPr>
      <w:r>
        <w:rPr>
          <w:rFonts w:ascii="Arial" w:hAnsi="Arial" w:eastAsia="等线" w:cs="Arial"/>
          <w:sz w:val="22"/>
        </w:rPr>
        <w:t>介绍经纪商（Introducing Broker）是指不实际处理交易，仅向投资者提供投资建议或咨询的个人或企业。</w:t>
      </w:r>
    </w:p>
    <w:p w14:paraId="70EDDE6B">
      <w:pPr>
        <w:spacing w:before="120" w:after="120" w:line="288" w:lineRule="auto"/>
        <w:ind w:left="0"/>
        <w:jc w:val="left"/>
      </w:pPr>
    </w:p>
    <w:p w14:paraId="51938E3D">
      <w:pPr>
        <w:spacing w:before="120" w:after="120" w:line="288" w:lineRule="auto"/>
        <w:ind w:left="0"/>
        <w:jc w:val="left"/>
      </w:pPr>
      <w:r>
        <w:rPr>
          <w:rFonts w:ascii="Arial" w:hAnsi="Arial" w:eastAsia="等线" w:cs="Arial"/>
          <w:sz w:val="22"/>
        </w:rPr>
        <w:t>通常，介绍经纪商会向客户推荐交易，而将交易执行工作交给清算公司（见下一节）。一般来说，介绍经纪商与执行交易的清算公司会分摊交易费用和/或佣金。</w:t>
      </w:r>
    </w:p>
    <w:p w14:paraId="5A485E48">
      <w:pPr>
        <w:spacing w:before="120" w:after="120" w:line="288" w:lineRule="auto"/>
        <w:ind w:left="0"/>
        <w:jc w:val="left"/>
      </w:pPr>
    </w:p>
    <w:p w14:paraId="4D58204C">
      <w:pPr>
        <w:spacing w:before="300" w:after="120" w:line="288" w:lineRule="auto"/>
        <w:ind w:left="0"/>
        <w:jc w:val="left"/>
        <w:outlineLvl w:val="2"/>
      </w:pPr>
      <w:bookmarkStart w:id="11" w:name="heading_11"/>
      <w:r>
        <w:rPr>
          <w:rFonts w:ascii="Arial" w:hAnsi="Arial" w:eastAsia="等线" w:cs="Arial"/>
          <w:color w:val="3370FF"/>
          <w:sz w:val="30"/>
        </w:rPr>
        <w:t xml:space="preserve">2.3.2 </w:t>
      </w:r>
      <w:r>
        <w:rPr>
          <w:rFonts w:ascii="Arial" w:hAnsi="Arial" w:eastAsia="等线" w:cs="Arial"/>
          <w:b/>
          <w:sz w:val="30"/>
        </w:rPr>
        <w:t>清算（托管）经纪商（clearing (carrying) broker）</w:t>
      </w:r>
      <w:bookmarkEnd w:id="11"/>
    </w:p>
    <w:p w14:paraId="46C62005">
      <w:pPr>
        <w:spacing w:before="120" w:after="120" w:line="288" w:lineRule="auto"/>
        <w:ind w:left="0"/>
        <w:jc w:val="left"/>
      </w:pPr>
      <w:r>
        <w:rPr>
          <w:rFonts w:ascii="Arial" w:hAnsi="Arial" w:eastAsia="等线" w:cs="Arial"/>
          <w:sz w:val="22"/>
        </w:rPr>
        <w:t>清算经纪商（清算公司）处理证券买卖订单。</w:t>
      </w:r>
    </w:p>
    <w:p w14:paraId="7A4D03FF">
      <w:pPr>
        <w:spacing w:before="120" w:after="120" w:line="288" w:lineRule="auto"/>
        <w:ind w:left="0"/>
        <w:jc w:val="left"/>
      </w:pPr>
    </w:p>
    <w:p w14:paraId="1752EA4D">
      <w:pPr>
        <w:spacing w:before="120" w:after="120" w:line="288" w:lineRule="auto"/>
        <w:ind w:left="0"/>
        <w:jc w:val="left"/>
      </w:pPr>
      <w:r>
        <w:rPr>
          <w:rFonts w:ascii="Arial" w:hAnsi="Arial" w:eastAsia="等线" w:cs="Arial"/>
          <w:sz w:val="22"/>
        </w:rPr>
        <w:t>此外，清算经纪商负责保管客户的资产（证券和现金）。清算公司有责任将其保管的客户现金和证券进行分离（分开）。</w:t>
      </w:r>
    </w:p>
    <w:p w14:paraId="7FAA5ED6">
      <w:pPr>
        <w:spacing w:before="120" w:after="120" w:line="288" w:lineRule="auto"/>
        <w:ind w:left="0"/>
        <w:jc w:val="left"/>
      </w:pPr>
    </w:p>
    <w:p w14:paraId="1434C201">
      <w:pPr>
        <w:spacing w:before="300" w:after="120" w:line="288" w:lineRule="auto"/>
        <w:ind w:left="0"/>
        <w:jc w:val="left"/>
        <w:outlineLvl w:val="2"/>
      </w:pPr>
      <w:bookmarkStart w:id="12" w:name="heading_12"/>
      <w:r>
        <w:rPr>
          <w:rFonts w:ascii="Arial" w:hAnsi="Arial" w:eastAsia="等线" w:cs="Arial"/>
          <w:color w:val="3370FF"/>
          <w:sz w:val="30"/>
        </w:rPr>
        <w:t xml:space="preserve">2.3.3 </w:t>
      </w:r>
      <w:r>
        <w:rPr>
          <w:rFonts w:ascii="Arial" w:hAnsi="Arial" w:eastAsia="等线" w:cs="Arial"/>
          <w:b/>
          <w:sz w:val="30"/>
        </w:rPr>
        <w:t>主经纪商</w:t>
      </w:r>
      <w:bookmarkEnd w:id="12"/>
    </w:p>
    <w:p w14:paraId="3F29A21B">
      <w:pPr>
        <w:spacing w:before="120" w:after="120" w:line="288" w:lineRule="auto"/>
        <w:ind w:left="0"/>
        <w:jc w:val="left"/>
      </w:pPr>
      <w:r>
        <w:rPr>
          <w:rFonts w:ascii="Arial" w:hAnsi="Arial" w:eastAsia="等线" w:cs="Arial"/>
          <w:sz w:val="22"/>
        </w:rPr>
        <w:t>主经纪商（prime broker）主要为机构账户或大型零售客户提供服务。</w:t>
      </w:r>
    </w:p>
    <w:p w14:paraId="43864085">
      <w:pPr>
        <w:spacing w:before="120" w:after="120" w:line="288" w:lineRule="auto"/>
        <w:ind w:left="0"/>
        <w:jc w:val="left"/>
      </w:pPr>
    </w:p>
    <w:p w14:paraId="0F8D3D12">
      <w:pPr>
        <w:spacing w:before="120" w:after="120" w:line="288" w:lineRule="auto"/>
        <w:ind w:left="0"/>
        <w:jc w:val="left"/>
      </w:pPr>
      <w:r>
        <w:rPr>
          <w:rFonts w:ascii="Arial" w:hAnsi="Arial" w:eastAsia="等线" w:cs="Arial"/>
          <w:sz w:val="22"/>
        </w:rPr>
        <w:t>主经纪账户是为有更复杂金融需求的个人或实体设立的。除了帮助客户将其使用的所有公司的信息整合到一份报表中，它们还提供诸如借贷、杠杆交易和现金管理等服务。对冲基金通常会使用主经纪账户。</w:t>
      </w:r>
    </w:p>
    <w:p w14:paraId="668BBBE4">
      <w:pPr>
        <w:spacing w:before="120" w:after="120" w:line="288" w:lineRule="auto"/>
        <w:ind w:left="0"/>
        <w:jc w:val="left"/>
      </w:pPr>
    </w:p>
    <w:p w14:paraId="7729E65D">
      <w:pPr>
        <w:spacing w:before="320" w:after="120" w:line="288" w:lineRule="auto"/>
        <w:ind w:left="0"/>
        <w:jc w:val="left"/>
        <w:outlineLvl w:val="1"/>
      </w:pPr>
      <w:bookmarkStart w:id="13" w:name="heading_13"/>
      <w:r>
        <w:rPr>
          <w:rFonts w:ascii="Arial" w:hAnsi="Arial" w:eastAsia="等线" w:cs="Arial"/>
          <w:color w:val="3370FF"/>
          <w:sz w:val="32"/>
        </w:rPr>
        <w:t xml:space="preserve">2.4 </w:t>
      </w:r>
      <w:r>
        <w:rPr>
          <w:rFonts w:ascii="Arial" w:hAnsi="Arial" w:eastAsia="等线" w:cs="Arial"/>
          <w:b/>
          <w:sz w:val="32"/>
        </w:rPr>
        <w:t>接收和执行客户订单</w:t>
      </w:r>
      <w:bookmarkEnd w:id="13"/>
    </w:p>
    <w:p w14:paraId="1309E8CA">
      <w:pPr>
        <w:spacing w:before="120" w:after="120" w:line="288" w:lineRule="auto"/>
        <w:ind w:left="0"/>
        <w:jc w:val="left"/>
      </w:pPr>
      <w:r>
        <w:rPr>
          <w:rFonts w:ascii="Arial" w:hAnsi="Arial" w:eastAsia="等线" w:cs="Arial"/>
          <w:sz w:val="22"/>
        </w:rPr>
        <w:t>未取得许可证的关联人员不得接收或执行客户的订单。此外，他们不得讨论证券、推荐证券、谈论投资目标等。不过，他们可以发送文件、接听电话等。</w:t>
      </w:r>
    </w:p>
    <w:p w14:paraId="0A6D2991">
      <w:pPr>
        <w:spacing w:before="120" w:after="120" w:line="288" w:lineRule="auto"/>
        <w:ind w:left="0"/>
        <w:jc w:val="left"/>
      </w:pPr>
    </w:p>
    <w:p w14:paraId="71793721">
      <w:pPr>
        <w:spacing w:before="120" w:after="120" w:line="288" w:lineRule="auto"/>
        <w:ind w:left="0"/>
        <w:jc w:val="left"/>
      </w:pPr>
      <w:r>
        <w:rPr>
          <w:rFonts w:ascii="Arial" w:hAnsi="Arial" w:eastAsia="等线" w:cs="Arial"/>
          <w:sz w:val="22"/>
        </w:rPr>
        <w:t>一个订单的关键要素，RR 必须逐一确认：</w:t>
      </w:r>
    </w:p>
    <w:p w14:paraId="580CB30D">
      <w:pPr>
        <w:numPr>
          <w:ilvl w:val="0"/>
          <w:numId w:val="27"/>
        </w:numPr>
        <w:spacing w:before="120" w:after="120" w:line="288" w:lineRule="auto"/>
        <w:ind w:left="0"/>
        <w:jc w:val="left"/>
      </w:pPr>
      <w:r>
        <w:rPr>
          <w:rFonts w:ascii="Arial" w:hAnsi="Arial" w:eastAsia="等线" w:cs="Arial"/>
          <w:sz w:val="22"/>
        </w:rPr>
        <w:t>证券代码（Symbol）；</w:t>
      </w:r>
    </w:p>
    <w:p w14:paraId="1775EBF2">
      <w:pPr>
        <w:numPr>
          <w:ilvl w:val="0"/>
          <w:numId w:val="28"/>
        </w:numPr>
        <w:spacing w:before="120" w:after="120" w:line="288" w:lineRule="auto"/>
        <w:ind w:left="0"/>
        <w:jc w:val="left"/>
      </w:pPr>
      <w:r>
        <w:rPr>
          <w:rFonts w:ascii="Arial" w:hAnsi="Arial" w:eastAsia="等线" w:cs="Arial"/>
          <w:sz w:val="22"/>
        </w:rPr>
        <w:t>方向（Side）：买入或卖出（Buy or Sell）；</w:t>
      </w:r>
    </w:p>
    <w:p w14:paraId="684A35FF">
      <w:pPr>
        <w:numPr>
          <w:ilvl w:val="0"/>
          <w:numId w:val="29"/>
        </w:numPr>
        <w:spacing w:before="120" w:after="120" w:line="288" w:lineRule="auto"/>
        <w:ind w:left="0"/>
        <w:jc w:val="left"/>
      </w:pPr>
      <w:r>
        <w:rPr>
          <w:rFonts w:ascii="Arial" w:hAnsi="Arial" w:eastAsia="等线" w:cs="Arial"/>
          <w:sz w:val="22"/>
        </w:rPr>
        <w:t>数量 (Quantity)： 股票股数或债券面值；</w:t>
      </w:r>
    </w:p>
    <w:p w14:paraId="7088B233">
      <w:pPr>
        <w:numPr>
          <w:ilvl w:val="0"/>
          <w:numId w:val="30"/>
        </w:numPr>
        <w:spacing w:before="120" w:after="120" w:line="288" w:lineRule="auto"/>
        <w:ind w:left="0"/>
        <w:jc w:val="left"/>
      </w:pPr>
      <w:r>
        <w:rPr>
          <w:rFonts w:ascii="Arial" w:hAnsi="Arial" w:eastAsia="等线" w:cs="Arial"/>
          <w:sz w:val="22"/>
        </w:rPr>
        <w:t>订单类型 (Order Type)： 决定了订单如何被执行（见下文）；</w:t>
      </w:r>
    </w:p>
    <w:p w14:paraId="3904BF41">
      <w:pPr>
        <w:numPr>
          <w:ilvl w:val="0"/>
          <w:numId w:val="31"/>
        </w:numPr>
        <w:spacing w:before="120" w:after="120" w:line="288" w:lineRule="auto"/>
        <w:ind w:left="0"/>
        <w:jc w:val="left"/>
      </w:pPr>
      <w:r>
        <w:rPr>
          <w:rFonts w:ascii="Arial" w:hAnsi="Arial" w:eastAsia="等线" w:cs="Arial"/>
          <w:sz w:val="22"/>
        </w:rPr>
        <w:t>时间期限 (Time Inforce)： 订单的有效期是多长（见下文）；</w:t>
      </w:r>
    </w:p>
    <w:p w14:paraId="301429AA">
      <w:pPr>
        <w:numPr>
          <w:ilvl w:val="0"/>
          <w:numId w:val="32"/>
        </w:numPr>
        <w:spacing w:before="120" w:after="120" w:line="288" w:lineRule="auto"/>
        <w:ind w:left="0"/>
        <w:jc w:val="left"/>
      </w:pPr>
      <w:r>
        <w:rPr>
          <w:rFonts w:ascii="Arial" w:hAnsi="Arial" w:eastAsia="等线" w:cs="Arial"/>
          <w:sz w:val="22"/>
        </w:rPr>
        <w:t>价格 (Price)： 如果是限价单等。</w:t>
      </w:r>
    </w:p>
    <w:p w14:paraId="3E56C80C">
      <w:pPr>
        <w:spacing w:before="120" w:after="120" w:line="288" w:lineRule="auto"/>
        <w:ind w:left="0"/>
        <w:jc w:val="left"/>
      </w:pPr>
    </w:p>
    <w:p w14:paraId="19D59D5A">
      <w:pPr>
        <w:spacing w:before="300" w:after="120" w:line="288" w:lineRule="auto"/>
        <w:ind w:left="0"/>
        <w:jc w:val="left"/>
        <w:outlineLvl w:val="2"/>
      </w:pPr>
      <w:bookmarkStart w:id="14" w:name="heading_14"/>
      <w:r>
        <w:rPr>
          <w:rFonts w:ascii="Arial" w:hAnsi="Arial" w:eastAsia="等线" w:cs="Arial"/>
          <w:color w:val="3370FF"/>
          <w:sz w:val="30"/>
        </w:rPr>
        <w:t xml:space="preserve">2.4.1 </w:t>
      </w:r>
      <w:r>
        <w:rPr>
          <w:rFonts w:ascii="Arial" w:hAnsi="Arial" w:eastAsia="等线" w:cs="Arial"/>
          <w:b/>
          <w:sz w:val="30"/>
        </w:rPr>
        <w:t>接收基础订单</w:t>
      </w:r>
      <w:bookmarkEnd w:id="14"/>
    </w:p>
    <w:p w14:paraId="015E9092">
      <w:pPr>
        <w:spacing w:before="260" w:after="120" w:line="288" w:lineRule="auto"/>
        <w:ind w:left="0"/>
        <w:jc w:val="left"/>
        <w:outlineLvl w:val="3"/>
      </w:pPr>
      <w:bookmarkStart w:id="15" w:name="heading_15"/>
      <w:r>
        <w:rPr>
          <w:rFonts w:ascii="Arial" w:hAnsi="Arial" w:eastAsia="等线" w:cs="Arial"/>
          <w:color w:val="3370FF"/>
          <w:sz w:val="28"/>
        </w:rPr>
        <w:t xml:space="preserve">2.4.1.1 </w:t>
      </w:r>
      <w:r>
        <w:rPr>
          <w:rFonts w:ascii="Arial" w:hAnsi="Arial" w:eastAsia="等线" w:cs="Arial"/>
          <w:b/>
          <w:sz w:val="28"/>
        </w:rPr>
        <w:t>市价单 (Market Order)</w:t>
      </w:r>
      <w:bookmarkEnd w:id="15"/>
    </w:p>
    <w:p w14:paraId="2B649473">
      <w:pPr>
        <w:spacing w:before="120" w:after="120" w:line="288" w:lineRule="auto"/>
        <w:ind w:left="0"/>
        <w:jc w:val="left"/>
      </w:pPr>
      <w:r>
        <w:rPr>
          <w:rFonts w:ascii="Arial" w:hAnsi="Arial" w:eastAsia="等线" w:cs="Arial"/>
          <w:sz w:val="22"/>
        </w:rPr>
        <w:t>市价单是指以当前可获得的最佳价格立即执行的订单。你收到的大多数订单都将是市价单。以下是它们的种类：</w:t>
      </w:r>
    </w:p>
    <w:p w14:paraId="3ECB2DD2">
      <w:pPr>
        <w:numPr>
          <w:ilvl w:val="0"/>
          <w:numId w:val="33"/>
        </w:numPr>
        <w:spacing w:before="120" w:after="120" w:line="288" w:lineRule="auto"/>
        <w:ind w:left="0"/>
        <w:jc w:val="left"/>
      </w:pPr>
      <w:r>
        <w:rPr>
          <w:rFonts w:ascii="Arial" w:hAnsi="Arial" w:eastAsia="等线" w:cs="Arial"/>
          <w:b/>
          <w:sz w:val="22"/>
        </w:rPr>
        <w:t>买单（Buy order）</w:t>
      </w:r>
      <w:r>
        <w:rPr>
          <w:rFonts w:ascii="Arial" w:hAnsi="Arial" w:eastAsia="等线" w:cs="Arial"/>
          <w:sz w:val="22"/>
        </w:rPr>
        <w:t>：当投资者发出市价买入指令时，他们不指定价格；投资者会以最低卖价（即有人愿意出售该证券的最低价格）买入证券。购买证券的投资者希望价格上涨（当然是在买入之后），并建立看涨头寸。</w:t>
      </w:r>
    </w:p>
    <w:p w14:paraId="4F47DC5E">
      <w:pPr>
        <w:numPr>
          <w:ilvl w:val="0"/>
          <w:numId w:val="34"/>
        </w:numPr>
        <w:spacing w:before="120" w:after="120" w:line="288" w:lineRule="auto"/>
        <w:ind w:left="0"/>
        <w:jc w:val="left"/>
      </w:pPr>
      <w:r>
        <w:rPr>
          <w:rFonts w:ascii="Arial" w:hAnsi="Arial" w:eastAsia="等线" w:cs="Arial"/>
          <w:b/>
          <w:sz w:val="22"/>
        </w:rPr>
        <w:t>卖单（Sell order）：</w:t>
      </w:r>
      <w:r>
        <w:rPr>
          <w:rFonts w:ascii="Arial" w:hAnsi="Arial" w:eastAsia="等线" w:cs="Arial"/>
          <w:sz w:val="22"/>
        </w:rPr>
        <w:t>当投资者发出市价卖出指令时，他们并不指定价格；他们会以最高买价（即有人愿意为该证券支付的最高价格）卖出证券。</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5F740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DB8CEF2">
            <w:pPr>
              <w:spacing w:before="120" w:after="120" w:line="288" w:lineRule="auto"/>
              <w:ind w:left="0"/>
              <w:jc w:val="left"/>
            </w:pPr>
            <w:r>
              <w:rPr>
                <w:rFonts w:ascii="Arial" w:hAnsi="Arial" w:eastAsia="等线" w:cs="Arial"/>
                <w:sz w:val="22"/>
              </w:rPr>
              <w:t>与交易所一样，场外交易市场中最高买入价（highest bid price）与最低卖出价（lowest ask (offer) price）之间的差额被称为价差（spread）。通常情况下，价差越窄，该证券的交易就越活跃。</w:t>
            </w:r>
          </w:p>
        </w:tc>
      </w:tr>
    </w:tbl>
    <w:p w14:paraId="69CCA4BC">
      <w:pPr>
        <w:spacing w:before="120" w:after="120" w:line="288" w:lineRule="auto"/>
        <w:ind w:left="0"/>
        <w:jc w:val="left"/>
      </w:pPr>
      <w:r>
        <w:rPr>
          <w:rFonts w:ascii="Arial" w:hAnsi="Arial" w:eastAsia="等线" w:cs="Arial"/>
          <w:sz w:val="22"/>
        </w:rPr>
        <w:t>卖空者看空（希望证券价格下跌）。如果价格反而上涨，卖空者就必须以更高的价格在市场上买入股票，从而遭受损失。请记住，所有卖空交易都必须在保证金账户中进行。卖空交易受《SHO条例》中卖空规定的约束。</w:t>
      </w:r>
    </w:p>
    <w:p w14:paraId="0763A10E">
      <w:pPr>
        <w:spacing w:before="120" w:after="120" w:line="288" w:lineRule="auto"/>
        <w:ind w:left="0"/>
        <w:jc w:val="left"/>
      </w:pPr>
    </w:p>
    <w:p w14:paraId="4224461B">
      <w:pPr>
        <w:spacing w:before="120" w:after="120" w:line="288" w:lineRule="auto"/>
        <w:ind w:left="0"/>
        <w:jc w:val="left"/>
      </w:pPr>
      <w:r>
        <w:rPr>
          <w:rFonts w:ascii="Arial" w:hAnsi="Arial" w:eastAsia="等线" w:cs="Arial"/>
          <w:sz w:val="22"/>
        </w:rPr>
        <w:t>注：投资者可能会出于投机（speculation）（认为证券价格将会下跌）、对冲（hedging）（在市场下跌时保护某一或若干证券）或套利（arbitrage）（利用证券在不同市场的价格差异）目的进行卖空操作。</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4001B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69AE718">
            <w:pPr>
              <w:spacing w:before="120" w:after="120" w:line="288" w:lineRule="auto"/>
              <w:ind w:left="0"/>
              <w:jc w:val="left"/>
            </w:pPr>
            <w:r>
              <w:rPr>
                <w:rFonts w:ascii="Arial" w:hAnsi="Arial" w:eastAsia="等线" w:cs="Arial"/>
                <w:sz w:val="22"/>
              </w:rPr>
              <w:t>《SHO条例》由美国证券交易委员会（SEC）于 2005 年实施，是针对卖空交易的重要监管规则，其出台目的是遏制裸卖空等违规卖空行为，维护证券市场的稳定与透明度。其中 “SHO” 可理解为 “Short - sell”（卖空）相关的监管条例代号，并非完整英文短语的缩写。</w:t>
            </w:r>
          </w:p>
          <w:p w14:paraId="51C7E553">
            <w:pPr>
              <w:spacing w:before="120" w:after="120" w:line="288" w:lineRule="auto"/>
              <w:ind w:left="0"/>
              <w:jc w:val="left"/>
            </w:pPr>
          </w:p>
          <w:p w14:paraId="42C14AD7">
            <w:pPr>
              <w:spacing w:before="120" w:after="120" w:line="288" w:lineRule="auto"/>
              <w:ind w:left="0"/>
              <w:jc w:val="left"/>
            </w:pPr>
            <w:r>
              <w:rPr>
                <w:rFonts w:ascii="Arial" w:hAnsi="Arial" w:eastAsia="等线" w:cs="Arial"/>
                <w:sz w:val="22"/>
              </w:rPr>
              <w:t>根据涵盖证券卖空的《SHO条例》，所有订单票据必须标记为卖空而非多头卖出。（在此背景下，多头卖出是指客户卖出其实际持有的证券，而非仅借入的证券。）此外，所有经纪公司必须制定规则，以定位、借入和交付将要卖空的证券。经纪公司在执行卖空交易前，必须确保在交付到期日能够找到并交付该证券。</w:t>
            </w:r>
          </w:p>
        </w:tc>
      </w:tr>
    </w:tbl>
    <w:p w14:paraId="75AE74D8">
      <w:pPr>
        <w:spacing w:before="120" w:after="120" w:line="288" w:lineRule="auto"/>
        <w:ind w:left="0"/>
        <w:jc w:val="left"/>
      </w:pPr>
    </w:p>
    <w:p w14:paraId="4F079F36">
      <w:pPr>
        <w:spacing w:before="260" w:after="120" w:line="288" w:lineRule="auto"/>
        <w:ind w:left="0"/>
        <w:jc w:val="left"/>
        <w:outlineLvl w:val="3"/>
      </w:pPr>
      <w:bookmarkStart w:id="16" w:name="heading_16"/>
      <w:r>
        <w:rPr>
          <w:rFonts w:ascii="Arial" w:hAnsi="Arial" w:eastAsia="等线" w:cs="Arial"/>
          <w:color w:val="3370FF"/>
          <w:sz w:val="28"/>
        </w:rPr>
        <w:t xml:space="preserve">2.4.1.2 </w:t>
      </w:r>
      <w:r>
        <w:rPr>
          <w:rFonts w:ascii="Arial" w:hAnsi="Arial" w:eastAsia="等线" w:cs="Arial"/>
          <w:b/>
          <w:sz w:val="28"/>
        </w:rPr>
        <w:t xml:space="preserve">止损单 (Stop Order) </w:t>
      </w:r>
      <w:bookmarkEnd w:id="16"/>
    </w:p>
    <w:p w14:paraId="03B44103">
      <w:pPr>
        <w:spacing w:before="120" w:after="120" w:line="288" w:lineRule="auto"/>
        <w:ind w:left="0"/>
        <w:jc w:val="left"/>
      </w:pPr>
      <w:r>
        <w:rPr>
          <w:rFonts w:ascii="Arial" w:hAnsi="Arial" w:eastAsia="等线" w:cs="Arial"/>
          <w:sz w:val="22"/>
        </w:rPr>
        <w:t>止损单用于限制投资者可能遭受的损失或锁定收益。</w:t>
      </w:r>
    </w:p>
    <w:p w14:paraId="51E9D3C8">
      <w:pPr>
        <w:spacing w:before="120" w:after="120" w:line="288" w:lineRule="auto"/>
        <w:ind w:left="0"/>
        <w:jc w:val="left"/>
      </w:pPr>
    </w:p>
    <w:p w14:paraId="6337DDA6">
      <w:pPr>
        <w:spacing w:before="120" w:after="120" w:line="288" w:lineRule="auto"/>
        <w:ind w:left="0"/>
        <w:jc w:val="left"/>
      </w:pPr>
      <w:r>
        <w:rPr>
          <w:rFonts w:ascii="Arial" w:hAnsi="Arial" w:eastAsia="等线" w:cs="Arial"/>
          <w:sz w:val="22"/>
        </w:rPr>
        <w:t>根据投资者持有的是多头还是空头头寸，他们可能会下达买入止损单或卖出止损单：</w:t>
      </w:r>
    </w:p>
    <w:p w14:paraId="6D6F145C">
      <w:pPr>
        <w:numPr>
          <w:ilvl w:val="0"/>
          <w:numId w:val="35"/>
        </w:numPr>
        <w:spacing w:before="120" w:after="120" w:line="288" w:lineRule="auto"/>
        <w:ind w:left="0"/>
        <w:jc w:val="left"/>
      </w:pPr>
      <w:r>
        <w:rPr>
          <w:rFonts w:ascii="Arial" w:hAnsi="Arial" w:eastAsia="等线" w:cs="Arial"/>
          <w:sz w:val="22"/>
        </w:rPr>
        <w:t>止损买单：这些订单用于保护空头头寸（当投资者卖出借入的证券时）。止损买单指示在市场价格达到特定价格或更高时买入某一证券。</w:t>
      </w:r>
    </w:p>
    <w:p w14:paraId="5608DA33">
      <w:pPr>
        <w:numPr>
          <w:ilvl w:val="0"/>
          <w:numId w:val="36"/>
        </w:numPr>
        <w:spacing w:before="120" w:after="120" w:line="288" w:lineRule="auto"/>
        <w:ind w:left="0"/>
        <w:jc w:val="left"/>
      </w:pPr>
      <w:r>
        <w:rPr>
          <w:rFonts w:ascii="Arial" w:hAnsi="Arial" w:eastAsia="等线" w:cs="Arial"/>
          <w:sz w:val="22"/>
        </w:rPr>
        <w:t>止损卖单：这些订单用于保护多头头寸（当投资者持有相关股票时）；它们指示在市场价格触及特定价格或更低价格时卖出证券。</w:t>
      </w:r>
    </w:p>
    <w:p w14:paraId="5BC3F170">
      <w:pPr>
        <w:spacing w:before="260" w:after="120" w:line="288" w:lineRule="auto"/>
        <w:ind w:left="0"/>
        <w:jc w:val="left"/>
        <w:outlineLvl w:val="3"/>
      </w:pPr>
      <w:bookmarkStart w:id="17" w:name="heading_17"/>
      <w:r>
        <w:rPr>
          <w:rFonts w:ascii="Arial" w:hAnsi="Arial" w:eastAsia="等线" w:cs="Arial"/>
          <w:color w:val="3370FF"/>
          <w:sz w:val="28"/>
        </w:rPr>
        <w:t xml:space="preserve">2.4.1.3 </w:t>
      </w:r>
      <w:r>
        <w:rPr>
          <w:rFonts w:ascii="Arial" w:hAnsi="Arial" w:eastAsia="等线" w:cs="Arial"/>
          <w:b/>
          <w:sz w:val="28"/>
        </w:rPr>
        <w:t xml:space="preserve">限价订单(Limit Order) </w:t>
      </w:r>
      <w:bookmarkEnd w:id="17"/>
    </w:p>
    <w:p w14:paraId="1D543866">
      <w:pPr>
        <w:spacing w:before="120" w:after="120" w:line="288" w:lineRule="auto"/>
        <w:ind w:left="0"/>
        <w:jc w:val="left"/>
      </w:pPr>
      <w:r>
        <w:rPr>
          <w:rFonts w:ascii="Arial" w:hAnsi="Arial" w:eastAsia="等线" w:cs="Arial"/>
          <w:sz w:val="22"/>
        </w:rPr>
        <w:t>对证券的买入或卖出价格有明确要求的客户会下达限价订单；这种订单表示客户不愿支付超过某一特定价格，或者不愿以低于某一特定价格卖出。根据投资者是想买入还是卖出，他们可以下达</w:t>
      </w:r>
      <w:r>
        <w:rPr>
          <w:rFonts w:ascii="Arial" w:hAnsi="Arial" w:eastAsia="等线" w:cs="Arial"/>
          <w:b/>
          <w:sz w:val="22"/>
        </w:rPr>
        <w:t>买入限价单</w:t>
      </w:r>
      <w:r>
        <w:rPr>
          <w:rFonts w:ascii="Arial" w:hAnsi="Arial" w:eastAsia="等线" w:cs="Arial"/>
          <w:sz w:val="22"/>
        </w:rPr>
        <w:t>或</w:t>
      </w:r>
      <w:r>
        <w:rPr>
          <w:rFonts w:ascii="Arial" w:hAnsi="Arial" w:eastAsia="等线" w:cs="Arial"/>
          <w:b/>
          <w:sz w:val="22"/>
        </w:rPr>
        <w:t>卖出限价单。</w:t>
      </w:r>
    </w:p>
    <w:p w14:paraId="36D99122">
      <w:pPr>
        <w:numPr>
          <w:ilvl w:val="0"/>
          <w:numId w:val="37"/>
        </w:numPr>
        <w:spacing w:before="120" w:after="120" w:line="288" w:lineRule="auto"/>
        <w:ind w:left="0"/>
        <w:jc w:val="left"/>
      </w:pPr>
      <w:r>
        <w:rPr>
          <w:rFonts w:ascii="Arial" w:hAnsi="Arial" w:eastAsia="等线" w:cs="Arial"/>
          <w:sz w:val="22"/>
        </w:rPr>
        <w:t>买入限价单：想要购买证券的投资者会下达限价买入指令。限价买入订单是指以限定价格或更低价格买入证券的指令。假设 DEF 股票的交易价格为每股$35，你可以下达限价为$30，如果 DEF 价格触达 $30 或更低，则订单可能会成交。</w:t>
      </w:r>
    </w:p>
    <w:p w14:paraId="76851ED1">
      <w:pPr>
        <w:numPr>
          <w:ilvl w:val="0"/>
          <w:numId w:val="38"/>
        </w:numPr>
        <w:spacing w:before="120" w:after="120" w:line="288" w:lineRule="auto"/>
        <w:ind w:left="0"/>
        <w:jc w:val="left"/>
      </w:pPr>
      <w:r>
        <w:rPr>
          <w:rFonts w:ascii="Arial" w:hAnsi="Arial" w:eastAsia="等线" w:cs="Arial"/>
          <w:sz w:val="22"/>
        </w:rPr>
        <w:t>卖出限价单：想要卖出证券的投资者会下达限价卖出指令。限价卖出指令是指以限价或更高价格卖出证券的指令。假设你的一位客户持有 LMN 股票，该股票目前的交易价格为每股$62，如果客户想要在 $70 每股时卖出，这位客户可以对 LMN 股票设定每股 $70。如果 LMN 价格触及或超过 $70，则股票很有可能会被卖出。</w:t>
      </w:r>
    </w:p>
    <w:p w14:paraId="662F4AED">
      <w:pPr>
        <w:spacing w:before="120" w:after="120" w:line="288" w:lineRule="auto"/>
        <w:ind w:left="0"/>
        <w:jc w:val="left"/>
      </w:pPr>
    </w:p>
    <w:p w14:paraId="6EB2F113">
      <w:pPr>
        <w:spacing w:before="260" w:after="120" w:line="288" w:lineRule="auto"/>
        <w:ind w:left="0"/>
        <w:jc w:val="left"/>
        <w:outlineLvl w:val="3"/>
      </w:pPr>
      <w:bookmarkStart w:id="18" w:name="heading_18"/>
      <w:r>
        <w:rPr>
          <w:rFonts w:ascii="Arial" w:hAnsi="Arial" w:eastAsia="等线" w:cs="Arial"/>
          <w:color w:val="3370FF"/>
          <w:sz w:val="28"/>
        </w:rPr>
        <w:t xml:space="preserve">2.4.1.4 </w:t>
      </w:r>
      <w:r>
        <w:rPr>
          <w:rFonts w:ascii="Arial" w:hAnsi="Arial" w:eastAsia="等线" w:cs="Arial"/>
          <w:b/>
          <w:sz w:val="28"/>
        </w:rPr>
        <w:t>止损限价单（Stop limit order）</w:t>
      </w:r>
      <w:bookmarkEnd w:id="18"/>
    </w:p>
    <w:p w14:paraId="1030968A">
      <w:pPr>
        <w:spacing w:before="120" w:after="120" w:line="288" w:lineRule="auto"/>
        <w:ind w:left="0"/>
        <w:jc w:val="left"/>
      </w:pPr>
      <w:r>
        <w:rPr>
          <w:rFonts w:ascii="Arial" w:hAnsi="Arial" w:eastAsia="等线" w:cs="Arial"/>
          <w:sz w:val="22"/>
        </w:rPr>
        <w:t>止损限价单是止损单和限价单的结合；分为买入止损单或卖出止损单，在达到止损价格后会变为限价单。</w:t>
      </w:r>
    </w:p>
    <w:p w14:paraId="2D6F5A51">
      <w:pPr>
        <w:spacing w:before="120" w:after="120" w:line="288" w:lineRule="auto"/>
        <w:ind w:left="0"/>
        <w:jc w:val="left"/>
      </w:pPr>
    </w:p>
    <w:p w14:paraId="7E1E0231">
      <w:pPr>
        <w:spacing w:before="120" w:after="120" w:line="288" w:lineRule="auto"/>
        <w:ind w:left="0"/>
        <w:jc w:val="left"/>
      </w:pPr>
      <w:r>
        <w:rPr>
          <w:rFonts w:ascii="Arial" w:hAnsi="Arial" w:eastAsia="等线" w:cs="Arial"/>
          <w:sz w:val="22"/>
        </w:rPr>
        <w:t>一份写着“以41美元止损、40.75美元限价卖出1000股HIJ股票”的订单意味着，一旦HIJ股票达到 $41 或更低，则下一个卖出价为40.75美元的限价单 。如果这只是一个止损单，股票将在价格满足条件时以市价成交。</w:t>
      </w:r>
    </w:p>
    <w:p w14:paraId="27E906FC">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0BC13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77F4BB0">
            <w:pPr>
              <w:spacing w:before="120" w:after="120" w:line="288" w:lineRule="auto"/>
              <w:ind w:left="0"/>
              <w:jc w:val="left"/>
            </w:pPr>
            <w:r>
              <w:rPr>
                <w:rFonts w:ascii="Arial" w:hAnsi="Arial" w:eastAsia="等线" w:cs="Arial"/>
                <w:sz w:val="22"/>
              </w:rPr>
              <w:t>由于止损单和限价单具有特定的价格，它们可能会被执行，也可能不会。此外，即使限价单达到或超过了限定价格，如果在投资者的订单之前有更多订单，该订单也可能无法执行。</w:t>
            </w:r>
          </w:p>
        </w:tc>
      </w:tr>
    </w:tbl>
    <w:p w14:paraId="6239357C">
      <w:pPr>
        <w:spacing w:before="300" w:after="120" w:line="288" w:lineRule="auto"/>
        <w:ind w:left="0"/>
        <w:jc w:val="left"/>
        <w:outlineLvl w:val="2"/>
      </w:pPr>
      <w:bookmarkStart w:id="19" w:name="heading_19"/>
      <w:r>
        <w:rPr>
          <w:rFonts w:ascii="Arial" w:hAnsi="Arial" w:eastAsia="等线" w:cs="Arial"/>
          <w:color w:val="3370FF"/>
          <w:sz w:val="30"/>
        </w:rPr>
        <w:t xml:space="preserve">2.4.2 </w:t>
      </w:r>
      <w:r>
        <w:rPr>
          <w:rFonts w:ascii="Arial" w:hAnsi="Arial" w:eastAsia="等线" w:cs="Arial"/>
          <w:b/>
          <w:sz w:val="30"/>
        </w:rPr>
        <w:t>订单特征（Order Features）</w:t>
      </w:r>
      <w:bookmarkEnd w:id="19"/>
    </w:p>
    <w:p w14:paraId="70B7F00B">
      <w:pPr>
        <w:spacing w:before="120" w:after="120" w:line="288" w:lineRule="auto"/>
        <w:ind w:left="0"/>
        <w:jc w:val="left"/>
      </w:pPr>
      <w:r>
        <w:rPr>
          <w:rFonts w:ascii="Arial" w:hAnsi="Arial" w:eastAsia="等线" w:cs="Arial"/>
          <w:sz w:val="22"/>
        </w:rPr>
        <w:t>除了基本的订单类型（市价单、限价单和止损单），你还应该掌握一些可以添加到订单中的附加功能。</w:t>
      </w:r>
    </w:p>
    <w:p w14:paraId="408B4372">
      <w:pPr>
        <w:spacing w:before="120" w:after="120" w:line="288" w:lineRule="auto"/>
        <w:ind w:left="0"/>
        <w:jc w:val="left"/>
      </w:pPr>
    </w:p>
    <w:p w14:paraId="0C0BC266">
      <w:pPr>
        <w:spacing w:before="120" w:after="120" w:line="288" w:lineRule="auto"/>
        <w:ind w:left="0"/>
        <w:jc w:val="left"/>
      </w:pPr>
      <w:r>
        <w:rPr>
          <w:rFonts w:ascii="Arial" w:hAnsi="Arial" w:eastAsia="等线" w:cs="Arial"/>
          <w:sz w:val="22"/>
        </w:rPr>
        <w:t>这类功能有很多，但在大多数情况下，订单功能的名称本身就很好地解释了它的含义：</w:t>
      </w:r>
    </w:p>
    <w:p w14:paraId="433F125C">
      <w:pPr>
        <w:spacing w:before="120" w:after="120" w:line="288" w:lineRule="auto"/>
        <w:ind w:left="0"/>
        <w:jc w:val="left"/>
      </w:pPr>
    </w:p>
    <w:p w14:paraId="7E24E825">
      <w:pPr>
        <w:numPr>
          <w:ilvl w:val="0"/>
          <w:numId w:val="39"/>
        </w:numPr>
        <w:spacing w:before="120" w:after="120" w:line="288" w:lineRule="auto"/>
        <w:ind w:left="0"/>
        <w:jc w:val="left"/>
      </w:pPr>
      <w:r>
        <w:rPr>
          <w:rFonts w:ascii="Arial" w:hAnsi="Arial" w:eastAsia="等线" w:cs="Arial"/>
          <w:b/>
          <w:sz w:val="22"/>
        </w:rPr>
        <w:t>当日订单（Day）</w:t>
      </w:r>
      <w:r>
        <w:rPr>
          <w:rFonts w:ascii="Arial" w:hAnsi="Arial" w:eastAsia="等线" w:cs="Arial"/>
          <w:sz w:val="22"/>
        </w:rPr>
        <w:t>：如果当日订单在交易日结束时仍未成交，则会被取消。所有特定价格订单（止损单和限价单）除非另有标记，否则均视为当日订单。您收到的大多数订单将是市价单，以可用的最佳价格（最高买入价和最低卖出价）立即执行。</w:t>
      </w:r>
    </w:p>
    <w:p w14:paraId="64AE8A42">
      <w:pPr>
        <w:numPr>
          <w:ilvl w:val="0"/>
          <w:numId w:val="40"/>
        </w:numPr>
        <w:spacing w:before="120" w:after="120" w:line="288" w:lineRule="auto"/>
        <w:ind w:left="0"/>
        <w:jc w:val="left"/>
      </w:pPr>
      <w:r>
        <w:rPr>
          <w:rFonts w:ascii="Arial" w:hAnsi="Arial" w:eastAsia="等线" w:cs="Arial"/>
          <w:b/>
          <w:sz w:val="22"/>
        </w:rPr>
        <w:t>取消前有效（Good Till Canceled, GTC）</w:t>
      </w:r>
      <w:r>
        <w:rPr>
          <w:rFonts w:ascii="Arial" w:hAnsi="Arial" w:eastAsia="等线" w:cs="Arial"/>
          <w:sz w:val="22"/>
        </w:rPr>
        <w:t>：取消前有效订单也称为开放订单，因为该订单会保持开放状态，直至成交或被取消。</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313FB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11431F9">
            <w:pPr>
              <w:spacing w:before="120" w:after="120" w:line="288" w:lineRule="auto"/>
              <w:ind w:left="0"/>
              <w:jc w:val="left"/>
            </w:pPr>
            <w:r>
              <w:rPr>
                <w:rFonts w:ascii="Arial" w:hAnsi="Arial" w:eastAsia="等线" w:cs="Arial"/>
                <w:color w:val="646A73"/>
                <w:sz w:val="22"/>
              </w:rPr>
              <w:t>注：投资者可以指定希望订单在下周、下个月、两个月后等时间取消。许多交易所不再接受GTC订单，但客户可以向其经纪交易商下达此类订单，经纪交易商将在内部进行处理。在实际操作中，由于客户可能会忘记自己的GTC订单，许多经纪交易商将这些订单的有效期设置为30天、60天、90天等。</w:t>
            </w:r>
          </w:p>
        </w:tc>
      </w:tr>
    </w:tbl>
    <w:p w14:paraId="2DC18087">
      <w:pPr>
        <w:numPr>
          <w:ilvl w:val="0"/>
          <w:numId w:val="41"/>
        </w:numPr>
        <w:spacing w:before="120" w:after="120" w:line="288" w:lineRule="auto"/>
        <w:ind w:left="0"/>
        <w:jc w:val="left"/>
      </w:pPr>
      <w:r>
        <w:rPr>
          <w:rFonts w:ascii="Arial" w:hAnsi="Arial" w:eastAsia="等线" w:cs="Arial"/>
          <w:b/>
          <w:sz w:val="22"/>
        </w:rPr>
        <w:t>不持仓（Not held, NH）</w:t>
      </w:r>
      <w:r>
        <w:rPr>
          <w:rFonts w:ascii="Arial" w:hAnsi="Arial" w:eastAsia="等线" w:cs="Arial"/>
          <w:sz w:val="22"/>
        </w:rPr>
        <w:t>：此订单赋予经纪人执行交易的时间自主权。通常，当经纪人认为他们能在当天晚些时候为客户争取到更优价格时，投资者会使用不持仓订单。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2045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1F610A">
            <w:pPr>
              <w:spacing w:before="120" w:after="120" w:line="288" w:lineRule="auto"/>
              <w:ind w:left="0"/>
              <w:jc w:val="left"/>
            </w:pPr>
            <w:r>
              <w:rPr>
                <w:rFonts w:ascii="Arial" w:hAnsi="Arial" w:eastAsia="等线" w:cs="Arial"/>
                <w:color w:val="646A73"/>
                <w:sz w:val="22"/>
              </w:rPr>
              <w:t>不持仓指令仅涉及时间安排。对于注册代表而言，若要选择证券、股份数量以及/或者决定买入或卖出，客户需要开设一个全权委托账户，这需要一份书面授权委托书。详情请参见本章稍后的“全权委托订单与非全权委托订单”。</w:t>
            </w:r>
          </w:p>
        </w:tc>
      </w:tr>
    </w:tbl>
    <w:p w14:paraId="56B35681">
      <w:pPr>
        <w:numPr>
          <w:ilvl w:val="0"/>
          <w:numId w:val="42"/>
        </w:numPr>
        <w:spacing w:before="120" w:after="120" w:line="288" w:lineRule="auto"/>
        <w:ind w:left="0"/>
        <w:jc w:val="left"/>
      </w:pPr>
      <w:r>
        <w:rPr>
          <w:rFonts w:ascii="Arial" w:hAnsi="Arial" w:eastAsia="等线" w:cs="Arial"/>
          <w:b/>
          <w:sz w:val="22"/>
        </w:rPr>
        <w:t>立即成交或取消（Immediate or cancel, IOC）</w:t>
      </w:r>
      <w:r>
        <w:rPr>
          <w:rFonts w:ascii="Arial" w:hAnsi="Arial" w:eastAsia="等线" w:cs="Arial"/>
          <w:sz w:val="22"/>
        </w:rPr>
        <w:t>：立即成交，未完成的任何部分都将被取消。</w:t>
      </w:r>
    </w:p>
    <w:p w14:paraId="4F9DA26D">
      <w:pPr>
        <w:numPr>
          <w:ilvl w:val="0"/>
          <w:numId w:val="43"/>
        </w:numPr>
        <w:spacing w:before="120" w:after="120" w:line="288" w:lineRule="auto"/>
        <w:ind w:left="0"/>
        <w:jc w:val="left"/>
      </w:pPr>
      <w:r>
        <w:rPr>
          <w:rFonts w:ascii="Arial" w:hAnsi="Arial" w:eastAsia="等线" w:cs="Arial"/>
          <w:b/>
          <w:sz w:val="22"/>
        </w:rPr>
        <w:t>全额成交或取消（Fill or kill, FOK）</w:t>
      </w:r>
      <w:r>
        <w:rPr>
          <w:rFonts w:ascii="Arial" w:hAnsi="Arial" w:eastAsia="等线" w:cs="Arial"/>
          <w:sz w:val="22"/>
        </w:rPr>
        <w:t>：立即全部成交，否则取消。与 IOC 不同之处在于该订单必须全部成交，要么取消该订单。</w:t>
      </w:r>
    </w:p>
    <w:p w14:paraId="426798F9">
      <w:pPr>
        <w:numPr>
          <w:ilvl w:val="0"/>
          <w:numId w:val="44"/>
        </w:numPr>
        <w:spacing w:before="120" w:after="120" w:line="288" w:lineRule="auto"/>
        <w:ind w:left="0"/>
        <w:jc w:val="left"/>
      </w:pPr>
      <w:r>
        <w:rPr>
          <w:rFonts w:ascii="Arial" w:hAnsi="Arial" w:eastAsia="等线" w:cs="Arial"/>
          <w:b/>
          <w:sz w:val="22"/>
        </w:rPr>
        <w:t>全部成交或取消（All-or-none, AON）</w:t>
      </w:r>
      <w:r>
        <w:rPr>
          <w:rFonts w:ascii="Arial" w:hAnsi="Arial" w:eastAsia="等线" w:cs="Arial"/>
          <w:sz w:val="22"/>
        </w:rPr>
        <w:t>：要么全部执行，要么完全不执行。全部成交或取消单无需立即成交（允许多次尝试完全成交该订单），可以是当日有效订单或取消前有效订单。</w:t>
      </w:r>
    </w:p>
    <w:p w14:paraId="1FE3207C">
      <w:pPr>
        <w:numPr>
          <w:ilvl w:val="0"/>
          <w:numId w:val="45"/>
        </w:numPr>
        <w:spacing w:before="120" w:after="120" w:line="288" w:lineRule="auto"/>
        <w:ind w:left="0"/>
        <w:jc w:val="left"/>
      </w:pPr>
      <w:r>
        <w:rPr>
          <w:rFonts w:ascii="Arial" w:hAnsi="Arial" w:eastAsia="等线" w:cs="Arial"/>
          <w:b/>
          <w:sz w:val="22"/>
        </w:rPr>
        <w:t>开盘执行（At-the-open）</w:t>
      </w:r>
      <w:r>
        <w:rPr>
          <w:rFonts w:ascii="Arial" w:hAnsi="Arial" w:eastAsia="等线" w:cs="Arial"/>
          <w:sz w:val="22"/>
        </w:rPr>
        <w:t>：这些订单将按证券的开盘价执行。如果未能按开盘价执行，订单将被取消。这些订单允许部分成交。</w:t>
      </w:r>
    </w:p>
    <w:p w14:paraId="2AE598F7">
      <w:pPr>
        <w:numPr>
          <w:ilvl w:val="0"/>
          <w:numId w:val="46"/>
        </w:numPr>
        <w:spacing w:before="120" w:after="120" w:line="288" w:lineRule="auto"/>
        <w:ind w:left="0"/>
        <w:jc w:val="left"/>
      </w:pPr>
      <w:r>
        <w:rPr>
          <w:rFonts w:ascii="Arial" w:hAnsi="Arial" w:eastAsia="等线" w:cs="Arial"/>
          <w:b/>
          <w:sz w:val="22"/>
        </w:rPr>
        <w:t>收盘执行（At-the-close）（按收盘价交易 market on close）</w:t>
      </w:r>
      <w:r>
        <w:rPr>
          <w:rFonts w:ascii="Arial" w:hAnsi="Arial" w:eastAsia="等线" w:cs="Arial"/>
          <w:sz w:val="22"/>
        </w:rPr>
        <w:t>：此订单将按收盘价（或尽可能接近收盘价）执行。如果该订单未完成，则会被取消。</w:t>
      </w:r>
    </w:p>
    <w:p w14:paraId="03A1484A">
      <w:pPr>
        <w:numPr>
          <w:ilvl w:val="0"/>
          <w:numId w:val="47"/>
        </w:numPr>
        <w:spacing w:before="120" w:after="120" w:line="288" w:lineRule="auto"/>
        <w:ind w:left="0"/>
        <w:jc w:val="left"/>
      </w:pPr>
      <w:r>
        <w:rPr>
          <w:rFonts w:ascii="Arial" w:hAnsi="Arial" w:eastAsia="等线" w:cs="Arial"/>
          <w:b/>
          <w:sz w:val="22"/>
        </w:rPr>
        <w:t>不调整（Do not reduce, DNR）</w:t>
      </w:r>
      <w:r>
        <w:rPr>
          <w:rFonts w:ascii="Arial" w:hAnsi="Arial" w:eastAsia="等线" w:cs="Arial"/>
          <w:sz w:val="22"/>
        </w:rPr>
        <w:t>：此指令要求不针对股息下调止损单或限价单的价格。假设QRS股票当前交易价格为 $50。如果 QRS 之前公布了0.50美元的业绩，除息日的开盘价将为$49.50。如果一个客户下了 DNR 限价单，以45美元的价格购买1000股QRS，该订单不会因0.50美元的股息而下调。</w:t>
      </w:r>
    </w:p>
    <w:p w14:paraId="72126F91">
      <w:pPr>
        <w:numPr>
          <w:ilvl w:val="0"/>
          <w:numId w:val="48"/>
        </w:numPr>
        <w:spacing w:before="120" w:after="120" w:line="288" w:lineRule="auto"/>
        <w:ind w:left="0"/>
        <w:jc w:val="left"/>
      </w:pPr>
      <w:r>
        <w:rPr>
          <w:rFonts w:ascii="Arial" w:hAnsi="Arial" w:eastAsia="等线" w:cs="Arial"/>
          <w:b/>
          <w:sz w:val="22"/>
        </w:rPr>
        <w:t>替代订单（Alternative）</w:t>
      </w:r>
      <w:r>
        <w:rPr>
          <w:rFonts w:ascii="Arial" w:hAnsi="Arial" w:eastAsia="等线" w:cs="Arial"/>
          <w:sz w:val="22"/>
        </w:rPr>
        <w:t>：也被称为“二选一订单”。这种类型的订单指示经纪人执行两个订单中的一个，然后取消另一个。假设史密斯拥有成本价 $60 的股票. 他下了个 $55 止损市价单以作保护，并设置了70美元的卖出限价单进行止盈。如果其中一个订单被执行，另一个订单会立即被取消。</w:t>
      </w:r>
    </w:p>
    <w:p w14:paraId="2BB63422">
      <w:pPr>
        <w:numPr>
          <w:ilvl w:val="0"/>
          <w:numId w:val="49"/>
        </w:numPr>
        <w:spacing w:before="120" w:after="120" w:line="288" w:lineRule="auto"/>
        <w:ind w:left="0"/>
        <w:jc w:val="left"/>
      </w:pPr>
      <w:r>
        <w:rPr>
          <w:rFonts w:ascii="Arial" w:hAnsi="Arial" w:eastAsia="等线" w:cs="Arial"/>
          <w:b/>
          <w:sz w:val="22"/>
        </w:rPr>
        <w:t>征求买入报价（Bid wanted）</w:t>
      </w:r>
      <w:r>
        <w:rPr>
          <w:rFonts w:ascii="Arial" w:hAnsi="Arial" w:eastAsia="等线" w:cs="Arial"/>
          <w:sz w:val="22"/>
        </w:rPr>
        <w:t>：此订单表示投资者或经纪交易商希望以特定价格卖出证券的指示或通知。求沽意向最常在没有当前证券买家的情况下使用。</w:t>
      </w:r>
    </w:p>
    <w:p w14:paraId="26927F20">
      <w:pPr>
        <w:numPr>
          <w:ilvl w:val="0"/>
          <w:numId w:val="50"/>
        </w:numPr>
        <w:spacing w:before="120" w:after="120" w:line="288" w:lineRule="auto"/>
        <w:ind w:left="0"/>
        <w:jc w:val="left"/>
      </w:pPr>
      <w:r>
        <w:rPr>
          <w:rFonts w:ascii="Arial" w:hAnsi="Arial" w:eastAsia="等线" w:cs="Arial"/>
          <w:b/>
          <w:sz w:val="22"/>
        </w:rPr>
        <w:t>征求卖出报价（Offer wanted）</w:t>
      </w:r>
      <w:r>
        <w:rPr>
          <w:rFonts w:ascii="Arial" w:hAnsi="Arial" w:eastAsia="等线" w:cs="Arial"/>
          <w:sz w:val="22"/>
        </w:rPr>
        <w:t>：此订单是指投资者或经纪交易商希望以特定价格买入某一证券的指示或通知。求购意向尤其在当前没有该证券的卖方时使用。</w:t>
      </w:r>
    </w:p>
    <w:p w14:paraId="09A463B0">
      <w:pPr>
        <w:spacing w:before="300" w:after="120" w:line="288" w:lineRule="auto"/>
        <w:ind w:left="0"/>
        <w:jc w:val="left"/>
        <w:outlineLvl w:val="2"/>
      </w:pPr>
      <w:bookmarkStart w:id="20" w:name="heading_20"/>
      <w:r>
        <w:rPr>
          <w:rFonts w:ascii="Arial" w:hAnsi="Arial" w:eastAsia="等线" w:cs="Arial"/>
          <w:color w:val="3370FF"/>
          <w:sz w:val="30"/>
        </w:rPr>
        <w:t xml:space="preserve">2.4.3 </w:t>
      </w:r>
      <w:r>
        <w:rPr>
          <w:rFonts w:ascii="Arial" w:hAnsi="Arial" w:eastAsia="等线" w:cs="Arial"/>
          <w:b/>
          <w:sz w:val="30"/>
        </w:rPr>
        <w:t>按照客户的订单执行或自行决定</w:t>
      </w:r>
      <w:bookmarkEnd w:id="20"/>
    </w:p>
    <w:p w14:paraId="742218BF">
      <w:pPr>
        <w:spacing w:before="120" w:after="120" w:line="288" w:lineRule="auto"/>
        <w:ind w:left="0"/>
        <w:jc w:val="left"/>
      </w:pPr>
      <w:r>
        <w:rPr>
          <w:rFonts w:ascii="Arial" w:hAnsi="Arial" w:eastAsia="等线" w:cs="Arial"/>
          <w:sz w:val="22"/>
        </w:rPr>
        <w:t>无论是买入订单还是卖出订单，有些客户会比其他客户更愿意给你多一点信息和自主权，让你为他们做决定。另一些客户则会提供交易的所有细节（证券、价格、数量，所有信息），完全不需要你的参与，这实际上是件好事。</w:t>
      </w:r>
    </w:p>
    <w:p w14:paraId="242DFF55">
      <w:pPr>
        <w:spacing w:before="120" w:after="120" w:line="288" w:lineRule="auto"/>
        <w:ind w:left="0"/>
        <w:jc w:val="left"/>
      </w:pPr>
    </w:p>
    <w:p w14:paraId="07D6DE7B">
      <w:pPr>
        <w:spacing w:before="260" w:after="120" w:line="288" w:lineRule="auto"/>
        <w:ind w:left="0"/>
        <w:jc w:val="left"/>
        <w:outlineLvl w:val="3"/>
      </w:pPr>
      <w:bookmarkStart w:id="21" w:name="heading_21"/>
      <w:r>
        <w:rPr>
          <w:rFonts w:ascii="Arial" w:hAnsi="Arial" w:eastAsia="等线" w:cs="Arial"/>
          <w:color w:val="3370FF"/>
          <w:sz w:val="28"/>
        </w:rPr>
        <w:t xml:space="preserve">2.4.3.1 </w:t>
      </w:r>
      <w:r>
        <w:rPr>
          <w:rFonts w:ascii="Arial" w:hAnsi="Arial" w:eastAsia="等线" w:cs="Arial"/>
          <w:b/>
          <w:sz w:val="28"/>
        </w:rPr>
        <w:t>全权委托订单与非全权委托订单（Discretionary versus nondiscretionary orders）</w:t>
      </w:r>
      <w:bookmarkEnd w:id="21"/>
    </w:p>
    <w:p w14:paraId="6D6C293E">
      <w:pPr>
        <w:spacing w:before="120" w:after="120" w:line="288" w:lineRule="auto"/>
        <w:ind w:left="0"/>
        <w:jc w:val="left"/>
      </w:pPr>
      <w:r>
        <w:rPr>
          <w:rFonts w:ascii="Arial" w:hAnsi="Arial" w:eastAsia="等线" w:cs="Arial"/>
          <w:sz w:val="22"/>
        </w:rPr>
        <w:t>可以肯定的是，你从客户那里收到的大多数订单都将是非全权委托订单。</w:t>
      </w:r>
    </w:p>
    <w:p w14:paraId="72B6919A">
      <w:pPr>
        <w:spacing w:before="120" w:after="120" w:line="288" w:lineRule="auto"/>
        <w:ind w:left="0"/>
        <w:jc w:val="left"/>
      </w:pPr>
    </w:p>
    <w:p w14:paraId="1847C96F">
      <w:pPr>
        <w:spacing w:before="120" w:after="120" w:line="288" w:lineRule="auto"/>
        <w:ind w:left="0"/>
        <w:jc w:val="left"/>
      </w:pPr>
      <w:r>
        <w:rPr>
          <w:rFonts w:ascii="Arial" w:hAnsi="Arial" w:eastAsia="等线" w:cs="Arial"/>
          <w:sz w:val="22"/>
        </w:rPr>
        <w:t>如果你的一位客户告诉你要购买100股ABC公司的普通股，他们给你的就是非全权委托订单。之所以是非全权委托，是因为他们提供了订单的所有要素：买入或卖出、股数或金额，以及具体的证券。如果客户没有提供这些信息，该订单就被视为全权委托订单，这意味着你必须自行判断。</w:t>
      </w:r>
    </w:p>
    <w:p w14:paraId="72085CFD">
      <w:pPr>
        <w:spacing w:before="120" w:after="120" w:line="288" w:lineRule="auto"/>
        <w:ind w:left="0"/>
        <w:jc w:val="left"/>
      </w:pPr>
    </w:p>
    <w:p w14:paraId="61B38FCE">
      <w:pPr>
        <w:spacing w:before="120" w:after="120" w:line="288" w:lineRule="auto"/>
        <w:ind w:left="0"/>
        <w:jc w:val="left"/>
      </w:pPr>
      <w:r>
        <w:rPr>
          <w:rFonts w:ascii="Arial" w:hAnsi="Arial" w:eastAsia="等线" w:cs="Arial"/>
          <w:sz w:val="22"/>
        </w:rPr>
        <w:t>以下是一些全权委托订单的例子：</w:t>
      </w:r>
    </w:p>
    <w:p w14:paraId="5B35C572">
      <w:pPr>
        <w:numPr>
          <w:ilvl w:val="0"/>
          <w:numId w:val="51"/>
        </w:numPr>
        <w:spacing w:before="120" w:after="120" w:line="288" w:lineRule="auto"/>
        <w:ind w:left="0"/>
        <w:jc w:val="left"/>
      </w:pPr>
      <w:r>
        <w:rPr>
          <w:rFonts w:ascii="Arial" w:hAnsi="Arial" w:eastAsia="等线" w:cs="Arial"/>
          <w:sz w:val="22"/>
        </w:rPr>
        <w:t>买入或卖出100股ABC普通股；</w:t>
      </w:r>
    </w:p>
    <w:p w14:paraId="384FE63A">
      <w:pPr>
        <w:numPr>
          <w:ilvl w:val="0"/>
          <w:numId w:val="52"/>
        </w:numPr>
        <w:spacing w:before="120" w:after="120" w:line="288" w:lineRule="auto"/>
        <w:ind w:left="0"/>
        <w:jc w:val="left"/>
      </w:pPr>
      <w:r>
        <w:rPr>
          <w:rFonts w:ascii="Arial" w:hAnsi="Arial" w:eastAsia="等线" w:cs="Arial"/>
          <w:sz w:val="22"/>
        </w:rPr>
        <w:t>购买你认为我应该持有的ABC普通股数量；</w:t>
      </w:r>
    </w:p>
    <w:p w14:paraId="62A11046">
      <w:pPr>
        <w:numPr>
          <w:ilvl w:val="0"/>
          <w:numId w:val="53"/>
        </w:numPr>
        <w:spacing w:before="120" w:after="120" w:line="288" w:lineRule="auto"/>
        <w:ind w:left="0"/>
        <w:jc w:val="left"/>
      </w:pPr>
      <w:r>
        <w:rPr>
          <w:rFonts w:ascii="Arial" w:hAnsi="Arial" w:eastAsia="等线" w:cs="Arial"/>
          <w:sz w:val="22"/>
        </w:rPr>
        <w:t>购买100股制药类股票。</w:t>
      </w:r>
    </w:p>
    <w:p w14:paraId="73FFDEEB">
      <w:pPr>
        <w:spacing w:before="120" w:after="120" w:line="288" w:lineRule="auto"/>
        <w:ind w:left="0"/>
        <w:jc w:val="left"/>
      </w:pPr>
    </w:p>
    <w:p w14:paraId="71F0706F">
      <w:pPr>
        <w:spacing w:before="120" w:after="120" w:line="288" w:lineRule="auto"/>
        <w:ind w:left="0"/>
        <w:jc w:val="left"/>
      </w:pPr>
      <w:r>
        <w:rPr>
          <w:rFonts w:ascii="Arial" w:hAnsi="Arial" w:eastAsia="等线" w:cs="Arial"/>
          <w:sz w:val="22"/>
        </w:rPr>
        <w:t>全权委托订单（Discretionary orders）可由注册代表或经纪公司在未经客户事先口头许可的情况下执行。由于这类指令无需口头批准，注册代表必须在执行任何全权委托指令前获得客户签署的书面授权委托书（written power of attorney）。该授权委托书一直有效，直至全权委托账户被关闭或客户撤销该授权委托书。可想而知，全权委托指令必须在订单票据上明确标注。此外，公司负责人（principal）必须密切监控这些账户，以确保不存在为赚取佣金而进行的过度交易（churning）。</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5571F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2D6C86A3">
            <w:pPr>
              <w:spacing w:before="120" w:after="120" w:line="288" w:lineRule="auto"/>
              <w:ind w:left="0"/>
              <w:jc w:val="left"/>
            </w:pPr>
            <w:r>
              <w:rPr>
                <w:rFonts w:ascii="Arial" w:hAnsi="Arial" w:eastAsia="等线" w:cs="Arial"/>
                <w:sz w:val="22"/>
              </w:rPr>
              <w:t>客户可能会批准你在当天晚些时候下单，但不会授予你全权委托权。比如说，客户让你按市价购买100股DIM股票。你可以告诉客户，你认为当天晚些时候股价会下跌，或许能为他争取到更优惠的价格。只要客户口头同意，这种做法是允许的，且不被视为全权委托订单。</w:t>
            </w:r>
          </w:p>
        </w:tc>
      </w:tr>
    </w:tbl>
    <w:p w14:paraId="420D6753">
      <w:pPr>
        <w:spacing w:before="260" w:after="120" w:line="288" w:lineRule="auto"/>
        <w:ind w:left="0"/>
        <w:jc w:val="left"/>
        <w:outlineLvl w:val="3"/>
      </w:pPr>
      <w:bookmarkStart w:id="22" w:name="heading_22"/>
      <w:r>
        <w:rPr>
          <w:rFonts w:ascii="Arial" w:hAnsi="Arial" w:eastAsia="等线" w:cs="Arial"/>
          <w:color w:val="3370FF"/>
          <w:sz w:val="28"/>
        </w:rPr>
        <w:t xml:space="preserve">2.4.3.2 </w:t>
      </w:r>
      <w:r>
        <w:rPr>
          <w:rFonts w:ascii="Arial" w:hAnsi="Arial" w:eastAsia="等线" w:cs="Arial"/>
          <w:b/>
          <w:sz w:val="28"/>
        </w:rPr>
        <w:t>主动订单与被动订单（Solicited versus unsolicited orders）</w:t>
      </w:r>
      <w:bookmarkEnd w:id="22"/>
    </w:p>
    <w:p w14:paraId="3ADB9C1E">
      <w:pPr>
        <w:spacing w:before="120" w:after="120" w:line="288" w:lineRule="auto"/>
        <w:ind w:left="0"/>
        <w:jc w:val="left"/>
      </w:pPr>
      <w:r>
        <w:rPr>
          <w:rFonts w:ascii="Arial" w:hAnsi="Arial" w:eastAsia="等线" w:cs="Arial"/>
          <w:sz w:val="22"/>
        </w:rPr>
        <w:t>与非全权委托订单一样，你从客户那里收到的大多数订单都是由你主动招揽的，这意味着你可能会给某个客户打电话说：“DEF公司似乎有动向，所以我认为你买入100股DEF公司的普通股是明智的。” 因为是你主动打电话并建议客户应该买入（或卖出）什么，所以实际上是你招揽了该订单。</w:t>
      </w:r>
    </w:p>
    <w:p w14:paraId="516E7F12">
      <w:pPr>
        <w:spacing w:before="120" w:after="120" w:line="288" w:lineRule="auto"/>
        <w:ind w:left="0"/>
        <w:jc w:val="left"/>
      </w:pPr>
    </w:p>
    <w:p w14:paraId="1A3EFF5D">
      <w:pPr>
        <w:spacing w:before="120" w:after="120" w:line="288" w:lineRule="auto"/>
        <w:ind w:left="0"/>
        <w:jc w:val="left"/>
      </w:pPr>
      <w:r>
        <w:rPr>
          <w:rFonts w:ascii="Arial" w:hAnsi="Arial" w:eastAsia="等线" w:cs="Arial"/>
          <w:sz w:val="22"/>
        </w:rPr>
        <w:t>被动订单（unsolicited order）是指客户告诉你他们想买入或卖出什么的订单。你可能认为这对他们来说不是最佳主意，也可能会告诉他们这一点，但你不会拒绝这笔订单而损失佣金。在这种情况下，由于这不是你的建议，你需要在订单票据上标上 “unsolicited” 的方框。这基本上能让你在此次订单亏损时摆脱责任。</w:t>
      </w:r>
    </w:p>
    <w:p w14:paraId="68FE7D7A">
      <w:pPr>
        <w:spacing w:before="120" w:after="120" w:line="288" w:lineRule="auto"/>
        <w:ind w:left="0"/>
        <w:jc w:val="left"/>
      </w:pPr>
    </w:p>
    <w:p w14:paraId="290C8A82">
      <w:pPr>
        <w:spacing w:before="320" w:after="120" w:line="288" w:lineRule="auto"/>
        <w:ind w:left="0"/>
        <w:jc w:val="left"/>
        <w:outlineLvl w:val="1"/>
      </w:pPr>
      <w:bookmarkStart w:id="23" w:name="heading_23"/>
      <w:r>
        <w:rPr>
          <w:rFonts w:ascii="Arial" w:hAnsi="Arial" w:eastAsia="等线" w:cs="Arial"/>
          <w:color w:val="3370FF"/>
          <w:sz w:val="32"/>
        </w:rPr>
        <w:t xml:space="preserve">2.5 </w:t>
      </w:r>
      <w:r>
        <w:rPr>
          <w:rFonts w:ascii="Arial" w:hAnsi="Arial" w:eastAsia="等线" w:cs="Arial"/>
          <w:b/>
          <w:sz w:val="32"/>
        </w:rPr>
        <w:t>不同类型的投资者</w:t>
      </w:r>
      <w:bookmarkEnd w:id="23"/>
    </w:p>
    <w:p w14:paraId="3F2A13A5">
      <w:pPr>
        <w:spacing w:before="120" w:after="120" w:line="288" w:lineRule="auto"/>
        <w:ind w:left="0"/>
        <w:jc w:val="left"/>
      </w:pPr>
      <w:r>
        <w:rPr>
          <w:rFonts w:ascii="Arial" w:hAnsi="Arial" w:eastAsia="等线" w:cs="Arial"/>
          <w:sz w:val="22"/>
        </w:rPr>
        <w:t>作为一名金融专业人士，你将与各类投资者打交道：一些是小型投资者，一些是大型投资者，还有企业等等。证券行业基础考试（SIE）的一部分内容就是要考查你是否了解这些不同类型的投资者分别是什么身份。</w:t>
      </w:r>
    </w:p>
    <w:p w14:paraId="6FCCCC6B">
      <w:pPr>
        <w:spacing w:before="120" w:after="120" w:line="288" w:lineRule="auto"/>
        <w:ind w:left="0"/>
        <w:jc w:val="left"/>
      </w:pPr>
    </w:p>
    <w:p w14:paraId="13522B6F">
      <w:pPr>
        <w:spacing w:before="260" w:after="120" w:line="288" w:lineRule="auto"/>
        <w:ind w:left="0"/>
        <w:jc w:val="left"/>
        <w:outlineLvl w:val="3"/>
      </w:pPr>
      <w:bookmarkStart w:id="24" w:name="heading_24"/>
      <w:r>
        <w:rPr>
          <w:rFonts w:ascii="Arial" w:hAnsi="Arial" w:eastAsia="等线" w:cs="Arial"/>
          <w:color w:val="3370FF"/>
          <w:sz w:val="28"/>
        </w:rPr>
        <w:t xml:space="preserve">2.5.1.1 </w:t>
      </w:r>
      <w:r>
        <w:rPr>
          <w:rFonts w:ascii="Arial" w:hAnsi="Arial" w:eastAsia="等线" w:cs="Arial"/>
          <w:b/>
          <w:sz w:val="28"/>
        </w:rPr>
        <w:t>散户投资者（Retail investors）</w:t>
      </w:r>
      <w:bookmarkEnd w:id="24"/>
    </w:p>
    <w:p w14:paraId="50871EDF">
      <w:pPr>
        <w:spacing w:before="120" w:after="120" w:line="288" w:lineRule="auto"/>
        <w:ind w:left="0"/>
        <w:jc w:val="left"/>
      </w:pPr>
      <w:r>
        <w:rPr>
          <w:rFonts w:ascii="Arial" w:hAnsi="Arial" w:eastAsia="等线" w:cs="Arial"/>
          <w:sz w:val="22"/>
        </w:rPr>
        <w:t>你更有可能与散户投资者打交道，而不是合格投资者（accredited investors）或机构投资者（institutional investors）。这些人是非专业人士，他们为自己的账户进行交易（买入或卖出）。散户投资者购买或出售的证券数量通常比合格投资者或机构投资者少得多。</w:t>
      </w:r>
    </w:p>
    <w:p w14:paraId="506DD107">
      <w:pPr>
        <w:spacing w:before="120" w:after="120" w:line="288" w:lineRule="auto"/>
        <w:ind w:left="0"/>
        <w:jc w:val="left"/>
      </w:pPr>
    </w:p>
    <w:p w14:paraId="2DA8A7DB">
      <w:pPr>
        <w:spacing w:before="260" w:after="120" w:line="288" w:lineRule="auto"/>
        <w:ind w:left="0"/>
        <w:jc w:val="left"/>
        <w:outlineLvl w:val="3"/>
      </w:pPr>
      <w:bookmarkStart w:id="25" w:name="heading_25"/>
      <w:r>
        <w:rPr>
          <w:rFonts w:ascii="Arial" w:hAnsi="Arial" w:eastAsia="等线" w:cs="Arial"/>
          <w:color w:val="3370FF"/>
          <w:sz w:val="28"/>
        </w:rPr>
        <w:t xml:space="preserve">2.5.1.2 </w:t>
      </w:r>
      <w:r>
        <w:rPr>
          <w:rFonts w:ascii="Arial" w:hAnsi="Arial" w:eastAsia="等线" w:cs="Arial"/>
          <w:b/>
          <w:sz w:val="28"/>
        </w:rPr>
        <w:t>合格投资者（Accredited investors）</w:t>
      </w:r>
      <w:bookmarkEnd w:id="25"/>
    </w:p>
    <w:p w14:paraId="391E363A">
      <w:pPr>
        <w:spacing w:before="120" w:after="120" w:line="288" w:lineRule="auto"/>
        <w:ind w:left="0"/>
        <w:jc w:val="left"/>
      </w:pPr>
      <w:r>
        <w:rPr>
          <w:rFonts w:ascii="Arial" w:hAnsi="Arial" w:eastAsia="等线" w:cs="Arial"/>
          <w:sz w:val="22"/>
        </w:rPr>
        <w:t>一些投资者能够获得更多资金，或者被认为比其他投资者更具专业知识。规模较大的投资者被称为合格投资者。因此，他们通常比散户投资者更能承受风险。</w:t>
      </w:r>
    </w:p>
    <w:p w14:paraId="02A711E8">
      <w:pPr>
        <w:spacing w:before="120" w:after="120" w:line="288" w:lineRule="auto"/>
        <w:ind w:left="0"/>
        <w:jc w:val="left"/>
      </w:pPr>
    </w:p>
    <w:p w14:paraId="7B116D38">
      <w:pPr>
        <w:spacing w:before="120" w:after="120" w:line="288" w:lineRule="auto"/>
        <w:ind w:left="0"/>
        <w:jc w:val="left"/>
      </w:pPr>
      <w:r>
        <w:rPr>
          <w:rFonts w:ascii="Arial" w:hAnsi="Arial" w:eastAsia="等线" w:cs="Arial"/>
          <w:sz w:val="22"/>
        </w:rPr>
        <w:t>合格投资者包括：</w:t>
      </w:r>
    </w:p>
    <w:p w14:paraId="45BBFC82">
      <w:pPr>
        <w:numPr>
          <w:ilvl w:val="0"/>
          <w:numId w:val="54"/>
        </w:numPr>
        <w:spacing w:before="120" w:after="120" w:line="288" w:lineRule="auto"/>
        <w:ind w:left="0"/>
        <w:jc w:val="left"/>
      </w:pPr>
      <w:r>
        <w:rPr>
          <w:rFonts w:ascii="Arial" w:hAnsi="Arial" w:eastAsia="等线" w:cs="Arial"/>
          <w:sz w:val="22"/>
        </w:rPr>
        <w:t>金融机构（银行、保险公司、养老基金等）</w:t>
      </w:r>
    </w:p>
    <w:p w14:paraId="7AD51858">
      <w:pPr>
        <w:numPr>
          <w:ilvl w:val="0"/>
          <w:numId w:val="55"/>
        </w:numPr>
        <w:spacing w:before="120" w:after="120" w:line="288" w:lineRule="auto"/>
        <w:ind w:left="0"/>
        <w:jc w:val="left"/>
      </w:pPr>
      <w:r>
        <w:rPr>
          <w:rFonts w:ascii="Arial" w:hAnsi="Arial" w:eastAsia="等线" w:cs="Arial"/>
          <w:sz w:val="22"/>
        </w:rPr>
        <w:t>内部人士（公司高管、董事、持有公司10%或以上流通股的股东及其直系亲属）</w:t>
      </w:r>
    </w:p>
    <w:p w14:paraId="27D8BD68">
      <w:pPr>
        <w:numPr>
          <w:ilvl w:val="0"/>
          <w:numId w:val="56"/>
        </w:numPr>
        <w:spacing w:before="120" w:after="120" w:line="288" w:lineRule="auto"/>
        <w:ind w:left="0"/>
        <w:jc w:val="left"/>
      </w:pPr>
      <w:r>
        <w:rPr>
          <w:rFonts w:ascii="Arial" w:hAnsi="Arial" w:eastAsia="等线" w:cs="Arial"/>
          <w:sz w:val="22"/>
        </w:rPr>
        <w:t>过去两年年收入至少为 20万美元 (与配偶共同年均收入超 30 万美元），且预计今年能达到该要求的投资者；</w:t>
      </w:r>
    </w:p>
    <w:p w14:paraId="68D44715">
      <w:pPr>
        <w:numPr>
          <w:ilvl w:val="0"/>
          <w:numId w:val="57"/>
        </w:numPr>
        <w:spacing w:before="120" w:after="120" w:line="288" w:lineRule="auto"/>
        <w:ind w:left="0"/>
        <w:jc w:val="left"/>
      </w:pPr>
      <w:r>
        <w:rPr>
          <w:rFonts w:ascii="Arial" w:hAnsi="Arial" w:eastAsia="等线" w:cs="Arial"/>
          <w:sz w:val="22"/>
        </w:rPr>
        <w:t>除主要住宅外（primary residence），净资产至少为100万美元的投资者；</w:t>
      </w:r>
    </w:p>
    <w:p w14:paraId="490B6723">
      <w:pPr>
        <w:numPr>
          <w:ilvl w:val="0"/>
          <w:numId w:val="58"/>
        </w:numPr>
        <w:spacing w:before="120" w:after="120" w:line="288" w:lineRule="auto"/>
        <w:ind w:left="0"/>
        <w:jc w:val="left"/>
      </w:pPr>
      <w:r>
        <w:rPr>
          <w:rFonts w:ascii="Arial" w:hAnsi="Arial" w:eastAsia="等线" w:cs="Arial"/>
          <w:sz w:val="22"/>
        </w:rPr>
        <w:t>在美国证券交易委员会（SEC）、美国金融业监管局（FINRA）和/或至少一个州注册且信誉良好的代表，且已通过7系列、65系列、66系列和/或82系列考试。</w:t>
      </w:r>
    </w:p>
    <w:p w14:paraId="6174F0F5">
      <w:pPr>
        <w:numPr>
          <w:ilvl w:val="0"/>
          <w:numId w:val="59"/>
        </w:numPr>
        <w:spacing w:before="120" w:after="120" w:line="288" w:lineRule="auto"/>
        <w:ind w:left="453"/>
        <w:jc w:val="left"/>
      </w:pPr>
      <w:r>
        <w:rPr>
          <w:rFonts w:ascii="Arial" w:hAnsi="Arial" w:eastAsia="等线" w:cs="Arial"/>
          <w:sz w:val="22"/>
        </w:rPr>
        <w:t>Series 7（General Securities Representative License）：通用证券代表执照。</w:t>
      </w:r>
    </w:p>
    <w:p w14:paraId="6B0FAA7A">
      <w:pPr>
        <w:numPr>
          <w:ilvl w:val="0"/>
          <w:numId w:val="60"/>
        </w:numPr>
        <w:spacing w:before="120" w:after="120" w:line="288" w:lineRule="auto"/>
        <w:ind w:left="453"/>
        <w:jc w:val="left"/>
      </w:pPr>
      <w:r>
        <w:rPr>
          <w:rFonts w:ascii="Arial" w:hAnsi="Arial" w:eastAsia="等线" w:cs="Arial"/>
          <w:sz w:val="22"/>
        </w:rPr>
        <w:t>Series 65（Uniform Investment Adviser Law Examination）：统一投资顾问法律考试。</w:t>
      </w:r>
    </w:p>
    <w:p w14:paraId="01D01F80">
      <w:pPr>
        <w:numPr>
          <w:ilvl w:val="0"/>
          <w:numId w:val="61"/>
        </w:numPr>
        <w:spacing w:before="120" w:after="120" w:line="288" w:lineRule="auto"/>
        <w:ind w:left="453"/>
        <w:jc w:val="left"/>
      </w:pPr>
      <w:r>
        <w:rPr>
          <w:rFonts w:ascii="Arial" w:hAnsi="Arial" w:eastAsia="等线" w:cs="Arial"/>
          <w:sz w:val="22"/>
        </w:rPr>
        <w:t>Series 66（NASAA Uniform Combined State Law Examination）：北美证券管理员协会统一综合州法考试。</w:t>
      </w:r>
    </w:p>
    <w:p w14:paraId="55ABFA9D">
      <w:pPr>
        <w:numPr>
          <w:ilvl w:val="0"/>
          <w:numId w:val="62"/>
        </w:numPr>
        <w:spacing w:before="120" w:after="120" w:line="288" w:lineRule="auto"/>
        <w:ind w:left="453"/>
        <w:jc w:val="left"/>
      </w:pPr>
      <w:r>
        <w:rPr>
          <w:rFonts w:ascii="Arial" w:hAnsi="Arial" w:eastAsia="等线" w:cs="Arial"/>
          <w:sz w:val="22"/>
        </w:rPr>
        <w:t>Series 82（Private Securities Offerings Representative Examination）：私募证券发行代表执照。</w:t>
      </w:r>
    </w:p>
    <w:p w14:paraId="4266E933">
      <w:pPr>
        <w:numPr>
          <w:ilvl w:val="0"/>
          <w:numId w:val="63"/>
        </w:numPr>
        <w:spacing w:before="120" w:after="120" w:line="288" w:lineRule="auto"/>
        <w:ind w:left="0"/>
        <w:jc w:val="left"/>
      </w:pPr>
      <w:r>
        <w:rPr>
          <w:rFonts w:ascii="Arial" w:hAnsi="Arial" w:eastAsia="等线" w:cs="Arial"/>
          <w:sz w:val="22"/>
        </w:rPr>
        <w:t>私募基金（对冲基金、私募股权基金等）中知识渊博且有能力私下融资的员工。</w:t>
      </w:r>
    </w:p>
    <w:p w14:paraId="08CB9574">
      <w:pPr>
        <w:numPr>
          <w:ilvl w:val="0"/>
          <w:numId w:val="64"/>
        </w:numPr>
        <w:spacing w:before="120" w:after="120" w:line="288" w:lineRule="auto"/>
        <w:ind w:left="0"/>
        <w:jc w:val="left"/>
      </w:pPr>
      <w:r>
        <w:rPr>
          <w:rFonts w:ascii="Arial" w:hAnsi="Arial" w:eastAsia="等线" w:cs="Arial"/>
          <w:sz w:val="22"/>
        </w:rPr>
        <w:t>农村商业投资公司（筹集资金投资于小型农村企业的投资公司）</w:t>
      </w:r>
    </w:p>
    <w:p w14:paraId="55A5EB2F">
      <w:pPr>
        <w:numPr>
          <w:ilvl w:val="0"/>
          <w:numId w:val="65"/>
        </w:numPr>
        <w:spacing w:before="120" w:after="120" w:line="288" w:lineRule="auto"/>
        <w:ind w:left="0"/>
        <w:jc w:val="left"/>
      </w:pPr>
      <w:r>
        <w:rPr>
          <w:rFonts w:ascii="Arial" w:hAnsi="Arial" w:eastAsia="等线" w:cs="Arial"/>
          <w:sz w:val="22"/>
        </w:rPr>
        <w:t>资产超过500万美元的有限责任公司（LLC）</w:t>
      </w:r>
    </w:p>
    <w:p w14:paraId="68A043D2">
      <w:pPr>
        <w:numPr>
          <w:ilvl w:val="0"/>
          <w:numId w:val="66"/>
        </w:numPr>
        <w:spacing w:before="120" w:after="120" w:line="288" w:lineRule="auto"/>
        <w:ind w:left="0"/>
        <w:jc w:val="left"/>
      </w:pPr>
      <w:r>
        <w:rPr>
          <w:rFonts w:ascii="Arial" w:hAnsi="Arial" w:eastAsia="等线" w:cs="Arial"/>
          <w:sz w:val="22"/>
        </w:rPr>
        <w:t>管理资产至少为500万美元的家族办公室。</w:t>
      </w:r>
    </w:p>
    <w:p w14:paraId="5937E830">
      <w:pPr>
        <w:numPr>
          <w:ilvl w:val="0"/>
          <w:numId w:val="67"/>
        </w:numPr>
        <w:spacing w:before="120" w:after="120" w:line="288" w:lineRule="auto"/>
        <w:ind w:left="0"/>
        <w:jc w:val="left"/>
      </w:pPr>
      <w:r>
        <w:rPr>
          <w:rFonts w:ascii="Arial" w:hAnsi="Arial" w:eastAsia="等线" w:cs="Arial"/>
          <w:sz w:val="22"/>
        </w:rPr>
        <w:t>净资产至少为500万美元的公司、合伙企业或组织。</w:t>
      </w:r>
    </w:p>
    <w:p w14:paraId="0B1F66C5">
      <w:pPr>
        <w:spacing w:before="120" w:after="120" w:line="288" w:lineRule="auto"/>
        <w:ind w:left="0"/>
        <w:jc w:val="left"/>
      </w:pPr>
    </w:p>
    <w:p w14:paraId="43E5BE20">
      <w:pPr>
        <w:spacing w:before="260" w:after="120" w:line="288" w:lineRule="auto"/>
        <w:ind w:left="0"/>
        <w:jc w:val="left"/>
        <w:outlineLvl w:val="3"/>
      </w:pPr>
      <w:bookmarkStart w:id="26" w:name="heading_26"/>
      <w:r>
        <w:rPr>
          <w:rFonts w:ascii="Arial" w:hAnsi="Arial" w:eastAsia="等线" w:cs="Arial"/>
          <w:color w:val="3370FF"/>
          <w:sz w:val="28"/>
        </w:rPr>
        <w:t xml:space="preserve">2.5.1.3 </w:t>
      </w:r>
      <w:r>
        <w:rPr>
          <w:rFonts w:ascii="Arial" w:hAnsi="Arial" w:eastAsia="等线" w:cs="Arial"/>
          <w:b/>
          <w:sz w:val="28"/>
        </w:rPr>
        <w:t>机构投资者（Institutional investors）</w:t>
      </w:r>
      <w:bookmarkEnd w:id="26"/>
    </w:p>
    <w:p w14:paraId="35F6C87B">
      <w:pPr>
        <w:spacing w:before="120" w:after="120" w:line="288" w:lineRule="auto"/>
        <w:ind w:left="0"/>
        <w:jc w:val="left"/>
      </w:pPr>
      <w:r>
        <w:rPr>
          <w:rFonts w:ascii="Arial" w:hAnsi="Arial" w:eastAsia="等线" w:cs="Arial"/>
          <w:sz w:val="22"/>
        </w:rPr>
        <w:t>机构投资者是大户。他们代表所在机构投入大量资金。人们通常认为他们精通市场。</w:t>
      </w:r>
    </w:p>
    <w:p w14:paraId="4DE2CAA9">
      <w:pPr>
        <w:spacing w:before="120" w:after="120" w:line="288" w:lineRule="auto"/>
        <w:ind w:left="0"/>
        <w:jc w:val="left"/>
      </w:pPr>
    </w:p>
    <w:p w14:paraId="6E46840D">
      <w:pPr>
        <w:spacing w:before="120" w:after="120" w:line="288" w:lineRule="auto"/>
        <w:ind w:left="0"/>
        <w:jc w:val="left"/>
      </w:pPr>
      <w:r>
        <w:rPr>
          <w:rFonts w:ascii="Arial" w:hAnsi="Arial" w:eastAsia="等线" w:cs="Arial"/>
          <w:sz w:val="22"/>
        </w:rPr>
        <w:t>机构投资者包括：</w:t>
      </w:r>
    </w:p>
    <w:p w14:paraId="00FAE38D">
      <w:pPr>
        <w:numPr>
          <w:ilvl w:val="0"/>
          <w:numId w:val="68"/>
        </w:numPr>
        <w:spacing w:before="120" w:after="120" w:line="288" w:lineRule="auto"/>
        <w:ind w:left="0"/>
        <w:jc w:val="left"/>
      </w:pPr>
      <w:r>
        <w:rPr>
          <w:rFonts w:ascii="Arial" w:hAnsi="Arial" w:eastAsia="等线" w:cs="Arial"/>
          <w:sz w:val="22"/>
        </w:rPr>
        <w:t>商业银行（Commercial banks）</w:t>
      </w:r>
    </w:p>
    <w:p w14:paraId="232EEAEF">
      <w:pPr>
        <w:numPr>
          <w:ilvl w:val="0"/>
          <w:numId w:val="69"/>
        </w:numPr>
        <w:spacing w:before="120" w:after="120" w:line="288" w:lineRule="auto"/>
        <w:ind w:left="0"/>
        <w:jc w:val="left"/>
      </w:pPr>
      <w:r>
        <w:rPr>
          <w:rFonts w:ascii="Arial" w:hAnsi="Arial" w:eastAsia="等线" w:cs="Arial"/>
          <w:sz w:val="22"/>
        </w:rPr>
        <w:t>共同基金（Mutual funds）</w:t>
      </w:r>
    </w:p>
    <w:p w14:paraId="35B6062D">
      <w:pPr>
        <w:numPr>
          <w:ilvl w:val="0"/>
          <w:numId w:val="70"/>
        </w:numPr>
        <w:spacing w:before="120" w:after="120" w:line="288" w:lineRule="auto"/>
        <w:ind w:left="0"/>
        <w:jc w:val="left"/>
      </w:pPr>
      <w:r>
        <w:rPr>
          <w:rFonts w:ascii="Arial" w:hAnsi="Arial" w:eastAsia="等线" w:cs="Arial"/>
          <w:sz w:val="22"/>
        </w:rPr>
        <w:t>养老基金（Pension funds）</w:t>
      </w:r>
    </w:p>
    <w:p w14:paraId="092E9840">
      <w:pPr>
        <w:numPr>
          <w:ilvl w:val="0"/>
          <w:numId w:val="71"/>
        </w:numPr>
        <w:spacing w:before="120" w:after="120" w:line="288" w:lineRule="auto"/>
        <w:ind w:left="0"/>
        <w:jc w:val="left"/>
      </w:pPr>
      <w:r>
        <w:rPr>
          <w:rFonts w:ascii="Arial" w:hAnsi="Arial" w:eastAsia="等线" w:cs="Arial"/>
          <w:sz w:val="22"/>
        </w:rPr>
        <w:t>保险公司（Insurance companies）</w:t>
      </w:r>
    </w:p>
    <w:p w14:paraId="2806412F">
      <w:pPr>
        <w:numPr>
          <w:ilvl w:val="0"/>
          <w:numId w:val="72"/>
        </w:numPr>
        <w:spacing w:before="120" w:after="120" w:line="288" w:lineRule="auto"/>
        <w:ind w:left="0"/>
        <w:jc w:val="left"/>
      </w:pPr>
      <w:r>
        <w:rPr>
          <w:rFonts w:ascii="Arial" w:hAnsi="Arial" w:eastAsia="等线" w:cs="Arial"/>
          <w:sz w:val="22"/>
        </w:rPr>
        <w:t>房地产投资信托基金（Real-estate investment trusts）</w:t>
      </w:r>
    </w:p>
    <w:p w14:paraId="45D60C80">
      <w:pPr>
        <w:numPr>
          <w:ilvl w:val="0"/>
          <w:numId w:val="73"/>
        </w:numPr>
        <w:spacing w:before="120" w:after="120" w:line="288" w:lineRule="auto"/>
        <w:ind w:left="0"/>
        <w:jc w:val="left"/>
      </w:pPr>
      <w:r>
        <w:rPr>
          <w:rFonts w:ascii="Arial" w:hAnsi="Arial" w:eastAsia="等线" w:cs="Arial"/>
          <w:sz w:val="22"/>
        </w:rPr>
        <w:t>对冲基金（Hedge funds）</w:t>
      </w:r>
    </w:p>
    <w:p w14:paraId="244B9D62">
      <w:pPr>
        <w:numPr>
          <w:ilvl w:val="0"/>
          <w:numId w:val="74"/>
        </w:numPr>
        <w:spacing w:before="120" w:after="120" w:line="288" w:lineRule="auto"/>
        <w:ind w:left="0"/>
        <w:jc w:val="left"/>
      </w:pPr>
      <w:r>
        <w:rPr>
          <w:rFonts w:ascii="Arial" w:hAnsi="Arial" w:eastAsia="等线" w:cs="Arial"/>
          <w:sz w:val="22"/>
        </w:rPr>
        <w:t>捐赠基金（Endowment funds）</w:t>
      </w:r>
    </w:p>
    <w:p w14:paraId="6A97CAB8">
      <w:pPr>
        <w:spacing w:before="120" w:after="120" w:line="288" w:lineRule="auto"/>
        <w:ind w:left="0"/>
        <w:jc w:val="left"/>
      </w:pPr>
    </w:p>
    <w:p w14:paraId="3DDCEBD3">
      <w:pPr>
        <w:spacing w:before="320" w:after="120" w:line="288" w:lineRule="auto"/>
        <w:ind w:left="0"/>
        <w:jc w:val="left"/>
        <w:outlineLvl w:val="1"/>
      </w:pPr>
      <w:bookmarkStart w:id="27" w:name="heading_27"/>
      <w:r>
        <w:rPr>
          <w:rFonts w:ascii="Arial" w:hAnsi="Arial" w:eastAsia="等线" w:cs="Arial"/>
          <w:color w:val="3370FF"/>
          <w:sz w:val="32"/>
        </w:rPr>
        <w:t xml:space="preserve">2.6 </w:t>
      </w:r>
      <w:r>
        <w:rPr>
          <w:rFonts w:ascii="Arial" w:hAnsi="Arial" w:eastAsia="等线" w:cs="Arial"/>
          <w:b/>
          <w:sz w:val="32"/>
        </w:rPr>
        <w:t>存托与结算公司</w:t>
      </w:r>
      <w:bookmarkEnd w:id="27"/>
    </w:p>
    <w:p w14:paraId="71EEDE0E">
      <w:pPr>
        <w:spacing w:before="120" w:after="120" w:line="288" w:lineRule="auto"/>
        <w:ind w:left="0"/>
        <w:jc w:val="left"/>
      </w:pPr>
      <w:r>
        <w:rPr>
          <w:rFonts w:ascii="Arial" w:hAnsi="Arial" w:eastAsia="等线" w:cs="Arial"/>
          <w:sz w:val="22"/>
        </w:rPr>
        <w:t>存托与结算公司（Depository Trust and Clearing Corporation，DTCC）为全球金融市场提供保障。</w:t>
      </w:r>
    </w:p>
    <w:p w14:paraId="2DFBE3FD">
      <w:pPr>
        <w:spacing w:before="120" w:after="120" w:line="288" w:lineRule="auto"/>
        <w:ind w:left="0"/>
        <w:jc w:val="left"/>
      </w:pPr>
    </w:p>
    <w:p w14:paraId="53EE294F">
      <w:pPr>
        <w:spacing w:before="120" w:after="120" w:line="288" w:lineRule="auto"/>
        <w:ind w:left="0"/>
        <w:jc w:val="left"/>
      </w:pPr>
      <w:r>
        <w:rPr>
          <w:rFonts w:ascii="Arial" w:hAnsi="Arial" w:eastAsia="等线" w:cs="Arial"/>
          <w:sz w:val="22"/>
        </w:rPr>
        <w:t>DTCC 职责是为股票证券、公司债券、市政债券、政府证券、抵押贷款支持证券、共同基金、货币市场工具、衍生品等提供清算、结算、机构匹配、资产服务、抵押品管理、全球数据管理、信息服务等。</w:t>
      </w:r>
    </w:p>
    <w:p w14:paraId="0DE0FE1A">
      <w:pPr>
        <w:spacing w:before="120" w:after="120" w:line="288" w:lineRule="auto"/>
        <w:ind w:left="0"/>
        <w:jc w:val="left"/>
      </w:pPr>
    </w:p>
    <w:p w14:paraId="3F63AA35">
      <w:pPr>
        <w:spacing w:before="120" w:after="120" w:line="288" w:lineRule="auto"/>
        <w:ind w:left="0"/>
        <w:jc w:val="left"/>
      </w:pPr>
      <w:r>
        <w:rPr>
          <w:rFonts w:ascii="Arial" w:hAnsi="Arial" w:eastAsia="等线" w:cs="Arial"/>
          <w:sz w:val="22"/>
        </w:rPr>
        <w:t>存管信托与结算公司规模极大，每个交易日处理超过1亿笔金融交易。其核心作用是为全球金融体系提供可靠性、提供交易后服务、限制风险、降低成本、提供透明度以及提高市场效率。</w:t>
      </w:r>
    </w:p>
    <w:p w14:paraId="23895440">
      <w:pPr>
        <w:spacing w:before="120" w:after="120" w:line="288" w:lineRule="auto"/>
        <w:ind w:left="0"/>
        <w:jc w:val="left"/>
      </w:pPr>
    </w:p>
    <w:p w14:paraId="53DF7C2F">
      <w:pPr>
        <w:spacing w:before="120" w:after="120" w:line="288" w:lineRule="auto"/>
        <w:ind w:left="0"/>
        <w:jc w:val="left"/>
      </w:pPr>
      <w:r>
        <w:rPr>
          <w:rFonts w:ascii="Arial" w:hAnsi="Arial" w:eastAsia="等线" w:cs="Arial"/>
          <w:sz w:val="22"/>
        </w:rPr>
        <w:t>DTCC 提供的服务包括：</w:t>
      </w:r>
    </w:p>
    <w:p w14:paraId="0B4618F3">
      <w:pPr>
        <w:numPr>
          <w:ilvl w:val="0"/>
          <w:numId w:val="75"/>
        </w:numPr>
        <w:spacing w:before="120" w:after="120" w:line="288" w:lineRule="auto"/>
        <w:ind w:left="0"/>
        <w:jc w:val="left"/>
      </w:pPr>
      <w:r>
        <w:rPr>
          <w:rFonts w:ascii="Arial" w:hAnsi="Arial" w:eastAsia="等线" w:cs="Arial"/>
          <w:sz w:val="22"/>
        </w:rPr>
        <w:t>清算服务（Clearing services）</w:t>
      </w:r>
    </w:p>
    <w:p w14:paraId="40A551A9">
      <w:pPr>
        <w:numPr>
          <w:ilvl w:val="0"/>
          <w:numId w:val="76"/>
        </w:numPr>
        <w:spacing w:before="120" w:after="120" w:line="288" w:lineRule="auto"/>
        <w:ind w:left="0"/>
        <w:jc w:val="left"/>
      </w:pPr>
      <w:r>
        <w:rPr>
          <w:rFonts w:ascii="Arial" w:hAnsi="Arial" w:eastAsia="等线" w:cs="Arial"/>
          <w:sz w:val="22"/>
        </w:rPr>
        <w:t>匹配、结算和资产服务（Matching, settlement, and asset services）</w:t>
      </w:r>
    </w:p>
    <w:p w14:paraId="5D8808CA">
      <w:pPr>
        <w:numPr>
          <w:ilvl w:val="0"/>
          <w:numId w:val="77"/>
        </w:numPr>
        <w:spacing w:before="120" w:after="120" w:line="288" w:lineRule="auto"/>
        <w:ind w:left="0"/>
        <w:jc w:val="left"/>
      </w:pPr>
      <w:r>
        <w:rPr>
          <w:rFonts w:ascii="Arial" w:hAnsi="Arial" w:eastAsia="等线" w:cs="Arial"/>
          <w:sz w:val="22"/>
        </w:rPr>
        <w:t>抵押品管理（Collateral management）</w:t>
      </w:r>
    </w:p>
    <w:p w14:paraId="2688A470">
      <w:pPr>
        <w:numPr>
          <w:ilvl w:val="0"/>
          <w:numId w:val="78"/>
        </w:numPr>
        <w:spacing w:before="120" w:after="120" w:line="288" w:lineRule="auto"/>
        <w:ind w:left="0"/>
        <w:jc w:val="left"/>
      </w:pPr>
      <w:r>
        <w:rPr>
          <w:rFonts w:ascii="Arial" w:hAnsi="Arial" w:eastAsia="等线" w:cs="Arial"/>
          <w:sz w:val="22"/>
        </w:rPr>
        <w:t>财富管理服务（Wealth management services）</w:t>
      </w:r>
    </w:p>
    <w:p w14:paraId="3C7060CD">
      <w:pPr>
        <w:numPr>
          <w:ilvl w:val="0"/>
          <w:numId w:val="79"/>
        </w:numPr>
        <w:spacing w:before="120" w:after="120" w:line="288" w:lineRule="auto"/>
        <w:ind w:left="0"/>
        <w:jc w:val="left"/>
      </w:pPr>
      <w:r>
        <w:rPr>
          <w:rFonts w:ascii="Arial" w:hAnsi="Arial" w:eastAsia="等线" w:cs="Arial"/>
          <w:sz w:val="22"/>
        </w:rPr>
        <w:t>衍生品服务（Derivative services）</w:t>
      </w:r>
    </w:p>
    <w:p w14:paraId="6B7ABF1E">
      <w:pPr>
        <w:numPr>
          <w:ilvl w:val="0"/>
          <w:numId w:val="80"/>
        </w:numPr>
        <w:spacing w:before="120" w:after="120" w:line="288" w:lineRule="auto"/>
        <w:ind w:left="0"/>
        <w:jc w:val="left"/>
      </w:pPr>
      <w:r>
        <w:rPr>
          <w:rFonts w:ascii="Arial" w:hAnsi="Arial" w:eastAsia="等线" w:cs="Arial"/>
          <w:sz w:val="22"/>
        </w:rPr>
        <w:t>数据服务（Data services）</w:t>
      </w:r>
    </w:p>
    <w:p w14:paraId="72951B60">
      <w:pPr>
        <w:spacing w:before="120" w:after="120" w:line="288" w:lineRule="auto"/>
        <w:ind w:left="0"/>
        <w:jc w:val="left"/>
      </w:pPr>
    </w:p>
    <w:p w14:paraId="46662E6B">
      <w:pPr>
        <w:spacing w:before="380" w:after="140" w:line="288" w:lineRule="auto"/>
        <w:ind w:left="0"/>
        <w:jc w:val="left"/>
        <w:outlineLvl w:val="0"/>
      </w:pPr>
      <w:bookmarkStart w:id="28" w:name="heading_28"/>
      <w:r>
        <w:rPr>
          <w:rFonts w:ascii="Arial" w:hAnsi="Arial" w:eastAsia="等线" w:cs="Arial"/>
          <w:color w:val="3370FF"/>
          <w:sz w:val="36"/>
        </w:rPr>
        <w:t xml:space="preserve">3. </w:t>
      </w:r>
      <w:r>
        <w:rPr>
          <w:rFonts w:ascii="Arial" w:hAnsi="Arial" w:eastAsia="等线" w:cs="Arial"/>
          <w:b/>
          <w:sz w:val="36"/>
        </w:rPr>
        <w:t>核心考点</w:t>
      </w:r>
      <w:bookmarkEnd w:id="28"/>
    </w:p>
    <w:p w14:paraId="605175BD">
      <w:pPr>
        <w:numPr>
          <w:ilvl w:val="0"/>
          <w:numId w:val="81"/>
        </w:numPr>
        <w:spacing w:before="120" w:after="120" w:line="288" w:lineRule="auto"/>
        <w:ind w:left="0"/>
        <w:jc w:val="left"/>
      </w:pPr>
      <w:r>
        <w:rPr>
          <w:rFonts w:ascii="Arial" w:hAnsi="Arial" w:eastAsia="等线" w:cs="Arial"/>
          <w:sz w:val="22"/>
        </w:rPr>
        <w:t>必须能够区分市价单、限价单、止损单的目的、风险和适用场景。这是必考点。</w:t>
      </w:r>
    </w:p>
    <w:p w14:paraId="5B324DB7">
      <w:pPr>
        <w:numPr>
          <w:ilvl w:val="0"/>
          <w:numId w:val="82"/>
        </w:numPr>
        <w:spacing w:before="120" w:after="120" w:line="288" w:lineRule="auto"/>
        <w:ind w:left="0"/>
        <w:jc w:val="left"/>
      </w:pPr>
      <w:r>
        <w:rPr>
          <w:rFonts w:ascii="Arial" w:hAnsi="Arial" w:eastAsia="等线" w:cs="Arial"/>
          <w:sz w:val="22"/>
        </w:rPr>
        <w:t>理解 DAY 单与 GTC 单的区别。</w:t>
      </w:r>
    </w:p>
    <w:p w14:paraId="6EE8905D">
      <w:pPr>
        <w:numPr>
          <w:ilvl w:val="0"/>
          <w:numId w:val="83"/>
        </w:numPr>
        <w:spacing w:before="120" w:after="120" w:line="288" w:lineRule="auto"/>
        <w:ind w:left="0"/>
        <w:jc w:val="left"/>
      </w:pPr>
      <w:r>
        <w:rPr>
          <w:rFonts w:ascii="Arial" w:hAnsi="Arial" w:eastAsia="等线" w:cs="Arial"/>
          <w:sz w:val="22"/>
        </w:rPr>
        <w:t>掌握代理交易和本人交易的区别，以及券商的获利方式（佣金 vs. 差价）。</w:t>
      </w:r>
    </w:p>
    <w:p w14:paraId="577A39F1">
      <w:pPr>
        <w:numPr>
          <w:ilvl w:val="0"/>
          <w:numId w:val="84"/>
        </w:numPr>
        <w:spacing w:before="120" w:after="120" w:line="288" w:lineRule="auto"/>
        <w:ind w:left="0"/>
        <w:jc w:val="left"/>
      </w:pPr>
      <w:r>
        <w:rPr>
          <w:rFonts w:ascii="Arial" w:hAnsi="Arial" w:eastAsia="等线" w:cs="Arial"/>
          <w:sz w:val="22"/>
        </w:rPr>
        <w:t>牢记券商有最佳执行的法定义务。</w:t>
      </w:r>
    </w:p>
    <w:p w14:paraId="6E67C1F5">
      <w:pPr>
        <w:numPr>
          <w:ilvl w:val="0"/>
          <w:numId w:val="85"/>
        </w:numPr>
        <w:spacing w:before="120" w:after="120" w:line="288" w:lineRule="auto"/>
        <w:ind w:left="0"/>
        <w:jc w:val="left"/>
      </w:pPr>
      <w:r>
        <w:rPr>
          <w:rFonts w:ascii="Arial" w:hAnsi="Arial" w:eastAsia="等线" w:cs="Arial"/>
          <w:sz w:val="22"/>
        </w:rPr>
        <w:t>知道卖空的基本规则和限制。</w:t>
      </w:r>
    </w:p>
    <w:p w14:paraId="79136C15">
      <w:pPr>
        <w:spacing w:before="120" w:after="120" w:line="288" w:lineRule="auto"/>
        <w:ind w:left="0"/>
        <w:jc w:val="left"/>
      </w:pPr>
    </w:p>
    <w:p w14:paraId="09054D62">
      <w:pPr>
        <w:spacing w:before="380" w:after="140" w:line="288" w:lineRule="auto"/>
        <w:ind w:left="0"/>
        <w:jc w:val="left"/>
        <w:outlineLvl w:val="0"/>
      </w:pPr>
      <w:bookmarkStart w:id="29" w:name="heading_29"/>
      <w:r>
        <w:rPr>
          <w:rFonts w:ascii="Arial" w:hAnsi="Arial" w:eastAsia="等线" w:cs="Arial"/>
          <w:color w:val="3370FF"/>
          <w:sz w:val="36"/>
        </w:rPr>
        <w:t xml:space="preserve">4. </w:t>
      </w:r>
      <w:r>
        <w:rPr>
          <w:rFonts w:ascii="Arial" w:hAnsi="Arial" w:eastAsia="等线" w:cs="Arial"/>
          <w:b/>
          <w:sz w:val="36"/>
        </w:rPr>
        <w:t>核心词汇表</w:t>
      </w:r>
      <w:bookmarkEnd w:id="29"/>
    </w:p>
    <w:p w14:paraId="07C83BD2">
      <w:pPr>
        <w:spacing w:before="320" w:after="120" w:line="288" w:lineRule="auto"/>
        <w:ind w:left="0"/>
        <w:jc w:val="left"/>
        <w:outlineLvl w:val="1"/>
      </w:pPr>
      <w:bookmarkStart w:id="30" w:name="heading_30"/>
      <w:r>
        <w:rPr>
          <w:rFonts w:ascii="Arial" w:hAnsi="Arial" w:eastAsia="等线" w:cs="Arial"/>
          <w:color w:val="3370FF"/>
          <w:sz w:val="32"/>
        </w:rPr>
        <w:t xml:space="preserve">4.1 </w:t>
      </w:r>
      <w:r>
        <w:rPr>
          <w:rFonts w:ascii="Arial" w:hAnsi="Arial" w:eastAsia="等线" w:cs="Arial"/>
          <w:b/>
          <w:sz w:val="32"/>
        </w:rPr>
        <w:t>市场及参与者</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30"/>
        <w:gridCol w:w="1740"/>
        <w:gridCol w:w="4410"/>
      </w:tblGrid>
      <w:tr w14:paraId="7A7399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3DCBAE2">
            <w:pPr>
              <w:spacing w:before="120" w:after="120" w:line="288" w:lineRule="auto"/>
              <w:ind w:left="0"/>
              <w:jc w:val="left"/>
            </w:pPr>
            <w:r>
              <w:rPr>
                <w:rFonts w:ascii="Arial" w:hAnsi="Arial" w:eastAsia="等线" w:cs="Arial"/>
                <w:b/>
                <w:sz w:val="22"/>
              </w:rPr>
              <w:t>英文</w:t>
            </w:r>
          </w:p>
        </w:tc>
        <w:tc>
          <w:tcPr>
            <w:tcW w:w="1740" w:type="dxa"/>
            <w:tcMar>
              <w:top w:w="60" w:type="dxa"/>
              <w:left w:w="120" w:type="dxa"/>
              <w:bottom w:w="30" w:type="dxa"/>
              <w:right w:w="120" w:type="dxa"/>
            </w:tcMar>
          </w:tcPr>
          <w:p w14:paraId="0E9664A2">
            <w:pPr>
              <w:spacing w:before="120" w:after="120" w:line="288" w:lineRule="auto"/>
              <w:ind w:left="0"/>
              <w:jc w:val="left"/>
            </w:pPr>
            <w:r>
              <w:rPr>
                <w:rFonts w:ascii="Arial" w:hAnsi="Arial" w:eastAsia="等线" w:cs="Arial"/>
                <w:b/>
                <w:sz w:val="22"/>
              </w:rPr>
              <w:t>中文</w:t>
            </w:r>
          </w:p>
        </w:tc>
        <w:tc>
          <w:tcPr>
            <w:tcW w:w="4410" w:type="dxa"/>
            <w:tcMar>
              <w:top w:w="60" w:type="dxa"/>
              <w:left w:w="120" w:type="dxa"/>
              <w:bottom w:w="30" w:type="dxa"/>
              <w:right w:w="120" w:type="dxa"/>
            </w:tcMar>
          </w:tcPr>
          <w:p w14:paraId="332A2738">
            <w:pPr>
              <w:spacing w:before="120" w:after="120" w:line="288" w:lineRule="auto"/>
              <w:ind w:left="0"/>
              <w:jc w:val="left"/>
            </w:pPr>
            <w:r>
              <w:rPr>
                <w:rFonts w:ascii="Arial" w:hAnsi="Arial" w:eastAsia="等线" w:cs="Arial"/>
                <w:b/>
                <w:sz w:val="22"/>
              </w:rPr>
              <w:t>释义</w:t>
            </w:r>
          </w:p>
        </w:tc>
      </w:tr>
      <w:tr w14:paraId="2BCBD2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1A752091">
            <w:pPr>
              <w:spacing w:before="120" w:after="120" w:line="288" w:lineRule="auto"/>
              <w:ind w:left="0"/>
              <w:jc w:val="left"/>
            </w:pPr>
            <w:r>
              <w:rPr>
                <w:rFonts w:ascii="Arial" w:hAnsi="Arial" w:eastAsia="等线" w:cs="Arial"/>
                <w:sz w:val="22"/>
              </w:rPr>
              <w:t>Primary Market</w:t>
            </w:r>
          </w:p>
        </w:tc>
        <w:tc>
          <w:tcPr>
            <w:tcW w:w="1740" w:type="dxa"/>
            <w:tcMar>
              <w:top w:w="60" w:type="dxa"/>
              <w:left w:w="120" w:type="dxa"/>
              <w:bottom w:w="30" w:type="dxa"/>
              <w:right w:w="120" w:type="dxa"/>
            </w:tcMar>
          </w:tcPr>
          <w:p w14:paraId="50CC8FD2">
            <w:pPr>
              <w:spacing w:before="120" w:after="120" w:line="288" w:lineRule="auto"/>
              <w:ind w:left="0"/>
              <w:jc w:val="left"/>
            </w:pPr>
            <w:r>
              <w:rPr>
                <w:rFonts w:ascii="Arial" w:hAnsi="Arial" w:eastAsia="等线" w:cs="Arial"/>
                <w:sz w:val="22"/>
              </w:rPr>
              <w:t>一级市场（发行市场）</w:t>
            </w:r>
          </w:p>
        </w:tc>
        <w:tc>
          <w:tcPr>
            <w:tcW w:w="4410" w:type="dxa"/>
            <w:tcMar>
              <w:top w:w="60" w:type="dxa"/>
              <w:left w:w="120" w:type="dxa"/>
              <w:bottom w:w="30" w:type="dxa"/>
              <w:right w:w="120" w:type="dxa"/>
            </w:tcMar>
          </w:tcPr>
          <w:p w14:paraId="1903958C">
            <w:pPr>
              <w:spacing w:before="120" w:after="120" w:line="288" w:lineRule="auto"/>
              <w:ind w:left="0"/>
              <w:jc w:val="left"/>
            </w:pPr>
            <w:r>
              <w:rPr>
                <w:rFonts w:ascii="Arial" w:hAnsi="Arial" w:eastAsia="等线" w:cs="Arial"/>
                <w:sz w:val="22"/>
              </w:rPr>
              <w:t>公司、政府等发行主体首次发售新证券筹集资本的市场，证券 “从无到有”，发行方直接获得融资，如 IPO、私募发行等。</w:t>
            </w:r>
          </w:p>
        </w:tc>
      </w:tr>
      <w:tr w14:paraId="459C5B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6F66B91">
            <w:pPr>
              <w:spacing w:before="120" w:after="120" w:line="288" w:lineRule="auto"/>
              <w:ind w:left="0"/>
              <w:jc w:val="left"/>
            </w:pPr>
            <w:r>
              <w:rPr>
                <w:rFonts w:ascii="Arial" w:hAnsi="Arial" w:eastAsia="等线" w:cs="Arial"/>
                <w:sz w:val="22"/>
              </w:rPr>
              <w:t>Secondary Market</w:t>
            </w:r>
          </w:p>
        </w:tc>
        <w:tc>
          <w:tcPr>
            <w:tcW w:w="1740" w:type="dxa"/>
            <w:tcMar>
              <w:top w:w="60" w:type="dxa"/>
              <w:left w:w="120" w:type="dxa"/>
              <w:bottom w:w="30" w:type="dxa"/>
              <w:right w:w="120" w:type="dxa"/>
            </w:tcMar>
          </w:tcPr>
          <w:p w14:paraId="0F1846A1">
            <w:pPr>
              <w:spacing w:before="120" w:after="120" w:line="288" w:lineRule="auto"/>
              <w:ind w:left="0"/>
              <w:jc w:val="left"/>
            </w:pPr>
            <w:r>
              <w:rPr>
                <w:rFonts w:ascii="Arial" w:hAnsi="Arial" w:eastAsia="等线" w:cs="Arial"/>
                <w:sz w:val="22"/>
              </w:rPr>
              <w:t>二级市场（流通市场）</w:t>
            </w:r>
          </w:p>
        </w:tc>
        <w:tc>
          <w:tcPr>
            <w:tcW w:w="4410" w:type="dxa"/>
            <w:tcMar>
              <w:top w:w="60" w:type="dxa"/>
              <w:left w:w="120" w:type="dxa"/>
              <w:bottom w:w="30" w:type="dxa"/>
              <w:right w:w="120" w:type="dxa"/>
            </w:tcMar>
          </w:tcPr>
          <w:p w14:paraId="08A6FFB5">
            <w:pPr>
              <w:spacing w:before="120" w:after="120" w:line="288" w:lineRule="auto"/>
              <w:ind w:left="0"/>
              <w:jc w:val="left"/>
            </w:pPr>
            <w:r>
              <w:rPr>
                <w:rFonts w:ascii="Arial" w:hAnsi="Arial" w:eastAsia="等线" w:cs="Arial"/>
                <w:sz w:val="22"/>
              </w:rPr>
              <w:t>投资者之间买卖已发行证券的场所，发行方不参与、不获资金，核心功能是提供流动性和价格发现，含交易所及 OTC 市场。</w:t>
            </w:r>
          </w:p>
        </w:tc>
      </w:tr>
      <w:tr w14:paraId="179AC5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4C54D93">
            <w:pPr>
              <w:spacing w:before="120" w:after="120" w:line="288" w:lineRule="auto"/>
              <w:ind w:left="0"/>
              <w:jc w:val="left"/>
            </w:pPr>
            <w:r>
              <w:rPr>
                <w:rFonts w:ascii="Arial" w:hAnsi="Arial" w:eastAsia="等线" w:cs="Arial"/>
                <w:sz w:val="22"/>
              </w:rPr>
              <w:t>Initial Public Offering (IPO)</w:t>
            </w:r>
          </w:p>
        </w:tc>
        <w:tc>
          <w:tcPr>
            <w:tcW w:w="1740" w:type="dxa"/>
            <w:tcMar>
              <w:top w:w="60" w:type="dxa"/>
              <w:left w:w="120" w:type="dxa"/>
              <w:bottom w:w="30" w:type="dxa"/>
              <w:right w:w="120" w:type="dxa"/>
            </w:tcMar>
          </w:tcPr>
          <w:p w14:paraId="0D575AF0">
            <w:pPr>
              <w:spacing w:before="120" w:after="120" w:line="288" w:lineRule="auto"/>
              <w:ind w:left="0"/>
              <w:jc w:val="left"/>
            </w:pPr>
            <w:r>
              <w:rPr>
                <w:rFonts w:ascii="Arial" w:hAnsi="Arial" w:eastAsia="等线" w:cs="Arial"/>
                <w:sz w:val="22"/>
              </w:rPr>
              <w:t>首次公开发行</w:t>
            </w:r>
          </w:p>
        </w:tc>
        <w:tc>
          <w:tcPr>
            <w:tcW w:w="4410" w:type="dxa"/>
            <w:tcMar>
              <w:top w:w="60" w:type="dxa"/>
              <w:left w:w="120" w:type="dxa"/>
              <w:bottom w:w="30" w:type="dxa"/>
              <w:right w:w="120" w:type="dxa"/>
            </w:tcMar>
          </w:tcPr>
          <w:p w14:paraId="7F15AFCF">
            <w:pPr>
              <w:spacing w:before="120" w:after="120" w:line="288" w:lineRule="auto"/>
              <w:ind w:left="0"/>
              <w:jc w:val="left"/>
            </w:pPr>
            <w:r>
              <w:rPr>
                <w:rFonts w:ascii="Arial" w:hAnsi="Arial" w:eastAsia="等线" w:cs="Arial"/>
                <w:sz w:val="22"/>
              </w:rPr>
              <w:t>公司首次向公众发行股票的一级市场核心融资行为，投资者可直接认购新股票。</w:t>
            </w:r>
          </w:p>
        </w:tc>
      </w:tr>
      <w:tr w14:paraId="05A074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1300C08E">
            <w:pPr>
              <w:spacing w:before="120" w:after="120" w:line="288" w:lineRule="auto"/>
              <w:ind w:left="0"/>
              <w:jc w:val="left"/>
            </w:pPr>
            <w:r>
              <w:rPr>
                <w:rFonts w:ascii="Arial" w:hAnsi="Arial" w:eastAsia="等线" w:cs="Arial"/>
                <w:sz w:val="22"/>
              </w:rPr>
              <w:t>Over-the-Counter (OTC) Market</w:t>
            </w:r>
          </w:p>
        </w:tc>
        <w:tc>
          <w:tcPr>
            <w:tcW w:w="1740" w:type="dxa"/>
            <w:tcMar>
              <w:top w:w="60" w:type="dxa"/>
              <w:left w:w="120" w:type="dxa"/>
              <w:bottom w:w="30" w:type="dxa"/>
              <w:right w:w="120" w:type="dxa"/>
            </w:tcMar>
          </w:tcPr>
          <w:p w14:paraId="66145755">
            <w:pPr>
              <w:spacing w:before="120" w:after="120" w:line="288" w:lineRule="auto"/>
              <w:ind w:left="0"/>
              <w:jc w:val="left"/>
            </w:pPr>
            <w:r>
              <w:rPr>
                <w:rFonts w:ascii="Arial" w:hAnsi="Arial" w:eastAsia="等线" w:cs="Arial"/>
                <w:sz w:val="22"/>
              </w:rPr>
              <w:t>场外交易市场</w:t>
            </w:r>
          </w:p>
        </w:tc>
        <w:tc>
          <w:tcPr>
            <w:tcW w:w="4410" w:type="dxa"/>
            <w:tcMar>
              <w:top w:w="60" w:type="dxa"/>
              <w:left w:w="120" w:type="dxa"/>
              <w:bottom w:w="30" w:type="dxa"/>
              <w:right w:w="120" w:type="dxa"/>
            </w:tcMar>
          </w:tcPr>
          <w:p w14:paraId="6F1EF878">
            <w:pPr>
              <w:spacing w:before="120" w:after="120" w:line="288" w:lineRule="auto"/>
              <w:ind w:left="0"/>
              <w:jc w:val="left"/>
            </w:pPr>
            <w:r>
              <w:rPr>
                <w:rFonts w:ascii="Arial" w:hAnsi="Arial" w:eastAsia="等线" w:cs="Arial"/>
                <w:sz w:val="22"/>
              </w:rPr>
              <w:t>非集中化交易场所，无固定场地，通过电子网络完成交易，主要交易未上市证券，是二级市场重要组成部分。</w:t>
            </w:r>
          </w:p>
        </w:tc>
      </w:tr>
      <w:tr w14:paraId="200D73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45A4E2ED">
            <w:pPr>
              <w:spacing w:before="120" w:after="120" w:line="288" w:lineRule="auto"/>
              <w:ind w:left="0"/>
              <w:jc w:val="left"/>
            </w:pPr>
            <w:r>
              <w:rPr>
                <w:rFonts w:ascii="Arial" w:hAnsi="Arial" w:eastAsia="等线" w:cs="Arial"/>
                <w:sz w:val="22"/>
              </w:rPr>
              <w:t>Exchange Trading</w:t>
            </w:r>
          </w:p>
        </w:tc>
        <w:tc>
          <w:tcPr>
            <w:tcW w:w="1740" w:type="dxa"/>
            <w:tcMar>
              <w:top w:w="60" w:type="dxa"/>
              <w:left w:w="120" w:type="dxa"/>
              <w:bottom w:w="30" w:type="dxa"/>
              <w:right w:w="120" w:type="dxa"/>
            </w:tcMar>
          </w:tcPr>
          <w:p w14:paraId="5B15652C">
            <w:pPr>
              <w:spacing w:before="120" w:after="120" w:line="288" w:lineRule="auto"/>
              <w:ind w:left="0"/>
              <w:jc w:val="left"/>
            </w:pPr>
            <w:r>
              <w:rPr>
                <w:rFonts w:ascii="Arial" w:hAnsi="Arial" w:eastAsia="等线" w:cs="Arial"/>
                <w:sz w:val="22"/>
              </w:rPr>
              <w:t>交易所交易</w:t>
            </w:r>
          </w:p>
        </w:tc>
        <w:tc>
          <w:tcPr>
            <w:tcW w:w="4410" w:type="dxa"/>
            <w:tcMar>
              <w:top w:w="60" w:type="dxa"/>
              <w:left w:w="120" w:type="dxa"/>
              <w:bottom w:w="30" w:type="dxa"/>
              <w:right w:w="120" w:type="dxa"/>
            </w:tcMar>
          </w:tcPr>
          <w:p w14:paraId="720879A4">
            <w:pPr>
              <w:spacing w:before="120" w:after="120" w:line="288" w:lineRule="auto"/>
              <w:ind w:left="0"/>
              <w:jc w:val="left"/>
            </w:pPr>
            <w:r>
              <w:rPr>
                <w:rFonts w:ascii="Arial" w:hAnsi="Arial" w:eastAsia="等线" w:cs="Arial"/>
                <w:sz w:val="22"/>
              </w:rPr>
              <w:t>在集中化交易所（如纽约证券交易所）内进行的交易，规则统一、监管严格，通过公开竞价形成价格，交易上市证券。</w:t>
            </w:r>
          </w:p>
        </w:tc>
      </w:tr>
      <w:tr w14:paraId="3DD42E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4EEE395F">
            <w:pPr>
              <w:spacing w:before="120" w:after="120" w:line="288" w:lineRule="auto"/>
              <w:ind w:left="0"/>
              <w:jc w:val="left"/>
            </w:pPr>
            <w:r>
              <w:rPr>
                <w:rFonts w:ascii="Arial" w:hAnsi="Arial" w:eastAsia="等线" w:cs="Arial"/>
                <w:sz w:val="22"/>
              </w:rPr>
              <w:t>Electronic Automated Trading</w:t>
            </w:r>
          </w:p>
        </w:tc>
        <w:tc>
          <w:tcPr>
            <w:tcW w:w="1740" w:type="dxa"/>
            <w:tcMar>
              <w:top w:w="60" w:type="dxa"/>
              <w:left w:w="120" w:type="dxa"/>
              <w:bottom w:w="30" w:type="dxa"/>
              <w:right w:w="120" w:type="dxa"/>
            </w:tcMar>
          </w:tcPr>
          <w:p w14:paraId="5853C57E">
            <w:pPr>
              <w:spacing w:before="120" w:after="120" w:line="288" w:lineRule="auto"/>
              <w:ind w:left="0"/>
              <w:jc w:val="left"/>
            </w:pPr>
            <w:r>
              <w:rPr>
                <w:rFonts w:ascii="Arial" w:hAnsi="Arial" w:eastAsia="等线" w:cs="Arial"/>
                <w:sz w:val="22"/>
              </w:rPr>
              <w:t>完全自动化电子交易</w:t>
            </w:r>
          </w:p>
        </w:tc>
        <w:tc>
          <w:tcPr>
            <w:tcW w:w="4410" w:type="dxa"/>
            <w:tcMar>
              <w:top w:w="60" w:type="dxa"/>
              <w:left w:w="120" w:type="dxa"/>
              <w:bottom w:w="30" w:type="dxa"/>
              <w:right w:w="120" w:type="dxa"/>
            </w:tcMar>
          </w:tcPr>
          <w:p w14:paraId="653C0803">
            <w:pPr>
              <w:spacing w:before="120" w:after="120" w:line="288" w:lineRule="auto"/>
              <w:ind w:left="0"/>
              <w:jc w:val="left"/>
            </w:pPr>
            <w:r>
              <w:rPr>
                <w:rFonts w:ascii="Arial" w:hAnsi="Arial" w:eastAsia="等线" w:cs="Arial"/>
                <w:sz w:val="22"/>
              </w:rPr>
              <w:t>交易全流程（订单提交、匹配、成交确认）通过电子系统完成，无需人工干预，高效透明、成交速度快，为当前主流方式。</w:t>
            </w:r>
          </w:p>
        </w:tc>
      </w:tr>
      <w:tr w14:paraId="516792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5C9FA54E">
            <w:pPr>
              <w:spacing w:before="120" w:after="120" w:line="288" w:lineRule="auto"/>
              <w:ind w:left="0"/>
              <w:jc w:val="left"/>
            </w:pPr>
            <w:r>
              <w:rPr>
                <w:rFonts w:ascii="Arial" w:hAnsi="Arial" w:eastAsia="等线" w:cs="Arial"/>
                <w:sz w:val="22"/>
              </w:rPr>
              <w:t>Manual Trading</w:t>
            </w:r>
          </w:p>
        </w:tc>
        <w:tc>
          <w:tcPr>
            <w:tcW w:w="1740" w:type="dxa"/>
            <w:tcMar>
              <w:top w:w="60" w:type="dxa"/>
              <w:left w:w="120" w:type="dxa"/>
              <w:bottom w:w="30" w:type="dxa"/>
              <w:right w:w="120" w:type="dxa"/>
            </w:tcMar>
          </w:tcPr>
          <w:p w14:paraId="5FDD2D5C">
            <w:pPr>
              <w:spacing w:before="120" w:after="120" w:line="288" w:lineRule="auto"/>
              <w:ind w:left="0"/>
              <w:jc w:val="left"/>
            </w:pPr>
            <w:r>
              <w:rPr>
                <w:rFonts w:ascii="Arial" w:hAnsi="Arial" w:eastAsia="等线" w:cs="Arial"/>
                <w:sz w:val="22"/>
              </w:rPr>
              <w:t>手工交易</w:t>
            </w:r>
          </w:p>
        </w:tc>
        <w:tc>
          <w:tcPr>
            <w:tcW w:w="4410" w:type="dxa"/>
            <w:tcMar>
              <w:top w:w="60" w:type="dxa"/>
              <w:left w:w="120" w:type="dxa"/>
              <w:bottom w:w="30" w:type="dxa"/>
              <w:right w:w="120" w:type="dxa"/>
            </w:tcMar>
          </w:tcPr>
          <w:p w14:paraId="6A70F1DD">
            <w:pPr>
              <w:spacing w:before="120" w:after="120" w:line="288" w:lineRule="auto"/>
              <w:ind w:left="0"/>
              <w:jc w:val="left"/>
            </w:pPr>
            <w:r>
              <w:rPr>
                <w:rFonts w:ascii="Arial" w:hAnsi="Arial" w:eastAsia="等线" w:cs="Arial"/>
                <w:sz w:val="22"/>
              </w:rPr>
              <w:t>依赖经纪人手动完成订单接收、传递、撮合等全流程，目前已基本被自动化交易取代，仅特殊场景存在。</w:t>
            </w:r>
          </w:p>
        </w:tc>
      </w:tr>
      <w:tr w14:paraId="08993A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33B88DD">
            <w:pPr>
              <w:spacing w:before="120" w:after="120" w:line="288" w:lineRule="auto"/>
              <w:ind w:left="0"/>
              <w:jc w:val="left"/>
            </w:pPr>
            <w:r>
              <w:rPr>
                <w:rFonts w:ascii="Arial" w:hAnsi="Arial" w:eastAsia="等线" w:cs="Arial"/>
                <w:sz w:val="22"/>
              </w:rPr>
              <w:t>Semi-Automated Trading</w:t>
            </w:r>
          </w:p>
        </w:tc>
        <w:tc>
          <w:tcPr>
            <w:tcW w:w="1740" w:type="dxa"/>
            <w:tcMar>
              <w:top w:w="60" w:type="dxa"/>
              <w:left w:w="120" w:type="dxa"/>
              <w:bottom w:w="30" w:type="dxa"/>
              <w:right w:w="120" w:type="dxa"/>
            </w:tcMar>
          </w:tcPr>
          <w:p w14:paraId="706DB78C">
            <w:pPr>
              <w:spacing w:before="120" w:after="120" w:line="288" w:lineRule="auto"/>
              <w:ind w:left="0"/>
              <w:jc w:val="left"/>
            </w:pPr>
            <w:r>
              <w:rPr>
                <w:rFonts w:ascii="Arial" w:hAnsi="Arial" w:eastAsia="等线" w:cs="Arial"/>
                <w:sz w:val="22"/>
              </w:rPr>
              <w:t>半自动交易</w:t>
            </w:r>
          </w:p>
        </w:tc>
        <w:tc>
          <w:tcPr>
            <w:tcW w:w="4410" w:type="dxa"/>
            <w:tcMar>
              <w:top w:w="60" w:type="dxa"/>
              <w:left w:w="120" w:type="dxa"/>
              <w:bottom w:w="30" w:type="dxa"/>
              <w:right w:w="120" w:type="dxa"/>
            </w:tcMar>
          </w:tcPr>
          <w:p w14:paraId="0435DBA8">
            <w:pPr>
              <w:spacing w:before="120" w:after="120" w:line="288" w:lineRule="auto"/>
              <w:ind w:left="0"/>
              <w:jc w:val="left"/>
            </w:pPr>
            <w:r>
              <w:rPr>
                <w:rFonts w:ascii="Arial" w:hAnsi="Arial" w:eastAsia="等线" w:cs="Arial"/>
                <w:sz w:val="22"/>
              </w:rPr>
              <w:t>结合手工操作与电子辅助，部分环节（如合规审核）人工完成，核心订单匹配通过电子系统执行。</w:t>
            </w:r>
          </w:p>
        </w:tc>
      </w:tr>
      <w:tr w14:paraId="32C47F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013C7D5A">
            <w:pPr>
              <w:spacing w:before="120" w:after="120" w:line="288" w:lineRule="auto"/>
              <w:ind w:left="0"/>
              <w:jc w:val="left"/>
            </w:pPr>
            <w:r>
              <w:rPr>
                <w:rFonts w:ascii="Arial" w:hAnsi="Arial" w:eastAsia="等线" w:cs="Arial"/>
                <w:sz w:val="22"/>
              </w:rPr>
              <w:t>Third Market</w:t>
            </w:r>
          </w:p>
        </w:tc>
        <w:tc>
          <w:tcPr>
            <w:tcW w:w="1740" w:type="dxa"/>
            <w:tcMar>
              <w:top w:w="60" w:type="dxa"/>
              <w:left w:w="120" w:type="dxa"/>
              <w:bottom w:w="30" w:type="dxa"/>
              <w:right w:w="120" w:type="dxa"/>
            </w:tcMar>
          </w:tcPr>
          <w:p w14:paraId="282F91DC">
            <w:pPr>
              <w:spacing w:before="120" w:after="120" w:line="288" w:lineRule="auto"/>
              <w:ind w:left="0"/>
              <w:jc w:val="left"/>
            </w:pPr>
            <w:r>
              <w:rPr>
                <w:rFonts w:ascii="Arial" w:hAnsi="Arial" w:eastAsia="等线" w:cs="Arial"/>
                <w:sz w:val="22"/>
              </w:rPr>
              <w:t>第三市场</w:t>
            </w:r>
          </w:p>
        </w:tc>
        <w:tc>
          <w:tcPr>
            <w:tcW w:w="4410" w:type="dxa"/>
            <w:tcMar>
              <w:top w:w="60" w:type="dxa"/>
              <w:left w:w="120" w:type="dxa"/>
              <w:bottom w:w="30" w:type="dxa"/>
              <w:right w:w="120" w:type="dxa"/>
            </w:tcMar>
          </w:tcPr>
          <w:p w14:paraId="7EC75988">
            <w:pPr>
              <w:spacing w:before="120" w:after="120" w:line="288" w:lineRule="auto"/>
              <w:ind w:left="0"/>
              <w:jc w:val="left"/>
            </w:pPr>
            <w:r>
              <w:rPr>
                <w:rFonts w:ascii="Arial" w:hAnsi="Arial" w:eastAsia="等线" w:cs="Arial"/>
                <w:sz w:val="22"/>
              </w:rPr>
              <w:t>已在交易所上市的证券在交易所外的场外市场交易，兼顾上市证券流动性与场外交易灵活性。</w:t>
            </w:r>
          </w:p>
        </w:tc>
      </w:tr>
      <w:tr w14:paraId="4178EB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A0562EF">
            <w:pPr>
              <w:spacing w:before="120" w:after="120" w:line="288" w:lineRule="auto"/>
              <w:ind w:left="0"/>
              <w:jc w:val="left"/>
            </w:pPr>
            <w:r>
              <w:rPr>
                <w:rFonts w:ascii="Arial" w:hAnsi="Arial" w:eastAsia="等线" w:cs="Arial"/>
                <w:sz w:val="22"/>
              </w:rPr>
              <w:t>Fourth Market</w:t>
            </w:r>
          </w:p>
        </w:tc>
        <w:tc>
          <w:tcPr>
            <w:tcW w:w="1740" w:type="dxa"/>
            <w:tcMar>
              <w:top w:w="60" w:type="dxa"/>
              <w:left w:w="120" w:type="dxa"/>
              <w:bottom w:w="30" w:type="dxa"/>
              <w:right w:w="120" w:type="dxa"/>
            </w:tcMar>
          </w:tcPr>
          <w:p w14:paraId="4A57FCC8">
            <w:pPr>
              <w:spacing w:before="120" w:after="120" w:line="288" w:lineRule="auto"/>
              <w:ind w:left="0"/>
              <w:jc w:val="left"/>
            </w:pPr>
            <w:r>
              <w:rPr>
                <w:rFonts w:ascii="Arial" w:hAnsi="Arial" w:eastAsia="等线" w:cs="Arial"/>
                <w:sz w:val="22"/>
              </w:rPr>
              <w:t>第四市场</w:t>
            </w:r>
          </w:p>
        </w:tc>
        <w:tc>
          <w:tcPr>
            <w:tcW w:w="4410" w:type="dxa"/>
            <w:tcMar>
              <w:top w:w="60" w:type="dxa"/>
              <w:left w:w="120" w:type="dxa"/>
              <w:bottom w:w="30" w:type="dxa"/>
              <w:right w:w="120" w:type="dxa"/>
            </w:tcMar>
          </w:tcPr>
          <w:p w14:paraId="5D08A328">
            <w:pPr>
              <w:spacing w:before="120" w:after="120" w:line="288" w:lineRule="auto"/>
              <w:ind w:left="0"/>
              <w:jc w:val="left"/>
            </w:pPr>
            <w:r>
              <w:rPr>
                <w:rFonts w:ascii="Arial" w:hAnsi="Arial" w:eastAsia="等线" w:cs="Arial"/>
                <w:sz w:val="22"/>
              </w:rPr>
              <w:t>机构投资者之间不通过经纪商或交易所，直接进行大额证券交易，可降低成本、减少交易冲击。</w:t>
            </w:r>
          </w:p>
        </w:tc>
      </w:tr>
      <w:tr w14:paraId="38DA92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C4B74E7">
            <w:pPr>
              <w:spacing w:before="120" w:after="120" w:line="288" w:lineRule="auto"/>
              <w:ind w:left="0"/>
              <w:jc w:val="left"/>
            </w:pPr>
            <w:r>
              <w:rPr>
                <w:rFonts w:ascii="Arial" w:hAnsi="Arial" w:eastAsia="等线" w:cs="Arial"/>
                <w:sz w:val="22"/>
              </w:rPr>
              <w:t>Broker</w:t>
            </w:r>
          </w:p>
        </w:tc>
        <w:tc>
          <w:tcPr>
            <w:tcW w:w="1740" w:type="dxa"/>
            <w:tcMar>
              <w:top w:w="60" w:type="dxa"/>
              <w:left w:w="120" w:type="dxa"/>
              <w:bottom w:w="30" w:type="dxa"/>
              <w:right w:w="120" w:type="dxa"/>
            </w:tcMar>
          </w:tcPr>
          <w:p w14:paraId="06CBECF2">
            <w:pPr>
              <w:spacing w:before="120" w:after="120" w:line="288" w:lineRule="auto"/>
              <w:ind w:left="0"/>
              <w:jc w:val="left"/>
            </w:pPr>
            <w:r>
              <w:rPr>
                <w:rFonts w:ascii="Arial" w:hAnsi="Arial" w:eastAsia="等线" w:cs="Arial"/>
                <w:sz w:val="22"/>
              </w:rPr>
              <w:t>经纪商（代理商）</w:t>
            </w:r>
          </w:p>
        </w:tc>
        <w:tc>
          <w:tcPr>
            <w:tcW w:w="4410" w:type="dxa"/>
            <w:tcMar>
              <w:top w:w="60" w:type="dxa"/>
              <w:left w:w="120" w:type="dxa"/>
              <w:bottom w:w="30" w:type="dxa"/>
              <w:right w:w="120" w:type="dxa"/>
            </w:tcMar>
          </w:tcPr>
          <w:p w14:paraId="53EBE2E3">
            <w:pPr>
              <w:spacing w:before="120" w:after="120" w:line="288" w:lineRule="auto"/>
              <w:ind w:left="0"/>
              <w:jc w:val="left"/>
            </w:pPr>
            <w:r>
              <w:rPr>
                <w:rFonts w:ascii="Arial" w:hAnsi="Arial" w:eastAsia="等线" w:cs="Arial"/>
                <w:sz w:val="22"/>
              </w:rPr>
              <w:t>以代理人身份撮合买卖双方成交，不持有证券库存、不承担交易风险，盈利来源为客户支付的佣金。</w:t>
            </w:r>
          </w:p>
        </w:tc>
      </w:tr>
      <w:tr w14:paraId="31F54D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0F37E56C">
            <w:pPr>
              <w:spacing w:before="120" w:after="120" w:line="288" w:lineRule="auto"/>
              <w:ind w:left="0"/>
              <w:jc w:val="left"/>
            </w:pPr>
            <w:r>
              <w:rPr>
                <w:rFonts w:ascii="Arial" w:hAnsi="Arial" w:eastAsia="等线" w:cs="Arial"/>
                <w:sz w:val="22"/>
              </w:rPr>
              <w:t>Dealer</w:t>
            </w:r>
          </w:p>
        </w:tc>
        <w:tc>
          <w:tcPr>
            <w:tcW w:w="1740" w:type="dxa"/>
            <w:tcMar>
              <w:top w:w="60" w:type="dxa"/>
              <w:left w:w="120" w:type="dxa"/>
              <w:bottom w:w="30" w:type="dxa"/>
              <w:right w:w="120" w:type="dxa"/>
            </w:tcMar>
          </w:tcPr>
          <w:p w14:paraId="174CABA2">
            <w:pPr>
              <w:spacing w:before="120" w:after="120" w:line="288" w:lineRule="auto"/>
              <w:ind w:left="0"/>
              <w:jc w:val="left"/>
            </w:pPr>
            <w:r>
              <w:rPr>
                <w:rFonts w:ascii="Arial" w:hAnsi="Arial" w:eastAsia="等线" w:cs="Arial"/>
                <w:sz w:val="22"/>
              </w:rPr>
              <w:t>交易商（自营商）</w:t>
            </w:r>
          </w:p>
        </w:tc>
        <w:tc>
          <w:tcPr>
            <w:tcW w:w="4410" w:type="dxa"/>
            <w:tcMar>
              <w:top w:w="60" w:type="dxa"/>
              <w:left w:w="120" w:type="dxa"/>
              <w:bottom w:w="30" w:type="dxa"/>
              <w:right w:w="120" w:type="dxa"/>
            </w:tcMar>
          </w:tcPr>
          <w:p w14:paraId="7B578878">
            <w:pPr>
              <w:spacing w:before="120" w:after="120" w:line="288" w:lineRule="auto"/>
              <w:ind w:left="0"/>
              <w:jc w:val="left"/>
            </w:pPr>
            <w:r>
              <w:rPr>
                <w:rFonts w:ascii="Arial" w:hAnsi="Arial" w:eastAsia="等线" w:cs="Arial"/>
                <w:sz w:val="22"/>
              </w:rPr>
              <w:t>以自有账户和资金买卖证券，作为交易一方参与交易，通过低买高卖的价差获利，承担库存和市场波动风险。</w:t>
            </w:r>
          </w:p>
        </w:tc>
      </w:tr>
      <w:tr w14:paraId="201AFC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9111E58">
            <w:pPr>
              <w:spacing w:before="120" w:after="120" w:line="288" w:lineRule="auto"/>
              <w:ind w:left="0"/>
              <w:jc w:val="left"/>
            </w:pPr>
            <w:r>
              <w:rPr>
                <w:rFonts w:ascii="Arial" w:hAnsi="Arial" w:eastAsia="等线" w:cs="Arial"/>
                <w:sz w:val="22"/>
              </w:rPr>
              <w:t>Broker-Dealer</w:t>
            </w:r>
          </w:p>
        </w:tc>
        <w:tc>
          <w:tcPr>
            <w:tcW w:w="1740" w:type="dxa"/>
            <w:tcMar>
              <w:top w:w="60" w:type="dxa"/>
              <w:left w:w="120" w:type="dxa"/>
              <w:bottom w:w="30" w:type="dxa"/>
              <w:right w:w="120" w:type="dxa"/>
            </w:tcMar>
          </w:tcPr>
          <w:p w14:paraId="1F21F80B">
            <w:pPr>
              <w:spacing w:before="120" w:after="120" w:line="288" w:lineRule="auto"/>
              <w:ind w:left="0"/>
              <w:jc w:val="left"/>
            </w:pPr>
            <w:r>
              <w:rPr>
                <w:rFonts w:ascii="Arial" w:hAnsi="Arial" w:eastAsia="等线" w:cs="Arial"/>
                <w:sz w:val="22"/>
              </w:rPr>
              <w:t>经纪交易商</w:t>
            </w:r>
          </w:p>
        </w:tc>
        <w:tc>
          <w:tcPr>
            <w:tcW w:w="4410" w:type="dxa"/>
            <w:tcMar>
              <w:top w:w="60" w:type="dxa"/>
              <w:left w:w="120" w:type="dxa"/>
              <w:bottom w:w="30" w:type="dxa"/>
              <w:right w:w="120" w:type="dxa"/>
            </w:tcMar>
          </w:tcPr>
          <w:p w14:paraId="5D0DD0DC">
            <w:pPr>
              <w:spacing w:before="120" w:after="120" w:line="288" w:lineRule="auto"/>
              <w:ind w:left="0"/>
              <w:jc w:val="left"/>
            </w:pPr>
            <w:r>
              <w:rPr>
                <w:rFonts w:ascii="Arial" w:hAnsi="Arial" w:eastAsia="等线" w:cs="Arial"/>
                <w:sz w:val="22"/>
              </w:rPr>
              <w:t>兼具经纪人和交易商双重角色，可代客执行订单收佣金（代理身份），或自有资金与客户交易赚价差（自营身份），同一交易中不可双重角色。</w:t>
            </w:r>
          </w:p>
        </w:tc>
      </w:tr>
      <w:tr w14:paraId="2C8D08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5EF9AD81">
            <w:pPr>
              <w:spacing w:before="120" w:after="120" w:line="288" w:lineRule="auto"/>
              <w:ind w:left="0"/>
              <w:jc w:val="left"/>
            </w:pPr>
            <w:r>
              <w:rPr>
                <w:rFonts w:ascii="Arial" w:hAnsi="Arial" w:eastAsia="等线" w:cs="Arial"/>
                <w:sz w:val="22"/>
              </w:rPr>
              <w:t>Market Maker</w:t>
            </w:r>
          </w:p>
        </w:tc>
        <w:tc>
          <w:tcPr>
            <w:tcW w:w="1740" w:type="dxa"/>
            <w:tcMar>
              <w:top w:w="60" w:type="dxa"/>
              <w:left w:w="120" w:type="dxa"/>
              <w:bottom w:w="30" w:type="dxa"/>
              <w:right w:w="120" w:type="dxa"/>
            </w:tcMar>
          </w:tcPr>
          <w:p w14:paraId="39496589">
            <w:pPr>
              <w:spacing w:before="120" w:after="120" w:line="288" w:lineRule="auto"/>
              <w:ind w:left="0"/>
              <w:jc w:val="left"/>
            </w:pPr>
            <w:r>
              <w:rPr>
                <w:rFonts w:ascii="Arial" w:hAnsi="Arial" w:eastAsia="等线" w:cs="Arial"/>
                <w:sz w:val="22"/>
              </w:rPr>
              <w:t>做市商</w:t>
            </w:r>
          </w:p>
        </w:tc>
        <w:tc>
          <w:tcPr>
            <w:tcW w:w="4410" w:type="dxa"/>
            <w:tcMar>
              <w:top w:w="60" w:type="dxa"/>
              <w:left w:w="120" w:type="dxa"/>
              <w:bottom w:w="30" w:type="dxa"/>
              <w:right w:w="120" w:type="dxa"/>
            </w:tcMar>
          </w:tcPr>
          <w:p w14:paraId="12640A81">
            <w:pPr>
              <w:spacing w:before="120" w:after="120" w:line="288" w:lineRule="auto"/>
              <w:ind w:left="0"/>
              <w:jc w:val="left"/>
            </w:pPr>
            <w:r>
              <w:rPr>
                <w:rFonts w:ascii="Arial" w:hAnsi="Arial" w:eastAsia="等线" w:cs="Arial"/>
                <w:sz w:val="22"/>
              </w:rPr>
              <w:t>特殊类型交易商，持续报出证券买入价和卖出价，为市场提供流动性，确保交易即时完成，利润来源于买卖价差。</w:t>
            </w:r>
          </w:p>
        </w:tc>
      </w:tr>
      <w:tr w14:paraId="17EE89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24EAD75">
            <w:pPr>
              <w:spacing w:before="120" w:after="120" w:line="288" w:lineRule="auto"/>
              <w:ind w:left="0"/>
              <w:jc w:val="left"/>
            </w:pPr>
            <w:r>
              <w:rPr>
                <w:rFonts w:ascii="Arial" w:hAnsi="Arial" w:eastAsia="等线" w:cs="Arial"/>
                <w:sz w:val="22"/>
              </w:rPr>
              <w:t>Agent</w:t>
            </w:r>
          </w:p>
        </w:tc>
        <w:tc>
          <w:tcPr>
            <w:tcW w:w="1740" w:type="dxa"/>
            <w:tcMar>
              <w:top w:w="60" w:type="dxa"/>
              <w:left w:w="120" w:type="dxa"/>
              <w:bottom w:w="30" w:type="dxa"/>
              <w:right w:w="120" w:type="dxa"/>
            </w:tcMar>
          </w:tcPr>
          <w:p w14:paraId="1B7BE7EE">
            <w:pPr>
              <w:spacing w:before="120" w:after="120" w:line="288" w:lineRule="auto"/>
              <w:ind w:left="0"/>
              <w:jc w:val="left"/>
            </w:pPr>
            <w:r>
              <w:rPr>
                <w:rFonts w:ascii="Arial" w:hAnsi="Arial" w:eastAsia="等线" w:cs="Arial"/>
                <w:sz w:val="22"/>
              </w:rPr>
              <w:t>代理人（对应 Broker 角色）</w:t>
            </w:r>
          </w:p>
        </w:tc>
        <w:tc>
          <w:tcPr>
            <w:tcW w:w="4410" w:type="dxa"/>
            <w:tcMar>
              <w:top w:w="60" w:type="dxa"/>
              <w:left w:w="120" w:type="dxa"/>
              <w:bottom w:w="30" w:type="dxa"/>
              <w:right w:w="120" w:type="dxa"/>
            </w:tcMar>
          </w:tcPr>
          <w:p w14:paraId="1F670B1F">
            <w:pPr>
              <w:spacing w:before="120" w:after="120" w:line="288" w:lineRule="auto"/>
              <w:ind w:left="0"/>
              <w:jc w:val="left"/>
            </w:pPr>
            <w:r>
              <w:rPr>
                <w:rFonts w:ascii="Arial" w:hAnsi="Arial" w:eastAsia="等线" w:cs="Arial"/>
                <w:sz w:val="22"/>
              </w:rPr>
              <w:t>经纪商代客交易时的核心身份，仅执行客户指令，遵守客户利益优先原则，不承担交易风险。</w:t>
            </w:r>
          </w:p>
        </w:tc>
      </w:tr>
      <w:tr w14:paraId="2493D5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58428F70">
            <w:pPr>
              <w:spacing w:before="120" w:after="120" w:line="288" w:lineRule="auto"/>
              <w:ind w:left="0"/>
              <w:jc w:val="left"/>
            </w:pPr>
            <w:r>
              <w:rPr>
                <w:rFonts w:ascii="Arial" w:hAnsi="Arial" w:eastAsia="等线" w:cs="Arial"/>
                <w:sz w:val="22"/>
              </w:rPr>
              <w:t>Principal</w:t>
            </w:r>
          </w:p>
        </w:tc>
        <w:tc>
          <w:tcPr>
            <w:tcW w:w="1740" w:type="dxa"/>
            <w:tcMar>
              <w:top w:w="60" w:type="dxa"/>
              <w:left w:w="120" w:type="dxa"/>
              <w:bottom w:w="30" w:type="dxa"/>
              <w:right w:w="120" w:type="dxa"/>
            </w:tcMar>
          </w:tcPr>
          <w:p w14:paraId="22250C45">
            <w:pPr>
              <w:spacing w:before="120" w:after="120" w:line="288" w:lineRule="auto"/>
              <w:ind w:left="0"/>
              <w:jc w:val="left"/>
            </w:pPr>
            <w:r>
              <w:rPr>
                <w:rFonts w:ascii="Arial" w:hAnsi="Arial" w:eastAsia="等线" w:cs="Arial"/>
                <w:sz w:val="22"/>
              </w:rPr>
              <w:t>委托人（对应 Dealer 角色）</w:t>
            </w:r>
          </w:p>
        </w:tc>
        <w:tc>
          <w:tcPr>
            <w:tcW w:w="4410" w:type="dxa"/>
            <w:tcMar>
              <w:top w:w="60" w:type="dxa"/>
              <w:left w:w="120" w:type="dxa"/>
              <w:bottom w:w="30" w:type="dxa"/>
              <w:right w:w="120" w:type="dxa"/>
            </w:tcMar>
          </w:tcPr>
          <w:p w14:paraId="1FD3BE18">
            <w:pPr>
              <w:spacing w:before="120" w:after="120" w:line="288" w:lineRule="auto"/>
              <w:ind w:left="0"/>
              <w:jc w:val="left"/>
            </w:pPr>
            <w:r>
              <w:rPr>
                <w:rFonts w:ascii="Arial" w:hAnsi="Arial" w:eastAsia="等线" w:cs="Arial"/>
                <w:sz w:val="22"/>
              </w:rPr>
              <w:t>交易商以自有资金交易时的核心身份，作为交易直接参与方与客户成交，自主决策价格和数量，承担全部交易风险。</w:t>
            </w:r>
          </w:p>
        </w:tc>
      </w:tr>
      <w:tr w14:paraId="57B255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1D270BF">
            <w:pPr>
              <w:spacing w:before="120" w:after="120" w:line="288" w:lineRule="auto"/>
              <w:ind w:left="0"/>
              <w:jc w:val="left"/>
            </w:pPr>
            <w:r>
              <w:rPr>
                <w:rFonts w:ascii="Arial" w:hAnsi="Arial" w:eastAsia="等线" w:cs="Arial"/>
                <w:sz w:val="22"/>
              </w:rPr>
              <w:t>Associated Person</w:t>
            </w:r>
          </w:p>
        </w:tc>
        <w:tc>
          <w:tcPr>
            <w:tcW w:w="1740" w:type="dxa"/>
            <w:tcMar>
              <w:top w:w="60" w:type="dxa"/>
              <w:left w:w="120" w:type="dxa"/>
              <w:bottom w:w="30" w:type="dxa"/>
              <w:right w:w="120" w:type="dxa"/>
            </w:tcMar>
          </w:tcPr>
          <w:p w14:paraId="3E880960">
            <w:pPr>
              <w:spacing w:before="120" w:after="120" w:line="288" w:lineRule="auto"/>
              <w:ind w:left="0"/>
              <w:jc w:val="left"/>
            </w:pPr>
            <w:r>
              <w:rPr>
                <w:rFonts w:ascii="Arial" w:hAnsi="Arial" w:eastAsia="等线" w:cs="Arial"/>
                <w:sz w:val="22"/>
              </w:rPr>
              <w:t>关联人员</w:t>
            </w:r>
          </w:p>
        </w:tc>
        <w:tc>
          <w:tcPr>
            <w:tcW w:w="4410" w:type="dxa"/>
            <w:tcMar>
              <w:top w:w="60" w:type="dxa"/>
              <w:left w:w="120" w:type="dxa"/>
              <w:bottom w:w="30" w:type="dxa"/>
              <w:right w:w="120" w:type="dxa"/>
            </w:tcMar>
          </w:tcPr>
          <w:p w14:paraId="5CC7E32B">
            <w:pPr>
              <w:spacing w:before="120" w:after="120" w:line="288" w:lineRule="auto"/>
              <w:ind w:left="0"/>
              <w:jc w:val="left"/>
            </w:pPr>
            <w:r>
              <w:rPr>
                <w:rFonts w:ascii="Arial" w:hAnsi="Arial" w:eastAsia="等线" w:cs="Arial"/>
                <w:sz w:val="22"/>
              </w:rPr>
              <w:t>与经纪交易商存在关联的人员，未取得注册代表执照时仅可从事辅助工作，不得直接接受订单、提供投资建议。</w:t>
            </w:r>
          </w:p>
        </w:tc>
      </w:tr>
      <w:tr w14:paraId="03029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CA55104">
            <w:pPr>
              <w:spacing w:before="120" w:after="120" w:line="288" w:lineRule="auto"/>
              <w:ind w:left="0"/>
              <w:jc w:val="left"/>
            </w:pPr>
            <w:r>
              <w:rPr>
                <w:rFonts w:ascii="Arial" w:hAnsi="Arial" w:eastAsia="等线" w:cs="Arial"/>
                <w:sz w:val="22"/>
              </w:rPr>
              <w:t>Registered Representative</w:t>
            </w:r>
          </w:p>
        </w:tc>
        <w:tc>
          <w:tcPr>
            <w:tcW w:w="1740" w:type="dxa"/>
            <w:tcMar>
              <w:top w:w="60" w:type="dxa"/>
              <w:left w:w="120" w:type="dxa"/>
              <w:bottom w:w="30" w:type="dxa"/>
              <w:right w:w="120" w:type="dxa"/>
            </w:tcMar>
          </w:tcPr>
          <w:p w14:paraId="5FE2099D">
            <w:pPr>
              <w:spacing w:before="120" w:after="120" w:line="288" w:lineRule="auto"/>
              <w:ind w:left="0"/>
              <w:jc w:val="left"/>
            </w:pPr>
            <w:r>
              <w:rPr>
                <w:rFonts w:ascii="Arial" w:hAnsi="Arial" w:eastAsia="等线" w:cs="Arial"/>
                <w:sz w:val="22"/>
              </w:rPr>
              <w:t>注册代表</w:t>
            </w:r>
          </w:p>
        </w:tc>
        <w:tc>
          <w:tcPr>
            <w:tcW w:w="4410" w:type="dxa"/>
            <w:tcMar>
              <w:top w:w="60" w:type="dxa"/>
              <w:left w:w="120" w:type="dxa"/>
              <w:bottom w:w="30" w:type="dxa"/>
              <w:right w:w="120" w:type="dxa"/>
            </w:tcMar>
          </w:tcPr>
          <w:p w14:paraId="4F242671">
            <w:pPr>
              <w:spacing w:before="120" w:after="120" w:line="288" w:lineRule="auto"/>
              <w:ind w:left="0"/>
              <w:jc w:val="left"/>
            </w:pPr>
            <w:r>
              <w:rPr>
                <w:rFonts w:ascii="Arial" w:hAnsi="Arial" w:eastAsia="等线" w:cs="Arial"/>
                <w:sz w:val="22"/>
              </w:rPr>
              <w:t>取得执业资格，可代表经纪交易商为客户提供接受交易订单、讨论投资目标等核心交易相关服务的人员。</w:t>
            </w:r>
          </w:p>
        </w:tc>
      </w:tr>
      <w:tr w14:paraId="55B6FB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719E17A">
            <w:pPr>
              <w:spacing w:before="120" w:after="120" w:line="288" w:lineRule="auto"/>
              <w:ind w:left="0"/>
              <w:jc w:val="left"/>
            </w:pPr>
            <w:r>
              <w:rPr>
                <w:rFonts w:ascii="Arial" w:hAnsi="Arial" w:eastAsia="等线" w:cs="Arial"/>
                <w:sz w:val="22"/>
              </w:rPr>
              <w:t>Designated Market Maker (DMM)</w:t>
            </w:r>
          </w:p>
        </w:tc>
        <w:tc>
          <w:tcPr>
            <w:tcW w:w="1740" w:type="dxa"/>
            <w:tcMar>
              <w:top w:w="60" w:type="dxa"/>
              <w:left w:w="120" w:type="dxa"/>
              <w:bottom w:w="30" w:type="dxa"/>
              <w:right w:w="120" w:type="dxa"/>
            </w:tcMar>
          </w:tcPr>
          <w:p w14:paraId="28F77955">
            <w:pPr>
              <w:spacing w:before="120" w:after="120" w:line="288" w:lineRule="auto"/>
              <w:ind w:left="0"/>
              <w:jc w:val="left"/>
            </w:pPr>
            <w:r>
              <w:rPr>
                <w:rFonts w:ascii="Arial" w:hAnsi="Arial" w:eastAsia="等线" w:cs="Arial"/>
                <w:sz w:val="22"/>
              </w:rPr>
              <w:t>指定做市商（ specialist）</w:t>
            </w:r>
          </w:p>
        </w:tc>
        <w:tc>
          <w:tcPr>
            <w:tcW w:w="4410" w:type="dxa"/>
            <w:tcMar>
              <w:top w:w="60" w:type="dxa"/>
              <w:left w:w="120" w:type="dxa"/>
              <w:bottom w:w="30" w:type="dxa"/>
              <w:right w:w="120" w:type="dxa"/>
            </w:tcMar>
          </w:tcPr>
          <w:p w14:paraId="45409206">
            <w:pPr>
              <w:spacing w:before="120" w:after="120" w:line="288" w:lineRule="auto"/>
              <w:ind w:left="0"/>
              <w:jc w:val="left"/>
            </w:pPr>
            <w:r>
              <w:rPr>
                <w:rFonts w:ascii="Arial" w:hAnsi="Arial" w:eastAsia="等线" w:cs="Arial"/>
                <w:sz w:val="22"/>
              </w:rPr>
              <w:t>在证券交易所中，由交易所指定的负责维护特定证券市场流动性的交易员或交易公司。</w:t>
            </w:r>
          </w:p>
        </w:tc>
      </w:tr>
      <w:tr w14:paraId="373C98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08303A58">
            <w:pPr>
              <w:spacing w:before="120" w:after="120" w:line="288" w:lineRule="auto"/>
              <w:ind w:left="0"/>
              <w:jc w:val="left"/>
            </w:pPr>
            <w:r>
              <w:rPr>
                <w:rFonts w:ascii="Arial" w:hAnsi="Arial" w:eastAsia="等线" w:cs="Arial"/>
                <w:sz w:val="22"/>
              </w:rPr>
              <w:t>Efficient Market</w:t>
            </w:r>
          </w:p>
        </w:tc>
        <w:tc>
          <w:tcPr>
            <w:tcW w:w="1740" w:type="dxa"/>
            <w:tcMar>
              <w:top w:w="60" w:type="dxa"/>
              <w:left w:w="120" w:type="dxa"/>
              <w:bottom w:w="30" w:type="dxa"/>
              <w:right w:w="120" w:type="dxa"/>
            </w:tcMar>
          </w:tcPr>
          <w:p w14:paraId="23C88979">
            <w:pPr>
              <w:spacing w:before="120" w:after="120" w:line="288" w:lineRule="auto"/>
              <w:ind w:left="0"/>
              <w:jc w:val="left"/>
            </w:pPr>
            <w:r>
              <w:rPr>
                <w:rFonts w:ascii="Arial" w:hAnsi="Arial" w:eastAsia="等线" w:cs="Arial"/>
                <w:sz w:val="22"/>
              </w:rPr>
              <w:t>有效市场</w:t>
            </w:r>
          </w:p>
        </w:tc>
        <w:tc>
          <w:tcPr>
            <w:tcW w:w="4410" w:type="dxa"/>
            <w:tcMar>
              <w:top w:w="60" w:type="dxa"/>
              <w:left w:w="120" w:type="dxa"/>
              <w:bottom w:w="30" w:type="dxa"/>
              <w:right w:w="120" w:type="dxa"/>
            </w:tcMar>
          </w:tcPr>
          <w:p w14:paraId="4CC03389">
            <w:pPr>
              <w:spacing w:before="120" w:after="120" w:line="288" w:lineRule="auto"/>
              <w:ind w:left="0"/>
              <w:jc w:val="left"/>
            </w:pPr>
            <w:r>
              <w:rPr>
                <w:rFonts w:ascii="Arial" w:hAnsi="Arial" w:eastAsia="等线" w:cs="Arial"/>
                <w:sz w:val="22"/>
              </w:rPr>
              <w:t>市场参与者众多、买卖价差小且交易活跃，证券价格能快速反映所有可用信息的市场状态。</w:t>
            </w:r>
          </w:p>
        </w:tc>
      </w:tr>
      <w:tr w14:paraId="6A868B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46E49E92">
            <w:pPr>
              <w:spacing w:before="120" w:after="120" w:line="288" w:lineRule="auto"/>
              <w:ind w:left="0"/>
              <w:jc w:val="left"/>
            </w:pPr>
            <w:r>
              <w:rPr>
                <w:rFonts w:ascii="Arial" w:hAnsi="Arial" w:eastAsia="等线" w:cs="Arial"/>
                <w:sz w:val="22"/>
              </w:rPr>
              <w:t>Dual-Listed Stock</w:t>
            </w:r>
          </w:p>
        </w:tc>
        <w:tc>
          <w:tcPr>
            <w:tcW w:w="1740" w:type="dxa"/>
            <w:tcMar>
              <w:top w:w="60" w:type="dxa"/>
              <w:left w:w="120" w:type="dxa"/>
              <w:bottom w:w="30" w:type="dxa"/>
              <w:right w:w="120" w:type="dxa"/>
            </w:tcMar>
          </w:tcPr>
          <w:p w14:paraId="4EA24262">
            <w:pPr>
              <w:spacing w:before="120" w:after="120" w:line="288" w:lineRule="auto"/>
              <w:ind w:left="0"/>
              <w:jc w:val="left"/>
            </w:pPr>
            <w:r>
              <w:rPr>
                <w:rFonts w:ascii="Arial" w:hAnsi="Arial" w:eastAsia="等线" w:cs="Arial"/>
                <w:sz w:val="22"/>
              </w:rPr>
              <w:t>双重上市股票</w:t>
            </w:r>
          </w:p>
        </w:tc>
        <w:tc>
          <w:tcPr>
            <w:tcW w:w="4410" w:type="dxa"/>
            <w:tcMar>
              <w:top w:w="60" w:type="dxa"/>
              <w:left w:w="120" w:type="dxa"/>
              <w:bottom w:w="30" w:type="dxa"/>
              <w:right w:w="120" w:type="dxa"/>
            </w:tcMar>
          </w:tcPr>
          <w:p w14:paraId="29C80EA3">
            <w:pPr>
              <w:spacing w:before="120" w:after="120" w:line="288" w:lineRule="auto"/>
              <w:ind w:left="0"/>
              <w:jc w:val="left"/>
            </w:pPr>
            <w:r>
              <w:rPr>
                <w:rFonts w:ascii="Arial" w:hAnsi="Arial" w:eastAsia="等线" w:cs="Arial"/>
                <w:sz w:val="22"/>
              </w:rPr>
              <w:t>同时在全国性交易所和区域性交易所上市的股票，可增加交易流动性和覆盖范围。</w:t>
            </w:r>
          </w:p>
        </w:tc>
      </w:tr>
    </w:tbl>
    <w:p w14:paraId="0512561C">
      <w:pPr>
        <w:spacing w:before="320" w:after="120" w:line="288" w:lineRule="auto"/>
        <w:ind w:left="0"/>
        <w:jc w:val="left"/>
        <w:outlineLvl w:val="1"/>
      </w:pPr>
      <w:bookmarkStart w:id="31" w:name="heading_31"/>
      <w:r>
        <w:rPr>
          <w:rFonts w:ascii="Arial" w:hAnsi="Arial" w:eastAsia="等线" w:cs="Arial"/>
          <w:color w:val="3370FF"/>
          <w:sz w:val="32"/>
        </w:rPr>
        <w:t xml:space="preserve">4.2 </w:t>
      </w:r>
      <w:r>
        <w:rPr>
          <w:rFonts w:ascii="Arial" w:hAnsi="Arial" w:eastAsia="等线" w:cs="Arial"/>
          <w:b/>
          <w:sz w:val="32"/>
        </w:rPr>
        <w:t>下单环节</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00"/>
        <w:gridCol w:w="1605"/>
        <w:gridCol w:w="4275"/>
      </w:tblGrid>
      <w:tr w14:paraId="725670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4F4E280D">
            <w:pPr>
              <w:spacing w:before="120" w:after="120" w:line="288" w:lineRule="auto"/>
              <w:ind w:left="0"/>
              <w:jc w:val="left"/>
            </w:pPr>
            <w:r>
              <w:rPr>
                <w:rFonts w:ascii="Arial" w:hAnsi="Arial" w:eastAsia="等线" w:cs="Arial"/>
                <w:b/>
                <w:sz w:val="22"/>
              </w:rPr>
              <w:t>英文名称</w:t>
            </w:r>
          </w:p>
        </w:tc>
        <w:tc>
          <w:tcPr>
            <w:tcW w:w="1605" w:type="dxa"/>
            <w:tcMar>
              <w:top w:w="60" w:type="dxa"/>
              <w:left w:w="120" w:type="dxa"/>
              <w:bottom w:w="30" w:type="dxa"/>
              <w:right w:w="120" w:type="dxa"/>
            </w:tcMar>
          </w:tcPr>
          <w:p w14:paraId="6648656C">
            <w:pPr>
              <w:spacing w:before="120" w:after="120" w:line="288" w:lineRule="auto"/>
              <w:ind w:left="0"/>
              <w:jc w:val="left"/>
            </w:pPr>
            <w:r>
              <w:rPr>
                <w:rFonts w:ascii="Arial" w:hAnsi="Arial" w:eastAsia="等线" w:cs="Arial"/>
                <w:b/>
                <w:sz w:val="22"/>
              </w:rPr>
              <w:t>中文名称</w:t>
            </w:r>
          </w:p>
        </w:tc>
        <w:tc>
          <w:tcPr>
            <w:tcW w:w="4275" w:type="dxa"/>
            <w:tcMar>
              <w:top w:w="60" w:type="dxa"/>
              <w:left w:w="120" w:type="dxa"/>
              <w:bottom w:w="30" w:type="dxa"/>
              <w:right w:w="120" w:type="dxa"/>
            </w:tcMar>
          </w:tcPr>
          <w:p w14:paraId="0EF2850B">
            <w:pPr>
              <w:spacing w:before="120" w:after="120" w:line="288" w:lineRule="auto"/>
              <w:ind w:left="0"/>
              <w:jc w:val="left"/>
            </w:pPr>
            <w:r>
              <w:rPr>
                <w:rFonts w:ascii="Arial" w:hAnsi="Arial" w:eastAsia="等线" w:cs="Arial"/>
                <w:b/>
                <w:sz w:val="22"/>
              </w:rPr>
              <w:t>核心释义</w:t>
            </w:r>
          </w:p>
        </w:tc>
      </w:tr>
      <w:tr w14:paraId="2204E0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72A06ECB">
            <w:pPr>
              <w:spacing w:before="120" w:after="120" w:line="288" w:lineRule="auto"/>
              <w:ind w:left="0"/>
              <w:jc w:val="left"/>
            </w:pPr>
            <w:r>
              <w:rPr>
                <w:rFonts w:ascii="Arial" w:hAnsi="Arial" w:eastAsia="等线" w:cs="Arial"/>
                <w:sz w:val="22"/>
              </w:rPr>
              <w:t>Market Order</w:t>
            </w:r>
          </w:p>
        </w:tc>
        <w:tc>
          <w:tcPr>
            <w:tcW w:w="1605" w:type="dxa"/>
            <w:tcMar>
              <w:top w:w="60" w:type="dxa"/>
              <w:left w:w="120" w:type="dxa"/>
              <w:bottom w:w="30" w:type="dxa"/>
              <w:right w:w="120" w:type="dxa"/>
            </w:tcMar>
          </w:tcPr>
          <w:p w14:paraId="048DBD52">
            <w:pPr>
              <w:spacing w:before="120" w:after="120" w:line="288" w:lineRule="auto"/>
              <w:ind w:left="0"/>
              <w:jc w:val="left"/>
            </w:pPr>
            <w:r>
              <w:rPr>
                <w:rFonts w:ascii="Arial" w:hAnsi="Arial" w:eastAsia="等线" w:cs="Arial"/>
                <w:sz w:val="22"/>
              </w:rPr>
              <w:t>市价单</w:t>
            </w:r>
          </w:p>
        </w:tc>
        <w:tc>
          <w:tcPr>
            <w:tcW w:w="4275" w:type="dxa"/>
            <w:tcMar>
              <w:top w:w="60" w:type="dxa"/>
              <w:left w:w="120" w:type="dxa"/>
              <w:bottom w:w="30" w:type="dxa"/>
              <w:right w:w="120" w:type="dxa"/>
            </w:tcMar>
          </w:tcPr>
          <w:p w14:paraId="4BC81484">
            <w:pPr>
              <w:spacing w:before="120" w:after="120" w:line="288" w:lineRule="auto"/>
              <w:ind w:left="0"/>
              <w:jc w:val="left"/>
            </w:pPr>
            <w:r>
              <w:rPr>
                <w:rFonts w:ascii="Arial" w:hAnsi="Arial" w:eastAsia="等线" w:cs="Arial"/>
                <w:sz w:val="22"/>
              </w:rPr>
              <w:t>投资者下达的 “按当前市场最优价格立即成交” 的订单，优先级为 “成交速度”，不限制成交价格，适用于对价格不敏感、急于完成交易的场景（如高流动性大盘股交易）。</w:t>
            </w:r>
          </w:p>
        </w:tc>
      </w:tr>
      <w:tr w14:paraId="2D8EDE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49B4FF3F">
            <w:pPr>
              <w:spacing w:before="120" w:after="120" w:line="288" w:lineRule="auto"/>
              <w:ind w:left="0"/>
              <w:jc w:val="left"/>
            </w:pPr>
            <w:r>
              <w:rPr>
                <w:rFonts w:ascii="Arial" w:hAnsi="Arial" w:eastAsia="等线" w:cs="Arial"/>
                <w:sz w:val="22"/>
              </w:rPr>
              <w:t>Limit Order</w:t>
            </w:r>
          </w:p>
        </w:tc>
        <w:tc>
          <w:tcPr>
            <w:tcW w:w="1605" w:type="dxa"/>
            <w:tcMar>
              <w:top w:w="60" w:type="dxa"/>
              <w:left w:w="120" w:type="dxa"/>
              <w:bottom w:w="30" w:type="dxa"/>
              <w:right w:w="120" w:type="dxa"/>
            </w:tcMar>
          </w:tcPr>
          <w:p w14:paraId="2B63D99F">
            <w:pPr>
              <w:spacing w:before="120" w:after="120" w:line="288" w:lineRule="auto"/>
              <w:ind w:left="0"/>
              <w:jc w:val="left"/>
            </w:pPr>
            <w:r>
              <w:rPr>
                <w:rFonts w:ascii="Arial" w:hAnsi="Arial" w:eastAsia="等线" w:cs="Arial"/>
                <w:sz w:val="22"/>
              </w:rPr>
              <w:t>限价单</w:t>
            </w:r>
          </w:p>
        </w:tc>
        <w:tc>
          <w:tcPr>
            <w:tcW w:w="4275" w:type="dxa"/>
            <w:tcMar>
              <w:top w:w="60" w:type="dxa"/>
              <w:left w:w="120" w:type="dxa"/>
              <w:bottom w:w="30" w:type="dxa"/>
              <w:right w:w="120" w:type="dxa"/>
            </w:tcMar>
          </w:tcPr>
          <w:p w14:paraId="102245DA">
            <w:pPr>
              <w:spacing w:before="120" w:after="120" w:line="288" w:lineRule="auto"/>
              <w:ind w:left="0"/>
              <w:jc w:val="left"/>
            </w:pPr>
            <w:r>
              <w:rPr>
                <w:rFonts w:ascii="Arial" w:hAnsi="Arial" w:eastAsia="等线" w:cs="Arial"/>
                <w:sz w:val="22"/>
              </w:rPr>
              <w:t>投资者指定 “特定成交价格或更优价格” 的订单，仅当市场价格达到或优于指定价格时才触发成交，优先级为 “价格”，未达条件时订单暂不执行。</w:t>
            </w:r>
          </w:p>
        </w:tc>
      </w:tr>
      <w:tr w14:paraId="5AA198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500C57BC">
            <w:pPr>
              <w:spacing w:before="120" w:after="120" w:line="288" w:lineRule="auto"/>
              <w:ind w:left="0"/>
              <w:jc w:val="left"/>
            </w:pPr>
            <w:r>
              <w:rPr>
                <w:rFonts w:ascii="Arial" w:hAnsi="Arial" w:eastAsia="等线" w:cs="Arial"/>
                <w:sz w:val="22"/>
              </w:rPr>
              <w:t>Stop Order</w:t>
            </w:r>
          </w:p>
        </w:tc>
        <w:tc>
          <w:tcPr>
            <w:tcW w:w="1605" w:type="dxa"/>
            <w:tcMar>
              <w:top w:w="60" w:type="dxa"/>
              <w:left w:w="120" w:type="dxa"/>
              <w:bottom w:w="30" w:type="dxa"/>
              <w:right w:w="120" w:type="dxa"/>
            </w:tcMar>
          </w:tcPr>
          <w:p w14:paraId="3FD752A5">
            <w:pPr>
              <w:spacing w:before="120" w:after="120" w:line="288" w:lineRule="auto"/>
              <w:ind w:left="0"/>
              <w:jc w:val="left"/>
            </w:pPr>
            <w:r>
              <w:rPr>
                <w:rFonts w:ascii="Arial" w:hAnsi="Arial" w:eastAsia="等线" w:cs="Arial"/>
                <w:sz w:val="22"/>
              </w:rPr>
              <w:t>止损单</w:t>
            </w:r>
          </w:p>
        </w:tc>
        <w:tc>
          <w:tcPr>
            <w:tcW w:w="4275" w:type="dxa"/>
            <w:tcMar>
              <w:top w:w="60" w:type="dxa"/>
              <w:left w:w="120" w:type="dxa"/>
              <w:bottom w:w="30" w:type="dxa"/>
              <w:right w:w="120" w:type="dxa"/>
            </w:tcMar>
          </w:tcPr>
          <w:p w14:paraId="279B227F">
            <w:pPr>
              <w:spacing w:before="120" w:after="120" w:line="288" w:lineRule="auto"/>
              <w:ind w:left="0"/>
              <w:jc w:val="left"/>
            </w:pPr>
            <w:r>
              <w:rPr>
                <w:rFonts w:ascii="Arial" w:hAnsi="Arial" w:eastAsia="等线" w:cs="Arial"/>
                <w:sz w:val="22"/>
              </w:rPr>
              <w:t>投资者指定一个 “触发价格（Stop Price）” 的订单，当市场价格触及该触发价时，订单自动转为</w:t>
            </w:r>
            <w:r>
              <w:rPr>
                <w:rFonts w:ascii="Arial" w:hAnsi="Arial" w:eastAsia="等线" w:cs="Arial"/>
                <w:b/>
                <w:sz w:val="22"/>
              </w:rPr>
              <w:t>市价单</w:t>
            </w:r>
            <w:r>
              <w:rPr>
                <w:rFonts w:ascii="Arial" w:hAnsi="Arial" w:eastAsia="等线" w:cs="Arial"/>
                <w:sz w:val="22"/>
              </w:rPr>
              <w:t>并立即执行，核心作用是 “控制亏损幅度” 或 “锁定已有盈利”（如投资者以 100 元买入股票，设置 90 元止损单，当股价跌至 90 元时自动以市价卖出，避免亏损扩大）。注意：触发后按市价成交，实际成交价格可能与触发价存在小幅偏差（尤其在市场波动剧烈时）。</w:t>
            </w:r>
          </w:p>
        </w:tc>
      </w:tr>
      <w:tr w14:paraId="71E529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4693EE0F">
            <w:pPr>
              <w:spacing w:before="120" w:after="120" w:line="288" w:lineRule="auto"/>
              <w:ind w:left="0"/>
              <w:jc w:val="left"/>
            </w:pPr>
            <w:r>
              <w:rPr>
                <w:rFonts w:ascii="Arial" w:hAnsi="Arial" w:eastAsia="等线" w:cs="Arial"/>
                <w:sz w:val="22"/>
              </w:rPr>
              <w:t>Stop Limit Order</w:t>
            </w:r>
          </w:p>
        </w:tc>
        <w:tc>
          <w:tcPr>
            <w:tcW w:w="1605" w:type="dxa"/>
            <w:tcMar>
              <w:top w:w="60" w:type="dxa"/>
              <w:left w:w="120" w:type="dxa"/>
              <w:bottom w:w="30" w:type="dxa"/>
              <w:right w:w="120" w:type="dxa"/>
            </w:tcMar>
          </w:tcPr>
          <w:p w14:paraId="3F39BBD9">
            <w:pPr>
              <w:spacing w:before="120" w:after="120" w:line="288" w:lineRule="auto"/>
              <w:ind w:left="0"/>
              <w:jc w:val="left"/>
            </w:pPr>
            <w:r>
              <w:rPr>
                <w:rFonts w:ascii="Arial" w:hAnsi="Arial" w:eastAsia="等线" w:cs="Arial"/>
                <w:sz w:val="22"/>
              </w:rPr>
              <w:t>止损限价单</w:t>
            </w:r>
          </w:p>
        </w:tc>
        <w:tc>
          <w:tcPr>
            <w:tcW w:w="4275" w:type="dxa"/>
            <w:tcMar>
              <w:top w:w="60" w:type="dxa"/>
              <w:left w:w="120" w:type="dxa"/>
              <w:bottom w:w="30" w:type="dxa"/>
              <w:right w:w="120" w:type="dxa"/>
            </w:tcMar>
          </w:tcPr>
          <w:p w14:paraId="40BE291C">
            <w:pPr>
              <w:spacing w:before="120" w:after="120" w:line="288" w:lineRule="auto"/>
              <w:ind w:left="0"/>
              <w:jc w:val="left"/>
            </w:pPr>
            <w:r>
              <w:rPr>
                <w:rFonts w:ascii="Arial" w:hAnsi="Arial" w:eastAsia="等线" w:cs="Arial"/>
                <w:sz w:val="22"/>
              </w:rPr>
              <w:t>同时包含 “触发价格（Stop Price）” 和 “限价（Limit Price）” 的订单：第一步，当市场价格触及触发价时，订单自动转为</w:t>
            </w:r>
            <w:r>
              <w:rPr>
                <w:rFonts w:ascii="Arial" w:hAnsi="Arial" w:eastAsia="等线" w:cs="Arial"/>
                <w:b/>
                <w:sz w:val="22"/>
              </w:rPr>
              <w:t>限价单</w:t>
            </w:r>
            <w:r>
              <w:rPr>
                <w:rFonts w:ascii="Arial" w:hAnsi="Arial" w:eastAsia="等线" w:cs="Arial"/>
                <w:sz w:val="22"/>
              </w:rPr>
              <w:t>；第二步，仅当市场价格达到或优于指定的限价时，才会成交。该订单兼顾 “止损” 与 “价格控制”（如投资者买入 100 元股票，设置 “触发价 90 元、限价 89.5 元” 的止损限价单，股价跌至 90 元时转为限价单，仅在股价≥89.5 元时卖出，避免因市价暴跌导致大幅超预期亏损）。注意：若触发后市场价格未达限价，订单可能无法成交，存在 “止损失效” 风险。</w:t>
            </w:r>
          </w:p>
        </w:tc>
      </w:tr>
      <w:tr w14:paraId="4EC5E9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0871F567">
            <w:pPr>
              <w:spacing w:before="120" w:after="120" w:line="288" w:lineRule="auto"/>
              <w:ind w:left="0"/>
              <w:jc w:val="left"/>
            </w:pPr>
            <w:r>
              <w:rPr>
                <w:rFonts w:ascii="Arial" w:hAnsi="Arial" w:eastAsia="等线" w:cs="Arial"/>
                <w:sz w:val="22"/>
              </w:rPr>
              <w:t>Day Order</w:t>
            </w:r>
          </w:p>
        </w:tc>
        <w:tc>
          <w:tcPr>
            <w:tcW w:w="1605" w:type="dxa"/>
            <w:tcMar>
              <w:top w:w="60" w:type="dxa"/>
              <w:left w:w="120" w:type="dxa"/>
              <w:bottom w:w="30" w:type="dxa"/>
              <w:right w:w="120" w:type="dxa"/>
            </w:tcMar>
          </w:tcPr>
          <w:p w14:paraId="6E441287">
            <w:pPr>
              <w:spacing w:before="120" w:after="120" w:line="288" w:lineRule="auto"/>
              <w:ind w:left="0"/>
              <w:jc w:val="left"/>
            </w:pPr>
            <w:r>
              <w:rPr>
                <w:rFonts w:ascii="Arial" w:hAnsi="Arial" w:eastAsia="等线" w:cs="Arial"/>
                <w:sz w:val="22"/>
              </w:rPr>
              <w:t>当日有效单</w:t>
            </w:r>
          </w:p>
        </w:tc>
        <w:tc>
          <w:tcPr>
            <w:tcW w:w="4275" w:type="dxa"/>
            <w:tcMar>
              <w:top w:w="60" w:type="dxa"/>
              <w:left w:w="120" w:type="dxa"/>
              <w:bottom w:w="30" w:type="dxa"/>
              <w:right w:w="120" w:type="dxa"/>
            </w:tcMar>
          </w:tcPr>
          <w:p w14:paraId="55981ADE">
            <w:pPr>
              <w:spacing w:before="120" w:after="120" w:line="288" w:lineRule="auto"/>
              <w:ind w:left="0"/>
              <w:jc w:val="left"/>
            </w:pPr>
            <w:r>
              <w:rPr>
                <w:rFonts w:ascii="Arial" w:hAnsi="Arial" w:eastAsia="等线" w:cs="Arial"/>
                <w:sz w:val="22"/>
              </w:rPr>
              <w:t>有效期仅为订单提交当日的证券交易时段，若当日收盘前未匹配成交，订单将自动失效，不延续至下一交易日。</w:t>
            </w:r>
          </w:p>
        </w:tc>
      </w:tr>
      <w:tr w14:paraId="3A001E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7651A3B4">
            <w:pPr>
              <w:spacing w:before="120" w:after="120" w:line="288" w:lineRule="auto"/>
              <w:ind w:left="0"/>
              <w:jc w:val="left"/>
            </w:pPr>
            <w:r>
              <w:rPr>
                <w:rFonts w:ascii="Arial" w:hAnsi="Arial" w:eastAsia="等线" w:cs="Arial"/>
                <w:sz w:val="22"/>
              </w:rPr>
              <w:t>Good-Till-Canceled (GTC) Order</w:t>
            </w:r>
          </w:p>
        </w:tc>
        <w:tc>
          <w:tcPr>
            <w:tcW w:w="1605" w:type="dxa"/>
            <w:tcMar>
              <w:top w:w="60" w:type="dxa"/>
              <w:left w:w="120" w:type="dxa"/>
              <w:bottom w:w="30" w:type="dxa"/>
              <w:right w:w="120" w:type="dxa"/>
            </w:tcMar>
          </w:tcPr>
          <w:p w14:paraId="713BBDAC">
            <w:pPr>
              <w:spacing w:before="120" w:after="120" w:line="288" w:lineRule="auto"/>
              <w:ind w:left="0"/>
              <w:jc w:val="left"/>
            </w:pPr>
            <w:r>
              <w:rPr>
                <w:rFonts w:ascii="Arial" w:hAnsi="Arial" w:eastAsia="等线" w:cs="Arial"/>
                <w:sz w:val="22"/>
              </w:rPr>
              <w:t>撤销前有效单</w:t>
            </w:r>
          </w:p>
        </w:tc>
        <w:tc>
          <w:tcPr>
            <w:tcW w:w="4275" w:type="dxa"/>
            <w:tcMar>
              <w:top w:w="60" w:type="dxa"/>
              <w:left w:w="120" w:type="dxa"/>
              <w:bottom w:w="30" w:type="dxa"/>
              <w:right w:w="120" w:type="dxa"/>
            </w:tcMar>
          </w:tcPr>
          <w:p w14:paraId="48E84D8F">
            <w:pPr>
              <w:spacing w:before="120" w:after="120" w:line="288" w:lineRule="auto"/>
              <w:ind w:left="0"/>
              <w:jc w:val="left"/>
            </w:pPr>
            <w:r>
              <w:rPr>
                <w:rFonts w:ascii="Arial" w:hAnsi="Arial" w:eastAsia="等线" w:cs="Arial"/>
                <w:sz w:val="22"/>
              </w:rPr>
              <w:t>在投资者主动撤销前持续有效的订单，部分市场会设置有效期上限（如 60 天），避免订单长期闲置，适用于投资者希望在一段时间内等待目标价格的场景。</w:t>
            </w:r>
          </w:p>
        </w:tc>
      </w:tr>
      <w:tr w14:paraId="4A32CA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4606B8BF">
            <w:pPr>
              <w:spacing w:before="120" w:after="120" w:line="288" w:lineRule="auto"/>
              <w:ind w:left="0"/>
              <w:jc w:val="left"/>
            </w:pPr>
            <w:r>
              <w:rPr>
                <w:rFonts w:ascii="Arial" w:hAnsi="Arial" w:eastAsia="等线" w:cs="Arial"/>
                <w:sz w:val="22"/>
              </w:rPr>
              <w:t>Fill-or-Kill (FOK) Order</w:t>
            </w:r>
          </w:p>
        </w:tc>
        <w:tc>
          <w:tcPr>
            <w:tcW w:w="1605" w:type="dxa"/>
            <w:tcMar>
              <w:top w:w="60" w:type="dxa"/>
              <w:left w:w="120" w:type="dxa"/>
              <w:bottom w:w="30" w:type="dxa"/>
              <w:right w:w="120" w:type="dxa"/>
            </w:tcMar>
          </w:tcPr>
          <w:p w14:paraId="0A50E493">
            <w:pPr>
              <w:spacing w:before="120" w:after="120" w:line="288" w:lineRule="auto"/>
              <w:ind w:left="0"/>
              <w:jc w:val="left"/>
            </w:pPr>
            <w:r>
              <w:rPr>
                <w:rFonts w:ascii="Arial" w:hAnsi="Arial" w:eastAsia="等线" w:cs="Arial"/>
                <w:sz w:val="22"/>
              </w:rPr>
              <w:t>立即全部成交或取消单</w:t>
            </w:r>
          </w:p>
        </w:tc>
        <w:tc>
          <w:tcPr>
            <w:tcW w:w="4275" w:type="dxa"/>
            <w:tcMar>
              <w:top w:w="60" w:type="dxa"/>
              <w:left w:w="120" w:type="dxa"/>
              <w:bottom w:w="30" w:type="dxa"/>
              <w:right w:w="120" w:type="dxa"/>
            </w:tcMar>
          </w:tcPr>
          <w:p w14:paraId="3364C525">
            <w:pPr>
              <w:spacing w:before="120" w:after="120" w:line="288" w:lineRule="auto"/>
              <w:ind w:left="0"/>
              <w:jc w:val="left"/>
            </w:pPr>
            <w:r>
              <w:rPr>
                <w:rFonts w:ascii="Arial" w:hAnsi="Arial" w:eastAsia="等线" w:cs="Arial"/>
                <w:sz w:val="22"/>
              </w:rPr>
              <w:t>订单提交后需立即全额成交，若无法即时满足全部数量则整个订单取消，不接受部分成交。</w:t>
            </w:r>
          </w:p>
        </w:tc>
      </w:tr>
      <w:tr w14:paraId="10687E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4424EFE0">
            <w:pPr>
              <w:spacing w:before="120" w:after="120" w:line="288" w:lineRule="auto"/>
              <w:ind w:left="0"/>
              <w:jc w:val="left"/>
            </w:pPr>
            <w:r>
              <w:rPr>
                <w:rFonts w:ascii="Arial" w:hAnsi="Arial" w:eastAsia="等线" w:cs="Arial"/>
                <w:sz w:val="22"/>
              </w:rPr>
              <w:t>Immediate-or-Cancel (IOK) Order</w:t>
            </w:r>
          </w:p>
        </w:tc>
        <w:tc>
          <w:tcPr>
            <w:tcW w:w="1605" w:type="dxa"/>
            <w:tcMar>
              <w:top w:w="60" w:type="dxa"/>
              <w:left w:w="120" w:type="dxa"/>
              <w:bottom w:w="30" w:type="dxa"/>
              <w:right w:w="120" w:type="dxa"/>
            </w:tcMar>
          </w:tcPr>
          <w:p w14:paraId="4E45F024">
            <w:pPr>
              <w:spacing w:before="120" w:after="120" w:line="288" w:lineRule="auto"/>
              <w:ind w:left="0"/>
              <w:jc w:val="left"/>
            </w:pPr>
            <w:r>
              <w:rPr>
                <w:rFonts w:ascii="Arial" w:hAnsi="Arial" w:eastAsia="等线" w:cs="Arial"/>
                <w:sz w:val="22"/>
              </w:rPr>
              <w:t>立即成交或取消单</w:t>
            </w:r>
          </w:p>
        </w:tc>
        <w:tc>
          <w:tcPr>
            <w:tcW w:w="4275" w:type="dxa"/>
            <w:tcMar>
              <w:top w:w="60" w:type="dxa"/>
              <w:left w:w="120" w:type="dxa"/>
              <w:bottom w:w="30" w:type="dxa"/>
              <w:right w:w="120" w:type="dxa"/>
            </w:tcMar>
          </w:tcPr>
          <w:p w14:paraId="6F338F7F">
            <w:pPr>
              <w:spacing w:before="120" w:after="120" w:line="288" w:lineRule="auto"/>
              <w:ind w:left="0"/>
              <w:jc w:val="left"/>
            </w:pPr>
            <w:r>
              <w:rPr>
                <w:rFonts w:ascii="Arial" w:hAnsi="Arial" w:eastAsia="等线" w:cs="Arial"/>
                <w:sz w:val="22"/>
              </w:rPr>
              <w:t>订单提交后即时匹配可成交数量，能成交多少算多少，未成交部分直接取消，允许部分成交。</w:t>
            </w:r>
          </w:p>
        </w:tc>
      </w:tr>
      <w:tr w14:paraId="1CAAA1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00" w:type="dxa"/>
            <w:tcMar>
              <w:top w:w="60" w:type="dxa"/>
              <w:left w:w="120" w:type="dxa"/>
              <w:bottom w:w="30" w:type="dxa"/>
              <w:right w:w="120" w:type="dxa"/>
            </w:tcMar>
          </w:tcPr>
          <w:p w14:paraId="13F9DFAC">
            <w:pPr>
              <w:spacing w:before="120" w:after="120" w:line="288" w:lineRule="auto"/>
              <w:ind w:left="0"/>
              <w:jc w:val="left"/>
            </w:pPr>
            <w:r>
              <w:rPr>
                <w:rFonts w:ascii="Arial" w:hAnsi="Arial" w:eastAsia="等线" w:cs="Arial"/>
                <w:sz w:val="22"/>
              </w:rPr>
              <w:t>All-or-None (AON) Order</w:t>
            </w:r>
          </w:p>
        </w:tc>
        <w:tc>
          <w:tcPr>
            <w:tcW w:w="1605" w:type="dxa"/>
            <w:tcMar>
              <w:top w:w="60" w:type="dxa"/>
              <w:left w:w="120" w:type="dxa"/>
              <w:bottom w:w="30" w:type="dxa"/>
              <w:right w:w="120" w:type="dxa"/>
            </w:tcMar>
          </w:tcPr>
          <w:p w14:paraId="081442E3">
            <w:pPr>
              <w:spacing w:before="120" w:after="120" w:line="288" w:lineRule="auto"/>
              <w:ind w:left="0"/>
              <w:jc w:val="left"/>
            </w:pPr>
            <w:r>
              <w:rPr>
                <w:rFonts w:ascii="Arial" w:hAnsi="Arial" w:eastAsia="等线" w:cs="Arial"/>
                <w:sz w:val="22"/>
              </w:rPr>
              <w:t>全部成交或取消单</w:t>
            </w:r>
          </w:p>
        </w:tc>
        <w:tc>
          <w:tcPr>
            <w:tcW w:w="4275" w:type="dxa"/>
            <w:tcMar>
              <w:top w:w="60" w:type="dxa"/>
              <w:left w:w="120" w:type="dxa"/>
              <w:bottom w:w="30" w:type="dxa"/>
              <w:right w:w="120" w:type="dxa"/>
            </w:tcMar>
          </w:tcPr>
          <w:p w14:paraId="45B6894A">
            <w:pPr>
              <w:spacing w:before="120" w:after="120" w:line="288" w:lineRule="auto"/>
              <w:ind w:left="0"/>
              <w:jc w:val="left"/>
            </w:pPr>
            <w:r>
              <w:rPr>
                <w:rFonts w:ascii="Arial" w:hAnsi="Arial" w:eastAsia="等线" w:cs="Arial"/>
                <w:sz w:val="22"/>
              </w:rPr>
              <w:t>订单在有效期内需全额成交，可等待合适流动性，若有效期内始终无法全额成交则到期取消，不强制即时性。</w:t>
            </w:r>
          </w:p>
        </w:tc>
      </w:tr>
    </w:tbl>
    <w:p w14:paraId="5A68B17F">
      <w:pPr>
        <w:spacing w:before="320" w:after="120" w:line="288" w:lineRule="auto"/>
        <w:ind w:left="0"/>
        <w:jc w:val="left"/>
        <w:outlineLvl w:val="1"/>
      </w:pPr>
      <w:bookmarkStart w:id="32" w:name="heading_32"/>
      <w:r>
        <w:rPr>
          <w:rFonts w:ascii="Arial" w:hAnsi="Arial" w:eastAsia="等线" w:cs="Arial"/>
          <w:color w:val="3370FF"/>
          <w:sz w:val="32"/>
        </w:rPr>
        <w:t xml:space="preserve">4.3 </w:t>
      </w:r>
      <w:r>
        <w:rPr>
          <w:rFonts w:ascii="Arial" w:hAnsi="Arial" w:eastAsia="等线" w:cs="Arial"/>
          <w:b/>
          <w:sz w:val="32"/>
        </w:rPr>
        <w:t>交易执行环节</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770"/>
        <w:gridCol w:w="4725"/>
      </w:tblGrid>
      <w:tr w14:paraId="167D8F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15C7290">
            <w:pPr>
              <w:spacing w:before="120" w:after="120" w:line="288" w:lineRule="auto"/>
              <w:ind w:left="0"/>
              <w:jc w:val="left"/>
            </w:pPr>
            <w:r>
              <w:rPr>
                <w:rFonts w:ascii="Arial" w:hAnsi="Arial" w:eastAsia="等线" w:cs="Arial"/>
                <w:b/>
                <w:sz w:val="22"/>
              </w:rPr>
              <w:t>英文名称</w:t>
            </w:r>
          </w:p>
        </w:tc>
        <w:tc>
          <w:tcPr>
            <w:tcW w:w="1770" w:type="dxa"/>
            <w:tcMar>
              <w:top w:w="60" w:type="dxa"/>
              <w:left w:w="120" w:type="dxa"/>
              <w:bottom w:w="30" w:type="dxa"/>
              <w:right w:w="120" w:type="dxa"/>
            </w:tcMar>
          </w:tcPr>
          <w:p w14:paraId="3E125243">
            <w:pPr>
              <w:spacing w:before="120" w:after="120" w:line="288" w:lineRule="auto"/>
              <w:ind w:left="0"/>
              <w:jc w:val="left"/>
            </w:pPr>
            <w:r>
              <w:rPr>
                <w:rFonts w:ascii="Arial" w:hAnsi="Arial" w:eastAsia="等线" w:cs="Arial"/>
                <w:b/>
                <w:sz w:val="22"/>
              </w:rPr>
              <w:t>中文名称</w:t>
            </w:r>
          </w:p>
        </w:tc>
        <w:tc>
          <w:tcPr>
            <w:tcW w:w="4725" w:type="dxa"/>
            <w:tcMar>
              <w:top w:w="60" w:type="dxa"/>
              <w:left w:w="120" w:type="dxa"/>
              <w:bottom w:w="30" w:type="dxa"/>
              <w:right w:w="120" w:type="dxa"/>
            </w:tcMar>
          </w:tcPr>
          <w:p w14:paraId="3D8E3418">
            <w:pPr>
              <w:spacing w:before="120" w:after="120" w:line="288" w:lineRule="auto"/>
              <w:ind w:left="0"/>
              <w:jc w:val="left"/>
            </w:pPr>
            <w:r>
              <w:rPr>
                <w:rFonts w:ascii="Arial" w:hAnsi="Arial" w:eastAsia="等线" w:cs="Arial"/>
                <w:b/>
                <w:sz w:val="22"/>
              </w:rPr>
              <w:t>核心释义</w:t>
            </w:r>
          </w:p>
        </w:tc>
      </w:tr>
      <w:tr w14:paraId="33A7CE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293EA97">
            <w:pPr>
              <w:spacing w:before="120" w:after="120" w:line="288" w:lineRule="auto"/>
              <w:ind w:left="0"/>
              <w:jc w:val="left"/>
            </w:pPr>
            <w:r>
              <w:rPr>
                <w:rFonts w:ascii="Arial" w:hAnsi="Arial" w:eastAsia="等线" w:cs="Arial"/>
                <w:sz w:val="22"/>
              </w:rPr>
              <w:t>Order-Driven Market</w:t>
            </w:r>
          </w:p>
        </w:tc>
        <w:tc>
          <w:tcPr>
            <w:tcW w:w="1770" w:type="dxa"/>
            <w:tcMar>
              <w:top w:w="60" w:type="dxa"/>
              <w:left w:w="120" w:type="dxa"/>
              <w:bottom w:w="30" w:type="dxa"/>
              <w:right w:w="120" w:type="dxa"/>
            </w:tcMar>
          </w:tcPr>
          <w:p w14:paraId="0EC36EFA">
            <w:pPr>
              <w:spacing w:before="120" w:after="120" w:line="288" w:lineRule="auto"/>
              <w:ind w:left="0"/>
              <w:jc w:val="left"/>
            </w:pPr>
            <w:r>
              <w:rPr>
                <w:rFonts w:ascii="Arial" w:hAnsi="Arial" w:eastAsia="等线" w:cs="Arial"/>
                <w:sz w:val="22"/>
              </w:rPr>
              <w:t>竞价交易机制</w:t>
            </w:r>
          </w:p>
        </w:tc>
        <w:tc>
          <w:tcPr>
            <w:tcW w:w="4725" w:type="dxa"/>
            <w:tcMar>
              <w:top w:w="60" w:type="dxa"/>
              <w:left w:w="120" w:type="dxa"/>
              <w:bottom w:w="30" w:type="dxa"/>
              <w:right w:w="120" w:type="dxa"/>
            </w:tcMar>
          </w:tcPr>
          <w:p w14:paraId="1C96123A">
            <w:pPr>
              <w:spacing w:before="120" w:after="120" w:line="288" w:lineRule="auto"/>
              <w:ind w:left="0"/>
              <w:jc w:val="left"/>
            </w:pPr>
            <w:r>
              <w:rPr>
                <w:rFonts w:ascii="Arial" w:hAnsi="Arial" w:eastAsia="等线" w:cs="Arial"/>
                <w:sz w:val="22"/>
              </w:rPr>
              <w:t>通过 “买方订单与卖方订单直接匹配” 完成交易的市场机制，分为集合竞价（开盘 / 收盘时段，按 “成交量最大原则” 确定基准价）和连续竞价（盘中时段，实时匹配订单），A 股主板主要采用该机制。</w:t>
            </w:r>
          </w:p>
        </w:tc>
      </w:tr>
      <w:tr w14:paraId="77CE11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EA0A69F">
            <w:pPr>
              <w:spacing w:before="120" w:after="120" w:line="288" w:lineRule="auto"/>
              <w:ind w:left="0"/>
              <w:jc w:val="left"/>
            </w:pPr>
            <w:r>
              <w:rPr>
                <w:rFonts w:ascii="Arial" w:hAnsi="Arial" w:eastAsia="等线" w:cs="Arial"/>
                <w:sz w:val="22"/>
              </w:rPr>
              <w:t>Quote-Driven Market</w:t>
            </w:r>
          </w:p>
        </w:tc>
        <w:tc>
          <w:tcPr>
            <w:tcW w:w="1770" w:type="dxa"/>
            <w:tcMar>
              <w:top w:w="60" w:type="dxa"/>
              <w:left w:w="120" w:type="dxa"/>
              <w:bottom w:w="30" w:type="dxa"/>
              <w:right w:w="120" w:type="dxa"/>
            </w:tcMar>
          </w:tcPr>
          <w:p w14:paraId="0C3E2850">
            <w:pPr>
              <w:spacing w:before="120" w:after="120" w:line="288" w:lineRule="auto"/>
              <w:ind w:left="0"/>
              <w:jc w:val="left"/>
            </w:pPr>
            <w:r>
              <w:rPr>
                <w:rFonts w:ascii="Arial" w:hAnsi="Arial" w:eastAsia="等线" w:cs="Arial"/>
                <w:sz w:val="22"/>
              </w:rPr>
              <w:t>做市商机制</w:t>
            </w:r>
          </w:p>
        </w:tc>
        <w:tc>
          <w:tcPr>
            <w:tcW w:w="4725" w:type="dxa"/>
            <w:tcMar>
              <w:top w:w="60" w:type="dxa"/>
              <w:left w:w="120" w:type="dxa"/>
              <w:bottom w:w="30" w:type="dxa"/>
              <w:right w:w="120" w:type="dxa"/>
            </w:tcMar>
          </w:tcPr>
          <w:p w14:paraId="34B168ED">
            <w:pPr>
              <w:spacing w:before="120" w:after="120" w:line="288" w:lineRule="auto"/>
              <w:ind w:left="0"/>
              <w:jc w:val="left"/>
            </w:pPr>
            <w:r>
              <w:rPr>
                <w:rFonts w:ascii="Arial" w:hAnsi="Arial" w:eastAsia="等线" w:cs="Arial"/>
                <w:sz w:val="22"/>
              </w:rPr>
              <w:t>由做市商为特定证券提供双向报价（买入价 Bid、卖出价 Ask），投资者订单直接与做市商报价成交的机制，可提升证券流动性（如纳斯达克市场部分股票）。</w:t>
            </w:r>
          </w:p>
        </w:tc>
      </w:tr>
      <w:tr w14:paraId="6B60BF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92D04FE">
            <w:pPr>
              <w:spacing w:before="120" w:after="120" w:line="288" w:lineRule="auto"/>
              <w:ind w:left="0"/>
              <w:jc w:val="left"/>
            </w:pPr>
            <w:r>
              <w:rPr>
                <w:rFonts w:ascii="Arial" w:hAnsi="Arial" w:eastAsia="等线" w:cs="Arial"/>
                <w:sz w:val="22"/>
              </w:rPr>
              <w:t>Order Routing</w:t>
            </w:r>
          </w:p>
        </w:tc>
        <w:tc>
          <w:tcPr>
            <w:tcW w:w="1770" w:type="dxa"/>
            <w:tcMar>
              <w:top w:w="60" w:type="dxa"/>
              <w:left w:w="120" w:type="dxa"/>
              <w:bottom w:w="30" w:type="dxa"/>
              <w:right w:w="120" w:type="dxa"/>
            </w:tcMar>
          </w:tcPr>
          <w:p w14:paraId="4949008B">
            <w:pPr>
              <w:spacing w:before="120" w:after="120" w:line="288" w:lineRule="auto"/>
              <w:ind w:left="0"/>
              <w:jc w:val="left"/>
            </w:pPr>
            <w:r>
              <w:rPr>
                <w:rFonts w:ascii="Arial" w:hAnsi="Arial" w:eastAsia="等线" w:cs="Arial"/>
                <w:sz w:val="22"/>
              </w:rPr>
              <w:t>订单路由</w:t>
            </w:r>
          </w:p>
        </w:tc>
        <w:tc>
          <w:tcPr>
            <w:tcW w:w="4725" w:type="dxa"/>
            <w:tcMar>
              <w:top w:w="60" w:type="dxa"/>
              <w:left w:w="120" w:type="dxa"/>
              <w:bottom w:w="30" w:type="dxa"/>
              <w:right w:w="120" w:type="dxa"/>
            </w:tcMar>
          </w:tcPr>
          <w:p w14:paraId="6985BD1C">
            <w:pPr>
              <w:spacing w:before="120" w:after="120" w:line="288" w:lineRule="auto"/>
              <w:ind w:left="0"/>
              <w:jc w:val="left"/>
            </w:pPr>
            <w:r>
              <w:rPr>
                <w:rFonts w:ascii="Arial" w:hAnsi="Arial" w:eastAsia="等线" w:cs="Arial"/>
                <w:sz w:val="22"/>
              </w:rPr>
              <w:t>券商将投资者订单发送至 “最优交易场所”（如交易所、做市商平台）的过程，核心目的是满足 “最佳执行” 要求，为客户争取最优成交价格、最低成本和最快速度。</w:t>
            </w:r>
          </w:p>
        </w:tc>
      </w:tr>
      <w:tr w14:paraId="2F1214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2076137">
            <w:pPr>
              <w:spacing w:before="120" w:after="120" w:line="288" w:lineRule="auto"/>
              <w:ind w:left="0"/>
              <w:jc w:val="left"/>
            </w:pPr>
            <w:r>
              <w:rPr>
                <w:rFonts w:ascii="Arial" w:hAnsi="Arial" w:eastAsia="等线" w:cs="Arial"/>
                <w:sz w:val="22"/>
              </w:rPr>
              <w:t>Best Execution</w:t>
            </w:r>
          </w:p>
          <w:p w14:paraId="47EBA315">
            <w:pPr>
              <w:spacing w:before="120" w:after="120" w:line="288" w:lineRule="auto"/>
              <w:ind w:left="0"/>
              <w:jc w:val="left"/>
            </w:pPr>
          </w:p>
        </w:tc>
        <w:tc>
          <w:tcPr>
            <w:tcW w:w="1770" w:type="dxa"/>
            <w:tcMar>
              <w:top w:w="60" w:type="dxa"/>
              <w:left w:w="120" w:type="dxa"/>
              <w:bottom w:w="30" w:type="dxa"/>
              <w:right w:w="120" w:type="dxa"/>
            </w:tcMar>
          </w:tcPr>
          <w:p w14:paraId="60520AC4">
            <w:pPr>
              <w:spacing w:before="120" w:after="120" w:line="288" w:lineRule="auto"/>
              <w:ind w:left="0"/>
              <w:jc w:val="left"/>
            </w:pPr>
            <w:r>
              <w:rPr>
                <w:rFonts w:ascii="Arial" w:hAnsi="Arial" w:eastAsia="等线" w:cs="Arial"/>
                <w:sz w:val="22"/>
              </w:rPr>
              <w:t>最佳执行</w:t>
            </w:r>
          </w:p>
        </w:tc>
        <w:tc>
          <w:tcPr>
            <w:tcW w:w="4725" w:type="dxa"/>
            <w:tcMar>
              <w:top w:w="60" w:type="dxa"/>
              <w:left w:w="120" w:type="dxa"/>
              <w:bottom w:w="30" w:type="dxa"/>
              <w:right w:w="120" w:type="dxa"/>
            </w:tcMar>
          </w:tcPr>
          <w:p w14:paraId="0F8AFBF5">
            <w:pPr>
              <w:spacing w:before="120" w:after="120" w:line="288" w:lineRule="auto"/>
              <w:ind w:left="0"/>
              <w:jc w:val="left"/>
            </w:pPr>
            <w:r>
              <w:rPr>
                <w:rFonts w:ascii="Arial" w:hAnsi="Arial" w:eastAsia="等线" w:cs="Arial"/>
                <w:sz w:val="22"/>
              </w:rPr>
              <w:t>券商的核心合规义务，要求在为客户执行订单时，综合考虑成交价格、交易成本（佣金、税费）、成交速度、订单规模等因素，选择对客户最有利的交易方案，禁止损害客户利益的路由行为。</w:t>
            </w:r>
          </w:p>
        </w:tc>
      </w:tr>
    </w:tbl>
    <w:p w14:paraId="4DA52581">
      <w:pPr>
        <w:spacing w:before="320" w:after="120" w:line="288" w:lineRule="auto"/>
        <w:ind w:left="0"/>
        <w:jc w:val="left"/>
        <w:outlineLvl w:val="1"/>
      </w:pPr>
      <w:bookmarkStart w:id="33" w:name="heading_33"/>
      <w:r>
        <w:rPr>
          <w:rFonts w:ascii="Arial" w:hAnsi="Arial" w:eastAsia="等线" w:cs="Arial"/>
          <w:color w:val="3370FF"/>
          <w:sz w:val="32"/>
        </w:rPr>
        <w:t xml:space="preserve">4.4 </w:t>
      </w:r>
      <w:r>
        <w:rPr>
          <w:rFonts w:ascii="Arial" w:hAnsi="Arial" w:eastAsia="等线" w:cs="Arial"/>
          <w:b/>
          <w:sz w:val="32"/>
        </w:rPr>
        <w:t>不同类型投资者</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770"/>
        <w:gridCol w:w="4725"/>
      </w:tblGrid>
      <w:tr w14:paraId="7C840C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504D7EC">
            <w:pPr>
              <w:spacing w:before="120" w:after="120" w:line="288" w:lineRule="auto"/>
              <w:ind w:left="0"/>
              <w:jc w:val="left"/>
            </w:pPr>
            <w:r>
              <w:rPr>
                <w:rFonts w:ascii="Arial" w:hAnsi="Arial" w:eastAsia="等线" w:cs="Arial"/>
                <w:b/>
                <w:sz w:val="22"/>
              </w:rPr>
              <w:t>英文名称</w:t>
            </w:r>
          </w:p>
        </w:tc>
        <w:tc>
          <w:tcPr>
            <w:tcW w:w="1770" w:type="dxa"/>
            <w:tcMar>
              <w:top w:w="60" w:type="dxa"/>
              <w:left w:w="120" w:type="dxa"/>
              <w:bottom w:w="30" w:type="dxa"/>
              <w:right w:w="120" w:type="dxa"/>
            </w:tcMar>
          </w:tcPr>
          <w:p w14:paraId="7C1FCCEB">
            <w:pPr>
              <w:spacing w:before="120" w:after="120" w:line="288" w:lineRule="auto"/>
              <w:ind w:left="0"/>
              <w:jc w:val="left"/>
            </w:pPr>
            <w:r>
              <w:rPr>
                <w:rFonts w:ascii="Arial" w:hAnsi="Arial" w:eastAsia="等线" w:cs="Arial"/>
                <w:b/>
                <w:sz w:val="22"/>
              </w:rPr>
              <w:t>中文名称</w:t>
            </w:r>
          </w:p>
        </w:tc>
        <w:tc>
          <w:tcPr>
            <w:tcW w:w="4725" w:type="dxa"/>
            <w:tcMar>
              <w:top w:w="60" w:type="dxa"/>
              <w:left w:w="120" w:type="dxa"/>
              <w:bottom w:w="30" w:type="dxa"/>
              <w:right w:w="120" w:type="dxa"/>
            </w:tcMar>
          </w:tcPr>
          <w:p w14:paraId="2FCB7068">
            <w:pPr>
              <w:spacing w:before="120" w:after="120" w:line="288" w:lineRule="auto"/>
              <w:ind w:left="0"/>
              <w:jc w:val="left"/>
            </w:pPr>
            <w:r>
              <w:rPr>
                <w:rFonts w:ascii="Arial" w:hAnsi="Arial" w:eastAsia="等线" w:cs="Arial"/>
                <w:b/>
                <w:sz w:val="22"/>
              </w:rPr>
              <w:t>核心释义</w:t>
            </w:r>
          </w:p>
        </w:tc>
      </w:tr>
      <w:tr w14:paraId="67F7F9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F790721">
            <w:pPr>
              <w:spacing w:before="120" w:after="120" w:line="288" w:lineRule="auto"/>
              <w:ind w:left="0"/>
              <w:jc w:val="left"/>
            </w:pPr>
            <w:r>
              <w:rPr>
                <w:rFonts w:ascii="Arial" w:hAnsi="Arial" w:eastAsia="等线" w:cs="Arial"/>
                <w:sz w:val="22"/>
              </w:rPr>
              <w:t>Retail Investor</w:t>
            </w:r>
          </w:p>
        </w:tc>
        <w:tc>
          <w:tcPr>
            <w:tcW w:w="1770" w:type="dxa"/>
            <w:tcMar>
              <w:top w:w="60" w:type="dxa"/>
              <w:left w:w="120" w:type="dxa"/>
              <w:bottom w:w="30" w:type="dxa"/>
              <w:right w:w="120" w:type="dxa"/>
            </w:tcMar>
          </w:tcPr>
          <w:p w14:paraId="05FBF02F">
            <w:pPr>
              <w:spacing w:before="120" w:after="120" w:line="288" w:lineRule="auto"/>
              <w:ind w:left="0"/>
              <w:jc w:val="left"/>
            </w:pPr>
            <w:r>
              <w:rPr>
                <w:rFonts w:ascii="Arial" w:hAnsi="Arial" w:eastAsia="等线" w:cs="Arial"/>
                <w:sz w:val="22"/>
              </w:rPr>
              <w:t>零售投资者（个人投资者）</w:t>
            </w:r>
          </w:p>
        </w:tc>
        <w:tc>
          <w:tcPr>
            <w:tcW w:w="4725" w:type="dxa"/>
            <w:tcMar>
              <w:top w:w="60" w:type="dxa"/>
              <w:left w:w="120" w:type="dxa"/>
              <w:bottom w:w="30" w:type="dxa"/>
              <w:right w:w="120" w:type="dxa"/>
            </w:tcMar>
          </w:tcPr>
          <w:p w14:paraId="126349C1">
            <w:pPr>
              <w:spacing w:before="120" w:after="120" w:line="288" w:lineRule="auto"/>
              <w:ind w:left="0"/>
              <w:jc w:val="left"/>
            </w:pPr>
            <w:r>
              <w:rPr>
                <w:rFonts w:ascii="Arial" w:hAnsi="Arial" w:eastAsia="等线" w:cs="Arial"/>
                <w:sz w:val="22"/>
              </w:rPr>
              <w:t>以个人身份参与市场的投资者，资金规模较小、投资经验差异大，决策常依赖公开信息或专业建议，受监管保护较多（如投资者适当性规则约束）。</w:t>
            </w:r>
          </w:p>
        </w:tc>
      </w:tr>
      <w:tr w14:paraId="5B4B48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EDA84CF">
            <w:pPr>
              <w:spacing w:before="120" w:after="120" w:line="288" w:lineRule="auto"/>
              <w:ind w:left="0"/>
              <w:jc w:val="left"/>
            </w:pPr>
            <w:r>
              <w:rPr>
                <w:rFonts w:ascii="Arial" w:hAnsi="Arial" w:eastAsia="等线" w:cs="Arial"/>
                <w:sz w:val="22"/>
              </w:rPr>
              <w:t>Institutional Investor</w:t>
            </w:r>
          </w:p>
        </w:tc>
        <w:tc>
          <w:tcPr>
            <w:tcW w:w="1770" w:type="dxa"/>
            <w:tcMar>
              <w:top w:w="60" w:type="dxa"/>
              <w:left w:w="120" w:type="dxa"/>
              <w:bottom w:w="30" w:type="dxa"/>
              <w:right w:w="120" w:type="dxa"/>
            </w:tcMar>
          </w:tcPr>
          <w:p w14:paraId="20FBBAD5">
            <w:pPr>
              <w:spacing w:before="120" w:after="120" w:line="288" w:lineRule="auto"/>
              <w:ind w:left="0"/>
              <w:jc w:val="left"/>
            </w:pPr>
            <w:r>
              <w:rPr>
                <w:rFonts w:ascii="Arial" w:hAnsi="Arial" w:eastAsia="等线" w:cs="Arial"/>
                <w:sz w:val="22"/>
              </w:rPr>
              <w:t>机构投资者</w:t>
            </w:r>
          </w:p>
        </w:tc>
        <w:tc>
          <w:tcPr>
            <w:tcW w:w="4725" w:type="dxa"/>
            <w:tcMar>
              <w:top w:w="60" w:type="dxa"/>
              <w:left w:w="120" w:type="dxa"/>
              <w:bottom w:w="30" w:type="dxa"/>
              <w:right w:w="120" w:type="dxa"/>
            </w:tcMar>
          </w:tcPr>
          <w:p w14:paraId="41520F6A">
            <w:pPr>
              <w:spacing w:before="120" w:after="120" w:line="288" w:lineRule="auto"/>
              <w:ind w:left="0"/>
              <w:jc w:val="left"/>
            </w:pPr>
            <w:r>
              <w:rPr>
                <w:rFonts w:ascii="Arial" w:hAnsi="Arial" w:eastAsia="等线" w:cs="Arial"/>
                <w:sz w:val="22"/>
              </w:rPr>
              <w:t>代表机构或集体资金参与市场的专业主体，资金规模庞大、投资团队专业，具备信息优势和交易优势，投资行为对市场影响较大。</w:t>
            </w:r>
          </w:p>
        </w:tc>
      </w:tr>
      <w:tr w14:paraId="09F901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FC61FF4">
            <w:pPr>
              <w:spacing w:before="120" w:after="120" w:line="288" w:lineRule="auto"/>
              <w:ind w:left="0"/>
              <w:jc w:val="left"/>
            </w:pPr>
            <w:r>
              <w:rPr>
                <w:rFonts w:ascii="Arial" w:hAnsi="Arial" w:eastAsia="等线" w:cs="Arial"/>
                <w:sz w:val="22"/>
              </w:rPr>
              <w:t>Accredited Investor</w:t>
            </w:r>
          </w:p>
        </w:tc>
        <w:tc>
          <w:tcPr>
            <w:tcW w:w="1770" w:type="dxa"/>
            <w:tcMar>
              <w:top w:w="60" w:type="dxa"/>
              <w:left w:w="120" w:type="dxa"/>
              <w:bottom w:w="30" w:type="dxa"/>
              <w:right w:w="120" w:type="dxa"/>
            </w:tcMar>
          </w:tcPr>
          <w:p w14:paraId="5D8CD9C3">
            <w:pPr>
              <w:spacing w:before="120" w:after="120" w:line="288" w:lineRule="auto"/>
              <w:ind w:left="0"/>
              <w:jc w:val="left"/>
            </w:pPr>
            <w:r>
              <w:rPr>
                <w:rFonts w:ascii="Arial" w:hAnsi="Arial" w:eastAsia="等线" w:cs="Arial"/>
                <w:sz w:val="22"/>
              </w:rPr>
              <w:t>合格投资者</w:t>
            </w:r>
          </w:p>
          <w:p w14:paraId="2B48D708">
            <w:pPr>
              <w:spacing w:before="120" w:after="120" w:line="288" w:lineRule="auto"/>
              <w:ind w:left="0"/>
              <w:jc w:val="left"/>
            </w:pPr>
          </w:p>
        </w:tc>
        <w:tc>
          <w:tcPr>
            <w:tcW w:w="4725" w:type="dxa"/>
            <w:tcMar>
              <w:top w:w="60" w:type="dxa"/>
              <w:left w:w="120" w:type="dxa"/>
              <w:bottom w:w="30" w:type="dxa"/>
              <w:right w:w="120" w:type="dxa"/>
            </w:tcMar>
          </w:tcPr>
          <w:p w14:paraId="283898FE">
            <w:pPr>
              <w:spacing w:before="120" w:after="120" w:line="288" w:lineRule="auto"/>
              <w:ind w:left="0"/>
              <w:jc w:val="left"/>
            </w:pPr>
            <w:r>
              <w:rPr>
                <w:rFonts w:ascii="Arial" w:hAnsi="Arial" w:eastAsia="等线" w:cs="Arial"/>
                <w:sz w:val="22"/>
              </w:rPr>
              <w:t>满足监管规定财务门槛，以下条件之一：</w:t>
            </w:r>
          </w:p>
          <w:p w14:paraId="0B4981CE">
            <w:pPr>
              <w:numPr>
                <w:ilvl w:val="0"/>
                <w:numId w:val="86"/>
              </w:numPr>
              <w:spacing w:before="120" w:after="120" w:line="288" w:lineRule="auto"/>
              <w:ind w:left="0"/>
              <w:jc w:val="left"/>
            </w:pPr>
            <w:r>
              <w:rPr>
                <w:rFonts w:ascii="Arial" w:hAnsi="Arial" w:eastAsia="等线" w:cs="Arial"/>
                <w:sz w:val="22"/>
              </w:rPr>
              <w:t>净资产：达100万美元（不包括其主要居所的价值）</w:t>
            </w:r>
          </w:p>
          <w:p w14:paraId="22E96F7E">
            <w:pPr>
              <w:numPr>
                <w:ilvl w:val="0"/>
                <w:numId w:val="87"/>
              </w:numPr>
              <w:spacing w:before="120" w:after="120" w:line="288" w:lineRule="auto"/>
              <w:ind w:left="0"/>
              <w:jc w:val="left"/>
            </w:pPr>
            <w:r>
              <w:rPr>
                <w:rFonts w:ascii="Arial" w:hAnsi="Arial" w:eastAsia="等线" w:cs="Arial"/>
                <w:sz w:val="22"/>
              </w:rPr>
              <w:t>收入：近两年个人年收入超过20万美元（或与配偶共同收入超过30万美元），且当前年份预期收入也能达到此标准。</w:t>
            </w:r>
          </w:p>
          <w:p w14:paraId="14F9B91A">
            <w:pPr>
              <w:numPr>
                <w:ilvl w:val="0"/>
                <w:numId w:val="88"/>
              </w:numPr>
              <w:spacing w:before="120" w:after="120" w:line="288" w:lineRule="auto"/>
              <w:ind w:left="0"/>
              <w:jc w:val="left"/>
            </w:pPr>
            <w:r>
              <w:rPr>
                <w:rFonts w:ascii="Arial" w:hAnsi="Arial" w:eastAsia="等线" w:cs="Arial"/>
                <w:sz w:val="22"/>
              </w:rPr>
              <w:t>专业资质的投资者，如 Series 7（通用证券代表）、Series 65（投资顾问代表）或 Series 82（私募证券发行代表）</w:t>
            </w:r>
          </w:p>
          <w:p w14:paraId="1B7E0CA0">
            <w:pPr>
              <w:numPr>
                <w:ilvl w:val="0"/>
                <w:numId w:val="89"/>
              </w:numPr>
              <w:spacing w:before="120" w:after="120" w:line="288" w:lineRule="auto"/>
              <w:ind w:left="0"/>
              <w:jc w:val="left"/>
            </w:pPr>
            <w:r>
              <w:rPr>
                <w:rFonts w:ascii="Arial" w:hAnsi="Arial" w:eastAsia="等线" w:cs="Arial"/>
                <w:sz w:val="22"/>
              </w:rPr>
              <w:t>私募基金（对冲基金、私募股权基金等）从业人员具备专业知识和募集私募资金的能力</w:t>
            </w:r>
          </w:p>
          <w:p w14:paraId="48E7F978">
            <w:pPr>
              <w:numPr>
                <w:ilvl w:val="0"/>
                <w:numId w:val="90"/>
              </w:numPr>
              <w:spacing w:before="120" w:after="120" w:line="288" w:lineRule="auto"/>
              <w:ind w:left="0"/>
              <w:jc w:val="left"/>
            </w:pPr>
            <w:r>
              <w:rPr>
                <w:rFonts w:ascii="Arial" w:hAnsi="Arial" w:eastAsia="等线" w:cs="Arial"/>
                <w:sz w:val="22"/>
              </w:rPr>
              <w:t>金融机构或净资产 ≥ 500万美元的机构</w:t>
            </w:r>
          </w:p>
          <w:p w14:paraId="6D17BD4F">
            <w:pPr>
              <w:numPr>
                <w:ilvl w:val="0"/>
                <w:numId w:val="91"/>
              </w:numPr>
              <w:spacing w:before="120" w:after="120" w:line="288" w:lineRule="auto"/>
              <w:ind w:left="0"/>
              <w:jc w:val="left"/>
            </w:pPr>
            <w:r>
              <w:rPr>
                <w:rFonts w:ascii="Arial" w:hAnsi="Arial" w:eastAsia="等线" w:cs="Arial"/>
                <w:sz w:val="22"/>
              </w:rPr>
              <w:t>特定的专业机构，如：银行、保险公司、注册投资公司、投资顾问、经纪商等</w:t>
            </w:r>
          </w:p>
          <w:p w14:paraId="1571A454">
            <w:pPr>
              <w:numPr>
                <w:ilvl w:val="0"/>
                <w:numId w:val="92"/>
              </w:numPr>
              <w:spacing w:before="120" w:after="120" w:line="288" w:lineRule="auto"/>
              <w:ind w:left="0"/>
              <w:jc w:val="left"/>
            </w:pPr>
            <w:r>
              <w:rPr>
                <w:rFonts w:ascii="Arial" w:hAnsi="Arial" w:eastAsia="等线" w:cs="Arial"/>
                <w:sz w:val="22"/>
              </w:rPr>
              <w:t>等等</w:t>
            </w:r>
          </w:p>
          <w:p w14:paraId="7A978EBA">
            <w:pPr>
              <w:spacing w:before="120" w:after="120" w:line="288" w:lineRule="auto"/>
              <w:ind w:left="0"/>
              <w:jc w:val="left"/>
            </w:pPr>
            <w:r>
              <w:rPr>
                <w:rFonts w:ascii="Arial" w:hAnsi="Arial" w:eastAsia="等线" w:cs="Arial"/>
                <w:sz w:val="22"/>
              </w:rPr>
              <w:t>合格投资者被认定具备风险识别与承受能力，可参与私募产品投资。</w:t>
            </w:r>
          </w:p>
        </w:tc>
      </w:tr>
      <w:tr w14:paraId="5A6C89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75CAAE3">
            <w:pPr>
              <w:spacing w:before="120" w:after="120" w:line="288" w:lineRule="auto"/>
              <w:ind w:left="0"/>
              <w:jc w:val="left"/>
            </w:pPr>
            <w:r>
              <w:rPr>
                <w:rFonts w:ascii="Arial" w:hAnsi="Arial" w:eastAsia="等线" w:cs="Arial"/>
                <w:sz w:val="22"/>
              </w:rPr>
              <w:t>Sophisticated Investor</w:t>
            </w:r>
          </w:p>
        </w:tc>
        <w:tc>
          <w:tcPr>
            <w:tcW w:w="1770" w:type="dxa"/>
            <w:tcMar>
              <w:top w:w="60" w:type="dxa"/>
              <w:left w:w="120" w:type="dxa"/>
              <w:bottom w:w="30" w:type="dxa"/>
              <w:right w:w="120" w:type="dxa"/>
            </w:tcMar>
          </w:tcPr>
          <w:p w14:paraId="7E6B9404">
            <w:pPr>
              <w:spacing w:before="120" w:after="120" w:line="288" w:lineRule="auto"/>
              <w:ind w:left="0"/>
              <w:jc w:val="left"/>
            </w:pPr>
            <w:r>
              <w:rPr>
                <w:rFonts w:ascii="Arial" w:hAnsi="Arial" w:eastAsia="等线" w:cs="Arial"/>
                <w:sz w:val="22"/>
              </w:rPr>
              <w:t>成熟投资者</w:t>
            </w:r>
          </w:p>
        </w:tc>
        <w:tc>
          <w:tcPr>
            <w:tcW w:w="4725" w:type="dxa"/>
            <w:tcMar>
              <w:top w:w="60" w:type="dxa"/>
              <w:left w:w="120" w:type="dxa"/>
              <w:bottom w:w="30" w:type="dxa"/>
              <w:right w:w="120" w:type="dxa"/>
            </w:tcMar>
          </w:tcPr>
          <w:p w14:paraId="03F7A906">
            <w:pPr>
              <w:spacing w:before="120" w:after="120" w:line="288" w:lineRule="auto"/>
              <w:ind w:left="0"/>
              <w:jc w:val="left"/>
            </w:pPr>
            <w:r>
              <w:rPr>
                <w:rFonts w:ascii="Arial" w:hAnsi="Arial" w:eastAsia="等线" w:cs="Arial"/>
                <w:sz w:val="22"/>
              </w:rPr>
              <w:t>由《1933 年证券法》及 SEC（证券交易委员会）规则（如 Regulation D）界定的关键概念，指</w:t>
            </w:r>
            <w:r>
              <w:rPr>
                <w:rFonts w:ascii="Arial" w:hAnsi="Arial" w:eastAsia="等线" w:cs="Arial"/>
                <w:b/>
                <w:sz w:val="22"/>
              </w:rPr>
              <w:t>具备足够金融知识、投资经验与风险评估能力，能够自主判断非公开市场投资的风险与价值，因此可参与普通投资者受限的高风险、非公开投资领域的投资者</w:t>
            </w:r>
            <w:r>
              <w:rPr>
                <w:rFonts w:ascii="Arial" w:hAnsi="Arial" w:eastAsia="等线" w:cs="Arial"/>
                <w:sz w:val="22"/>
              </w:rPr>
              <w:t>。其核心监管逻辑是 “此类投资者具备自我保护能力，无需依赖普通投资者所需的全面信息披露或监管干预”，是私募市场、对冲基金、未注册证券交易等领域的核心参与主体。</w:t>
            </w:r>
          </w:p>
        </w:tc>
      </w:tr>
      <w:tr w14:paraId="077F62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059BA86">
            <w:pPr>
              <w:spacing w:before="120" w:after="120" w:line="288" w:lineRule="auto"/>
              <w:ind w:left="0"/>
              <w:jc w:val="left"/>
            </w:pPr>
            <w:r>
              <w:rPr>
                <w:rFonts w:ascii="Arial" w:hAnsi="Arial" w:eastAsia="等线" w:cs="Arial"/>
                <w:sz w:val="22"/>
              </w:rPr>
              <w:t>Institutional Investor</w:t>
            </w:r>
          </w:p>
        </w:tc>
        <w:tc>
          <w:tcPr>
            <w:tcW w:w="1770" w:type="dxa"/>
            <w:tcMar>
              <w:top w:w="60" w:type="dxa"/>
              <w:left w:w="120" w:type="dxa"/>
              <w:bottom w:w="30" w:type="dxa"/>
              <w:right w:w="120" w:type="dxa"/>
            </w:tcMar>
          </w:tcPr>
          <w:p w14:paraId="302783BD">
            <w:pPr>
              <w:spacing w:before="120" w:after="120" w:line="288" w:lineRule="auto"/>
              <w:ind w:left="0"/>
              <w:jc w:val="left"/>
            </w:pPr>
            <w:r>
              <w:rPr>
                <w:rFonts w:ascii="Arial" w:hAnsi="Arial" w:eastAsia="等线" w:cs="Arial"/>
                <w:sz w:val="22"/>
              </w:rPr>
              <w:t>投资者</w:t>
            </w:r>
          </w:p>
        </w:tc>
        <w:tc>
          <w:tcPr>
            <w:tcW w:w="4725" w:type="dxa"/>
            <w:tcMar>
              <w:top w:w="60" w:type="dxa"/>
              <w:left w:w="120" w:type="dxa"/>
              <w:bottom w:w="30" w:type="dxa"/>
              <w:right w:w="120" w:type="dxa"/>
            </w:tcMar>
          </w:tcPr>
          <w:p w14:paraId="30DBA5B7">
            <w:pPr>
              <w:spacing w:before="120" w:after="120" w:line="288" w:lineRule="auto"/>
              <w:ind w:left="0"/>
              <w:jc w:val="left"/>
            </w:pPr>
            <w:r>
              <w:rPr>
                <w:rFonts w:ascii="Arial" w:hAnsi="Arial" w:eastAsia="等线" w:cs="Arial"/>
                <w:sz w:val="22"/>
              </w:rPr>
              <w:t>机构投资者中主动进行证券购买的主体（如共同基金公司、保险公司、养老金计划），负责制定投资策略、筛选标的并执行交易。</w:t>
            </w:r>
          </w:p>
        </w:tc>
      </w:tr>
      <w:tr w14:paraId="725AAA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C4D93EF">
            <w:pPr>
              <w:spacing w:before="120" w:after="120" w:line="288" w:lineRule="auto"/>
              <w:ind w:left="0"/>
              <w:jc w:val="left"/>
            </w:pPr>
            <w:r>
              <w:rPr>
                <w:rFonts w:ascii="Arial" w:hAnsi="Arial" w:eastAsia="等线" w:cs="Arial"/>
                <w:sz w:val="22"/>
              </w:rPr>
              <w:t>High-Net-Worth Individual (HNWI)</w:t>
            </w:r>
          </w:p>
        </w:tc>
        <w:tc>
          <w:tcPr>
            <w:tcW w:w="1770" w:type="dxa"/>
            <w:tcMar>
              <w:top w:w="60" w:type="dxa"/>
              <w:left w:w="120" w:type="dxa"/>
              <w:bottom w:w="30" w:type="dxa"/>
              <w:right w:w="120" w:type="dxa"/>
            </w:tcMar>
          </w:tcPr>
          <w:p w14:paraId="3700BC13">
            <w:pPr>
              <w:spacing w:before="120" w:after="120" w:line="288" w:lineRule="auto"/>
              <w:ind w:left="0"/>
              <w:jc w:val="left"/>
            </w:pPr>
            <w:r>
              <w:rPr>
                <w:rFonts w:ascii="Arial" w:hAnsi="Arial" w:eastAsia="等线" w:cs="Arial"/>
                <w:sz w:val="22"/>
              </w:rPr>
              <w:t>高净值个人投资者</w:t>
            </w:r>
          </w:p>
        </w:tc>
        <w:tc>
          <w:tcPr>
            <w:tcW w:w="4725" w:type="dxa"/>
            <w:tcMar>
              <w:top w:w="60" w:type="dxa"/>
              <w:left w:w="120" w:type="dxa"/>
              <w:bottom w:w="30" w:type="dxa"/>
              <w:right w:w="120" w:type="dxa"/>
            </w:tcMar>
          </w:tcPr>
          <w:p w14:paraId="06A7D29B">
            <w:pPr>
              <w:spacing w:before="120" w:after="120" w:line="288" w:lineRule="auto"/>
              <w:ind w:left="0"/>
              <w:jc w:val="left"/>
            </w:pPr>
            <w:r>
              <w:rPr>
                <w:rFonts w:ascii="Arial" w:hAnsi="Arial" w:eastAsia="等线" w:cs="Arial"/>
                <w:sz w:val="22"/>
              </w:rPr>
              <w:t>拥有极高可投资资产（通常超 100 万美元）的个人投资者，具备较强风险承受能力，可享受专属财富管理服务（如私人银行）。</w:t>
            </w:r>
          </w:p>
        </w:tc>
      </w:tr>
      <w:tr w14:paraId="317535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13CEF47">
            <w:pPr>
              <w:spacing w:before="120" w:after="120" w:line="288" w:lineRule="auto"/>
              <w:ind w:left="0"/>
              <w:jc w:val="left"/>
            </w:pPr>
            <w:r>
              <w:rPr>
                <w:rFonts w:ascii="Arial" w:hAnsi="Arial" w:eastAsia="等线" w:cs="Arial"/>
                <w:sz w:val="22"/>
              </w:rPr>
              <w:t>Day Trader</w:t>
            </w:r>
          </w:p>
        </w:tc>
        <w:tc>
          <w:tcPr>
            <w:tcW w:w="1770" w:type="dxa"/>
            <w:tcMar>
              <w:top w:w="60" w:type="dxa"/>
              <w:left w:w="120" w:type="dxa"/>
              <w:bottom w:w="30" w:type="dxa"/>
              <w:right w:w="120" w:type="dxa"/>
            </w:tcMar>
          </w:tcPr>
          <w:p w14:paraId="61798387">
            <w:pPr>
              <w:spacing w:before="120" w:after="120" w:line="288" w:lineRule="auto"/>
              <w:ind w:left="0"/>
              <w:jc w:val="left"/>
            </w:pPr>
            <w:r>
              <w:rPr>
                <w:rFonts w:ascii="Arial" w:hAnsi="Arial" w:eastAsia="等线" w:cs="Arial"/>
                <w:sz w:val="22"/>
              </w:rPr>
              <w:t>日内交易者</w:t>
            </w:r>
          </w:p>
        </w:tc>
        <w:tc>
          <w:tcPr>
            <w:tcW w:w="4725" w:type="dxa"/>
            <w:tcMar>
              <w:top w:w="60" w:type="dxa"/>
              <w:left w:w="120" w:type="dxa"/>
              <w:bottom w:w="30" w:type="dxa"/>
              <w:right w:w="120" w:type="dxa"/>
            </w:tcMar>
          </w:tcPr>
          <w:p w14:paraId="4B0CC975">
            <w:pPr>
              <w:spacing w:before="120" w:after="120" w:line="288" w:lineRule="auto"/>
              <w:ind w:left="0"/>
              <w:jc w:val="left"/>
            </w:pPr>
            <w:r>
              <w:rPr>
                <w:rFonts w:ascii="Arial" w:hAnsi="Arial" w:eastAsia="等线" w:cs="Arial"/>
                <w:sz w:val="22"/>
              </w:rPr>
              <w:t>专注于日内完成交易、不持有头寸过夜的投资者，通过捕捉短期价格波动获利，交易频率高、持仓时间短（几分钟至几小时），依赖技术分析。</w:t>
            </w:r>
          </w:p>
        </w:tc>
      </w:tr>
      <w:tr w14:paraId="0ADACD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B60127D">
            <w:pPr>
              <w:spacing w:before="120" w:after="120" w:line="288" w:lineRule="auto"/>
              <w:ind w:left="0"/>
              <w:jc w:val="left"/>
            </w:pPr>
            <w:r>
              <w:rPr>
                <w:rFonts w:ascii="Arial" w:hAnsi="Arial" w:eastAsia="等线" w:cs="Arial"/>
                <w:sz w:val="22"/>
              </w:rPr>
              <w:t>Swing Trader</w:t>
            </w:r>
          </w:p>
        </w:tc>
        <w:tc>
          <w:tcPr>
            <w:tcW w:w="1770" w:type="dxa"/>
            <w:tcMar>
              <w:top w:w="60" w:type="dxa"/>
              <w:left w:w="120" w:type="dxa"/>
              <w:bottom w:w="30" w:type="dxa"/>
              <w:right w:w="120" w:type="dxa"/>
            </w:tcMar>
          </w:tcPr>
          <w:p w14:paraId="282FA86C">
            <w:pPr>
              <w:spacing w:before="120" w:after="120" w:line="288" w:lineRule="auto"/>
              <w:ind w:left="0"/>
              <w:jc w:val="left"/>
            </w:pPr>
            <w:r>
              <w:rPr>
                <w:rFonts w:ascii="Arial" w:hAnsi="Arial" w:eastAsia="等线" w:cs="Arial"/>
                <w:sz w:val="22"/>
              </w:rPr>
              <w:t>波段交易者</w:t>
            </w:r>
          </w:p>
        </w:tc>
        <w:tc>
          <w:tcPr>
            <w:tcW w:w="4725" w:type="dxa"/>
            <w:tcMar>
              <w:top w:w="60" w:type="dxa"/>
              <w:left w:w="120" w:type="dxa"/>
              <w:bottom w:w="30" w:type="dxa"/>
              <w:right w:w="120" w:type="dxa"/>
            </w:tcMar>
          </w:tcPr>
          <w:p w14:paraId="31C92847">
            <w:pPr>
              <w:spacing w:before="120" w:after="120" w:line="288" w:lineRule="auto"/>
              <w:ind w:left="0"/>
              <w:jc w:val="left"/>
            </w:pPr>
            <w:r>
              <w:rPr>
                <w:rFonts w:ascii="Arial" w:hAnsi="Arial" w:eastAsia="等线" w:cs="Arial"/>
                <w:sz w:val="22"/>
              </w:rPr>
              <w:t>持仓时间介于日内交易与长期投资之间（几天至几周），通过捕捉中期价格趋势（如股价回调后的反弹）获利，结合技术分析与基本面分析。</w:t>
            </w:r>
          </w:p>
        </w:tc>
      </w:tr>
      <w:tr w14:paraId="6696D6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34E9247">
            <w:pPr>
              <w:spacing w:before="120" w:after="120" w:line="288" w:lineRule="auto"/>
              <w:ind w:left="0"/>
              <w:jc w:val="left"/>
            </w:pPr>
            <w:r>
              <w:rPr>
                <w:rFonts w:ascii="Arial" w:hAnsi="Arial" w:eastAsia="等线" w:cs="Arial"/>
                <w:sz w:val="22"/>
              </w:rPr>
              <w:t>Long-Term Investor</w:t>
            </w:r>
          </w:p>
        </w:tc>
        <w:tc>
          <w:tcPr>
            <w:tcW w:w="1770" w:type="dxa"/>
            <w:tcMar>
              <w:top w:w="60" w:type="dxa"/>
              <w:left w:w="120" w:type="dxa"/>
              <w:bottom w:w="30" w:type="dxa"/>
              <w:right w:w="120" w:type="dxa"/>
            </w:tcMar>
          </w:tcPr>
          <w:p w14:paraId="30A96B9E">
            <w:pPr>
              <w:spacing w:before="120" w:after="120" w:line="288" w:lineRule="auto"/>
              <w:ind w:left="0"/>
              <w:jc w:val="left"/>
            </w:pPr>
            <w:r>
              <w:rPr>
                <w:rFonts w:ascii="Arial" w:hAnsi="Arial" w:eastAsia="等线" w:cs="Arial"/>
                <w:sz w:val="22"/>
              </w:rPr>
              <w:t>长期投资者</w:t>
            </w:r>
          </w:p>
        </w:tc>
        <w:tc>
          <w:tcPr>
            <w:tcW w:w="4725" w:type="dxa"/>
            <w:tcMar>
              <w:top w:w="60" w:type="dxa"/>
              <w:left w:w="120" w:type="dxa"/>
              <w:bottom w:w="30" w:type="dxa"/>
              <w:right w:w="120" w:type="dxa"/>
            </w:tcMar>
          </w:tcPr>
          <w:p w14:paraId="1358E02E">
            <w:pPr>
              <w:spacing w:before="120" w:after="120" w:line="288" w:lineRule="auto"/>
              <w:ind w:left="0"/>
              <w:jc w:val="left"/>
            </w:pPr>
            <w:r>
              <w:rPr>
                <w:rFonts w:ascii="Arial" w:hAnsi="Arial" w:eastAsia="等线" w:cs="Arial"/>
                <w:sz w:val="22"/>
              </w:rPr>
              <w:t>持仓时间超 6 个月甚至数年，注重标的长期价值成长，忽视短期市场波动，决策核心基于企业基本面、行业趋势等长期因素。</w:t>
            </w:r>
          </w:p>
        </w:tc>
      </w:tr>
      <w:tr w14:paraId="4163A9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1840126">
            <w:pPr>
              <w:spacing w:before="120" w:after="120" w:line="288" w:lineRule="auto"/>
              <w:ind w:left="0"/>
              <w:jc w:val="left"/>
            </w:pPr>
            <w:r>
              <w:rPr>
                <w:rFonts w:ascii="Arial" w:hAnsi="Arial" w:eastAsia="等线" w:cs="Arial"/>
                <w:sz w:val="22"/>
              </w:rPr>
              <w:t>Passive Investor</w:t>
            </w:r>
          </w:p>
        </w:tc>
        <w:tc>
          <w:tcPr>
            <w:tcW w:w="1770" w:type="dxa"/>
            <w:tcMar>
              <w:top w:w="60" w:type="dxa"/>
              <w:left w:w="120" w:type="dxa"/>
              <w:bottom w:w="30" w:type="dxa"/>
              <w:right w:w="120" w:type="dxa"/>
            </w:tcMar>
          </w:tcPr>
          <w:p w14:paraId="3C97559D">
            <w:pPr>
              <w:spacing w:before="120" w:after="120" w:line="288" w:lineRule="auto"/>
              <w:ind w:left="0"/>
              <w:jc w:val="left"/>
            </w:pPr>
            <w:r>
              <w:rPr>
                <w:rFonts w:ascii="Arial" w:hAnsi="Arial" w:eastAsia="等线" w:cs="Arial"/>
                <w:sz w:val="22"/>
              </w:rPr>
              <w:t>被动投资者</w:t>
            </w:r>
          </w:p>
        </w:tc>
        <w:tc>
          <w:tcPr>
            <w:tcW w:w="4725" w:type="dxa"/>
            <w:tcMar>
              <w:top w:w="60" w:type="dxa"/>
              <w:left w:w="120" w:type="dxa"/>
              <w:bottom w:w="30" w:type="dxa"/>
              <w:right w:w="120" w:type="dxa"/>
            </w:tcMar>
          </w:tcPr>
          <w:p w14:paraId="58D8A763">
            <w:pPr>
              <w:spacing w:before="120" w:after="120" w:line="288" w:lineRule="auto"/>
              <w:ind w:left="0"/>
              <w:jc w:val="left"/>
            </w:pPr>
            <w:r>
              <w:rPr>
                <w:rFonts w:ascii="Arial" w:hAnsi="Arial" w:eastAsia="等线" w:cs="Arial"/>
                <w:sz w:val="22"/>
              </w:rPr>
              <w:t>不主动筛选个股或预测市场，通过跟踪市场指数（如标普 500）构建投资组合，追求与指数收益一致，降低主动管理风险与成本。</w:t>
            </w:r>
          </w:p>
        </w:tc>
      </w:tr>
      <w:tr w14:paraId="2D6466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AA70D40">
            <w:pPr>
              <w:spacing w:before="120" w:after="120" w:line="288" w:lineRule="auto"/>
              <w:ind w:left="0"/>
              <w:jc w:val="left"/>
            </w:pPr>
            <w:r>
              <w:rPr>
                <w:rFonts w:ascii="Arial" w:hAnsi="Arial" w:eastAsia="等线" w:cs="Arial"/>
                <w:sz w:val="22"/>
              </w:rPr>
              <w:t>Active Investor</w:t>
            </w:r>
          </w:p>
        </w:tc>
        <w:tc>
          <w:tcPr>
            <w:tcW w:w="1770" w:type="dxa"/>
            <w:tcMar>
              <w:top w:w="60" w:type="dxa"/>
              <w:left w:w="120" w:type="dxa"/>
              <w:bottom w:w="30" w:type="dxa"/>
              <w:right w:w="120" w:type="dxa"/>
            </w:tcMar>
          </w:tcPr>
          <w:p w14:paraId="6025E2B0">
            <w:pPr>
              <w:spacing w:before="120" w:after="120" w:line="288" w:lineRule="auto"/>
              <w:ind w:left="0"/>
              <w:jc w:val="left"/>
            </w:pPr>
            <w:r>
              <w:rPr>
                <w:rFonts w:ascii="Arial" w:hAnsi="Arial" w:eastAsia="等线" w:cs="Arial"/>
                <w:sz w:val="22"/>
              </w:rPr>
              <w:t>主动投资者</w:t>
            </w:r>
          </w:p>
        </w:tc>
        <w:tc>
          <w:tcPr>
            <w:tcW w:w="4725" w:type="dxa"/>
            <w:tcMar>
              <w:top w:w="60" w:type="dxa"/>
              <w:left w:w="120" w:type="dxa"/>
              <w:bottom w:w="30" w:type="dxa"/>
              <w:right w:w="120" w:type="dxa"/>
            </w:tcMar>
          </w:tcPr>
          <w:p w14:paraId="6782F0C9">
            <w:pPr>
              <w:spacing w:before="120" w:after="120" w:line="288" w:lineRule="auto"/>
              <w:ind w:left="0"/>
              <w:jc w:val="left"/>
            </w:pPr>
            <w:r>
              <w:rPr>
                <w:rFonts w:ascii="Arial" w:hAnsi="Arial" w:eastAsia="等线" w:cs="Arial"/>
                <w:sz w:val="22"/>
              </w:rPr>
              <w:t>通过主动研究、分析市场与标的，试图识别被低估或高估的证券，调整持仓组合以获取超越市场平均水平的收益（即阿尔法收益）。</w:t>
            </w:r>
          </w:p>
        </w:tc>
      </w:tr>
      <w:tr w14:paraId="3B34B3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535CE49">
            <w:pPr>
              <w:spacing w:before="120" w:after="120" w:line="288" w:lineRule="auto"/>
              <w:ind w:left="0"/>
              <w:jc w:val="left"/>
            </w:pPr>
            <w:r>
              <w:rPr>
                <w:rFonts w:ascii="Arial" w:hAnsi="Arial" w:eastAsia="等线" w:cs="Arial"/>
                <w:sz w:val="22"/>
              </w:rPr>
              <w:t>Hedge Fund Investor</w:t>
            </w:r>
          </w:p>
        </w:tc>
        <w:tc>
          <w:tcPr>
            <w:tcW w:w="1770" w:type="dxa"/>
            <w:tcMar>
              <w:top w:w="60" w:type="dxa"/>
              <w:left w:w="120" w:type="dxa"/>
              <w:bottom w:w="30" w:type="dxa"/>
              <w:right w:w="120" w:type="dxa"/>
            </w:tcMar>
          </w:tcPr>
          <w:p w14:paraId="7C2E2FA6">
            <w:pPr>
              <w:spacing w:before="120" w:after="120" w:line="288" w:lineRule="auto"/>
              <w:ind w:left="0"/>
              <w:jc w:val="left"/>
            </w:pPr>
            <w:r>
              <w:rPr>
                <w:rFonts w:ascii="Arial" w:hAnsi="Arial" w:eastAsia="等线" w:cs="Arial"/>
                <w:sz w:val="22"/>
              </w:rPr>
              <w:t>对冲基金投资者</w:t>
            </w:r>
          </w:p>
        </w:tc>
        <w:tc>
          <w:tcPr>
            <w:tcW w:w="4725" w:type="dxa"/>
            <w:tcMar>
              <w:top w:w="60" w:type="dxa"/>
              <w:left w:w="120" w:type="dxa"/>
              <w:bottom w:w="30" w:type="dxa"/>
              <w:right w:w="120" w:type="dxa"/>
            </w:tcMar>
          </w:tcPr>
          <w:p w14:paraId="57F3FB4A">
            <w:pPr>
              <w:spacing w:before="120" w:after="120" w:line="288" w:lineRule="auto"/>
              <w:ind w:left="0"/>
              <w:jc w:val="left"/>
            </w:pPr>
            <w:r>
              <w:rPr>
                <w:rFonts w:ascii="Arial" w:hAnsi="Arial" w:eastAsia="等线" w:cs="Arial"/>
                <w:sz w:val="22"/>
              </w:rPr>
              <w:t>主要为合格投资者或机构投资者，通过投资对冲基金参与复杂策略（如多空策略、套利策略），追求绝对收益，不受市场牛熊趋势限制。</w:t>
            </w:r>
          </w:p>
        </w:tc>
      </w:tr>
      <w:tr w14:paraId="46F4F7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D2BF3C6">
            <w:pPr>
              <w:spacing w:before="120" w:after="120" w:line="288" w:lineRule="auto"/>
              <w:ind w:left="0"/>
              <w:jc w:val="left"/>
            </w:pPr>
            <w:r>
              <w:rPr>
                <w:rFonts w:ascii="Arial" w:hAnsi="Arial" w:eastAsia="等线" w:cs="Arial"/>
                <w:sz w:val="22"/>
              </w:rPr>
              <w:t>Mutual Fund Investor</w:t>
            </w:r>
          </w:p>
        </w:tc>
        <w:tc>
          <w:tcPr>
            <w:tcW w:w="1770" w:type="dxa"/>
            <w:tcMar>
              <w:top w:w="60" w:type="dxa"/>
              <w:left w:w="120" w:type="dxa"/>
              <w:bottom w:w="30" w:type="dxa"/>
              <w:right w:w="120" w:type="dxa"/>
            </w:tcMar>
          </w:tcPr>
          <w:p w14:paraId="374F2275">
            <w:pPr>
              <w:spacing w:before="120" w:after="120" w:line="288" w:lineRule="auto"/>
              <w:ind w:left="0"/>
              <w:jc w:val="left"/>
            </w:pPr>
            <w:r>
              <w:rPr>
                <w:rFonts w:ascii="Arial" w:hAnsi="Arial" w:eastAsia="等线" w:cs="Arial"/>
                <w:sz w:val="22"/>
              </w:rPr>
              <w:t>共同基金投资者</w:t>
            </w:r>
          </w:p>
        </w:tc>
        <w:tc>
          <w:tcPr>
            <w:tcW w:w="4725" w:type="dxa"/>
            <w:tcMar>
              <w:top w:w="60" w:type="dxa"/>
              <w:left w:w="120" w:type="dxa"/>
              <w:bottom w:w="30" w:type="dxa"/>
              <w:right w:w="120" w:type="dxa"/>
            </w:tcMar>
          </w:tcPr>
          <w:p w14:paraId="657B49D1">
            <w:pPr>
              <w:spacing w:before="120" w:after="120" w:line="288" w:lineRule="auto"/>
              <w:ind w:left="0"/>
              <w:jc w:val="left"/>
            </w:pPr>
            <w:r>
              <w:rPr>
                <w:rFonts w:ascii="Arial" w:hAnsi="Arial" w:eastAsia="等线" w:cs="Arial"/>
                <w:sz w:val="22"/>
              </w:rPr>
              <w:t>以零售投资者为主，通过购买共同基金份额参与分散投资，由专业基金经理管理，投资门槛低、流动性较好（开放式基金）。</w:t>
            </w:r>
          </w:p>
        </w:tc>
      </w:tr>
    </w:tbl>
    <w:p w14:paraId="0F75ABB9">
      <w:pPr>
        <w:spacing w:before="320" w:after="120" w:line="288" w:lineRule="auto"/>
        <w:ind w:left="0"/>
        <w:jc w:val="left"/>
        <w:outlineLvl w:val="1"/>
      </w:pPr>
      <w:bookmarkStart w:id="34" w:name="heading_34"/>
      <w:r>
        <w:rPr>
          <w:rFonts w:ascii="Arial" w:hAnsi="Arial" w:eastAsia="等线" w:cs="Arial"/>
          <w:color w:val="3370FF"/>
          <w:sz w:val="32"/>
        </w:rPr>
        <w:t xml:space="preserve">4.5 </w:t>
      </w:r>
      <w:r>
        <w:rPr>
          <w:rFonts w:ascii="Arial" w:hAnsi="Arial" w:eastAsia="等线" w:cs="Arial"/>
          <w:b/>
          <w:sz w:val="32"/>
        </w:rPr>
        <w:t>清算结算环节</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770"/>
        <w:gridCol w:w="4725"/>
      </w:tblGrid>
      <w:tr w14:paraId="56C000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EAFC1D1">
            <w:pPr>
              <w:spacing w:before="120" w:after="120" w:line="288" w:lineRule="auto"/>
              <w:ind w:left="0"/>
              <w:jc w:val="left"/>
            </w:pPr>
            <w:r>
              <w:rPr>
                <w:rFonts w:ascii="Arial" w:hAnsi="Arial" w:eastAsia="等线" w:cs="Arial"/>
                <w:b/>
                <w:sz w:val="22"/>
              </w:rPr>
              <w:t>英文名称</w:t>
            </w:r>
          </w:p>
        </w:tc>
        <w:tc>
          <w:tcPr>
            <w:tcW w:w="1770" w:type="dxa"/>
            <w:tcMar>
              <w:top w:w="60" w:type="dxa"/>
              <w:left w:w="120" w:type="dxa"/>
              <w:bottom w:w="30" w:type="dxa"/>
              <w:right w:w="120" w:type="dxa"/>
            </w:tcMar>
          </w:tcPr>
          <w:p w14:paraId="11EF38B6">
            <w:pPr>
              <w:spacing w:before="120" w:after="120" w:line="288" w:lineRule="auto"/>
              <w:ind w:left="0"/>
              <w:jc w:val="left"/>
            </w:pPr>
            <w:r>
              <w:rPr>
                <w:rFonts w:ascii="Arial" w:hAnsi="Arial" w:eastAsia="等线" w:cs="Arial"/>
                <w:b/>
                <w:sz w:val="22"/>
              </w:rPr>
              <w:t>中文名称</w:t>
            </w:r>
          </w:p>
        </w:tc>
        <w:tc>
          <w:tcPr>
            <w:tcW w:w="4725" w:type="dxa"/>
            <w:tcMar>
              <w:top w:w="60" w:type="dxa"/>
              <w:left w:w="120" w:type="dxa"/>
              <w:bottom w:w="30" w:type="dxa"/>
              <w:right w:w="120" w:type="dxa"/>
            </w:tcMar>
          </w:tcPr>
          <w:p w14:paraId="53B14958">
            <w:pPr>
              <w:spacing w:before="120" w:after="120" w:line="288" w:lineRule="auto"/>
              <w:ind w:left="0"/>
              <w:jc w:val="left"/>
            </w:pPr>
            <w:r>
              <w:rPr>
                <w:rFonts w:ascii="Arial" w:hAnsi="Arial" w:eastAsia="等线" w:cs="Arial"/>
                <w:b/>
                <w:sz w:val="22"/>
              </w:rPr>
              <w:t>核心释义</w:t>
            </w:r>
          </w:p>
        </w:tc>
      </w:tr>
      <w:tr w14:paraId="2CC4B1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87EC356">
            <w:pPr>
              <w:spacing w:before="120" w:after="120" w:line="288" w:lineRule="auto"/>
              <w:ind w:left="0"/>
              <w:jc w:val="left"/>
            </w:pPr>
            <w:r>
              <w:rPr>
                <w:rFonts w:ascii="Arial" w:hAnsi="Arial" w:eastAsia="等线" w:cs="Arial"/>
                <w:sz w:val="22"/>
              </w:rPr>
              <w:t>Clearing</w:t>
            </w:r>
          </w:p>
        </w:tc>
        <w:tc>
          <w:tcPr>
            <w:tcW w:w="1770" w:type="dxa"/>
            <w:tcMar>
              <w:top w:w="60" w:type="dxa"/>
              <w:left w:w="120" w:type="dxa"/>
              <w:bottom w:w="30" w:type="dxa"/>
              <w:right w:w="120" w:type="dxa"/>
            </w:tcMar>
          </w:tcPr>
          <w:p w14:paraId="2E22710C">
            <w:pPr>
              <w:spacing w:before="120" w:after="120" w:line="288" w:lineRule="auto"/>
              <w:ind w:left="0"/>
              <w:jc w:val="left"/>
            </w:pPr>
            <w:r>
              <w:rPr>
                <w:rFonts w:ascii="Arial" w:hAnsi="Arial" w:eastAsia="等线" w:cs="Arial"/>
                <w:sz w:val="22"/>
              </w:rPr>
              <w:t>清算</w:t>
            </w:r>
          </w:p>
        </w:tc>
        <w:tc>
          <w:tcPr>
            <w:tcW w:w="4725" w:type="dxa"/>
            <w:tcMar>
              <w:top w:w="60" w:type="dxa"/>
              <w:left w:w="120" w:type="dxa"/>
              <w:bottom w:w="30" w:type="dxa"/>
              <w:right w:w="120" w:type="dxa"/>
            </w:tcMar>
          </w:tcPr>
          <w:p w14:paraId="5D180008">
            <w:pPr>
              <w:spacing w:before="120" w:after="120" w:line="288" w:lineRule="auto"/>
              <w:ind w:left="0"/>
              <w:jc w:val="left"/>
            </w:pPr>
            <w:r>
              <w:rPr>
                <w:rFonts w:ascii="Arial" w:hAnsi="Arial" w:eastAsia="等线" w:cs="Arial"/>
                <w:sz w:val="22"/>
              </w:rPr>
              <w:t>交易达成后，由清算机构（如中国结算、美国 DTCC）计算交易双方 “应收应付证券数量” 和 “应收应付资金金额”，确定交割义务的环节，是结算前的核心准备步骤，目的是简化交割流程、降低风险。</w:t>
            </w:r>
          </w:p>
        </w:tc>
      </w:tr>
      <w:tr w14:paraId="520641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856B0CA">
            <w:pPr>
              <w:spacing w:before="120" w:after="120" w:line="288" w:lineRule="auto"/>
              <w:ind w:left="0"/>
              <w:jc w:val="left"/>
            </w:pPr>
            <w:r>
              <w:rPr>
                <w:rFonts w:ascii="Arial" w:hAnsi="Arial" w:eastAsia="等线" w:cs="Arial"/>
                <w:sz w:val="22"/>
              </w:rPr>
              <w:t>Settlement</w:t>
            </w:r>
          </w:p>
        </w:tc>
        <w:tc>
          <w:tcPr>
            <w:tcW w:w="1770" w:type="dxa"/>
            <w:tcMar>
              <w:top w:w="60" w:type="dxa"/>
              <w:left w:w="120" w:type="dxa"/>
              <w:bottom w:w="30" w:type="dxa"/>
              <w:right w:w="120" w:type="dxa"/>
            </w:tcMar>
          </w:tcPr>
          <w:p w14:paraId="525D779A">
            <w:pPr>
              <w:spacing w:before="120" w:after="120" w:line="288" w:lineRule="auto"/>
              <w:ind w:left="0"/>
              <w:jc w:val="left"/>
            </w:pPr>
            <w:r>
              <w:rPr>
                <w:rFonts w:ascii="Arial" w:hAnsi="Arial" w:eastAsia="等线" w:cs="Arial"/>
                <w:sz w:val="22"/>
              </w:rPr>
              <w:t>结算</w:t>
            </w:r>
          </w:p>
        </w:tc>
        <w:tc>
          <w:tcPr>
            <w:tcW w:w="4725" w:type="dxa"/>
            <w:tcMar>
              <w:top w:w="60" w:type="dxa"/>
              <w:left w:w="120" w:type="dxa"/>
              <w:bottom w:w="30" w:type="dxa"/>
              <w:right w:w="120" w:type="dxa"/>
            </w:tcMar>
          </w:tcPr>
          <w:p w14:paraId="2EB1E010">
            <w:pPr>
              <w:spacing w:before="120" w:after="120" w:line="288" w:lineRule="auto"/>
              <w:ind w:left="0"/>
              <w:jc w:val="left"/>
            </w:pPr>
            <w:r>
              <w:rPr>
                <w:rFonts w:ascii="Arial" w:hAnsi="Arial" w:eastAsia="等线" w:cs="Arial"/>
                <w:sz w:val="22"/>
              </w:rPr>
              <w:t>按清算结果完成 “证券过户” 和 “资金划转” 的环节，核心是 “交收期”（如 A 股 “T+1” 结算：T 日交易，T+1 日完成证券与资金交割；美股多为 “T+2” 结算），是证券交易最终完成的标志。</w:t>
            </w:r>
          </w:p>
        </w:tc>
      </w:tr>
      <w:tr w14:paraId="319B49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66CA2D8">
            <w:pPr>
              <w:spacing w:before="120" w:after="120" w:line="288" w:lineRule="auto"/>
              <w:ind w:left="0"/>
              <w:jc w:val="left"/>
            </w:pPr>
            <w:r>
              <w:rPr>
                <w:rFonts w:ascii="Arial" w:hAnsi="Arial" w:eastAsia="等线" w:cs="Arial"/>
                <w:sz w:val="22"/>
              </w:rPr>
              <w:t>Delivery Versus Payment (DVP)</w:t>
            </w:r>
          </w:p>
        </w:tc>
        <w:tc>
          <w:tcPr>
            <w:tcW w:w="1770" w:type="dxa"/>
            <w:tcMar>
              <w:top w:w="60" w:type="dxa"/>
              <w:left w:w="120" w:type="dxa"/>
              <w:bottom w:w="30" w:type="dxa"/>
              <w:right w:w="120" w:type="dxa"/>
            </w:tcMar>
          </w:tcPr>
          <w:p w14:paraId="5A7752E1">
            <w:pPr>
              <w:spacing w:before="120" w:after="120" w:line="288" w:lineRule="auto"/>
              <w:ind w:left="0"/>
              <w:jc w:val="left"/>
            </w:pPr>
            <w:r>
              <w:rPr>
                <w:rFonts w:ascii="Arial" w:hAnsi="Arial" w:eastAsia="等线" w:cs="Arial"/>
                <w:sz w:val="22"/>
              </w:rPr>
              <w:t>货银对付</w:t>
            </w:r>
          </w:p>
        </w:tc>
        <w:tc>
          <w:tcPr>
            <w:tcW w:w="4725" w:type="dxa"/>
            <w:tcMar>
              <w:top w:w="60" w:type="dxa"/>
              <w:left w:w="120" w:type="dxa"/>
              <w:bottom w:w="30" w:type="dxa"/>
              <w:right w:w="120" w:type="dxa"/>
            </w:tcMar>
          </w:tcPr>
          <w:p w14:paraId="138862F5">
            <w:pPr>
              <w:spacing w:before="120" w:after="120" w:line="288" w:lineRule="auto"/>
              <w:ind w:left="0"/>
              <w:jc w:val="left"/>
            </w:pPr>
            <w:r>
              <w:rPr>
                <w:rFonts w:ascii="Arial" w:hAnsi="Arial" w:eastAsia="等线" w:cs="Arial"/>
                <w:sz w:val="22"/>
              </w:rPr>
              <w:t>结算环节的风险控制原则，指 “证券交付” 与 “资金支付” 同步进行，确保交易双方同时履行义务，避免 “钱货两空”（如买方支付资金后才收到证券，卖方交付证券后才收到资金）。</w:t>
            </w:r>
          </w:p>
        </w:tc>
      </w:tr>
      <w:tr w14:paraId="6659A4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108E88C">
            <w:pPr>
              <w:spacing w:before="120" w:after="120" w:line="288" w:lineRule="auto"/>
              <w:ind w:left="0"/>
              <w:jc w:val="left"/>
            </w:pPr>
            <w:r>
              <w:rPr>
                <w:rFonts w:ascii="Arial" w:hAnsi="Arial" w:eastAsia="等线" w:cs="Arial"/>
                <w:sz w:val="22"/>
              </w:rPr>
              <w:t>Margin Requirement</w:t>
            </w:r>
          </w:p>
        </w:tc>
        <w:tc>
          <w:tcPr>
            <w:tcW w:w="1770" w:type="dxa"/>
            <w:tcMar>
              <w:top w:w="60" w:type="dxa"/>
              <w:left w:w="120" w:type="dxa"/>
              <w:bottom w:w="30" w:type="dxa"/>
              <w:right w:w="120" w:type="dxa"/>
            </w:tcMar>
          </w:tcPr>
          <w:p w14:paraId="087DBD62">
            <w:pPr>
              <w:spacing w:before="120" w:after="120" w:line="288" w:lineRule="auto"/>
              <w:ind w:left="0"/>
              <w:jc w:val="left"/>
            </w:pPr>
            <w:r>
              <w:rPr>
                <w:rFonts w:ascii="Arial" w:hAnsi="Arial" w:eastAsia="等线" w:cs="Arial"/>
                <w:sz w:val="22"/>
              </w:rPr>
              <w:t>保证金要求</w:t>
            </w:r>
          </w:p>
        </w:tc>
        <w:tc>
          <w:tcPr>
            <w:tcW w:w="4725" w:type="dxa"/>
            <w:tcMar>
              <w:top w:w="60" w:type="dxa"/>
              <w:left w:w="120" w:type="dxa"/>
              <w:bottom w:w="30" w:type="dxa"/>
              <w:right w:w="120" w:type="dxa"/>
            </w:tcMar>
          </w:tcPr>
          <w:p w14:paraId="0D558C69">
            <w:pPr>
              <w:spacing w:before="120" w:after="120" w:line="288" w:lineRule="auto"/>
              <w:ind w:left="0"/>
              <w:jc w:val="left"/>
            </w:pPr>
            <w:r>
              <w:rPr>
                <w:rFonts w:ascii="Arial" w:hAnsi="Arial" w:eastAsia="等线" w:cs="Arial"/>
                <w:sz w:val="22"/>
              </w:rPr>
              <w:t>投资者参与信用交易（如融资买入、融券卖出）时，需按规定缴纳的 “自有资金 / 证券比例”，用于防范违约风险（如 A 股融资保证金比例不低于 100%），是结算风险控制的重要手段。</w:t>
            </w:r>
          </w:p>
        </w:tc>
      </w:tr>
    </w:tbl>
    <w:p w14:paraId="688F3F28">
      <w:pPr>
        <w:spacing w:before="380" w:after="140" w:line="288" w:lineRule="auto"/>
        <w:ind w:left="0"/>
        <w:jc w:val="left"/>
        <w:outlineLvl w:val="0"/>
      </w:pPr>
      <w:bookmarkStart w:id="35" w:name="heading_35"/>
      <w:r>
        <w:rPr>
          <w:rFonts w:ascii="Arial" w:hAnsi="Arial" w:eastAsia="等线" w:cs="Arial"/>
          <w:color w:val="3370FF"/>
          <w:sz w:val="36"/>
        </w:rPr>
        <w:t xml:space="preserve">5. </w:t>
      </w:r>
      <w:r>
        <w:rPr>
          <w:rFonts w:ascii="Arial" w:hAnsi="Arial" w:eastAsia="等线" w:cs="Arial"/>
          <w:b/>
          <w:sz w:val="36"/>
        </w:rPr>
        <w:t>例题与答案</w:t>
      </w:r>
      <w:bookmarkEnd w:id="35"/>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CD68F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D9F5D6"/>
            <w:tcMar>
              <w:top w:w="60" w:type="dxa"/>
              <w:left w:w="120" w:type="dxa"/>
              <w:bottom w:w="30" w:type="dxa"/>
              <w:right w:w="120" w:type="dxa"/>
            </w:tcMar>
          </w:tcPr>
          <w:p w14:paraId="5EBE7053">
            <w:pPr>
              <w:numPr>
                <w:ilvl w:val="0"/>
                <w:numId w:val="93"/>
              </w:numPr>
              <w:spacing w:before="120" w:after="120" w:line="288" w:lineRule="auto"/>
              <w:ind w:left="0"/>
              <w:jc w:val="left"/>
            </w:pPr>
            <w:r>
              <w:rPr>
                <w:rFonts w:ascii="Arial" w:hAnsi="Arial" w:eastAsia="等线" w:cs="Arial"/>
                <w:sz w:val="22"/>
              </w:rPr>
              <w:t>Which two of the following are TRUE?</w:t>
            </w:r>
          </w:p>
          <w:p w14:paraId="634A1E4B">
            <w:pPr>
              <w:spacing w:before="120" w:after="120" w:line="288" w:lineRule="auto"/>
              <w:ind w:left="0"/>
              <w:jc w:val="left"/>
            </w:pPr>
            <w:r>
              <w:rPr>
                <w:rFonts w:ascii="Arial" w:hAnsi="Arial" w:eastAsia="等线" w:cs="Arial"/>
                <w:sz w:val="22"/>
              </w:rPr>
              <w:t>I. Dealers charge a markup or markdown for trades.</w:t>
            </w:r>
          </w:p>
          <w:p w14:paraId="38260FF4">
            <w:pPr>
              <w:spacing w:before="120" w:after="120" w:line="288" w:lineRule="auto"/>
              <w:ind w:left="0"/>
              <w:jc w:val="left"/>
            </w:pPr>
            <w:r>
              <w:rPr>
                <w:rFonts w:ascii="Arial" w:hAnsi="Arial" w:eastAsia="等线" w:cs="Arial"/>
                <w:sz w:val="22"/>
              </w:rPr>
              <w:t>II. Dealers charge a commission for trades.</w:t>
            </w:r>
          </w:p>
          <w:p w14:paraId="620CD2E5">
            <w:pPr>
              <w:spacing w:before="120" w:after="120" w:line="288" w:lineRule="auto"/>
              <w:ind w:left="0"/>
              <w:jc w:val="left"/>
            </w:pPr>
            <w:r>
              <w:rPr>
                <w:rFonts w:ascii="Arial" w:hAnsi="Arial" w:eastAsia="等线" w:cs="Arial"/>
                <w:sz w:val="22"/>
              </w:rPr>
              <w:t>III. Brokers charge a markup or markdown for trades.</w:t>
            </w:r>
          </w:p>
          <w:p w14:paraId="7BAEF898">
            <w:pPr>
              <w:spacing w:before="120" w:after="120" w:line="288" w:lineRule="auto"/>
              <w:ind w:left="0"/>
              <w:jc w:val="left"/>
            </w:pPr>
            <w:r>
              <w:rPr>
                <w:rFonts w:ascii="Arial" w:hAnsi="Arial" w:eastAsia="等线" w:cs="Arial"/>
                <w:sz w:val="22"/>
              </w:rPr>
              <w:t>IV. Brokers charge a commission for trades.</w:t>
            </w:r>
          </w:p>
          <w:p w14:paraId="32BCAAC2">
            <w:pPr>
              <w:spacing w:before="120" w:after="120" w:line="288" w:lineRule="auto"/>
              <w:ind w:left="0"/>
              <w:jc w:val="left"/>
            </w:pPr>
            <w:r>
              <w:rPr>
                <w:rFonts w:ascii="Arial" w:hAnsi="Arial" w:eastAsia="等线" w:cs="Arial"/>
                <w:sz w:val="22"/>
              </w:rPr>
              <w:t>(A) I and III</w:t>
            </w:r>
          </w:p>
          <w:p w14:paraId="3C80D6A5">
            <w:pPr>
              <w:spacing w:before="120" w:after="120" w:line="288" w:lineRule="auto"/>
              <w:ind w:left="0"/>
              <w:jc w:val="left"/>
            </w:pPr>
            <w:r>
              <w:rPr>
                <w:rFonts w:ascii="Arial" w:hAnsi="Arial" w:eastAsia="等线" w:cs="Arial"/>
                <w:sz w:val="22"/>
              </w:rPr>
              <w:t>(B) I and IV</w:t>
            </w:r>
          </w:p>
          <w:p w14:paraId="027D0F0C">
            <w:pPr>
              <w:spacing w:before="120" w:after="120" w:line="288" w:lineRule="auto"/>
              <w:ind w:left="0"/>
              <w:jc w:val="left"/>
            </w:pPr>
            <w:r>
              <w:rPr>
                <w:rFonts w:ascii="Arial" w:hAnsi="Arial" w:eastAsia="等线" w:cs="Arial"/>
                <w:sz w:val="22"/>
              </w:rPr>
              <w:t>(C) II and III</w:t>
            </w:r>
          </w:p>
          <w:p w14:paraId="7A736F56">
            <w:pPr>
              <w:spacing w:before="120" w:after="120" w:line="288" w:lineRule="auto"/>
              <w:ind w:left="0"/>
              <w:jc w:val="left"/>
            </w:pPr>
            <w:r>
              <w:rPr>
                <w:rFonts w:ascii="Arial" w:hAnsi="Arial" w:eastAsia="等线" w:cs="Arial"/>
                <w:sz w:val="22"/>
              </w:rPr>
              <w:t>(D) II and IV</w:t>
            </w:r>
          </w:p>
          <w:p w14:paraId="4AC9F724">
            <w:pPr>
              <w:spacing w:before="120" w:after="120" w:line="288" w:lineRule="auto"/>
              <w:ind w:left="0"/>
              <w:jc w:val="left"/>
            </w:pPr>
          </w:p>
          <w:p w14:paraId="7D4C05BE">
            <w:pPr>
              <w:numPr>
                <w:ilvl w:val="0"/>
                <w:numId w:val="94"/>
              </w:numPr>
              <w:spacing w:before="120" w:after="120" w:line="288" w:lineRule="auto"/>
              <w:ind w:left="0"/>
              <w:jc w:val="left"/>
            </w:pPr>
            <w:r>
              <w:rPr>
                <w:rFonts w:ascii="Arial" w:hAnsi="Arial" w:eastAsia="等线" w:cs="Arial"/>
                <w:sz w:val="22"/>
              </w:rPr>
              <w:t>Which of the following best describes a third market trade?</w:t>
            </w:r>
          </w:p>
          <w:p w14:paraId="026CA69D">
            <w:pPr>
              <w:spacing w:before="120" w:after="120" w:line="288" w:lineRule="auto"/>
              <w:ind w:left="0"/>
              <w:jc w:val="left"/>
            </w:pPr>
            <w:r>
              <w:rPr>
                <w:rFonts w:ascii="Arial" w:hAnsi="Arial" w:eastAsia="等线" w:cs="Arial"/>
                <w:sz w:val="22"/>
              </w:rPr>
              <w:t>(A) Exchange-listed securities trading OTC</w:t>
            </w:r>
          </w:p>
          <w:p w14:paraId="4994BC10">
            <w:pPr>
              <w:spacing w:before="120" w:after="120" w:line="288" w:lineRule="auto"/>
              <w:ind w:left="0"/>
              <w:jc w:val="left"/>
            </w:pPr>
            <w:r>
              <w:rPr>
                <w:rFonts w:ascii="Arial" w:hAnsi="Arial" w:eastAsia="等线" w:cs="Arial"/>
                <w:sz w:val="22"/>
              </w:rPr>
              <w:t>(B) Exchange-listed securities trading on the exchange floor</w:t>
            </w:r>
          </w:p>
          <w:p w14:paraId="52E4B591">
            <w:pPr>
              <w:spacing w:before="120" w:after="120" w:line="288" w:lineRule="auto"/>
              <w:ind w:left="0"/>
              <w:jc w:val="left"/>
            </w:pPr>
            <w:r>
              <w:rPr>
                <w:rFonts w:ascii="Arial" w:hAnsi="Arial" w:eastAsia="等线" w:cs="Arial"/>
                <w:sz w:val="22"/>
              </w:rPr>
              <w:t>(C) Unlisted securities trading OTC</w:t>
            </w:r>
          </w:p>
          <w:p w14:paraId="0FCF2C15">
            <w:pPr>
              <w:spacing w:before="120" w:after="120" w:line="288" w:lineRule="auto"/>
              <w:ind w:left="0"/>
              <w:jc w:val="left"/>
            </w:pPr>
            <w:r>
              <w:rPr>
                <w:rFonts w:ascii="Arial" w:hAnsi="Arial" w:eastAsia="等线" w:cs="Arial"/>
                <w:sz w:val="22"/>
              </w:rPr>
              <w:t>(D) Institutional trading without using the services of a broker–dealer</w:t>
            </w:r>
          </w:p>
          <w:p w14:paraId="2577E1ED">
            <w:pPr>
              <w:spacing w:before="120" w:after="120" w:line="288" w:lineRule="auto"/>
              <w:ind w:left="0"/>
              <w:jc w:val="left"/>
            </w:pPr>
          </w:p>
          <w:p w14:paraId="63F0BA9E">
            <w:pPr>
              <w:numPr>
                <w:ilvl w:val="0"/>
                <w:numId w:val="95"/>
              </w:numPr>
              <w:spacing w:before="120" w:after="120" w:line="288" w:lineRule="auto"/>
              <w:ind w:left="0"/>
              <w:jc w:val="left"/>
            </w:pPr>
            <w:r>
              <w:rPr>
                <w:rFonts w:ascii="Arial" w:hAnsi="Arial" w:eastAsia="等线" w:cs="Arial"/>
                <w:sz w:val="22"/>
              </w:rPr>
              <w:t>Which of the following orders would protect a short position?</w:t>
            </w:r>
          </w:p>
          <w:p w14:paraId="56F4DBAA">
            <w:pPr>
              <w:spacing w:before="120" w:after="120" w:line="288" w:lineRule="auto"/>
              <w:ind w:left="0"/>
              <w:jc w:val="left"/>
            </w:pPr>
            <w:r>
              <w:rPr>
                <w:rFonts w:ascii="Arial" w:hAnsi="Arial" w:eastAsia="等线" w:cs="Arial"/>
                <w:sz w:val="22"/>
              </w:rPr>
              <w:t>(A) Buy limit</w:t>
            </w:r>
          </w:p>
          <w:p w14:paraId="454E38C1">
            <w:pPr>
              <w:spacing w:before="120" w:after="120" w:line="288" w:lineRule="auto"/>
              <w:ind w:left="0"/>
              <w:jc w:val="left"/>
            </w:pPr>
            <w:r>
              <w:rPr>
                <w:rFonts w:ascii="Arial" w:hAnsi="Arial" w:eastAsia="等线" w:cs="Arial"/>
                <w:sz w:val="22"/>
              </w:rPr>
              <w:t>(B) Sell limit</w:t>
            </w:r>
          </w:p>
          <w:p w14:paraId="69BD2270">
            <w:pPr>
              <w:spacing w:before="120" w:after="120" w:line="288" w:lineRule="auto"/>
              <w:ind w:left="0"/>
              <w:jc w:val="left"/>
            </w:pPr>
            <w:r>
              <w:rPr>
                <w:rFonts w:ascii="Arial" w:hAnsi="Arial" w:eastAsia="等线" w:cs="Arial"/>
                <w:sz w:val="22"/>
              </w:rPr>
              <w:t>(C) Buy stop</w:t>
            </w:r>
          </w:p>
          <w:p w14:paraId="26F4B403">
            <w:pPr>
              <w:spacing w:before="120" w:after="120" w:line="288" w:lineRule="auto"/>
              <w:ind w:left="0"/>
              <w:jc w:val="left"/>
            </w:pPr>
            <w:r>
              <w:rPr>
                <w:rFonts w:ascii="Arial" w:hAnsi="Arial" w:eastAsia="等线" w:cs="Arial"/>
                <w:sz w:val="22"/>
              </w:rPr>
              <w:t>(D) Sell stop</w:t>
            </w:r>
          </w:p>
          <w:p w14:paraId="7D3AF536">
            <w:pPr>
              <w:spacing w:before="120" w:after="120" w:line="288" w:lineRule="auto"/>
              <w:ind w:left="0"/>
              <w:jc w:val="left"/>
            </w:pPr>
          </w:p>
          <w:p w14:paraId="3060B76F">
            <w:pPr>
              <w:numPr>
                <w:ilvl w:val="0"/>
                <w:numId w:val="96"/>
              </w:numPr>
              <w:spacing w:before="120" w:after="120" w:line="288" w:lineRule="auto"/>
              <w:ind w:left="0"/>
              <w:jc w:val="left"/>
            </w:pPr>
            <w:r>
              <w:rPr>
                <w:rFonts w:ascii="Arial" w:hAnsi="Arial" w:eastAsia="等线" w:cs="Arial"/>
                <w:sz w:val="22"/>
              </w:rPr>
              <w:t>If an at-the-open order is not executed at the opening price, what happens to the order?</w:t>
            </w:r>
          </w:p>
          <w:p w14:paraId="0AE47D42">
            <w:pPr>
              <w:spacing w:before="120" w:after="120" w:line="288" w:lineRule="auto"/>
              <w:ind w:left="0"/>
              <w:jc w:val="left"/>
            </w:pPr>
            <w:r>
              <w:rPr>
                <w:rFonts w:ascii="Arial" w:hAnsi="Arial" w:eastAsia="等线" w:cs="Arial"/>
                <w:sz w:val="22"/>
              </w:rPr>
              <w:t>(A) It is canceled.</w:t>
            </w:r>
          </w:p>
          <w:p w14:paraId="3ED960DB">
            <w:pPr>
              <w:spacing w:before="120" w:after="120" w:line="288" w:lineRule="auto"/>
              <w:ind w:left="0"/>
              <w:jc w:val="left"/>
            </w:pPr>
            <w:r>
              <w:rPr>
                <w:rFonts w:ascii="Arial" w:hAnsi="Arial" w:eastAsia="等线" w:cs="Arial"/>
                <w:sz w:val="22"/>
              </w:rPr>
              <w:t>(B) It becomes a market order.</w:t>
            </w:r>
          </w:p>
          <w:p w14:paraId="01F69466">
            <w:pPr>
              <w:spacing w:before="120" w:after="120" w:line="288" w:lineRule="auto"/>
              <w:ind w:left="0"/>
              <w:jc w:val="left"/>
            </w:pPr>
            <w:r>
              <w:rPr>
                <w:rFonts w:ascii="Arial" w:hAnsi="Arial" w:eastAsia="等线" w:cs="Arial"/>
                <w:sz w:val="22"/>
              </w:rPr>
              <w:t>(C) It becomes a day order.</w:t>
            </w:r>
          </w:p>
          <w:p w14:paraId="7889F933">
            <w:pPr>
              <w:spacing w:before="120" w:after="120" w:line="288" w:lineRule="auto"/>
              <w:ind w:left="0"/>
              <w:jc w:val="left"/>
            </w:pPr>
            <w:r>
              <w:rPr>
                <w:rFonts w:ascii="Arial" w:hAnsi="Arial" w:eastAsia="等线" w:cs="Arial"/>
                <w:sz w:val="22"/>
              </w:rPr>
              <w:t>(D) It becomes a limit order.</w:t>
            </w:r>
          </w:p>
          <w:p w14:paraId="3987EBE6">
            <w:pPr>
              <w:spacing w:before="120" w:after="120" w:line="288" w:lineRule="auto"/>
              <w:ind w:left="0"/>
              <w:jc w:val="left"/>
            </w:pPr>
          </w:p>
          <w:p w14:paraId="57583D37">
            <w:pPr>
              <w:numPr>
                <w:ilvl w:val="0"/>
                <w:numId w:val="97"/>
              </w:numPr>
              <w:spacing w:before="120" w:after="120" w:line="288" w:lineRule="auto"/>
              <w:ind w:left="0"/>
              <w:jc w:val="left"/>
            </w:pPr>
            <w:r>
              <w:rPr>
                <w:rFonts w:ascii="Arial" w:hAnsi="Arial" w:eastAsia="等线" w:cs="Arial"/>
                <w:sz w:val="22"/>
              </w:rPr>
              <w:t>An investor with no other positions would like to purchase ABC common stock, which is cur-</w:t>
            </w:r>
          </w:p>
          <w:p w14:paraId="74C63877">
            <w:pPr>
              <w:spacing w:before="120" w:after="120" w:line="288" w:lineRule="auto"/>
              <w:ind w:left="0"/>
              <w:jc w:val="left"/>
            </w:pPr>
            <w:r>
              <w:rPr>
                <w:rFonts w:ascii="Arial" w:hAnsi="Arial" w:eastAsia="等线" w:cs="Arial"/>
                <w:sz w:val="22"/>
              </w:rPr>
              <w:t>rently trading at $30.80. If this investor is interested in purchasing the stock for $28 or less,</w:t>
            </w:r>
          </w:p>
          <w:p w14:paraId="768BDD7A">
            <w:pPr>
              <w:spacing w:before="120" w:after="120" w:line="288" w:lineRule="auto"/>
              <w:ind w:left="0"/>
              <w:jc w:val="left"/>
            </w:pPr>
            <w:r>
              <w:rPr>
                <w:rFonts w:ascii="Arial" w:hAnsi="Arial" w:eastAsia="等线" w:cs="Arial"/>
                <w:sz w:val="22"/>
              </w:rPr>
              <w:t>you should suggest the investor enters a</w:t>
            </w:r>
          </w:p>
          <w:p w14:paraId="66DC0AD8">
            <w:pPr>
              <w:spacing w:before="120" w:after="120" w:line="288" w:lineRule="auto"/>
              <w:ind w:left="0"/>
              <w:jc w:val="left"/>
            </w:pPr>
            <w:r>
              <w:rPr>
                <w:rFonts w:ascii="Arial" w:hAnsi="Arial" w:eastAsia="等线" w:cs="Arial"/>
                <w:sz w:val="22"/>
              </w:rPr>
              <w:t>(A) buy stop limit order</w:t>
            </w:r>
          </w:p>
          <w:p w14:paraId="4E87BC40">
            <w:pPr>
              <w:spacing w:before="120" w:after="120" w:line="288" w:lineRule="auto"/>
              <w:ind w:left="0"/>
              <w:jc w:val="left"/>
            </w:pPr>
            <w:r>
              <w:rPr>
                <w:rFonts w:ascii="Arial" w:hAnsi="Arial" w:eastAsia="等线" w:cs="Arial"/>
                <w:sz w:val="22"/>
              </w:rPr>
              <w:t>(B) buy limit order</w:t>
            </w:r>
          </w:p>
          <w:p w14:paraId="71CF04E2">
            <w:pPr>
              <w:spacing w:before="120" w:after="120" w:line="288" w:lineRule="auto"/>
              <w:ind w:left="0"/>
              <w:jc w:val="left"/>
            </w:pPr>
            <w:r>
              <w:rPr>
                <w:rFonts w:ascii="Arial" w:hAnsi="Arial" w:eastAsia="等线" w:cs="Arial"/>
                <w:sz w:val="22"/>
              </w:rPr>
              <w:t>(C) buy stop order</w:t>
            </w:r>
          </w:p>
          <w:p w14:paraId="1E4736F2">
            <w:pPr>
              <w:spacing w:before="120" w:after="120" w:line="288" w:lineRule="auto"/>
              <w:ind w:left="0"/>
              <w:jc w:val="left"/>
            </w:pPr>
            <w:r>
              <w:rPr>
                <w:rFonts w:ascii="Arial" w:hAnsi="Arial" w:eastAsia="等线" w:cs="Arial"/>
                <w:sz w:val="22"/>
              </w:rPr>
              <w:t>(D) market order</w:t>
            </w:r>
          </w:p>
          <w:p w14:paraId="4D3FE6BC">
            <w:pPr>
              <w:spacing w:before="120" w:after="120" w:line="288" w:lineRule="auto"/>
              <w:ind w:left="0"/>
              <w:jc w:val="left"/>
            </w:pPr>
          </w:p>
          <w:p w14:paraId="17AB3B02">
            <w:pPr>
              <w:numPr>
                <w:ilvl w:val="0"/>
                <w:numId w:val="98"/>
              </w:numPr>
              <w:spacing w:before="120" w:after="120" w:line="288" w:lineRule="auto"/>
              <w:ind w:left="0"/>
              <w:jc w:val="left"/>
            </w:pPr>
            <w:r>
              <w:rPr>
                <w:rFonts w:ascii="Arial" w:hAnsi="Arial" w:eastAsia="等线" w:cs="Arial"/>
                <w:sz w:val="22"/>
              </w:rPr>
              <w:t>Which of the following would be considered accredited investors?</w:t>
            </w:r>
          </w:p>
          <w:p w14:paraId="6226C0C4">
            <w:pPr>
              <w:spacing w:before="120" w:after="120" w:line="288" w:lineRule="auto"/>
              <w:ind w:left="0"/>
              <w:jc w:val="left"/>
            </w:pPr>
            <w:r>
              <w:rPr>
                <w:rFonts w:ascii="Arial" w:hAnsi="Arial" w:eastAsia="等线" w:cs="Arial"/>
                <w:sz w:val="22"/>
              </w:rPr>
              <w:t>I. Banks</w:t>
            </w:r>
          </w:p>
          <w:p w14:paraId="7D24FA25">
            <w:pPr>
              <w:spacing w:before="120" w:after="120" w:line="288" w:lineRule="auto"/>
              <w:ind w:left="0"/>
              <w:jc w:val="left"/>
            </w:pPr>
            <w:r>
              <w:rPr>
                <w:rFonts w:ascii="Arial" w:hAnsi="Arial" w:eastAsia="等线" w:cs="Arial"/>
                <w:sz w:val="22"/>
              </w:rPr>
              <w:t>II. An individual investor with a net worth of $2 million, excluding her primary residence</w:t>
            </w:r>
          </w:p>
          <w:p w14:paraId="5ED63505">
            <w:pPr>
              <w:spacing w:before="120" w:after="120" w:line="288" w:lineRule="auto"/>
              <w:ind w:left="0"/>
              <w:jc w:val="left"/>
            </w:pPr>
            <w:r>
              <w:rPr>
                <w:rFonts w:ascii="Arial" w:hAnsi="Arial" w:eastAsia="等线" w:cs="Arial"/>
                <w:sz w:val="22"/>
              </w:rPr>
              <w:t>III. A corporation with a net worth of $10 million</w:t>
            </w:r>
          </w:p>
          <w:p w14:paraId="49E97197">
            <w:pPr>
              <w:spacing w:before="120" w:after="120" w:line="288" w:lineRule="auto"/>
              <w:ind w:left="0"/>
              <w:jc w:val="left"/>
            </w:pPr>
            <w:r>
              <w:rPr>
                <w:rFonts w:ascii="Arial" w:hAnsi="Arial" w:eastAsia="等线" w:cs="Arial"/>
                <w:sz w:val="22"/>
              </w:rPr>
              <w:t>IV. Insurance companies</w:t>
            </w:r>
          </w:p>
          <w:p w14:paraId="3DBEFA03">
            <w:pPr>
              <w:spacing w:before="120" w:after="120" w:line="288" w:lineRule="auto"/>
              <w:ind w:left="0"/>
              <w:jc w:val="left"/>
            </w:pPr>
            <w:r>
              <w:rPr>
                <w:rFonts w:ascii="Arial" w:hAnsi="Arial" w:eastAsia="等线" w:cs="Arial"/>
                <w:sz w:val="22"/>
              </w:rPr>
              <w:t>(A) II and IV</w:t>
            </w:r>
          </w:p>
          <w:p w14:paraId="1F818A14">
            <w:pPr>
              <w:spacing w:before="120" w:after="120" w:line="288" w:lineRule="auto"/>
              <w:ind w:left="0"/>
              <w:jc w:val="left"/>
            </w:pPr>
            <w:r>
              <w:rPr>
                <w:rFonts w:ascii="Arial" w:hAnsi="Arial" w:eastAsia="等线" w:cs="Arial"/>
                <w:sz w:val="22"/>
              </w:rPr>
              <w:t>(B) I and IV</w:t>
            </w:r>
          </w:p>
          <w:p w14:paraId="2EE60CCD">
            <w:pPr>
              <w:spacing w:before="120" w:after="120" w:line="288" w:lineRule="auto"/>
              <w:ind w:left="0"/>
              <w:jc w:val="left"/>
            </w:pPr>
            <w:r>
              <w:rPr>
                <w:rFonts w:ascii="Arial" w:hAnsi="Arial" w:eastAsia="等线" w:cs="Arial"/>
                <w:sz w:val="22"/>
              </w:rPr>
              <w:t>(C) I, III, and IV</w:t>
            </w:r>
          </w:p>
          <w:p w14:paraId="62BEF813">
            <w:pPr>
              <w:spacing w:before="120" w:after="120" w:line="288" w:lineRule="auto"/>
              <w:ind w:left="0"/>
              <w:jc w:val="left"/>
            </w:pPr>
            <w:r>
              <w:rPr>
                <w:rFonts w:ascii="Arial" w:hAnsi="Arial" w:eastAsia="等线" w:cs="Arial"/>
                <w:sz w:val="22"/>
              </w:rPr>
              <w:t>(D) I, II, III, and IV</w:t>
            </w:r>
          </w:p>
          <w:p w14:paraId="054C77EA">
            <w:pPr>
              <w:spacing w:before="120" w:after="120" w:line="288" w:lineRule="auto"/>
              <w:ind w:left="0"/>
              <w:jc w:val="left"/>
            </w:pPr>
          </w:p>
          <w:p w14:paraId="0C20B70E">
            <w:pPr>
              <w:numPr>
                <w:ilvl w:val="0"/>
                <w:numId w:val="99"/>
              </w:numPr>
              <w:spacing w:before="120" w:after="120" w:line="288" w:lineRule="auto"/>
              <w:ind w:left="0"/>
              <w:jc w:val="left"/>
            </w:pPr>
            <w:r>
              <w:rPr>
                <w:rFonts w:ascii="Arial" w:hAnsi="Arial" w:eastAsia="等线" w:cs="Arial"/>
                <w:sz w:val="22"/>
              </w:rPr>
              <w:t>Which TWO of the following are TRUE of short sellers?</w:t>
            </w:r>
          </w:p>
          <w:p w14:paraId="0A6500E3">
            <w:pPr>
              <w:spacing w:before="120" w:after="120" w:line="288" w:lineRule="auto"/>
              <w:ind w:left="0"/>
              <w:jc w:val="left"/>
            </w:pPr>
            <w:r>
              <w:rPr>
                <w:rFonts w:ascii="Arial" w:hAnsi="Arial" w:eastAsia="等线" w:cs="Arial"/>
                <w:sz w:val="22"/>
              </w:rPr>
              <w:t>I. They are taking a bullish position.</w:t>
            </w:r>
          </w:p>
          <w:p w14:paraId="2472900D">
            <w:pPr>
              <w:spacing w:before="120" w:after="120" w:line="288" w:lineRule="auto"/>
              <w:ind w:left="0"/>
              <w:jc w:val="left"/>
            </w:pPr>
            <w:r>
              <w:rPr>
                <w:rFonts w:ascii="Arial" w:hAnsi="Arial" w:eastAsia="等线" w:cs="Arial"/>
                <w:sz w:val="22"/>
              </w:rPr>
              <w:t>II. They are taking a bearish position.</w:t>
            </w:r>
          </w:p>
          <w:p w14:paraId="64C33C2D">
            <w:pPr>
              <w:spacing w:before="120" w:after="120" w:line="288" w:lineRule="auto"/>
              <w:ind w:left="0"/>
              <w:jc w:val="left"/>
            </w:pPr>
            <w:r>
              <w:rPr>
                <w:rFonts w:ascii="Arial" w:hAnsi="Arial" w:eastAsia="等线" w:cs="Arial"/>
                <w:sz w:val="22"/>
              </w:rPr>
              <w:t>III. They have a maximum gain potential that is unlimited.</w:t>
            </w:r>
          </w:p>
          <w:p w14:paraId="1C56EB6D">
            <w:pPr>
              <w:spacing w:before="120" w:after="120" w:line="288" w:lineRule="auto"/>
              <w:ind w:left="0"/>
              <w:jc w:val="left"/>
            </w:pPr>
            <w:r>
              <w:rPr>
                <w:rFonts w:ascii="Arial" w:hAnsi="Arial" w:eastAsia="等线" w:cs="Arial"/>
                <w:sz w:val="22"/>
              </w:rPr>
              <w:t>IV. They have a maximum loss potential that is unlimited.</w:t>
            </w:r>
          </w:p>
          <w:p w14:paraId="6F035535">
            <w:pPr>
              <w:spacing w:before="120" w:after="120" w:line="288" w:lineRule="auto"/>
              <w:ind w:left="0"/>
              <w:jc w:val="left"/>
            </w:pPr>
            <w:r>
              <w:rPr>
                <w:rFonts w:ascii="Arial" w:hAnsi="Arial" w:eastAsia="等线" w:cs="Arial"/>
                <w:sz w:val="22"/>
              </w:rPr>
              <w:t>(A) I and III</w:t>
            </w:r>
          </w:p>
          <w:p w14:paraId="0F3EBC19">
            <w:pPr>
              <w:spacing w:before="120" w:after="120" w:line="288" w:lineRule="auto"/>
              <w:ind w:left="0"/>
              <w:jc w:val="left"/>
            </w:pPr>
            <w:r>
              <w:rPr>
                <w:rFonts w:ascii="Arial" w:hAnsi="Arial" w:eastAsia="等线" w:cs="Arial"/>
                <w:sz w:val="22"/>
              </w:rPr>
              <w:t>(B) I and IV</w:t>
            </w:r>
          </w:p>
          <w:p w14:paraId="155EFB45">
            <w:pPr>
              <w:spacing w:before="120" w:after="120" w:line="288" w:lineRule="auto"/>
              <w:ind w:left="0"/>
              <w:jc w:val="left"/>
            </w:pPr>
            <w:r>
              <w:rPr>
                <w:rFonts w:ascii="Arial" w:hAnsi="Arial" w:eastAsia="等线" w:cs="Arial"/>
                <w:sz w:val="22"/>
              </w:rPr>
              <w:t>(C) II and III</w:t>
            </w:r>
          </w:p>
          <w:p w14:paraId="1B546857">
            <w:pPr>
              <w:spacing w:before="120" w:after="120" w:line="288" w:lineRule="auto"/>
              <w:ind w:left="0"/>
              <w:jc w:val="left"/>
            </w:pPr>
            <w:r>
              <w:rPr>
                <w:rFonts w:ascii="Arial" w:hAnsi="Arial" w:eastAsia="等线" w:cs="Arial"/>
                <w:sz w:val="22"/>
              </w:rPr>
              <w:t>(D) II and IV</w:t>
            </w:r>
          </w:p>
          <w:p w14:paraId="0E62621B">
            <w:pPr>
              <w:spacing w:before="120" w:after="120" w:line="288" w:lineRule="auto"/>
              <w:ind w:left="0"/>
              <w:jc w:val="left"/>
            </w:pPr>
          </w:p>
          <w:p w14:paraId="334334C0">
            <w:pPr>
              <w:numPr>
                <w:ilvl w:val="0"/>
                <w:numId w:val="100"/>
              </w:numPr>
              <w:spacing w:before="120" w:after="120" w:line="288" w:lineRule="auto"/>
              <w:ind w:left="0"/>
              <w:jc w:val="left"/>
            </w:pPr>
            <w:r>
              <w:rPr>
                <w:rFonts w:ascii="Arial" w:hAnsi="Arial" w:eastAsia="等线" w:cs="Arial"/>
                <w:sz w:val="22"/>
              </w:rPr>
              <w:t>A not-held order gives a broker discretion as to</w:t>
            </w:r>
          </w:p>
          <w:p w14:paraId="7FA68BA1">
            <w:pPr>
              <w:spacing w:before="120" w:after="120" w:line="288" w:lineRule="auto"/>
              <w:ind w:left="0"/>
              <w:jc w:val="left"/>
            </w:pPr>
            <w:r>
              <w:rPr>
                <w:rFonts w:ascii="Arial" w:hAnsi="Arial" w:eastAsia="等线" w:cs="Arial"/>
                <w:sz w:val="22"/>
              </w:rPr>
              <w:t>(A) which security is traded</w:t>
            </w:r>
          </w:p>
          <w:p w14:paraId="0F64EF9B">
            <w:pPr>
              <w:spacing w:before="120" w:after="120" w:line="288" w:lineRule="auto"/>
              <w:ind w:left="0"/>
              <w:jc w:val="left"/>
            </w:pPr>
            <w:r>
              <w:rPr>
                <w:rFonts w:ascii="Arial" w:hAnsi="Arial" w:eastAsia="等线" w:cs="Arial"/>
                <w:sz w:val="22"/>
              </w:rPr>
              <w:t>(B) the time at which a security is traded</w:t>
            </w:r>
          </w:p>
          <w:p w14:paraId="67CB66BE">
            <w:pPr>
              <w:spacing w:before="120" w:after="120" w:line="288" w:lineRule="auto"/>
              <w:ind w:left="0"/>
              <w:jc w:val="left"/>
            </w:pPr>
            <w:r>
              <w:rPr>
                <w:rFonts w:ascii="Arial" w:hAnsi="Arial" w:eastAsia="等线" w:cs="Arial"/>
                <w:sz w:val="22"/>
              </w:rPr>
              <w:t>(C) whether to purchase, sell, or sell short a security</w:t>
            </w:r>
          </w:p>
          <w:p w14:paraId="37CB9387">
            <w:pPr>
              <w:spacing w:before="120" w:after="120" w:line="288" w:lineRule="auto"/>
              <w:ind w:left="0"/>
              <w:jc w:val="left"/>
            </w:pPr>
            <w:r>
              <w:rPr>
                <w:rFonts w:ascii="Arial" w:hAnsi="Arial" w:eastAsia="等线" w:cs="Arial"/>
                <w:sz w:val="22"/>
              </w:rPr>
              <w:t>(D) all of the above</w:t>
            </w:r>
          </w:p>
          <w:p w14:paraId="5660D5A0">
            <w:pPr>
              <w:spacing w:before="120" w:after="120" w:line="288" w:lineRule="auto"/>
              <w:ind w:left="0"/>
              <w:jc w:val="left"/>
            </w:pPr>
          </w:p>
          <w:p w14:paraId="58D3D3D7">
            <w:pPr>
              <w:numPr>
                <w:ilvl w:val="0"/>
                <w:numId w:val="101"/>
              </w:numPr>
              <w:spacing w:before="120" w:after="120" w:line="288" w:lineRule="auto"/>
              <w:ind w:left="0"/>
              <w:jc w:val="left"/>
            </w:pPr>
            <w:r>
              <w:rPr>
                <w:rFonts w:ascii="Arial" w:hAnsi="Arial" w:eastAsia="等线" w:cs="Arial"/>
                <w:sz w:val="22"/>
              </w:rPr>
              <w:t>Which of the following order features allows for partial execution?</w:t>
            </w:r>
          </w:p>
          <w:p w14:paraId="4000C7D7">
            <w:pPr>
              <w:spacing w:before="120" w:after="120" w:line="288" w:lineRule="auto"/>
              <w:ind w:left="0"/>
              <w:jc w:val="left"/>
            </w:pPr>
            <w:r>
              <w:rPr>
                <w:rFonts w:ascii="Arial" w:hAnsi="Arial" w:eastAsia="等线" w:cs="Arial"/>
                <w:sz w:val="22"/>
              </w:rPr>
              <w:t>(A) FOK</w:t>
            </w:r>
          </w:p>
          <w:p w14:paraId="021D454F">
            <w:pPr>
              <w:spacing w:before="120" w:after="120" w:line="288" w:lineRule="auto"/>
              <w:ind w:left="0"/>
              <w:jc w:val="left"/>
            </w:pPr>
            <w:r>
              <w:rPr>
                <w:rFonts w:ascii="Arial" w:hAnsi="Arial" w:eastAsia="等线" w:cs="Arial"/>
                <w:sz w:val="22"/>
              </w:rPr>
              <w:t>(B) AON</w:t>
            </w:r>
          </w:p>
          <w:p w14:paraId="220F893A">
            <w:pPr>
              <w:spacing w:before="120" w:after="120" w:line="288" w:lineRule="auto"/>
              <w:ind w:left="0"/>
              <w:jc w:val="left"/>
            </w:pPr>
            <w:r>
              <w:rPr>
                <w:rFonts w:ascii="Arial" w:hAnsi="Arial" w:eastAsia="等线" w:cs="Arial"/>
                <w:sz w:val="22"/>
              </w:rPr>
              <w:t>(C) IOC</w:t>
            </w:r>
          </w:p>
          <w:p w14:paraId="09422EB3">
            <w:pPr>
              <w:spacing w:before="120" w:after="120" w:line="288" w:lineRule="auto"/>
              <w:ind w:left="0"/>
              <w:jc w:val="left"/>
            </w:pPr>
            <w:r>
              <w:rPr>
                <w:rFonts w:ascii="Arial" w:hAnsi="Arial" w:eastAsia="等线" w:cs="Arial"/>
                <w:sz w:val="22"/>
              </w:rPr>
              <w:t>(D) All of the above</w:t>
            </w:r>
          </w:p>
          <w:p w14:paraId="6B416AD2">
            <w:pPr>
              <w:spacing w:before="120" w:after="120" w:line="288" w:lineRule="auto"/>
              <w:ind w:left="0"/>
              <w:jc w:val="left"/>
            </w:pPr>
          </w:p>
          <w:p w14:paraId="2BF2C0ED">
            <w:pPr>
              <w:numPr>
                <w:ilvl w:val="0"/>
                <w:numId w:val="102"/>
              </w:numPr>
              <w:spacing w:before="120" w:after="120" w:line="288" w:lineRule="auto"/>
              <w:ind w:left="0"/>
              <w:jc w:val="left"/>
            </w:pPr>
            <w:r>
              <w:rPr>
                <w:rFonts w:ascii="Arial" w:hAnsi="Arial" w:eastAsia="等线" w:cs="Arial"/>
                <w:sz w:val="22"/>
              </w:rPr>
              <w:t>Which TWO of the following are FALSE regarding unsolicited orders?</w:t>
            </w:r>
          </w:p>
          <w:p w14:paraId="2AFBA102">
            <w:pPr>
              <w:spacing w:before="120" w:after="120" w:line="288" w:lineRule="auto"/>
              <w:ind w:left="0"/>
              <w:jc w:val="left"/>
            </w:pPr>
            <w:r>
              <w:rPr>
                <w:rFonts w:ascii="Arial" w:hAnsi="Arial" w:eastAsia="等线" w:cs="Arial"/>
                <w:sz w:val="22"/>
              </w:rPr>
              <w:t>I. They cannot be accepted without prior approval from a principal.</w:t>
            </w:r>
          </w:p>
          <w:p w14:paraId="4D9F9F4A">
            <w:pPr>
              <w:spacing w:before="120" w:after="120" w:line="288" w:lineRule="auto"/>
              <w:ind w:left="0"/>
              <w:jc w:val="left"/>
            </w:pPr>
            <w:r>
              <w:rPr>
                <w:rFonts w:ascii="Arial" w:hAnsi="Arial" w:eastAsia="等线" w:cs="Arial"/>
                <w:sz w:val="22"/>
              </w:rPr>
              <w:t>II. They can be accepted without prior approval from a principal.</w:t>
            </w:r>
          </w:p>
          <w:p w14:paraId="521088DB">
            <w:pPr>
              <w:spacing w:before="120" w:after="120" w:line="288" w:lineRule="auto"/>
              <w:ind w:left="0"/>
              <w:jc w:val="left"/>
            </w:pPr>
            <w:r>
              <w:rPr>
                <w:rFonts w:ascii="Arial" w:hAnsi="Arial" w:eastAsia="等线" w:cs="Arial"/>
                <w:sz w:val="22"/>
              </w:rPr>
              <w:t>III. They must be limited in size.</w:t>
            </w:r>
          </w:p>
          <w:p w14:paraId="7C885665">
            <w:pPr>
              <w:spacing w:before="120" w:after="120" w:line="288" w:lineRule="auto"/>
              <w:ind w:left="0"/>
              <w:jc w:val="left"/>
            </w:pPr>
            <w:r>
              <w:rPr>
                <w:rFonts w:ascii="Arial" w:hAnsi="Arial" w:eastAsia="等线" w:cs="Arial"/>
                <w:sz w:val="22"/>
              </w:rPr>
              <w:t>IV. They are not limited in size.</w:t>
            </w:r>
          </w:p>
          <w:p w14:paraId="22E68355">
            <w:pPr>
              <w:spacing w:before="120" w:after="120" w:line="288" w:lineRule="auto"/>
              <w:ind w:left="0"/>
              <w:jc w:val="left"/>
            </w:pPr>
            <w:r>
              <w:rPr>
                <w:rFonts w:ascii="Arial" w:hAnsi="Arial" w:eastAsia="等线" w:cs="Arial"/>
                <w:sz w:val="22"/>
              </w:rPr>
              <w:t>(A) I and III</w:t>
            </w:r>
          </w:p>
          <w:p w14:paraId="082C5B67">
            <w:pPr>
              <w:spacing w:before="120" w:after="120" w:line="288" w:lineRule="auto"/>
              <w:ind w:left="0"/>
              <w:jc w:val="left"/>
            </w:pPr>
            <w:r>
              <w:rPr>
                <w:rFonts w:ascii="Arial" w:hAnsi="Arial" w:eastAsia="等线" w:cs="Arial"/>
                <w:sz w:val="22"/>
              </w:rPr>
              <w:t>(B) I and IV</w:t>
            </w:r>
          </w:p>
          <w:p w14:paraId="732309A6">
            <w:pPr>
              <w:spacing w:before="120" w:after="120" w:line="288" w:lineRule="auto"/>
              <w:ind w:left="0"/>
              <w:jc w:val="left"/>
            </w:pPr>
            <w:r>
              <w:rPr>
                <w:rFonts w:ascii="Arial" w:hAnsi="Arial" w:eastAsia="等线" w:cs="Arial"/>
                <w:sz w:val="22"/>
              </w:rPr>
              <w:t>(C) II and III</w:t>
            </w:r>
          </w:p>
          <w:p w14:paraId="1685F2F6">
            <w:pPr>
              <w:spacing w:before="120" w:after="120" w:line="288" w:lineRule="auto"/>
              <w:ind w:left="0"/>
              <w:jc w:val="left"/>
            </w:pPr>
            <w:r>
              <w:rPr>
                <w:rFonts w:ascii="Arial" w:hAnsi="Arial" w:eastAsia="等线" w:cs="Arial"/>
                <w:sz w:val="22"/>
              </w:rPr>
              <w:t>(D) II and IV</w:t>
            </w:r>
          </w:p>
          <w:p w14:paraId="095DEEE0">
            <w:pPr>
              <w:spacing w:before="120" w:after="120" w:line="288" w:lineRule="auto"/>
              <w:ind w:left="0"/>
              <w:jc w:val="left"/>
            </w:pPr>
          </w:p>
          <w:p w14:paraId="5F13FA2F">
            <w:pPr>
              <w:numPr>
                <w:ilvl w:val="0"/>
                <w:numId w:val="103"/>
              </w:numPr>
              <w:spacing w:before="120" w:after="120" w:line="288" w:lineRule="auto"/>
              <w:ind w:left="0"/>
              <w:jc w:val="left"/>
            </w:pPr>
            <w:r>
              <w:rPr>
                <w:rFonts w:ascii="Arial" w:hAnsi="Arial" w:eastAsia="等线" w:cs="Arial"/>
                <w:sz w:val="22"/>
              </w:rPr>
              <w:t>Which of the following order features allows for partial execution?</w:t>
            </w:r>
          </w:p>
          <w:p w14:paraId="5629A5B1">
            <w:pPr>
              <w:spacing w:before="120" w:after="120" w:line="288" w:lineRule="auto"/>
              <w:ind w:left="0"/>
              <w:jc w:val="left"/>
            </w:pPr>
            <w:r>
              <w:rPr>
                <w:rFonts w:ascii="Arial" w:hAnsi="Arial" w:eastAsia="等线" w:cs="Arial"/>
                <w:sz w:val="22"/>
              </w:rPr>
              <w:t>(A) Sell 2,500 shares at $18.10 and buy 2,000 shares at $18.30</w:t>
            </w:r>
          </w:p>
          <w:p w14:paraId="6351C2F1">
            <w:pPr>
              <w:spacing w:before="120" w:after="120" w:line="288" w:lineRule="auto"/>
              <w:ind w:left="0"/>
              <w:jc w:val="left"/>
            </w:pPr>
            <w:r>
              <w:rPr>
                <w:rFonts w:ascii="Arial" w:hAnsi="Arial" w:eastAsia="等线" w:cs="Arial"/>
                <w:sz w:val="22"/>
              </w:rPr>
              <w:t>(B) Buy 2,000 shares at $18.10 and sell 2,500 shares at $18.30</w:t>
            </w:r>
          </w:p>
          <w:p w14:paraId="3B947AC8">
            <w:pPr>
              <w:spacing w:before="120" w:after="120" w:line="288" w:lineRule="auto"/>
              <w:ind w:left="0"/>
              <w:jc w:val="left"/>
            </w:pPr>
            <w:r>
              <w:rPr>
                <w:rFonts w:ascii="Arial" w:hAnsi="Arial" w:eastAsia="等线" w:cs="Arial"/>
                <w:sz w:val="22"/>
              </w:rPr>
              <w:t>(C) Sell 250 shares at $18.10 and buy 200 shares at $18.30</w:t>
            </w:r>
          </w:p>
          <w:p w14:paraId="67B8CCEE">
            <w:pPr>
              <w:spacing w:before="120" w:after="120" w:line="288" w:lineRule="auto"/>
              <w:ind w:left="0"/>
              <w:jc w:val="left"/>
            </w:pPr>
            <w:r>
              <w:rPr>
                <w:rFonts w:ascii="Arial" w:hAnsi="Arial" w:eastAsia="等线" w:cs="Arial"/>
                <w:sz w:val="22"/>
              </w:rPr>
              <w:t>(D) Buy 200 shares at $18.10 and sell 250 shares at $18.30</w:t>
            </w:r>
          </w:p>
          <w:p w14:paraId="349A5141">
            <w:pPr>
              <w:spacing w:before="120" w:after="120" w:line="288" w:lineRule="auto"/>
              <w:ind w:left="0"/>
              <w:jc w:val="left"/>
            </w:pPr>
          </w:p>
          <w:p w14:paraId="210D42A9">
            <w:pPr>
              <w:numPr>
                <w:ilvl w:val="0"/>
                <w:numId w:val="104"/>
              </w:numPr>
              <w:spacing w:before="120" w:after="120" w:line="288" w:lineRule="auto"/>
              <w:ind w:left="0"/>
              <w:jc w:val="left"/>
            </w:pPr>
            <w:r>
              <w:rPr>
                <w:rFonts w:ascii="Arial" w:hAnsi="Arial" w:eastAsia="等线" w:cs="Arial"/>
                <w:sz w:val="22"/>
              </w:rPr>
              <w:t>Mary and John have been married for several years. They have a combined income that has</w:t>
            </w:r>
          </w:p>
          <w:p w14:paraId="0A292D3F">
            <w:pPr>
              <w:spacing w:before="120" w:after="120" w:line="288" w:lineRule="auto"/>
              <w:ind w:left="0"/>
              <w:jc w:val="left"/>
            </w:pPr>
            <w:r>
              <w:rPr>
                <w:rFonts w:ascii="Arial" w:hAnsi="Arial" w:eastAsia="等线" w:cs="Arial"/>
                <w:sz w:val="22"/>
              </w:rPr>
              <w:t>exceeded $300,000 per year for the last four years and is expected to at least be that much for</w:t>
            </w:r>
          </w:p>
          <w:p w14:paraId="01B8A1FB">
            <w:pPr>
              <w:spacing w:before="120" w:after="120" w:line="288" w:lineRule="auto"/>
              <w:ind w:left="0"/>
              <w:jc w:val="left"/>
            </w:pPr>
            <w:r>
              <w:rPr>
                <w:rFonts w:ascii="Arial" w:hAnsi="Arial" w:eastAsia="等线" w:cs="Arial"/>
                <w:sz w:val="22"/>
              </w:rPr>
              <w:t>the current year. They would be considered a(n)</w:t>
            </w:r>
          </w:p>
          <w:p w14:paraId="00072FAC">
            <w:pPr>
              <w:spacing w:before="120" w:after="120" w:line="288" w:lineRule="auto"/>
              <w:ind w:left="0"/>
              <w:jc w:val="left"/>
            </w:pPr>
            <w:r>
              <w:rPr>
                <w:rFonts w:ascii="Arial" w:hAnsi="Arial" w:eastAsia="等线" w:cs="Arial"/>
                <w:sz w:val="22"/>
              </w:rPr>
              <w:t>(A) qualified institutional buyer (QIB)</w:t>
            </w:r>
          </w:p>
          <w:p w14:paraId="783A067E">
            <w:pPr>
              <w:spacing w:before="120" w:after="120" w:line="288" w:lineRule="auto"/>
              <w:ind w:left="0"/>
              <w:jc w:val="left"/>
            </w:pPr>
            <w:r>
              <w:rPr>
                <w:rFonts w:ascii="Arial" w:hAnsi="Arial" w:eastAsia="等线" w:cs="Arial"/>
                <w:sz w:val="22"/>
              </w:rPr>
              <w:t>(B) accredited investor</w:t>
            </w:r>
          </w:p>
          <w:p w14:paraId="4E4F62D3">
            <w:pPr>
              <w:spacing w:before="120" w:after="120" w:line="288" w:lineRule="auto"/>
              <w:ind w:left="0"/>
              <w:jc w:val="left"/>
            </w:pPr>
            <w:r>
              <w:rPr>
                <w:rFonts w:ascii="Arial" w:hAnsi="Arial" w:eastAsia="等线" w:cs="Arial"/>
                <w:sz w:val="22"/>
              </w:rPr>
              <w:t>(C) institutional investor</w:t>
            </w:r>
          </w:p>
          <w:p w14:paraId="7A2B7683">
            <w:pPr>
              <w:spacing w:before="120" w:after="120" w:line="288" w:lineRule="auto"/>
              <w:ind w:left="0"/>
              <w:jc w:val="left"/>
            </w:pPr>
            <w:r>
              <w:rPr>
                <w:rFonts w:ascii="Arial" w:hAnsi="Arial" w:eastAsia="等线" w:cs="Arial"/>
                <w:sz w:val="22"/>
              </w:rPr>
              <w:t>(D) bank qualified investor</w:t>
            </w:r>
          </w:p>
          <w:p w14:paraId="76B0F0E5">
            <w:pPr>
              <w:spacing w:before="120" w:after="120" w:line="288" w:lineRule="auto"/>
              <w:ind w:left="0"/>
              <w:jc w:val="left"/>
            </w:pPr>
          </w:p>
          <w:p w14:paraId="18199116">
            <w:pPr>
              <w:numPr>
                <w:ilvl w:val="0"/>
                <w:numId w:val="105"/>
              </w:numPr>
              <w:spacing w:before="120" w:after="120" w:line="288" w:lineRule="auto"/>
              <w:ind w:left="0"/>
              <w:jc w:val="left"/>
            </w:pPr>
            <w:r>
              <w:rPr>
                <w:rFonts w:ascii="Arial" w:hAnsi="Arial" w:eastAsia="等线" w:cs="Arial"/>
                <w:sz w:val="22"/>
              </w:rPr>
              <w:t>WXY Broker-Dealer charges a commission on a securities transaction. WXY Broker-Dealer has</w:t>
            </w:r>
          </w:p>
          <w:p w14:paraId="5ADC8AB4">
            <w:pPr>
              <w:spacing w:before="120" w:after="120" w:line="288" w:lineRule="auto"/>
              <w:ind w:left="0"/>
              <w:jc w:val="left"/>
            </w:pPr>
            <w:r>
              <w:rPr>
                <w:rFonts w:ascii="Arial" w:hAnsi="Arial" w:eastAsia="等线" w:cs="Arial"/>
                <w:sz w:val="22"/>
              </w:rPr>
              <w:t>acted as a(n)</w:t>
            </w:r>
          </w:p>
          <w:p w14:paraId="1D1B2A9A">
            <w:pPr>
              <w:spacing w:before="120" w:after="120" w:line="288" w:lineRule="auto"/>
              <w:ind w:left="0"/>
              <w:jc w:val="left"/>
            </w:pPr>
            <w:r>
              <w:rPr>
                <w:rFonts w:ascii="Arial" w:hAnsi="Arial" w:eastAsia="等线" w:cs="Arial"/>
                <w:sz w:val="22"/>
              </w:rPr>
              <w:t>(A) agent</w:t>
            </w:r>
          </w:p>
          <w:p w14:paraId="63C894E4">
            <w:pPr>
              <w:spacing w:before="120" w:after="120" w:line="288" w:lineRule="auto"/>
              <w:ind w:left="0"/>
              <w:jc w:val="left"/>
            </w:pPr>
            <w:r>
              <w:rPr>
                <w:rFonts w:ascii="Arial" w:hAnsi="Arial" w:eastAsia="等线" w:cs="Arial"/>
                <w:sz w:val="22"/>
              </w:rPr>
              <w:t>(B) principal</w:t>
            </w:r>
          </w:p>
          <w:p w14:paraId="5D7A3E87">
            <w:pPr>
              <w:spacing w:before="120" w:after="120" w:line="288" w:lineRule="auto"/>
              <w:ind w:left="0"/>
              <w:jc w:val="left"/>
            </w:pPr>
            <w:r>
              <w:rPr>
                <w:rFonts w:ascii="Arial" w:hAnsi="Arial" w:eastAsia="等线" w:cs="Arial"/>
                <w:sz w:val="22"/>
              </w:rPr>
              <w:t>(C) market maker</w:t>
            </w:r>
          </w:p>
          <w:p w14:paraId="29813E71">
            <w:pPr>
              <w:spacing w:before="120" w:after="120" w:line="288" w:lineRule="auto"/>
              <w:ind w:left="0"/>
              <w:jc w:val="left"/>
            </w:pPr>
            <w:r>
              <w:rPr>
                <w:rFonts w:ascii="Arial" w:hAnsi="Arial" w:eastAsia="等线" w:cs="Arial"/>
                <w:sz w:val="22"/>
              </w:rPr>
              <w:t>(D) dealer</w:t>
            </w:r>
          </w:p>
          <w:p w14:paraId="4DF53A7A">
            <w:pPr>
              <w:spacing w:before="120" w:after="120" w:line="288" w:lineRule="auto"/>
              <w:ind w:left="0"/>
              <w:jc w:val="left"/>
            </w:pPr>
          </w:p>
          <w:p w14:paraId="3A91D96B">
            <w:pPr>
              <w:numPr>
                <w:ilvl w:val="0"/>
                <w:numId w:val="106"/>
              </w:numPr>
              <w:spacing w:before="120" w:after="120" w:line="288" w:lineRule="auto"/>
              <w:ind w:left="0"/>
              <w:jc w:val="left"/>
            </w:pPr>
            <w:r>
              <w:rPr>
                <w:rFonts w:ascii="Arial" w:hAnsi="Arial" w:eastAsia="等线" w:cs="Arial"/>
                <w:sz w:val="22"/>
              </w:rPr>
              <w:t>“Spread” in the over-the-counter (OTC) market refers to the difference between the</w:t>
            </w:r>
          </w:p>
          <w:p w14:paraId="5FE98E36">
            <w:pPr>
              <w:spacing w:before="120" w:after="120" w:line="288" w:lineRule="auto"/>
              <w:ind w:left="0"/>
              <w:jc w:val="left"/>
            </w:pPr>
            <w:r>
              <w:rPr>
                <w:rFonts w:ascii="Arial" w:hAnsi="Arial" w:eastAsia="等线" w:cs="Arial"/>
                <w:sz w:val="22"/>
              </w:rPr>
              <w:t>(A) highest bid and lowest ask price</w:t>
            </w:r>
          </w:p>
          <w:p w14:paraId="070E9DFD">
            <w:pPr>
              <w:spacing w:before="120" w:after="120" w:line="288" w:lineRule="auto"/>
              <w:ind w:left="0"/>
              <w:jc w:val="left"/>
            </w:pPr>
            <w:r>
              <w:rPr>
                <w:rFonts w:ascii="Arial" w:hAnsi="Arial" w:eastAsia="等线" w:cs="Arial"/>
                <w:sz w:val="22"/>
              </w:rPr>
              <w:t>(B) lowest offer price and highest ask price</w:t>
            </w:r>
          </w:p>
          <w:p w14:paraId="76F58CDF">
            <w:pPr>
              <w:spacing w:before="120" w:after="120" w:line="288" w:lineRule="auto"/>
              <w:ind w:left="0"/>
              <w:jc w:val="left"/>
            </w:pPr>
            <w:r>
              <w:rPr>
                <w:rFonts w:ascii="Arial" w:hAnsi="Arial" w:eastAsia="等线" w:cs="Arial"/>
                <w:sz w:val="22"/>
              </w:rPr>
              <w:t>(C) the opening and closing prices of a particular security</w:t>
            </w:r>
          </w:p>
          <w:p w14:paraId="4EC479E6">
            <w:pPr>
              <w:spacing w:before="120" w:after="120" w:line="288" w:lineRule="auto"/>
              <w:ind w:left="0"/>
              <w:jc w:val="left"/>
            </w:pPr>
            <w:r>
              <w:rPr>
                <w:rFonts w:ascii="Arial" w:hAnsi="Arial" w:eastAsia="等线" w:cs="Arial"/>
                <w:sz w:val="22"/>
              </w:rPr>
              <w:t>(D) the “when issued” ask price</w:t>
            </w:r>
          </w:p>
          <w:p w14:paraId="2D631F5D">
            <w:pPr>
              <w:spacing w:before="120" w:after="120" w:line="288" w:lineRule="auto"/>
              <w:ind w:left="0"/>
              <w:jc w:val="left"/>
            </w:pPr>
          </w:p>
          <w:p w14:paraId="046A7B06">
            <w:pPr>
              <w:numPr>
                <w:ilvl w:val="0"/>
                <w:numId w:val="107"/>
              </w:numPr>
              <w:spacing w:before="120" w:after="120" w:line="288" w:lineRule="auto"/>
              <w:ind w:left="0"/>
              <w:jc w:val="left"/>
            </w:pPr>
            <w:r>
              <w:rPr>
                <w:rFonts w:ascii="Arial" w:hAnsi="Arial" w:eastAsia="等线" w:cs="Arial"/>
                <w:sz w:val="22"/>
              </w:rPr>
              <w:t>Marvin Plimpton is an associated person but is not a licensed registered representative. Which</w:t>
            </w:r>
          </w:p>
          <w:p w14:paraId="49D2DF60">
            <w:pPr>
              <w:spacing w:before="120" w:after="120" w:line="288" w:lineRule="auto"/>
              <w:ind w:left="0"/>
              <w:jc w:val="left"/>
            </w:pPr>
            <w:r>
              <w:rPr>
                <w:rFonts w:ascii="Arial" w:hAnsi="Arial" w:eastAsia="等线" w:cs="Arial"/>
                <w:sz w:val="22"/>
              </w:rPr>
              <w:t>of the following activities is Marvin permitted to engage in?</w:t>
            </w:r>
          </w:p>
          <w:p w14:paraId="2F7134AA">
            <w:pPr>
              <w:spacing w:before="120" w:after="120" w:line="288" w:lineRule="auto"/>
              <w:ind w:left="0"/>
              <w:jc w:val="left"/>
            </w:pPr>
            <w:r>
              <w:rPr>
                <w:rFonts w:ascii="Arial" w:hAnsi="Arial" w:eastAsia="等线" w:cs="Arial"/>
                <w:sz w:val="22"/>
              </w:rPr>
              <w:t>(A) Accepting unsolicited orders from a customer who resides in the same state</w:t>
            </w:r>
          </w:p>
          <w:p w14:paraId="5BA0366E">
            <w:pPr>
              <w:spacing w:before="120" w:after="120" w:line="288" w:lineRule="auto"/>
              <w:ind w:left="0"/>
              <w:jc w:val="left"/>
            </w:pPr>
            <w:r>
              <w:rPr>
                <w:rFonts w:ascii="Arial" w:hAnsi="Arial" w:eastAsia="等线" w:cs="Arial"/>
                <w:sz w:val="22"/>
              </w:rPr>
              <w:t>(B) Discussing the plusses and minuses of a particular investment to an existing customer of</w:t>
            </w:r>
          </w:p>
          <w:p w14:paraId="60186F3A">
            <w:pPr>
              <w:spacing w:before="120" w:after="120" w:line="288" w:lineRule="auto"/>
              <w:ind w:left="0"/>
              <w:jc w:val="left"/>
            </w:pPr>
            <w:r>
              <w:rPr>
                <w:rFonts w:ascii="Arial" w:hAnsi="Arial" w:eastAsia="等线" w:cs="Arial"/>
                <w:sz w:val="22"/>
              </w:rPr>
              <w:t>the firm</w:t>
            </w:r>
          </w:p>
          <w:p w14:paraId="5E5E81C5">
            <w:pPr>
              <w:spacing w:before="120" w:after="120" w:line="288" w:lineRule="auto"/>
              <w:ind w:left="0"/>
              <w:jc w:val="left"/>
            </w:pPr>
            <w:r>
              <w:rPr>
                <w:rFonts w:ascii="Arial" w:hAnsi="Arial" w:eastAsia="等线" w:cs="Arial"/>
                <w:sz w:val="22"/>
              </w:rPr>
              <w:t>(C) Forwarding account opening forms to a new customer</w:t>
            </w:r>
          </w:p>
          <w:p w14:paraId="36FB25E4">
            <w:pPr>
              <w:spacing w:before="120" w:after="120" w:line="288" w:lineRule="auto"/>
              <w:ind w:left="0"/>
              <w:jc w:val="left"/>
            </w:pPr>
            <w:r>
              <w:rPr>
                <w:rFonts w:ascii="Arial" w:hAnsi="Arial" w:eastAsia="等线" w:cs="Arial"/>
                <w:sz w:val="22"/>
              </w:rPr>
              <w:t>(D) Discussing investment objectives with a potential customer prior to handing the customer</w:t>
            </w:r>
          </w:p>
          <w:p w14:paraId="30493A69">
            <w:pPr>
              <w:spacing w:before="120" w:after="120" w:line="288" w:lineRule="auto"/>
              <w:ind w:left="0"/>
              <w:jc w:val="left"/>
            </w:pPr>
            <w:r>
              <w:rPr>
                <w:rFonts w:ascii="Arial" w:hAnsi="Arial" w:eastAsia="等线" w:cs="Arial"/>
                <w:sz w:val="22"/>
              </w:rPr>
              <w:t>over to a licensed registered representative</w:t>
            </w:r>
          </w:p>
          <w:p w14:paraId="08D72FD8">
            <w:pPr>
              <w:spacing w:before="120" w:after="120" w:line="288" w:lineRule="auto"/>
              <w:ind w:left="0"/>
              <w:jc w:val="left"/>
            </w:pPr>
          </w:p>
        </w:tc>
      </w:tr>
    </w:tbl>
    <w:p w14:paraId="1B1FCB0C"/>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36C70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1F9B1F32">
            <w:pPr>
              <w:numPr>
                <w:ilvl w:val="0"/>
                <w:numId w:val="108"/>
              </w:numPr>
              <w:spacing w:before="120" w:after="120" w:line="288" w:lineRule="auto"/>
              <w:ind w:left="0"/>
              <w:jc w:val="left"/>
            </w:pPr>
            <w:r>
              <w:rPr>
                <w:rFonts w:ascii="Arial" w:hAnsi="Arial" w:eastAsia="等线" w:cs="Arial"/>
                <w:sz w:val="22"/>
              </w:rPr>
              <w:t>B.</w:t>
            </w:r>
          </w:p>
          <w:p w14:paraId="494F0249">
            <w:pPr>
              <w:spacing w:before="120" w:after="120" w:line="288" w:lineRule="auto"/>
              <w:ind w:left="0"/>
              <w:jc w:val="left"/>
            </w:pPr>
            <w:r>
              <w:rPr>
                <w:rFonts w:ascii="Arial" w:hAnsi="Arial" w:eastAsia="等线" w:cs="Arial"/>
                <w:sz w:val="22"/>
              </w:rPr>
              <w:t>Most brokerage firms are broker–dealers, meaning that they act as a middleman and deal out of their own inventory. When acting as a broker, a firm is buying or selling a security for a customer through another dealer. If executing a trade as a broker, the firm charges the customer a commission. Firms also act as dealers if they are buying and selling out of their own inventory. If acting as a dealer, the firm charges a markup when the customer buys and a markdown when the customer sells.</w:t>
            </w:r>
          </w:p>
          <w:p w14:paraId="7C4339EE">
            <w:pPr>
              <w:spacing w:before="120" w:after="120" w:line="288" w:lineRule="auto"/>
              <w:ind w:left="0"/>
              <w:jc w:val="left"/>
            </w:pPr>
            <w:r>
              <w:rPr>
                <w:rFonts w:ascii="Arial" w:hAnsi="Arial" w:eastAsia="等线" w:cs="Arial"/>
                <w:sz w:val="22"/>
              </w:rPr>
              <w:t>大多数经纪公司属于经纪交易商，这意味着它们既充当中间商，也通过自有库存进行交易。当充当经纪商时，公司会通过另一家交易商为客户买卖证券。如果以经纪商身份执行交易，公司会向客户收取佣金。如果公司通过自有库存进行买卖，它们也会充当交易商。若以交易商身份行事，公司会在客户买入时收取加价，在客户卖出时收取减价。</w:t>
            </w:r>
          </w:p>
          <w:p w14:paraId="0039D13B">
            <w:pPr>
              <w:spacing w:before="120" w:after="120" w:line="288" w:lineRule="auto"/>
              <w:ind w:left="0"/>
              <w:jc w:val="left"/>
            </w:pPr>
          </w:p>
          <w:p w14:paraId="6E0D0DB5">
            <w:pPr>
              <w:numPr>
                <w:ilvl w:val="0"/>
                <w:numId w:val="109"/>
              </w:numPr>
              <w:spacing w:before="120" w:after="120" w:line="288" w:lineRule="auto"/>
              <w:ind w:left="0"/>
              <w:jc w:val="left"/>
            </w:pPr>
            <w:r>
              <w:rPr>
                <w:rFonts w:ascii="Arial" w:hAnsi="Arial" w:eastAsia="等线" w:cs="Arial"/>
                <w:sz w:val="22"/>
              </w:rPr>
              <w:t>A</w:t>
            </w:r>
          </w:p>
          <w:p w14:paraId="6CD6E314">
            <w:pPr>
              <w:spacing w:before="120" w:after="120" w:line="288" w:lineRule="auto"/>
              <w:ind w:left="0"/>
              <w:jc w:val="left"/>
            </w:pPr>
            <w:r>
              <w:rPr>
                <w:rFonts w:ascii="Arial" w:hAnsi="Arial" w:eastAsia="等线" w:cs="Arial"/>
                <w:sz w:val="22"/>
              </w:rPr>
              <w:t>A third market trade is a trade of exchange-listed securities trading OTC. This type of trade takes place all the time.</w:t>
            </w:r>
          </w:p>
          <w:p w14:paraId="5F5C5D53">
            <w:pPr>
              <w:spacing w:before="120" w:after="120" w:line="288" w:lineRule="auto"/>
              <w:ind w:left="0"/>
              <w:jc w:val="left"/>
            </w:pPr>
            <w:r>
              <w:rPr>
                <w:rFonts w:ascii="Arial" w:hAnsi="Arial" w:eastAsia="等线" w:cs="Arial"/>
                <w:sz w:val="22"/>
              </w:rPr>
              <w:t>第三市场交易是指在交易所上市的证券在场外进行的交易。这种交易一直在发生。</w:t>
            </w:r>
          </w:p>
          <w:p w14:paraId="75581A55">
            <w:pPr>
              <w:spacing w:before="120" w:after="120" w:line="288" w:lineRule="auto"/>
              <w:ind w:left="0"/>
              <w:jc w:val="left"/>
            </w:pPr>
          </w:p>
          <w:p w14:paraId="06971AEB">
            <w:pPr>
              <w:numPr>
                <w:ilvl w:val="0"/>
                <w:numId w:val="110"/>
              </w:numPr>
              <w:spacing w:before="120" w:after="120" w:line="288" w:lineRule="auto"/>
              <w:ind w:left="0"/>
              <w:jc w:val="left"/>
            </w:pPr>
            <w:r>
              <w:rPr>
                <w:rFonts w:ascii="Arial" w:hAnsi="Arial" w:eastAsia="等线" w:cs="Arial"/>
                <w:sz w:val="22"/>
              </w:rPr>
              <w:t>C</w:t>
            </w:r>
          </w:p>
          <w:p w14:paraId="508CBDB2">
            <w:pPr>
              <w:spacing w:before="120" w:after="120" w:line="288" w:lineRule="auto"/>
              <w:ind w:left="0"/>
              <w:jc w:val="left"/>
            </w:pPr>
            <w:r>
              <w:rPr>
                <w:rFonts w:ascii="Arial" w:hAnsi="Arial" w:eastAsia="等线" w:cs="Arial"/>
                <w:sz w:val="22"/>
              </w:rPr>
              <w:t>Remember, stop orders are used for protection. So, in this case, you’re looking for a stop order. Because the investor is short the security, they would have to buy themselves out of that position if the price of the security went in the wrong direction (up in this case). To protect a short position, an investor could enter a buy stop order.</w:t>
            </w:r>
          </w:p>
          <w:p w14:paraId="369C05E5">
            <w:pPr>
              <w:spacing w:before="120" w:after="120" w:line="288" w:lineRule="auto"/>
              <w:ind w:left="0"/>
              <w:jc w:val="left"/>
            </w:pPr>
            <w:r>
              <w:rPr>
                <w:rFonts w:ascii="Arial" w:hAnsi="Arial" w:eastAsia="等线" w:cs="Arial"/>
                <w:sz w:val="22"/>
              </w:rPr>
              <w:t>记住，止损单是用来保护的。在这种情况下，你要找的是止损指令。由于投资者做空该证券，如果该证券的价格出现错误的方向（在这种情况下是上涨），他们将不得不自己买空该头寸。为了保护空头头寸，投资者可以输入买入止损单。</w:t>
            </w:r>
          </w:p>
          <w:p w14:paraId="462CE4DB">
            <w:pPr>
              <w:spacing w:before="120" w:after="120" w:line="288" w:lineRule="auto"/>
              <w:ind w:left="0"/>
              <w:jc w:val="left"/>
            </w:pPr>
          </w:p>
          <w:p w14:paraId="74026C95">
            <w:pPr>
              <w:numPr>
                <w:ilvl w:val="0"/>
                <w:numId w:val="111"/>
              </w:numPr>
              <w:spacing w:before="120" w:after="120" w:line="288" w:lineRule="auto"/>
              <w:ind w:left="0"/>
              <w:jc w:val="left"/>
            </w:pPr>
            <w:r>
              <w:rPr>
                <w:rFonts w:ascii="Arial" w:hAnsi="Arial" w:eastAsia="等线" w:cs="Arial"/>
                <w:sz w:val="22"/>
              </w:rPr>
              <w:t>A</w:t>
            </w:r>
          </w:p>
          <w:p w14:paraId="4EA9C017">
            <w:pPr>
              <w:spacing w:before="120" w:after="120" w:line="288" w:lineRule="auto"/>
              <w:ind w:left="0"/>
              <w:jc w:val="left"/>
            </w:pPr>
            <w:r>
              <w:rPr>
                <w:rFonts w:ascii="Arial" w:hAnsi="Arial" w:eastAsia="等线" w:cs="Arial"/>
                <w:sz w:val="22"/>
              </w:rPr>
              <w:t>At-the-open orders must be executed at the opening price; otherwise, the order must be cancelled. At-the-open orders allow for partial execution.</w:t>
            </w:r>
          </w:p>
          <w:p w14:paraId="16965E2D">
            <w:pPr>
              <w:spacing w:before="120" w:after="120" w:line="288" w:lineRule="auto"/>
              <w:ind w:left="0"/>
              <w:jc w:val="left"/>
            </w:pPr>
            <w:r>
              <w:rPr>
                <w:rFonts w:ascii="Arial" w:hAnsi="Arial" w:eastAsia="等线" w:cs="Arial"/>
                <w:sz w:val="22"/>
              </w:rPr>
              <w:t>开盘指令必须以开盘价执行；否则，该指令必须被取消。开盘指令允许部分执行。</w:t>
            </w:r>
          </w:p>
          <w:p w14:paraId="760AE72A">
            <w:pPr>
              <w:spacing w:before="120" w:after="120" w:line="288" w:lineRule="auto"/>
              <w:ind w:left="0"/>
              <w:jc w:val="left"/>
            </w:pPr>
          </w:p>
          <w:p w14:paraId="6DC63308">
            <w:pPr>
              <w:numPr>
                <w:ilvl w:val="0"/>
                <w:numId w:val="112"/>
              </w:numPr>
              <w:spacing w:before="120" w:after="120" w:line="288" w:lineRule="auto"/>
              <w:ind w:left="0"/>
              <w:jc w:val="left"/>
            </w:pPr>
            <w:r>
              <w:rPr>
                <w:rFonts w:ascii="Arial" w:hAnsi="Arial" w:eastAsia="等线" w:cs="Arial"/>
                <w:sz w:val="22"/>
              </w:rPr>
              <w:t>B</w:t>
            </w:r>
          </w:p>
          <w:p w14:paraId="46311388">
            <w:pPr>
              <w:spacing w:before="120" w:after="120" w:line="288" w:lineRule="auto"/>
              <w:ind w:left="0"/>
              <w:jc w:val="left"/>
            </w:pPr>
            <w:r>
              <w:rPr>
                <w:rFonts w:ascii="Arial" w:hAnsi="Arial" w:eastAsia="等线" w:cs="Arial"/>
                <w:sz w:val="22"/>
              </w:rPr>
              <w:t>Because this investor would like to purchase the stock at a particular price or better and is not currently short the stock, you should enter a buy limit order for ABC common stock at $28.</w:t>
            </w:r>
          </w:p>
          <w:p w14:paraId="35C56BA5">
            <w:pPr>
              <w:spacing w:before="120" w:after="120" w:line="288" w:lineRule="auto"/>
              <w:ind w:left="0"/>
              <w:jc w:val="left"/>
            </w:pPr>
            <w:r>
              <w:rPr>
                <w:rFonts w:ascii="Arial" w:hAnsi="Arial" w:eastAsia="等线" w:cs="Arial"/>
                <w:sz w:val="22"/>
              </w:rPr>
              <w:t>因为这位投资者希望以特定价格或更低价格购买该股票，且目前并未做空该股票，所以你应该以28美元的价格为ABC普通股下达限价买入指令。</w:t>
            </w:r>
          </w:p>
          <w:p w14:paraId="68E1869B">
            <w:pPr>
              <w:spacing w:before="120" w:after="120" w:line="288" w:lineRule="auto"/>
              <w:ind w:left="0"/>
              <w:jc w:val="left"/>
            </w:pPr>
          </w:p>
          <w:p w14:paraId="02F8F8E1">
            <w:pPr>
              <w:numPr>
                <w:ilvl w:val="0"/>
                <w:numId w:val="113"/>
              </w:numPr>
              <w:spacing w:before="120" w:after="120" w:line="288" w:lineRule="auto"/>
              <w:ind w:left="0"/>
              <w:jc w:val="left"/>
            </w:pPr>
            <w:r>
              <w:rPr>
                <w:rFonts w:ascii="Arial" w:hAnsi="Arial" w:eastAsia="等线" w:cs="Arial"/>
                <w:sz w:val="22"/>
              </w:rPr>
              <w:t>D</w:t>
            </w:r>
          </w:p>
          <w:p w14:paraId="625B3FE0">
            <w:pPr>
              <w:spacing w:before="120" w:after="120" w:line="288" w:lineRule="auto"/>
              <w:ind w:left="0"/>
              <w:jc w:val="left"/>
            </w:pPr>
            <w:r>
              <w:rPr>
                <w:rFonts w:ascii="Arial" w:hAnsi="Arial" w:eastAsia="等线" w:cs="Arial"/>
                <w:sz w:val="22"/>
              </w:rPr>
              <w:t>Actually, all of the choices listed are considered accredited investors. Accredited investors are able to handle more financial risk than average investors.</w:t>
            </w:r>
          </w:p>
          <w:p w14:paraId="22698B54">
            <w:pPr>
              <w:spacing w:before="120" w:after="120" w:line="288" w:lineRule="auto"/>
              <w:ind w:left="0"/>
              <w:jc w:val="left"/>
            </w:pPr>
            <w:r>
              <w:rPr>
                <w:rFonts w:ascii="Arial" w:hAnsi="Arial" w:eastAsia="等线" w:cs="Arial"/>
                <w:sz w:val="22"/>
              </w:rPr>
              <w:t>实际上，所有的选择都被认为是合格的投资者。合格投资者比普通投资者能够处理更多的金融风险。</w:t>
            </w:r>
          </w:p>
          <w:p w14:paraId="5136170E">
            <w:pPr>
              <w:spacing w:before="120" w:after="120" w:line="288" w:lineRule="auto"/>
              <w:ind w:left="0"/>
              <w:jc w:val="left"/>
            </w:pPr>
          </w:p>
          <w:p w14:paraId="669BC4C1">
            <w:pPr>
              <w:numPr>
                <w:ilvl w:val="0"/>
                <w:numId w:val="114"/>
              </w:numPr>
              <w:spacing w:before="120" w:after="120" w:line="288" w:lineRule="auto"/>
              <w:ind w:left="0"/>
              <w:jc w:val="left"/>
            </w:pPr>
            <w:r>
              <w:rPr>
                <w:rFonts w:ascii="Arial" w:hAnsi="Arial" w:eastAsia="等线" w:cs="Arial"/>
                <w:sz w:val="22"/>
              </w:rPr>
              <w:t>D</w:t>
            </w:r>
          </w:p>
          <w:p w14:paraId="20E50529">
            <w:pPr>
              <w:spacing w:before="120" w:after="120" w:line="288" w:lineRule="auto"/>
              <w:ind w:left="0"/>
              <w:jc w:val="left"/>
            </w:pPr>
            <w:r>
              <w:rPr>
                <w:rFonts w:ascii="Arial" w:hAnsi="Arial" w:eastAsia="等线" w:cs="Arial"/>
                <w:sz w:val="22"/>
              </w:rPr>
              <w:t>Short sellers are bearish because they want the price of the security they’re purchasing to decrease. Because short sellers can lose money if the price of the security increases, their maximum loss potential is unlimited because there is nothing from keeping the price of the security from increasing more.</w:t>
            </w:r>
          </w:p>
          <w:p w14:paraId="4F25DE3E">
            <w:pPr>
              <w:spacing w:before="120" w:after="120" w:line="288" w:lineRule="auto"/>
              <w:ind w:left="0"/>
              <w:jc w:val="left"/>
            </w:pPr>
            <w:r>
              <w:rPr>
                <w:rFonts w:ascii="Arial" w:hAnsi="Arial" w:eastAsia="等线" w:cs="Arial"/>
                <w:sz w:val="22"/>
              </w:rPr>
              <w:t>卖空者是看空的，因为他们希望自己所购买的证券价格下跌。由于如果证券价格上涨，卖空者可能会亏损，而证券价格上涨的空间没有限制，所以他们的潜在最大损失是无限的。</w:t>
            </w:r>
          </w:p>
          <w:p w14:paraId="067EFC7B">
            <w:pPr>
              <w:spacing w:before="120" w:after="120" w:line="288" w:lineRule="auto"/>
              <w:ind w:left="0"/>
              <w:jc w:val="left"/>
            </w:pPr>
          </w:p>
          <w:p w14:paraId="567AEC6A">
            <w:pPr>
              <w:numPr>
                <w:ilvl w:val="0"/>
                <w:numId w:val="115"/>
              </w:numPr>
              <w:spacing w:before="120" w:after="120" w:line="288" w:lineRule="auto"/>
              <w:ind w:left="0"/>
              <w:jc w:val="left"/>
            </w:pPr>
            <w:r>
              <w:rPr>
                <w:rFonts w:ascii="Arial" w:hAnsi="Arial" w:eastAsia="等线" w:cs="Arial"/>
                <w:sz w:val="22"/>
              </w:rPr>
              <w:t>B</w:t>
            </w:r>
          </w:p>
          <w:p w14:paraId="028725FE">
            <w:pPr>
              <w:spacing w:before="120" w:after="120" w:line="288" w:lineRule="auto"/>
              <w:ind w:left="0"/>
              <w:jc w:val="left"/>
            </w:pPr>
            <w:r>
              <w:rPr>
                <w:rFonts w:ascii="Arial" w:hAnsi="Arial" w:eastAsia="等线" w:cs="Arial"/>
                <w:sz w:val="22"/>
              </w:rPr>
              <w:t>Not held orders have to do with the timing of an order. So, for not-held orders, the customer must agree to whether they want to buy, sell, or sell short a security as well as the number of shares. A not-held order is one in which the customer is giving you, their registered rep, discretion as to the time an order is placed. This may be a situation in which you think that you can get the customer a better price later in the day.</w:t>
            </w:r>
          </w:p>
          <w:p w14:paraId="67175B60">
            <w:pPr>
              <w:spacing w:before="120" w:after="120" w:line="288" w:lineRule="auto"/>
              <w:ind w:left="0"/>
              <w:jc w:val="left"/>
            </w:pPr>
            <w:r>
              <w:rPr>
                <w:rFonts w:ascii="Arial" w:hAnsi="Arial" w:eastAsia="等线" w:cs="Arial"/>
                <w:sz w:val="22"/>
              </w:rPr>
              <w:t>不持仓订单与订单的执行时机有关。因此，对于不持仓指令，客户必须确定他们是否要买入、卖出某一证券或卖空该证券，以及交易的股数。不持仓订单是指客户授予其注册代表在指令下达时间方面的自主处理权。这可能是一种你认为可以在当天晚些时候为客户争取到更优价格的情况。</w:t>
            </w:r>
          </w:p>
          <w:p w14:paraId="07F3C444">
            <w:pPr>
              <w:spacing w:before="120" w:after="120" w:line="288" w:lineRule="auto"/>
              <w:ind w:left="0"/>
              <w:jc w:val="left"/>
            </w:pPr>
          </w:p>
          <w:p w14:paraId="5A2F6214">
            <w:pPr>
              <w:numPr>
                <w:ilvl w:val="0"/>
                <w:numId w:val="116"/>
              </w:numPr>
              <w:spacing w:before="120" w:after="120" w:line="288" w:lineRule="auto"/>
              <w:ind w:left="0"/>
              <w:jc w:val="left"/>
            </w:pPr>
            <w:r>
              <w:rPr>
                <w:rFonts w:ascii="Arial" w:hAnsi="Arial" w:eastAsia="等线" w:cs="Arial"/>
                <w:sz w:val="22"/>
              </w:rPr>
              <w:t>C</w:t>
            </w:r>
          </w:p>
          <w:p w14:paraId="7C19EA8E">
            <w:pPr>
              <w:spacing w:before="120" w:after="120" w:line="288" w:lineRule="auto"/>
              <w:ind w:left="0"/>
              <w:jc w:val="left"/>
            </w:pPr>
            <w:r>
              <w:rPr>
                <w:rFonts w:ascii="Arial" w:hAnsi="Arial" w:eastAsia="等线" w:cs="Arial"/>
                <w:sz w:val="22"/>
              </w:rPr>
              <w:t>If you remember what the initials stand for, it makes the question a lot easier. FOK stands for fill or kill, which means that the entire order must be either filled immediately or killed (canceled). AON stands for all-or-none, which means that the entire order must be filled entirely (but not immediately) or none of the order gets executed. The one that allows for partial execution is an IOC (immediate or cancel) order, which means that the broker has to execute as much of the order as possible immediately and cancel the rest.</w:t>
            </w:r>
          </w:p>
          <w:p w14:paraId="29730895">
            <w:pPr>
              <w:spacing w:before="120" w:after="120" w:line="288" w:lineRule="auto"/>
              <w:ind w:left="0"/>
              <w:jc w:val="left"/>
            </w:pPr>
            <w:r>
              <w:rPr>
                <w:rFonts w:ascii="Arial" w:hAnsi="Arial" w:eastAsia="等线" w:cs="Arial"/>
                <w:sz w:val="22"/>
              </w:rPr>
              <w:t>如果你记得首字母代表什么，就会使问题容易得多。FOK代表填充或杀死，这意味着整个订单必须立即填充或杀死（取消）。AON代表全或无，这意味着必须完全完成整个订单（但不是立即），否则任何订单都不会执行。允许部分执行的订单是IOC（立即或取消）订单，这意味着代理必须立即执行尽可能多的订单并取消其余的订单。</w:t>
            </w:r>
          </w:p>
          <w:p w14:paraId="22EA4645">
            <w:pPr>
              <w:spacing w:before="120" w:after="120" w:line="288" w:lineRule="auto"/>
              <w:ind w:left="0"/>
              <w:jc w:val="left"/>
            </w:pPr>
          </w:p>
          <w:p w14:paraId="0FA27659">
            <w:pPr>
              <w:numPr>
                <w:ilvl w:val="0"/>
                <w:numId w:val="117"/>
              </w:numPr>
              <w:spacing w:before="120" w:after="120" w:line="288" w:lineRule="auto"/>
              <w:ind w:left="0"/>
              <w:jc w:val="left"/>
            </w:pPr>
            <w:r>
              <w:rPr>
                <w:rFonts w:ascii="Arial" w:hAnsi="Arial" w:eastAsia="等线" w:cs="Arial"/>
                <w:sz w:val="22"/>
              </w:rPr>
              <w:t>A</w:t>
            </w:r>
          </w:p>
          <w:p w14:paraId="5070986A">
            <w:pPr>
              <w:spacing w:before="120" w:after="120" w:line="288" w:lineRule="auto"/>
              <w:ind w:left="0"/>
              <w:jc w:val="left"/>
            </w:pPr>
            <w:r>
              <w:rPr>
                <w:rFonts w:ascii="Arial" w:hAnsi="Arial" w:eastAsia="等线" w:cs="Arial"/>
                <w:sz w:val="22"/>
              </w:rPr>
              <w:t>Remember, you’re looking for false answers to this question. Unsolicited orders are ones in which the investor tells the registered rep which securities they want to purchase, sell, or sell short. Although orders must be approved by a principal, they don’t have to be approved prior to the order being placed. In addition, there are no limits to the size of the order regarding unsolicited orders; they are only limited based on the investor’s ability to pay.</w:t>
            </w:r>
          </w:p>
          <w:p w14:paraId="00F83935">
            <w:pPr>
              <w:spacing w:before="120" w:after="120" w:line="288" w:lineRule="auto"/>
              <w:ind w:left="0"/>
              <w:jc w:val="left"/>
            </w:pPr>
            <w:r>
              <w:rPr>
                <w:rFonts w:ascii="Arial" w:hAnsi="Arial" w:eastAsia="等线" w:cs="Arial"/>
                <w:sz w:val="22"/>
              </w:rPr>
              <w:t>记住，对于这个问题，你要找的是错误的答案。非邀约订单是指投资者告知注册代表他们想要购买、出售或卖空哪些证券的订单。尽管订单必须经过负责人批准，但不必在下单前获得批准。此外，非邀约订单的规模没有限制，仅受投资者支付能力的限制。</w:t>
            </w:r>
          </w:p>
          <w:p w14:paraId="1E8ADDCD">
            <w:pPr>
              <w:spacing w:before="120" w:after="120" w:line="288" w:lineRule="auto"/>
              <w:ind w:left="0"/>
              <w:jc w:val="left"/>
            </w:pPr>
            <w:r>
              <w:rPr>
                <w:rFonts w:ascii="Arial" w:hAnsi="Arial" w:eastAsia="等线" w:cs="Arial"/>
                <w:sz w:val="22"/>
              </w:rPr>
              <w:br w:type="textWrapping"/>
            </w:r>
            <w:r>
              <w:rPr>
                <w:rFonts w:ascii="Arial" w:hAnsi="Arial" w:eastAsia="等线" w:cs="Arial"/>
                <w:sz w:val="22"/>
              </w:rPr>
              <w:t>11. B</w:t>
            </w:r>
          </w:p>
          <w:p w14:paraId="07924798">
            <w:pPr>
              <w:spacing w:before="120" w:after="120" w:line="288" w:lineRule="auto"/>
              <w:ind w:left="0"/>
              <w:jc w:val="left"/>
            </w:pPr>
            <w:r>
              <w:rPr>
                <w:rFonts w:ascii="Arial" w:hAnsi="Arial" w:eastAsia="等线" w:cs="Arial"/>
                <w:sz w:val="22"/>
              </w:rPr>
              <w:t>The first price (18.10) is the bid price (the price at which the market maker is willing to purchase the security). The second price (18.30) is the ask price that the market maker is willing to accept when selling the security. The “20x25” represents the number of round lots the market maker is willing to buy or sell. Unless told differently, a round lot is 100 shares. Therefore, the market maker is willing to buy up to 2,000 shares at $18.10 and sell up to 2,500 shares at $18.30.</w:t>
            </w:r>
          </w:p>
          <w:p w14:paraId="7A34F5F4">
            <w:pPr>
              <w:spacing w:before="120" w:after="120" w:line="288" w:lineRule="auto"/>
              <w:ind w:left="0"/>
              <w:jc w:val="left"/>
            </w:pPr>
            <w:r>
              <w:rPr>
                <w:rFonts w:ascii="Arial" w:hAnsi="Arial" w:eastAsia="等线" w:cs="Arial"/>
                <w:sz w:val="22"/>
              </w:rPr>
              <w:t>第一个价格（18.10美元）是买入价（做市商愿意购买证券的价格）。第二个价格（18.30）是做市商在出售证券时愿意接受的要价。“20x25”代表做市商愿意买入或卖出的整手手数。除非另有说明，否则一手是100股。因此，做市商愿意以18.10美元的价格买入最多2000股，并以18.30美元的价格卖出最多2500股。</w:t>
            </w:r>
          </w:p>
          <w:p w14:paraId="731B1E0A">
            <w:pPr>
              <w:spacing w:before="120" w:after="120" w:line="288" w:lineRule="auto"/>
              <w:ind w:left="0"/>
              <w:jc w:val="left"/>
            </w:pPr>
          </w:p>
          <w:p w14:paraId="7125AAB4">
            <w:pPr>
              <w:numPr>
                <w:ilvl w:val="0"/>
                <w:numId w:val="118"/>
              </w:numPr>
              <w:spacing w:before="120" w:after="120" w:line="288" w:lineRule="auto"/>
              <w:ind w:left="0"/>
              <w:jc w:val="left"/>
            </w:pPr>
            <w:r>
              <w:rPr>
                <w:rFonts w:ascii="Arial" w:hAnsi="Arial" w:eastAsia="等线" w:cs="Arial"/>
                <w:sz w:val="22"/>
              </w:rPr>
              <w:t>B</w:t>
            </w:r>
          </w:p>
          <w:p w14:paraId="6232C41E">
            <w:pPr>
              <w:spacing w:before="120" w:after="120" w:line="288" w:lineRule="auto"/>
              <w:ind w:left="0"/>
              <w:jc w:val="left"/>
            </w:pPr>
            <w:r>
              <w:rPr>
                <w:rFonts w:ascii="Arial" w:hAnsi="Arial" w:eastAsia="等线" w:cs="Arial"/>
                <w:sz w:val="22"/>
              </w:rPr>
              <w:t>As a married couple, accredited investors are ones that have a joint income of at least $300,000 for the previous two years and is expected to be at least $300,000 for the current year.</w:t>
            </w:r>
          </w:p>
          <w:p w14:paraId="53C254CE">
            <w:pPr>
              <w:spacing w:before="120" w:after="120" w:line="288" w:lineRule="auto"/>
              <w:ind w:left="0"/>
              <w:jc w:val="left"/>
            </w:pPr>
            <w:r>
              <w:rPr>
                <w:rFonts w:ascii="Arial" w:hAnsi="Arial" w:eastAsia="等线" w:cs="Arial"/>
                <w:sz w:val="22"/>
              </w:rPr>
              <w:t>作为已婚夫妇，合格投资者是指前两年共同收入至少为30万美元，今年预计至少为30万美元的人。</w:t>
            </w:r>
          </w:p>
          <w:p w14:paraId="0E6269AD">
            <w:pPr>
              <w:spacing w:before="120" w:after="120" w:line="288" w:lineRule="auto"/>
              <w:ind w:left="0"/>
              <w:jc w:val="left"/>
            </w:pPr>
          </w:p>
          <w:p w14:paraId="59CC8483">
            <w:pPr>
              <w:numPr>
                <w:ilvl w:val="0"/>
                <w:numId w:val="119"/>
              </w:numPr>
              <w:spacing w:before="120" w:after="120" w:line="288" w:lineRule="auto"/>
              <w:ind w:left="0"/>
              <w:jc w:val="left"/>
            </w:pPr>
            <w:r>
              <w:rPr>
                <w:rFonts w:ascii="Arial" w:hAnsi="Arial" w:eastAsia="等线" w:cs="Arial"/>
                <w:sz w:val="22"/>
              </w:rPr>
              <w:t>A</w:t>
            </w:r>
          </w:p>
          <w:p w14:paraId="33F31D55">
            <w:pPr>
              <w:spacing w:before="120" w:after="120" w:line="288" w:lineRule="auto"/>
              <w:ind w:left="0"/>
              <w:jc w:val="left"/>
            </w:pPr>
            <w:r>
              <w:rPr>
                <w:rFonts w:ascii="Arial" w:hAnsi="Arial" w:eastAsia="等线" w:cs="Arial"/>
                <w:sz w:val="22"/>
              </w:rPr>
              <w:t>Brokers act as middlemen in a securities transaction. They’re putting a buyer and seller together to make a trade. As such, they charge a commission. A good way to remember this is to think of a real estate agent or broker. Real estate agents or brokers charge a commission for selling someone else’s house to a buyer.</w:t>
            </w:r>
          </w:p>
          <w:p w14:paraId="329AE930">
            <w:pPr>
              <w:spacing w:before="120" w:after="120" w:line="288" w:lineRule="auto"/>
              <w:ind w:left="0"/>
              <w:jc w:val="left"/>
            </w:pPr>
            <w:r>
              <w:rPr>
                <w:rFonts w:ascii="Arial" w:hAnsi="Arial" w:eastAsia="等线" w:cs="Arial"/>
                <w:sz w:val="22"/>
              </w:rPr>
              <w:t>经纪人在证券交易中充当中间人。他们将买方和卖方撮合在一起完成交易。因此，他们会收取佣金。记住这一点的一个好方法是想想房地产经纪人或中介。房地产经纪人或中介会因将他人的房子卖给买方而收取佣金。</w:t>
            </w:r>
          </w:p>
          <w:p w14:paraId="00601F76">
            <w:pPr>
              <w:spacing w:before="120" w:after="120" w:line="288" w:lineRule="auto"/>
              <w:ind w:left="0"/>
              <w:jc w:val="left"/>
            </w:pPr>
          </w:p>
          <w:p w14:paraId="4FCFEF7E">
            <w:pPr>
              <w:numPr>
                <w:ilvl w:val="0"/>
                <w:numId w:val="120"/>
              </w:numPr>
              <w:spacing w:before="120" w:after="120" w:line="288" w:lineRule="auto"/>
              <w:ind w:left="0"/>
              <w:jc w:val="left"/>
            </w:pPr>
            <w:r>
              <w:rPr>
                <w:rFonts w:ascii="Arial" w:hAnsi="Arial" w:eastAsia="等线" w:cs="Arial"/>
                <w:sz w:val="22"/>
              </w:rPr>
              <w:t>A</w:t>
            </w:r>
          </w:p>
          <w:p w14:paraId="6BED9655">
            <w:pPr>
              <w:spacing w:before="120" w:after="120" w:line="288" w:lineRule="auto"/>
              <w:ind w:left="0"/>
              <w:jc w:val="left"/>
            </w:pPr>
            <w:r>
              <w:rPr>
                <w:rFonts w:ascii="Arial" w:hAnsi="Arial" w:eastAsia="等线" w:cs="Arial"/>
                <w:sz w:val="22"/>
              </w:rPr>
              <w:t>The term “spread” refers the difference between the highest bid price (the most a market maker is willing to pay to purchase the security) and the lowest ask (offer) price (the least a market maker will take when selling the security). Typically, the narrower the spread, the more actively traded the security.</w:t>
            </w:r>
          </w:p>
          <w:p w14:paraId="43F52008">
            <w:pPr>
              <w:spacing w:before="120" w:after="120" w:line="288" w:lineRule="auto"/>
              <w:ind w:left="0"/>
              <w:jc w:val="left"/>
            </w:pPr>
            <w:r>
              <w:rPr>
                <w:rFonts w:ascii="Arial" w:hAnsi="Arial" w:eastAsia="等线" w:cs="Arial"/>
                <w:sz w:val="22"/>
              </w:rPr>
              <w:t>“价差”一词指的是最高买入价（做市商愿意为购买证券支付的最高价格）与最低卖出价（做市商在出售证券时愿意接受的最低价格）之间的差额。通常，价差越窄，证券的交易就越活跃。</w:t>
            </w:r>
          </w:p>
          <w:p w14:paraId="77E1979B">
            <w:pPr>
              <w:spacing w:before="120" w:after="120" w:line="288" w:lineRule="auto"/>
              <w:ind w:left="0"/>
              <w:jc w:val="left"/>
            </w:pPr>
          </w:p>
          <w:p w14:paraId="0DE461DD">
            <w:pPr>
              <w:numPr>
                <w:ilvl w:val="0"/>
                <w:numId w:val="121"/>
              </w:numPr>
              <w:spacing w:before="120" w:after="120" w:line="288" w:lineRule="auto"/>
              <w:ind w:left="0"/>
              <w:jc w:val="left"/>
            </w:pPr>
            <w:r>
              <w:rPr>
                <w:rFonts w:ascii="Arial" w:hAnsi="Arial" w:eastAsia="等线" w:cs="Arial"/>
                <w:sz w:val="22"/>
              </w:rPr>
              <w:t>C</w:t>
            </w:r>
          </w:p>
          <w:p w14:paraId="73C5518A">
            <w:pPr>
              <w:spacing w:before="120" w:after="120" w:line="288" w:lineRule="auto"/>
              <w:ind w:left="0"/>
              <w:jc w:val="left"/>
            </w:pPr>
            <w:r>
              <w:rPr>
                <w:rFonts w:ascii="Arial" w:hAnsi="Arial" w:eastAsia="等线" w:cs="Arial"/>
                <w:sz w:val="22"/>
              </w:rPr>
              <w:t>Since Marvin is not licensed, he cannot discuss anything relating to investments with an existing customer or potential customer. If he cannot do that, he certainly cannot accept orders (whether solicited or not) from a customer. However, he can do things such as sending account opening forms to a new customer.</w:t>
            </w:r>
          </w:p>
          <w:p w14:paraId="298F79D5">
            <w:pPr>
              <w:spacing w:before="120" w:after="120" w:line="288" w:lineRule="auto"/>
              <w:ind w:left="0"/>
              <w:jc w:val="left"/>
            </w:pPr>
            <w:r>
              <w:rPr>
                <w:rFonts w:ascii="Arial" w:hAnsi="Arial" w:eastAsia="等线" w:cs="Arial"/>
                <w:sz w:val="22"/>
              </w:rPr>
              <w:t>由于马文没有执照，他不能与现有客户或潜在客户讨论任何与投资相关的事情。如果他不能那样做，那他当然也不能接受客户的订单（无论是否是主动要求的）。不过，他可以做一些事情，比如给新客户发送开户表格。</w:t>
            </w:r>
          </w:p>
        </w:tc>
      </w:tr>
    </w:tbl>
    <w:p w14:paraId="77E902BE">
      <w:pPr>
        <w:spacing w:before="120" w:after="120" w:line="288" w:lineRule="auto"/>
        <w:ind w:left="0"/>
        <w:jc w:val="left"/>
      </w:pPr>
      <w:bookmarkStart w:id="36" w:name="_GoBack"/>
      <w:bookmarkEnd w:id="3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6BCE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977F">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4"/>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15"/>
      <w:numFmt w:val="decimal"/>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5"/>
      <w:numFmt w:val="decimal"/>
      <w:lvlText w:val="%1."/>
      <w:lvlJc w:val="left"/>
      <w:rPr>
        <w:color w:val="3370FF"/>
      </w:rPr>
    </w:lvl>
  </w:abstractNum>
  <w:abstractNum w:abstractNumId="5">
    <w:nsid w:val="883B3669"/>
    <w:multiLevelType w:val="singleLevel"/>
    <w:tmpl w:val="883B3669"/>
    <w:lvl w:ilvl="0" w:tentative="0">
      <w:start w:val="1"/>
      <w:numFmt w:val="decimal"/>
      <w:lvlText w:val="%1."/>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rPr>
    </w:lvl>
  </w:abstractNum>
  <w:abstractNum w:abstractNumId="8">
    <w:nsid w:val="91B69C97"/>
    <w:multiLevelType w:val="singleLevel"/>
    <w:tmpl w:val="91B69C97"/>
    <w:lvl w:ilvl="0" w:tentative="0">
      <w:start w:val="0"/>
      <w:numFmt w:val="bullet"/>
      <w:lvlText w:val="•"/>
      <w:lvlJc w:val="left"/>
      <w:rPr>
        <w:color w:val="3370FF"/>
      </w:rPr>
    </w:lvl>
  </w:abstractNum>
  <w:abstractNum w:abstractNumId="9">
    <w:nsid w:val="9239341B"/>
    <w:multiLevelType w:val="singleLevel"/>
    <w:tmpl w:val="9239341B"/>
    <w:lvl w:ilvl="0" w:tentative="0">
      <w:start w:val="0"/>
      <w:numFmt w:val="bullet"/>
      <w:lvlText w:val="•"/>
      <w:lvlJc w:val="left"/>
      <w:rPr>
        <w:color w:val="3370FF"/>
      </w:rPr>
    </w:lvl>
  </w:abstractNum>
  <w:abstractNum w:abstractNumId="10">
    <w:nsid w:val="9288B902"/>
    <w:multiLevelType w:val="singleLevel"/>
    <w:tmpl w:val="9288B902"/>
    <w:lvl w:ilvl="0" w:tentative="0">
      <w:start w:val="3"/>
      <w:numFmt w:val="decimal"/>
      <w:lvlText w:val="%1."/>
      <w:lvlJc w:val="left"/>
      <w:rPr>
        <w:color w:val="3370FF"/>
      </w:rPr>
    </w:lvl>
  </w:abstractNum>
  <w:abstractNum w:abstractNumId="11">
    <w:nsid w:val="9377BC45"/>
    <w:multiLevelType w:val="singleLevel"/>
    <w:tmpl w:val="9377BC45"/>
    <w:lvl w:ilvl="0" w:tentative="0">
      <w:start w:val="0"/>
      <w:numFmt w:val="bullet"/>
      <w:lvlText w:val="•"/>
      <w:lvlJc w:val="left"/>
      <w:rPr>
        <w:color w:val="3370FF"/>
      </w:rPr>
    </w:lvl>
  </w:abstractNum>
  <w:abstractNum w:abstractNumId="12">
    <w:nsid w:val="98CD717A"/>
    <w:multiLevelType w:val="singleLevel"/>
    <w:tmpl w:val="98CD717A"/>
    <w:lvl w:ilvl="0" w:tentative="0">
      <w:start w:val="12"/>
      <w:numFmt w:val="decimal"/>
      <w:lvlText w:val="%1."/>
      <w:lvlJc w:val="left"/>
      <w:rPr>
        <w:color w:val="3370FF"/>
      </w:rPr>
    </w:lvl>
  </w:abstractNum>
  <w:abstractNum w:abstractNumId="13">
    <w:nsid w:val="9ACF65A0"/>
    <w:multiLevelType w:val="singleLevel"/>
    <w:tmpl w:val="9ACF65A0"/>
    <w:lvl w:ilvl="0" w:tentative="0">
      <w:start w:val="3"/>
      <w:numFmt w:val="decimal"/>
      <w:lvlText w:val="%1."/>
      <w:lvlJc w:val="left"/>
      <w:rPr>
        <w:color w:val="3370FF"/>
      </w:rPr>
    </w:lvl>
  </w:abstractNum>
  <w:abstractNum w:abstractNumId="14">
    <w:nsid w:val="9C11E984"/>
    <w:multiLevelType w:val="singleLevel"/>
    <w:tmpl w:val="9C11E984"/>
    <w:lvl w:ilvl="0" w:tentative="0">
      <w:start w:val="9"/>
      <w:numFmt w:val="decimal"/>
      <w:lvlText w:val="%1."/>
      <w:lvlJc w:val="left"/>
      <w:rPr>
        <w:color w:val="3370FF"/>
      </w:rPr>
    </w:lvl>
  </w:abstractNum>
  <w:abstractNum w:abstractNumId="15">
    <w:nsid w:val="9C8AC8EF"/>
    <w:multiLevelType w:val="singleLevel"/>
    <w:tmpl w:val="9C8AC8EF"/>
    <w:lvl w:ilvl="0" w:tentative="0">
      <w:start w:val="0"/>
      <w:numFmt w:val="bullet"/>
      <w:lvlText w:val="•"/>
      <w:lvlJc w:val="left"/>
      <w:rPr>
        <w:color w:val="3370FF"/>
      </w:rPr>
    </w:lvl>
  </w:abstractNum>
  <w:abstractNum w:abstractNumId="16">
    <w:nsid w:val="9D5D7490"/>
    <w:multiLevelType w:val="singleLevel"/>
    <w:tmpl w:val="9D5D7490"/>
    <w:lvl w:ilvl="0" w:tentative="0">
      <w:start w:val="0"/>
      <w:numFmt w:val="bullet"/>
      <w:lvlText w:val="•"/>
      <w:lvlJc w:val="left"/>
      <w:rPr>
        <w:color w:val="3370FF"/>
      </w:rPr>
    </w:lvl>
  </w:abstractNum>
  <w:abstractNum w:abstractNumId="17">
    <w:nsid w:val="9DFC6F65"/>
    <w:multiLevelType w:val="singleLevel"/>
    <w:tmpl w:val="9DFC6F65"/>
    <w:lvl w:ilvl="0" w:tentative="0">
      <w:start w:val="14"/>
      <w:numFmt w:val="decimal"/>
      <w:lvlText w:val="%1."/>
      <w:lvlJc w:val="left"/>
      <w:rPr>
        <w:color w:val="3370FF"/>
      </w:rPr>
    </w:lvl>
  </w:abstractNum>
  <w:abstractNum w:abstractNumId="18">
    <w:nsid w:val="9F81B9F9"/>
    <w:multiLevelType w:val="singleLevel"/>
    <w:tmpl w:val="9F81B9F9"/>
    <w:lvl w:ilvl="0" w:tentative="0">
      <w:start w:val="3"/>
      <w:numFmt w:val="decimal"/>
      <w:lvlText w:val="%1."/>
      <w:lvlJc w:val="left"/>
      <w:rPr>
        <w:color w:val="3370FF"/>
      </w:rPr>
    </w:lvl>
  </w:abstractNum>
  <w:abstractNum w:abstractNumId="19">
    <w:nsid w:val="A0C93552"/>
    <w:multiLevelType w:val="singleLevel"/>
    <w:tmpl w:val="A0C93552"/>
    <w:lvl w:ilvl="0" w:tentative="0">
      <w:start w:val="0"/>
      <w:numFmt w:val="bullet"/>
      <w:lvlText w:val="•"/>
      <w:lvlJc w:val="left"/>
      <w:rPr>
        <w:color w:val="3370FF"/>
      </w:rPr>
    </w:lvl>
  </w:abstractNum>
  <w:abstractNum w:abstractNumId="20">
    <w:nsid w:val="A0F05207"/>
    <w:multiLevelType w:val="singleLevel"/>
    <w:tmpl w:val="A0F05207"/>
    <w:lvl w:ilvl="0" w:tentative="0">
      <w:start w:val="0"/>
      <w:numFmt w:val="bullet"/>
      <w:lvlText w:val="•"/>
      <w:lvlJc w:val="left"/>
      <w:rPr>
        <w:color w:val="3370FF"/>
      </w:rPr>
    </w:lvl>
  </w:abstractNum>
  <w:abstractNum w:abstractNumId="21">
    <w:nsid w:val="A9AC3AA7"/>
    <w:multiLevelType w:val="singleLevel"/>
    <w:tmpl w:val="A9AC3AA7"/>
    <w:lvl w:ilvl="0" w:tentative="0">
      <w:start w:val="13"/>
      <w:numFmt w:val="decimal"/>
      <w:lvlText w:val="%1."/>
      <w:lvlJc w:val="left"/>
      <w:rPr>
        <w:color w:val="3370FF"/>
      </w:rPr>
    </w:lvl>
  </w:abstractNum>
  <w:abstractNum w:abstractNumId="22">
    <w:nsid w:val="AAF3F3FA"/>
    <w:multiLevelType w:val="singleLevel"/>
    <w:tmpl w:val="AAF3F3FA"/>
    <w:lvl w:ilvl="0" w:tentative="0">
      <w:start w:val="0"/>
      <w:numFmt w:val="bullet"/>
      <w:lvlText w:val="•"/>
      <w:lvlJc w:val="left"/>
      <w:rPr>
        <w:color w:val="3370FF"/>
      </w:rPr>
    </w:lvl>
  </w:abstractNum>
  <w:abstractNum w:abstractNumId="23">
    <w:nsid w:val="B0ED9BEA"/>
    <w:multiLevelType w:val="singleLevel"/>
    <w:tmpl w:val="B0ED9BEA"/>
    <w:lvl w:ilvl="0" w:tentative="0">
      <w:start w:val="0"/>
      <w:numFmt w:val="bullet"/>
      <w:lvlText w:val="•"/>
      <w:lvlJc w:val="left"/>
      <w:rPr>
        <w:color w:val="3370FF"/>
      </w:rPr>
    </w:lvl>
  </w:abstractNum>
  <w:abstractNum w:abstractNumId="24">
    <w:nsid w:val="B0F1ACD9"/>
    <w:multiLevelType w:val="singleLevel"/>
    <w:tmpl w:val="B0F1ACD9"/>
    <w:lvl w:ilvl="0" w:tentative="0">
      <w:start w:val="0"/>
      <w:numFmt w:val="bullet"/>
      <w:lvlText w:val="•"/>
      <w:lvlJc w:val="left"/>
      <w:rPr>
        <w:color w:val="3370FF"/>
      </w:rPr>
    </w:lvl>
  </w:abstractNum>
  <w:abstractNum w:abstractNumId="25">
    <w:nsid w:val="B23A94A9"/>
    <w:multiLevelType w:val="singleLevel"/>
    <w:tmpl w:val="B23A94A9"/>
    <w:lvl w:ilvl="0" w:tentative="0">
      <w:start w:val="0"/>
      <w:numFmt w:val="bullet"/>
      <w:lvlText w:val="•"/>
      <w:lvlJc w:val="left"/>
      <w:rPr>
        <w:color w:val="3370FF"/>
      </w:rPr>
    </w:lvl>
  </w:abstractNum>
  <w:abstractNum w:abstractNumId="26">
    <w:nsid w:val="B53F3350"/>
    <w:multiLevelType w:val="singleLevel"/>
    <w:tmpl w:val="B53F3350"/>
    <w:lvl w:ilvl="0" w:tentative="0">
      <w:start w:val="0"/>
      <w:numFmt w:val="bullet"/>
      <w:lvlText w:val="￮"/>
      <w:lvlJc w:val="left"/>
      <w:rPr>
        <w:color w:val="3370FF"/>
      </w:rPr>
    </w:lvl>
  </w:abstractNum>
  <w:abstractNum w:abstractNumId="27">
    <w:nsid w:val="B5E306ED"/>
    <w:multiLevelType w:val="singleLevel"/>
    <w:tmpl w:val="B5E306ED"/>
    <w:lvl w:ilvl="0" w:tentative="0">
      <w:start w:val="0"/>
      <w:numFmt w:val="bullet"/>
      <w:lvlText w:val="•"/>
      <w:lvlJc w:val="left"/>
      <w:rPr>
        <w:color w:val="3370FF"/>
      </w:rPr>
    </w:lvl>
  </w:abstractNum>
  <w:abstractNum w:abstractNumId="28">
    <w:nsid w:val="B88D21A8"/>
    <w:multiLevelType w:val="singleLevel"/>
    <w:tmpl w:val="B88D21A8"/>
    <w:lvl w:ilvl="0" w:tentative="0">
      <w:start w:val="0"/>
      <w:numFmt w:val="bullet"/>
      <w:lvlText w:val="•"/>
      <w:lvlJc w:val="left"/>
      <w:rPr>
        <w:color w:val="3370FF"/>
      </w:rPr>
    </w:lvl>
  </w:abstractNum>
  <w:abstractNum w:abstractNumId="29">
    <w:nsid w:val="B8CEF35B"/>
    <w:multiLevelType w:val="singleLevel"/>
    <w:tmpl w:val="B8CEF35B"/>
    <w:lvl w:ilvl="0" w:tentative="0">
      <w:start w:val="0"/>
      <w:numFmt w:val="bullet"/>
      <w:lvlText w:val="•"/>
      <w:lvlJc w:val="left"/>
      <w:rPr>
        <w:color w:val="3370FF"/>
      </w:rPr>
    </w:lvl>
  </w:abstractNum>
  <w:abstractNum w:abstractNumId="30">
    <w:nsid w:val="BB64CFA9"/>
    <w:multiLevelType w:val="singleLevel"/>
    <w:tmpl w:val="BB64CFA9"/>
    <w:lvl w:ilvl="0" w:tentative="0">
      <w:start w:val="0"/>
      <w:numFmt w:val="bullet"/>
      <w:lvlText w:val="•"/>
      <w:lvlJc w:val="left"/>
      <w:rPr>
        <w:color w:val="3370FF"/>
      </w:rPr>
    </w:lvl>
  </w:abstractNum>
  <w:abstractNum w:abstractNumId="31">
    <w:nsid w:val="BCECA0B4"/>
    <w:multiLevelType w:val="singleLevel"/>
    <w:tmpl w:val="BCECA0B4"/>
    <w:lvl w:ilvl="0" w:tentative="0">
      <w:start w:val="5"/>
      <w:numFmt w:val="decimal"/>
      <w:lvlText w:val="%1."/>
      <w:lvlJc w:val="left"/>
      <w:rPr>
        <w:color w:val="3370FF"/>
      </w:rPr>
    </w:lvl>
  </w:abstractNum>
  <w:abstractNum w:abstractNumId="32">
    <w:nsid w:val="BDA1395C"/>
    <w:multiLevelType w:val="singleLevel"/>
    <w:tmpl w:val="BDA1395C"/>
    <w:lvl w:ilvl="0" w:tentative="0">
      <w:start w:val="5"/>
      <w:numFmt w:val="decimal"/>
      <w:lvlText w:val="%1."/>
      <w:lvlJc w:val="left"/>
      <w:rPr>
        <w:color w:val="3370FF"/>
      </w:rPr>
    </w:lvl>
  </w:abstractNum>
  <w:abstractNum w:abstractNumId="33">
    <w:nsid w:val="BE8A4F4C"/>
    <w:multiLevelType w:val="singleLevel"/>
    <w:tmpl w:val="BE8A4F4C"/>
    <w:lvl w:ilvl="0" w:tentative="0">
      <w:start w:val="0"/>
      <w:numFmt w:val="bullet"/>
      <w:lvlText w:val="•"/>
      <w:lvlJc w:val="left"/>
      <w:rPr>
        <w:color w:val="3370FF"/>
      </w:rPr>
    </w:lvl>
  </w:abstractNum>
  <w:abstractNum w:abstractNumId="34">
    <w:nsid w:val="BE923771"/>
    <w:multiLevelType w:val="singleLevel"/>
    <w:tmpl w:val="BE923771"/>
    <w:lvl w:ilvl="0" w:tentative="0">
      <w:start w:val="1"/>
      <w:numFmt w:val="decimal"/>
      <w:lvlText w:val="%1."/>
      <w:lvlJc w:val="left"/>
      <w:rPr>
        <w:color w:val="3370FF"/>
      </w:rPr>
    </w:lvl>
  </w:abstractNum>
  <w:abstractNum w:abstractNumId="35">
    <w:nsid w:val="BF205925"/>
    <w:multiLevelType w:val="singleLevel"/>
    <w:tmpl w:val="BF205925"/>
    <w:lvl w:ilvl="0" w:tentative="0">
      <w:start w:val="0"/>
      <w:numFmt w:val="bullet"/>
      <w:lvlText w:val="•"/>
      <w:lvlJc w:val="left"/>
      <w:rPr>
        <w:color w:val="3370FF"/>
      </w:rPr>
    </w:lvl>
  </w:abstractNum>
  <w:abstractNum w:abstractNumId="36">
    <w:nsid w:val="BF50FE6B"/>
    <w:multiLevelType w:val="singleLevel"/>
    <w:tmpl w:val="BF50FE6B"/>
    <w:lvl w:ilvl="0" w:tentative="0">
      <w:start w:val="4"/>
      <w:numFmt w:val="decimal"/>
      <w:lvlText w:val="%1."/>
      <w:lvlJc w:val="left"/>
      <w:rPr>
        <w:color w:val="3370FF"/>
      </w:rPr>
    </w:lvl>
  </w:abstractNum>
  <w:abstractNum w:abstractNumId="37">
    <w:nsid w:val="C0915F4F"/>
    <w:multiLevelType w:val="singleLevel"/>
    <w:tmpl w:val="C0915F4F"/>
    <w:lvl w:ilvl="0" w:tentative="0">
      <w:start w:val="0"/>
      <w:numFmt w:val="bullet"/>
      <w:lvlText w:val="•"/>
      <w:lvlJc w:val="left"/>
      <w:rPr>
        <w:color w:val="3370FF"/>
      </w:rPr>
    </w:lvl>
  </w:abstractNum>
  <w:abstractNum w:abstractNumId="38">
    <w:nsid w:val="C4E0D24A"/>
    <w:multiLevelType w:val="singleLevel"/>
    <w:tmpl w:val="C4E0D24A"/>
    <w:lvl w:ilvl="0" w:tentative="0">
      <w:start w:val="0"/>
      <w:numFmt w:val="bullet"/>
      <w:lvlText w:val="•"/>
      <w:lvlJc w:val="left"/>
      <w:rPr>
        <w:color w:val="3370FF"/>
      </w:rPr>
    </w:lvl>
  </w:abstractNum>
  <w:abstractNum w:abstractNumId="39">
    <w:nsid w:val="C8879AEF"/>
    <w:multiLevelType w:val="singleLevel"/>
    <w:tmpl w:val="C8879AEF"/>
    <w:lvl w:ilvl="0" w:tentative="0">
      <w:start w:val="0"/>
      <w:numFmt w:val="bullet"/>
      <w:lvlText w:val="•"/>
      <w:lvlJc w:val="left"/>
      <w:rPr>
        <w:color w:val="3370FF"/>
      </w:rPr>
    </w:lvl>
  </w:abstractNum>
  <w:abstractNum w:abstractNumId="40">
    <w:nsid w:val="C90D1B09"/>
    <w:multiLevelType w:val="singleLevel"/>
    <w:tmpl w:val="C90D1B09"/>
    <w:lvl w:ilvl="0" w:tentative="0">
      <w:start w:val="5"/>
      <w:numFmt w:val="decimal"/>
      <w:lvlText w:val="%1."/>
      <w:lvlJc w:val="left"/>
      <w:rPr>
        <w:color w:val="3370FF"/>
      </w:rPr>
    </w:lvl>
  </w:abstractNum>
  <w:abstractNum w:abstractNumId="41">
    <w:nsid w:val="CF092B84"/>
    <w:multiLevelType w:val="singleLevel"/>
    <w:tmpl w:val="CF092B84"/>
    <w:lvl w:ilvl="0" w:tentative="0">
      <w:start w:val="0"/>
      <w:numFmt w:val="bullet"/>
      <w:lvlText w:val="•"/>
      <w:lvlJc w:val="left"/>
      <w:rPr>
        <w:color w:val="3370FF"/>
      </w:rPr>
    </w:lvl>
  </w:abstractNum>
  <w:abstractNum w:abstractNumId="42">
    <w:nsid w:val="D1EB1714"/>
    <w:multiLevelType w:val="singleLevel"/>
    <w:tmpl w:val="D1EB1714"/>
    <w:lvl w:ilvl="0" w:tentative="0">
      <w:start w:val="2"/>
      <w:numFmt w:val="decimal"/>
      <w:lvlText w:val="%1."/>
      <w:lvlJc w:val="left"/>
      <w:rPr>
        <w:color w:val="3370FF"/>
      </w:rPr>
    </w:lvl>
  </w:abstractNum>
  <w:abstractNum w:abstractNumId="43">
    <w:nsid w:val="D7D140E4"/>
    <w:multiLevelType w:val="singleLevel"/>
    <w:tmpl w:val="D7D140E4"/>
    <w:lvl w:ilvl="0" w:tentative="0">
      <w:start w:val="0"/>
      <w:numFmt w:val="bullet"/>
      <w:lvlText w:val="•"/>
      <w:lvlJc w:val="left"/>
      <w:rPr>
        <w:color w:val="3370FF"/>
      </w:rPr>
    </w:lvl>
  </w:abstractNum>
  <w:abstractNum w:abstractNumId="44">
    <w:nsid w:val="D7F9FE59"/>
    <w:multiLevelType w:val="singleLevel"/>
    <w:tmpl w:val="D7F9FE59"/>
    <w:lvl w:ilvl="0" w:tentative="0">
      <w:start w:val="0"/>
      <w:numFmt w:val="bullet"/>
      <w:lvlText w:val="•"/>
      <w:lvlJc w:val="left"/>
      <w:rPr>
        <w:color w:val="3370FF"/>
      </w:rPr>
    </w:lvl>
  </w:abstractNum>
  <w:abstractNum w:abstractNumId="45">
    <w:nsid w:val="DAD3A854"/>
    <w:multiLevelType w:val="singleLevel"/>
    <w:tmpl w:val="DAD3A854"/>
    <w:lvl w:ilvl="0" w:tentative="0">
      <w:start w:val="0"/>
      <w:numFmt w:val="bullet"/>
      <w:lvlText w:val="•"/>
      <w:lvlJc w:val="left"/>
      <w:rPr>
        <w:color w:val="3370FF"/>
      </w:rPr>
    </w:lvl>
  </w:abstractNum>
  <w:abstractNum w:abstractNumId="46">
    <w:nsid w:val="DCBA6B53"/>
    <w:multiLevelType w:val="singleLevel"/>
    <w:tmpl w:val="DCBA6B53"/>
    <w:lvl w:ilvl="0" w:tentative="0">
      <w:start w:val="0"/>
      <w:numFmt w:val="bullet"/>
      <w:lvlText w:val="•"/>
      <w:lvlJc w:val="left"/>
      <w:rPr>
        <w:color w:val="3370FF"/>
      </w:rPr>
    </w:lvl>
  </w:abstractNum>
  <w:abstractNum w:abstractNumId="47">
    <w:nsid w:val="E0294EC7"/>
    <w:multiLevelType w:val="singleLevel"/>
    <w:tmpl w:val="E0294EC7"/>
    <w:lvl w:ilvl="0" w:tentative="0">
      <w:start w:val="10"/>
      <w:numFmt w:val="decimal"/>
      <w:lvlText w:val="%1."/>
      <w:lvlJc w:val="left"/>
      <w:rPr>
        <w:color w:val="3370FF"/>
      </w:rPr>
    </w:lvl>
  </w:abstractNum>
  <w:abstractNum w:abstractNumId="48">
    <w:nsid w:val="E093A4B0"/>
    <w:multiLevelType w:val="singleLevel"/>
    <w:tmpl w:val="E093A4B0"/>
    <w:lvl w:ilvl="0" w:tentative="0">
      <w:start w:val="0"/>
      <w:numFmt w:val="bullet"/>
      <w:lvlText w:val="•"/>
      <w:lvlJc w:val="left"/>
      <w:rPr>
        <w:color w:val="3370FF"/>
      </w:rPr>
    </w:lvl>
  </w:abstractNum>
  <w:abstractNum w:abstractNumId="49">
    <w:nsid w:val="E504947C"/>
    <w:multiLevelType w:val="singleLevel"/>
    <w:tmpl w:val="E504947C"/>
    <w:lvl w:ilvl="0" w:tentative="0">
      <w:start w:val="0"/>
      <w:numFmt w:val="bullet"/>
      <w:lvlText w:val="•"/>
      <w:lvlJc w:val="left"/>
      <w:rPr>
        <w:color w:val="3370FF"/>
      </w:rPr>
    </w:lvl>
  </w:abstractNum>
  <w:abstractNum w:abstractNumId="50">
    <w:nsid w:val="E7B27C5B"/>
    <w:multiLevelType w:val="singleLevel"/>
    <w:tmpl w:val="E7B27C5B"/>
    <w:lvl w:ilvl="0" w:tentative="0">
      <w:start w:val="2"/>
      <w:numFmt w:val="decimal"/>
      <w:lvlText w:val="%1."/>
      <w:lvlJc w:val="left"/>
      <w:rPr>
        <w:color w:val="3370FF"/>
      </w:rPr>
    </w:lvl>
  </w:abstractNum>
  <w:abstractNum w:abstractNumId="51">
    <w:nsid w:val="F0E89278"/>
    <w:multiLevelType w:val="singleLevel"/>
    <w:tmpl w:val="F0E89278"/>
    <w:lvl w:ilvl="0" w:tentative="0">
      <w:start w:val="0"/>
      <w:numFmt w:val="bullet"/>
      <w:lvlText w:val="•"/>
      <w:lvlJc w:val="left"/>
      <w:rPr>
        <w:color w:val="3370FF"/>
      </w:rPr>
    </w:lvl>
  </w:abstractNum>
  <w:abstractNum w:abstractNumId="52">
    <w:nsid w:val="F3A33954"/>
    <w:multiLevelType w:val="singleLevel"/>
    <w:tmpl w:val="F3A33954"/>
    <w:lvl w:ilvl="0" w:tentative="0">
      <w:start w:val="8"/>
      <w:numFmt w:val="decimal"/>
      <w:lvlText w:val="%1."/>
      <w:lvlJc w:val="left"/>
      <w:rPr>
        <w:color w:val="3370FF"/>
      </w:rPr>
    </w:lvl>
  </w:abstractNum>
  <w:abstractNum w:abstractNumId="53">
    <w:nsid w:val="F4A942FE"/>
    <w:multiLevelType w:val="singleLevel"/>
    <w:tmpl w:val="F4A942FE"/>
    <w:lvl w:ilvl="0" w:tentative="0">
      <w:start w:val="6"/>
      <w:numFmt w:val="decimal"/>
      <w:lvlText w:val="%1."/>
      <w:lvlJc w:val="left"/>
      <w:rPr>
        <w:color w:val="3370FF"/>
      </w:rPr>
    </w:lvl>
  </w:abstractNum>
  <w:abstractNum w:abstractNumId="54">
    <w:nsid w:val="F4B5D9F5"/>
    <w:multiLevelType w:val="singleLevel"/>
    <w:tmpl w:val="F4B5D9F5"/>
    <w:lvl w:ilvl="0" w:tentative="0">
      <w:start w:val="0"/>
      <w:numFmt w:val="bullet"/>
      <w:lvlText w:val="•"/>
      <w:lvlJc w:val="left"/>
      <w:rPr>
        <w:color w:val="3370FF"/>
      </w:rPr>
    </w:lvl>
  </w:abstractNum>
  <w:abstractNum w:abstractNumId="55">
    <w:nsid w:val="F585BF25"/>
    <w:multiLevelType w:val="singleLevel"/>
    <w:tmpl w:val="F585BF25"/>
    <w:lvl w:ilvl="0" w:tentative="0">
      <w:start w:val="6"/>
      <w:numFmt w:val="decimal"/>
      <w:lvlText w:val="%1."/>
      <w:lvlJc w:val="left"/>
      <w:rPr>
        <w:color w:val="3370FF"/>
      </w:rPr>
    </w:lvl>
  </w:abstractNum>
  <w:abstractNum w:abstractNumId="56">
    <w:nsid w:val="F689643B"/>
    <w:multiLevelType w:val="singleLevel"/>
    <w:tmpl w:val="F689643B"/>
    <w:lvl w:ilvl="0" w:tentative="0">
      <w:start w:val="0"/>
      <w:numFmt w:val="bullet"/>
      <w:lvlText w:val="•"/>
      <w:lvlJc w:val="left"/>
      <w:rPr>
        <w:color w:val="3370FF"/>
      </w:rPr>
    </w:lvl>
  </w:abstractNum>
  <w:abstractNum w:abstractNumId="57">
    <w:nsid w:val="F7735DC9"/>
    <w:multiLevelType w:val="singleLevel"/>
    <w:tmpl w:val="F7735DC9"/>
    <w:lvl w:ilvl="0" w:tentative="0">
      <w:start w:val="0"/>
      <w:numFmt w:val="bullet"/>
      <w:lvlText w:val="•"/>
      <w:lvlJc w:val="left"/>
      <w:rPr>
        <w:color w:val="3370FF"/>
      </w:rPr>
    </w:lvl>
  </w:abstractNum>
  <w:abstractNum w:abstractNumId="58">
    <w:nsid w:val="FEC2EA36"/>
    <w:multiLevelType w:val="singleLevel"/>
    <w:tmpl w:val="FEC2EA36"/>
    <w:lvl w:ilvl="0" w:tentative="0">
      <w:start w:val="0"/>
      <w:numFmt w:val="bullet"/>
      <w:lvlText w:val="•"/>
      <w:lvlJc w:val="left"/>
      <w:rPr>
        <w:color w:val="3370FF"/>
      </w:rPr>
    </w:lvl>
  </w:abstractNum>
  <w:abstractNum w:abstractNumId="59">
    <w:nsid w:val="0053208E"/>
    <w:multiLevelType w:val="singleLevel"/>
    <w:tmpl w:val="0053208E"/>
    <w:lvl w:ilvl="0" w:tentative="0">
      <w:start w:val="0"/>
      <w:numFmt w:val="bullet"/>
      <w:lvlText w:val="•"/>
      <w:lvlJc w:val="left"/>
      <w:rPr>
        <w:color w:val="3370FF"/>
      </w:rPr>
    </w:lvl>
  </w:abstractNum>
  <w:abstractNum w:abstractNumId="60">
    <w:nsid w:val="01836A6D"/>
    <w:multiLevelType w:val="singleLevel"/>
    <w:tmpl w:val="01836A6D"/>
    <w:lvl w:ilvl="0" w:tentative="0">
      <w:start w:val="2"/>
      <w:numFmt w:val="decimal"/>
      <w:lvlText w:val="%1."/>
      <w:lvlJc w:val="left"/>
      <w:rPr>
        <w:color w:val="3370FF"/>
      </w:rPr>
    </w:lvl>
  </w:abstractNum>
  <w:abstractNum w:abstractNumId="61">
    <w:nsid w:val="0248C179"/>
    <w:multiLevelType w:val="singleLevel"/>
    <w:tmpl w:val="0248C179"/>
    <w:lvl w:ilvl="0" w:tentative="0">
      <w:start w:val="0"/>
      <w:numFmt w:val="bullet"/>
      <w:lvlText w:val="•"/>
      <w:lvlJc w:val="left"/>
      <w:rPr>
        <w:color w:val="3370FF"/>
      </w:rPr>
    </w:lvl>
  </w:abstractNum>
  <w:abstractNum w:abstractNumId="62">
    <w:nsid w:val="03A63A41"/>
    <w:multiLevelType w:val="singleLevel"/>
    <w:tmpl w:val="03A63A41"/>
    <w:lvl w:ilvl="0" w:tentative="0">
      <w:start w:val="0"/>
      <w:numFmt w:val="bullet"/>
      <w:lvlText w:val="•"/>
      <w:lvlJc w:val="left"/>
      <w:rPr>
        <w:color w:val="3370FF"/>
      </w:rPr>
    </w:lvl>
  </w:abstractNum>
  <w:abstractNum w:abstractNumId="63">
    <w:nsid w:val="03C240C0"/>
    <w:multiLevelType w:val="singleLevel"/>
    <w:tmpl w:val="03C240C0"/>
    <w:lvl w:ilvl="0" w:tentative="0">
      <w:start w:val="13"/>
      <w:numFmt w:val="decimal"/>
      <w:lvlText w:val="%1."/>
      <w:lvlJc w:val="left"/>
      <w:rPr>
        <w:color w:val="3370FF"/>
      </w:rPr>
    </w:lvl>
  </w:abstractNum>
  <w:abstractNum w:abstractNumId="64">
    <w:nsid w:val="03D62ECE"/>
    <w:multiLevelType w:val="singleLevel"/>
    <w:tmpl w:val="03D62ECE"/>
    <w:lvl w:ilvl="0" w:tentative="0">
      <w:start w:val="0"/>
      <w:numFmt w:val="bullet"/>
      <w:lvlText w:val="•"/>
      <w:lvlJc w:val="left"/>
      <w:rPr>
        <w:color w:val="3370FF"/>
      </w:rPr>
    </w:lvl>
  </w:abstractNum>
  <w:abstractNum w:abstractNumId="65">
    <w:nsid w:val="0709FD3E"/>
    <w:multiLevelType w:val="singleLevel"/>
    <w:tmpl w:val="0709FD3E"/>
    <w:lvl w:ilvl="0" w:tentative="0">
      <w:start w:val="0"/>
      <w:numFmt w:val="bullet"/>
      <w:lvlText w:val="•"/>
      <w:lvlJc w:val="left"/>
      <w:rPr>
        <w:color w:val="3370FF"/>
      </w:rPr>
    </w:lvl>
  </w:abstractNum>
  <w:abstractNum w:abstractNumId="66">
    <w:nsid w:val="0CEF100B"/>
    <w:multiLevelType w:val="singleLevel"/>
    <w:tmpl w:val="0CEF100B"/>
    <w:lvl w:ilvl="0" w:tentative="0">
      <w:start w:val="0"/>
      <w:numFmt w:val="bullet"/>
      <w:lvlText w:val="•"/>
      <w:lvlJc w:val="left"/>
      <w:rPr>
        <w:color w:val="3370FF"/>
      </w:rPr>
    </w:lvl>
  </w:abstractNum>
  <w:abstractNum w:abstractNumId="67">
    <w:nsid w:val="0E640482"/>
    <w:multiLevelType w:val="singleLevel"/>
    <w:tmpl w:val="0E640482"/>
    <w:lvl w:ilvl="0" w:tentative="0">
      <w:start w:val="0"/>
      <w:numFmt w:val="bullet"/>
      <w:lvlText w:val="￮"/>
      <w:lvlJc w:val="left"/>
      <w:rPr>
        <w:color w:val="3370FF"/>
      </w:rPr>
    </w:lvl>
  </w:abstractNum>
  <w:abstractNum w:abstractNumId="68">
    <w:nsid w:val="0F9F9CCA"/>
    <w:multiLevelType w:val="singleLevel"/>
    <w:tmpl w:val="0F9F9CCA"/>
    <w:lvl w:ilvl="0" w:tentative="0">
      <w:start w:val="0"/>
      <w:numFmt w:val="bullet"/>
      <w:lvlText w:val="￮"/>
      <w:lvlJc w:val="left"/>
      <w:rPr>
        <w:color w:val="3370FF"/>
      </w:rPr>
    </w:lvl>
  </w:abstractNum>
  <w:abstractNum w:abstractNumId="69">
    <w:nsid w:val="10D591E5"/>
    <w:multiLevelType w:val="singleLevel"/>
    <w:tmpl w:val="10D591E5"/>
    <w:lvl w:ilvl="0" w:tentative="0">
      <w:start w:val="8"/>
      <w:numFmt w:val="decimal"/>
      <w:lvlText w:val="%1."/>
      <w:lvlJc w:val="left"/>
      <w:rPr>
        <w:color w:val="3370FF"/>
      </w:rPr>
    </w:lvl>
  </w:abstractNum>
  <w:abstractNum w:abstractNumId="70">
    <w:nsid w:val="12EADF99"/>
    <w:multiLevelType w:val="singleLevel"/>
    <w:tmpl w:val="12EADF99"/>
    <w:lvl w:ilvl="0" w:tentative="0">
      <w:start w:val="0"/>
      <w:numFmt w:val="bullet"/>
      <w:lvlText w:val="•"/>
      <w:lvlJc w:val="left"/>
      <w:rPr>
        <w:color w:val="3370FF"/>
      </w:rPr>
    </w:lvl>
  </w:abstractNum>
  <w:abstractNum w:abstractNumId="71">
    <w:nsid w:val="1450273B"/>
    <w:multiLevelType w:val="singleLevel"/>
    <w:tmpl w:val="1450273B"/>
    <w:lvl w:ilvl="0" w:tentative="0">
      <w:start w:val="1"/>
      <w:numFmt w:val="decimal"/>
      <w:lvlText w:val="%1."/>
      <w:lvlJc w:val="left"/>
      <w:rPr>
        <w:color w:val="3370FF"/>
      </w:rPr>
    </w:lvl>
  </w:abstractNum>
  <w:abstractNum w:abstractNumId="72">
    <w:nsid w:val="18F74015"/>
    <w:multiLevelType w:val="singleLevel"/>
    <w:tmpl w:val="18F74015"/>
    <w:lvl w:ilvl="0" w:tentative="0">
      <w:start w:val="0"/>
      <w:numFmt w:val="bullet"/>
      <w:lvlText w:val="•"/>
      <w:lvlJc w:val="left"/>
      <w:rPr>
        <w:color w:val="3370FF"/>
      </w:rPr>
    </w:lvl>
  </w:abstractNum>
  <w:abstractNum w:abstractNumId="73">
    <w:nsid w:val="1ACDE60F"/>
    <w:multiLevelType w:val="singleLevel"/>
    <w:tmpl w:val="1ACDE60F"/>
    <w:lvl w:ilvl="0" w:tentative="0">
      <w:start w:val="0"/>
      <w:numFmt w:val="bullet"/>
      <w:lvlText w:val="•"/>
      <w:lvlJc w:val="left"/>
      <w:rPr>
        <w:color w:val="3370FF"/>
      </w:rPr>
    </w:lvl>
  </w:abstractNum>
  <w:abstractNum w:abstractNumId="74">
    <w:nsid w:val="1AD50295"/>
    <w:multiLevelType w:val="singleLevel"/>
    <w:tmpl w:val="1AD50295"/>
    <w:lvl w:ilvl="0" w:tentative="0">
      <w:start w:val="11"/>
      <w:numFmt w:val="decimal"/>
      <w:lvlText w:val="%1."/>
      <w:lvlJc w:val="left"/>
      <w:rPr>
        <w:color w:val="3370FF"/>
      </w:rPr>
    </w:lvl>
  </w:abstractNum>
  <w:abstractNum w:abstractNumId="75">
    <w:nsid w:val="1BCBBCF0"/>
    <w:multiLevelType w:val="singleLevel"/>
    <w:tmpl w:val="1BCBBCF0"/>
    <w:lvl w:ilvl="0" w:tentative="0">
      <w:start w:val="0"/>
      <w:numFmt w:val="bullet"/>
      <w:lvlText w:val="•"/>
      <w:lvlJc w:val="left"/>
      <w:rPr>
        <w:color w:val="3370FF"/>
      </w:rPr>
    </w:lvl>
  </w:abstractNum>
  <w:abstractNum w:abstractNumId="76">
    <w:nsid w:val="1C257C7B"/>
    <w:multiLevelType w:val="singleLevel"/>
    <w:tmpl w:val="1C257C7B"/>
    <w:lvl w:ilvl="0" w:tentative="0">
      <w:start w:val="0"/>
      <w:numFmt w:val="bullet"/>
      <w:lvlText w:val="•"/>
      <w:lvlJc w:val="left"/>
      <w:rPr>
        <w:color w:val="3370FF"/>
      </w:rPr>
    </w:lvl>
  </w:abstractNum>
  <w:abstractNum w:abstractNumId="77">
    <w:nsid w:val="21B3B1B1"/>
    <w:multiLevelType w:val="singleLevel"/>
    <w:tmpl w:val="21B3B1B1"/>
    <w:lvl w:ilvl="0" w:tentative="0">
      <w:start w:val="10"/>
      <w:numFmt w:val="decimal"/>
      <w:lvlText w:val="%1."/>
      <w:lvlJc w:val="left"/>
      <w:rPr>
        <w:color w:val="3370FF"/>
      </w:rPr>
    </w:lvl>
  </w:abstractNum>
  <w:abstractNum w:abstractNumId="78">
    <w:nsid w:val="23E97754"/>
    <w:multiLevelType w:val="singleLevel"/>
    <w:tmpl w:val="23E97754"/>
    <w:lvl w:ilvl="0" w:tentative="0">
      <w:start w:val="0"/>
      <w:numFmt w:val="bullet"/>
      <w:lvlText w:val="￮"/>
      <w:lvlJc w:val="left"/>
      <w:rPr>
        <w:color w:val="3370FF"/>
      </w:rPr>
    </w:lvl>
  </w:abstractNum>
  <w:abstractNum w:abstractNumId="79">
    <w:nsid w:val="243FCF68"/>
    <w:multiLevelType w:val="singleLevel"/>
    <w:tmpl w:val="243FCF68"/>
    <w:lvl w:ilvl="0" w:tentative="0">
      <w:start w:val="0"/>
      <w:numFmt w:val="bullet"/>
      <w:lvlText w:val="•"/>
      <w:lvlJc w:val="left"/>
      <w:rPr>
        <w:color w:val="3370FF"/>
      </w:rPr>
    </w:lvl>
  </w:abstractNum>
  <w:abstractNum w:abstractNumId="80">
    <w:nsid w:val="2470EC97"/>
    <w:multiLevelType w:val="singleLevel"/>
    <w:tmpl w:val="2470EC97"/>
    <w:lvl w:ilvl="0" w:tentative="0">
      <w:start w:val="0"/>
      <w:numFmt w:val="bullet"/>
      <w:lvlText w:val="•"/>
      <w:lvlJc w:val="left"/>
      <w:rPr>
        <w:color w:val="3370FF"/>
      </w:rPr>
    </w:lvl>
  </w:abstractNum>
  <w:abstractNum w:abstractNumId="81">
    <w:nsid w:val="25B654F3"/>
    <w:multiLevelType w:val="singleLevel"/>
    <w:tmpl w:val="25B654F3"/>
    <w:lvl w:ilvl="0" w:tentative="0">
      <w:start w:val="0"/>
      <w:numFmt w:val="bullet"/>
      <w:lvlText w:val="•"/>
      <w:lvlJc w:val="left"/>
      <w:rPr>
        <w:color w:val="3370FF"/>
      </w:rPr>
    </w:lvl>
  </w:abstractNum>
  <w:abstractNum w:abstractNumId="82">
    <w:nsid w:val="2A8F537B"/>
    <w:multiLevelType w:val="singleLevel"/>
    <w:tmpl w:val="2A8F537B"/>
    <w:lvl w:ilvl="0" w:tentative="0">
      <w:start w:val="0"/>
      <w:numFmt w:val="bullet"/>
      <w:lvlText w:val="•"/>
      <w:lvlJc w:val="left"/>
      <w:rPr>
        <w:color w:val="3370FF"/>
      </w:rPr>
    </w:lvl>
  </w:abstractNum>
  <w:abstractNum w:abstractNumId="83">
    <w:nsid w:val="2B3F3F89"/>
    <w:multiLevelType w:val="singleLevel"/>
    <w:tmpl w:val="2B3F3F89"/>
    <w:lvl w:ilvl="0" w:tentative="0">
      <w:start w:val="15"/>
      <w:numFmt w:val="decimal"/>
      <w:lvlText w:val="%1."/>
      <w:lvlJc w:val="left"/>
      <w:rPr>
        <w:color w:val="3370FF"/>
      </w:rPr>
    </w:lvl>
  </w:abstractNum>
  <w:abstractNum w:abstractNumId="84">
    <w:nsid w:val="2F2D79CE"/>
    <w:multiLevelType w:val="singleLevel"/>
    <w:tmpl w:val="2F2D79CE"/>
    <w:lvl w:ilvl="0" w:tentative="0">
      <w:start w:val="1"/>
      <w:numFmt w:val="decimal"/>
      <w:lvlText w:val="%1."/>
      <w:lvlJc w:val="left"/>
      <w:rPr>
        <w:color w:val="3370FF"/>
      </w:rPr>
    </w:lvl>
  </w:abstractNum>
  <w:abstractNum w:abstractNumId="85">
    <w:nsid w:val="30A0AC00"/>
    <w:multiLevelType w:val="singleLevel"/>
    <w:tmpl w:val="30A0AC00"/>
    <w:lvl w:ilvl="0" w:tentative="0">
      <w:start w:val="0"/>
      <w:numFmt w:val="bullet"/>
      <w:lvlText w:val="•"/>
      <w:lvlJc w:val="left"/>
      <w:rPr>
        <w:color w:val="3370FF"/>
      </w:rPr>
    </w:lvl>
  </w:abstractNum>
  <w:abstractNum w:abstractNumId="86">
    <w:nsid w:val="30FC5B15"/>
    <w:multiLevelType w:val="singleLevel"/>
    <w:tmpl w:val="30FC5B15"/>
    <w:lvl w:ilvl="0" w:tentative="0">
      <w:start w:val="0"/>
      <w:numFmt w:val="bullet"/>
      <w:lvlText w:val="•"/>
      <w:lvlJc w:val="left"/>
      <w:rPr>
        <w:color w:val="3370FF"/>
      </w:rPr>
    </w:lvl>
  </w:abstractNum>
  <w:abstractNum w:abstractNumId="87">
    <w:nsid w:val="322D85CA"/>
    <w:multiLevelType w:val="singleLevel"/>
    <w:tmpl w:val="322D85CA"/>
    <w:lvl w:ilvl="0" w:tentative="0">
      <w:start w:val="0"/>
      <w:numFmt w:val="bullet"/>
      <w:lvlText w:val="•"/>
      <w:lvlJc w:val="left"/>
      <w:rPr>
        <w:color w:val="3370FF"/>
      </w:rPr>
    </w:lvl>
  </w:abstractNum>
  <w:abstractNum w:abstractNumId="88">
    <w:nsid w:val="32A7AF2D"/>
    <w:multiLevelType w:val="singleLevel"/>
    <w:tmpl w:val="32A7AF2D"/>
    <w:lvl w:ilvl="0" w:tentative="0">
      <w:start w:val="0"/>
      <w:numFmt w:val="bullet"/>
      <w:lvlText w:val="•"/>
      <w:lvlJc w:val="left"/>
      <w:rPr>
        <w:color w:val="3370FF"/>
      </w:rPr>
    </w:lvl>
  </w:abstractNum>
  <w:abstractNum w:abstractNumId="89">
    <w:nsid w:val="35E83B33"/>
    <w:multiLevelType w:val="singleLevel"/>
    <w:tmpl w:val="35E83B33"/>
    <w:lvl w:ilvl="0" w:tentative="0">
      <w:start w:val="0"/>
      <w:numFmt w:val="bullet"/>
      <w:lvlText w:val="•"/>
      <w:lvlJc w:val="left"/>
      <w:rPr>
        <w:color w:val="3370FF"/>
      </w:rPr>
    </w:lvl>
  </w:abstractNum>
  <w:abstractNum w:abstractNumId="90">
    <w:nsid w:val="39A0D9AC"/>
    <w:multiLevelType w:val="singleLevel"/>
    <w:tmpl w:val="39A0D9AC"/>
    <w:lvl w:ilvl="0" w:tentative="0">
      <w:start w:val="4"/>
      <w:numFmt w:val="decimal"/>
      <w:lvlText w:val="%1."/>
      <w:lvlJc w:val="left"/>
      <w:rPr>
        <w:color w:val="3370FF"/>
      </w:rPr>
    </w:lvl>
  </w:abstractNum>
  <w:abstractNum w:abstractNumId="91">
    <w:nsid w:val="3B8127DF"/>
    <w:multiLevelType w:val="singleLevel"/>
    <w:tmpl w:val="3B8127DF"/>
    <w:lvl w:ilvl="0" w:tentative="0">
      <w:start w:val="0"/>
      <w:numFmt w:val="bullet"/>
      <w:lvlText w:val="•"/>
      <w:lvlJc w:val="left"/>
      <w:rPr>
        <w:color w:val="3370FF"/>
      </w:rPr>
    </w:lvl>
  </w:abstractNum>
  <w:abstractNum w:abstractNumId="92">
    <w:nsid w:val="40B249F9"/>
    <w:multiLevelType w:val="singleLevel"/>
    <w:tmpl w:val="40B249F9"/>
    <w:lvl w:ilvl="0" w:tentative="0">
      <w:start w:val="0"/>
      <w:numFmt w:val="bullet"/>
      <w:lvlText w:val="￮"/>
      <w:lvlJc w:val="left"/>
      <w:rPr>
        <w:color w:val="3370FF"/>
      </w:rPr>
    </w:lvl>
  </w:abstractNum>
  <w:abstractNum w:abstractNumId="93">
    <w:nsid w:val="46A08BB8"/>
    <w:multiLevelType w:val="singleLevel"/>
    <w:tmpl w:val="46A08BB8"/>
    <w:lvl w:ilvl="0" w:tentative="0">
      <w:start w:val="0"/>
      <w:numFmt w:val="bullet"/>
      <w:lvlText w:val="￮"/>
      <w:lvlJc w:val="left"/>
      <w:rPr>
        <w:color w:val="3370FF"/>
      </w:rPr>
    </w:lvl>
  </w:abstractNum>
  <w:abstractNum w:abstractNumId="94">
    <w:nsid w:val="4A51D704"/>
    <w:multiLevelType w:val="singleLevel"/>
    <w:tmpl w:val="4A51D704"/>
    <w:lvl w:ilvl="0" w:tentative="0">
      <w:start w:val="12"/>
      <w:numFmt w:val="decimal"/>
      <w:lvlText w:val="%1."/>
      <w:lvlJc w:val="left"/>
      <w:rPr>
        <w:color w:val="3370FF"/>
      </w:rPr>
    </w:lvl>
  </w:abstractNum>
  <w:abstractNum w:abstractNumId="95">
    <w:nsid w:val="4C1BAE26"/>
    <w:multiLevelType w:val="singleLevel"/>
    <w:tmpl w:val="4C1BAE26"/>
    <w:lvl w:ilvl="0" w:tentative="0">
      <w:start w:val="0"/>
      <w:numFmt w:val="bullet"/>
      <w:lvlText w:val="￮"/>
      <w:lvlJc w:val="left"/>
      <w:rPr>
        <w:color w:val="3370FF"/>
      </w:rPr>
    </w:lvl>
  </w:abstractNum>
  <w:abstractNum w:abstractNumId="96">
    <w:nsid w:val="4C3D7A74"/>
    <w:multiLevelType w:val="singleLevel"/>
    <w:tmpl w:val="4C3D7A74"/>
    <w:lvl w:ilvl="0" w:tentative="0">
      <w:start w:val="0"/>
      <w:numFmt w:val="bullet"/>
      <w:lvlText w:val="•"/>
      <w:lvlJc w:val="left"/>
      <w:rPr>
        <w:color w:val="3370FF"/>
      </w:rPr>
    </w:lvl>
  </w:abstractNum>
  <w:abstractNum w:abstractNumId="97">
    <w:nsid w:val="4CD1E351"/>
    <w:multiLevelType w:val="singleLevel"/>
    <w:tmpl w:val="4CD1E351"/>
    <w:lvl w:ilvl="0" w:tentative="0">
      <w:start w:val="7"/>
      <w:numFmt w:val="decimal"/>
      <w:lvlText w:val="%1."/>
      <w:lvlJc w:val="left"/>
      <w:rPr>
        <w:color w:val="3370FF"/>
      </w:rPr>
    </w:lvl>
  </w:abstractNum>
  <w:abstractNum w:abstractNumId="98">
    <w:nsid w:val="4D4DC07F"/>
    <w:multiLevelType w:val="singleLevel"/>
    <w:tmpl w:val="4D4DC07F"/>
    <w:lvl w:ilvl="0" w:tentative="0">
      <w:start w:val="0"/>
      <w:numFmt w:val="bullet"/>
      <w:lvlText w:val="•"/>
      <w:lvlJc w:val="left"/>
      <w:rPr>
        <w:color w:val="3370FF"/>
      </w:rPr>
    </w:lvl>
  </w:abstractNum>
  <w:abstractNum w:abstractNumId="99">
    <w:nsid w:val="4D94DA66"/>
    <w:multiLevelType w:val="singleLevel"/>
    <w:tmpl w:val="4D94DA66"/>
    <w:lvl w:ilvl="0" w:tentative="0">
      <w:start w:val="0"/>
      <w:numFmt w:val="bullet"/>
      <w:lvlText w:val="•"/>
      <w:lvlJc w:val="left"/>
      <w:rPr>
        <w:color w:val="3370FF"/>
      </w:rPr>
    </w:lvl>
  </w:abstractNum>
  <w:abstractNum w:abstractNumId="100">
    <w:nsid w:val="54701CA1"/>
    <w:multiLevelType w:val="singleLevel"/>
    <w:tmpl w:val="54701CA1"/>
    <w:lvl w:ilvl="0" w:tentative="0">
      <w:start w:val="9"/>
      <w:numFmt w:val="decimal"/>
      <w:lvlText w:val="%1."/>
      <w:lvlJc w:val="left"/>
      <w:rPr>
        <w:color w:val="3370FF"/>
      </w:rPr>
    </w:lvl>
  </w:abstractNum>
  <w:abstractNum w:abstractNumId="101">
    <w:nsid w:val="58765686"/>
    <w:multiLevelType w:val="singleLevel"/>
    <w:tmpl w:val="58765686"/>
    <w:lvl w:ilvl="0" w:tentative="0">
      <w:start w:val="6"/>
      <w:numFmt w:val="decimal"/>
      <w:lvlText w:val="%1."/>
      <w:lvlJc w:val="left"/>
      <w:rPr>
        <w:color w:val="3370FF"/>
      </w:rPr>
    </w:lvl>
  </w:abstractNum>
  <w:abstractNum w:abstractNumId="102">
    <w:nsid w:val="59ADCABA"/>
    <w:multiLevelType w:val="singleLevel"/>
    <w:tmpl w:val="59ADCABA"/>
    <w:lvl w:ilvl="0" w:tentative="0">
      <w:start w:val="0"/>
      <w:numFmt w:val="bullet"/>
      <w:lvlText w:val="•"/>
      <w:lvlJc w:val="left"/>
      <w:rPr>
        <w:color w:val="3370FF"/>
      </w:rPr>
    </w:lvl>
  </w:abstractNum>
  <w:abstractNum w:abstractNumId="103">
    <w:nsid w:val="59EEFD2A"/>
    <w:multiLevelType w:val="singleLevel"/>
    <w:tmpl w:val="59EEFD2A"/>
    <w:lvl w:ilvl="0" w:tentative="0">
      <w:start w:val="4"/>
      <w:numFmt w:val="decimal"/>
      <w:lvlText w:val="%1."/>
      <w:lvlJc w:val="left"/>
      <w:rPr>
        <w:color w:val="3370FF"/>
      </w:rPr>
    </w:lvl>
  </w:abstractNum>
  <w:abstractNum w:abstractNumId="104">
    <w:nsid w:val="5A241D34"/>
    <w:multiLevelType w:val="singleLevel"/>
    <w:tmpl w:val="5A241D34"/>
    <w:lvl w:ilvl="0" w:tentative="0">
      <w:start w:val="0"/>
      <w:numFmt w:val="bullet"/>
      <w:lvlText w:val="•"/>
      <w:lvlJc w:val="left"/>
      <w:rPr>
        <w:color w:val="3370FF"/>
      </w:rPr>
    </w:lvl>
  </w:abstractNum>
  <w:abstractNum w:abstractNumId="105">
    <w:nsid w:val="5E29AB5A"/>
    <w:multiLevelType w:val="singleLevel"/>
    <w:tmpl w:val="5E29AB5A"/>
    <w:lvl w:ilvl="0" w:tentative="0">
      <w:start w:val="0"/>
      <w:numFmt w:val="bullet"/>
      <w:lvlText w:val="•"/>
      <w:lvlJc w:val="left"/>
      <w:rPr>
        <w:color w:val="3370FF"/>
      </w:rPr>
    </w:lvl>
  </w:abstractNum>
  <w:abstractNum w:abstractNumId="106">
    <w:nsid w:val="5FCE4367"/>
    <w:multiLevelType w:val="singleLevel"/>
    <w:tmpl w:val="5FCE4367"/>
    <w:lvl w:ilvl="0" w:tentative="0">
      <w:start w:val="7"/>
      <w:numFmt w:val="decimal"/>
      <w:lvlText w:val="%1."/>
      <w:lvlJc w:val="left"/>
      <w:rPr>
        <w:color w:val="3370FF"/>
      </w:rPr>
    </w:lvl>
  </w:abstractNum>
  <w:abstractNum w:abstractNumId="107">
    <w:nsid w:val="5FFFB1A7"/>
    <w:multiLevelType w:val="singleLevel"/>
    <w:tmpl w:val="5FFFB1A7"/>
    <w:lvl w:ilvl="0" w:tentative="0">
      <w:start w:val="0"/>
      <w:numFmt w:val="bullet"/>
      <w:lvlText w:val="•"/>
      <w:lvlJc w:val="left"/>
      <w:rPr>
        <w:color w:val="3370FF"/>
      </w:rPr>
    </w:lvl>
  </w:abstractNum>
  <w:abstractNum w:abstractNumId="108">
    <w:nsid w:val="60382F6E"/>
    <w:multiLevelType w:val="singleLevel"/>
    <w:tmpl w:val="60382F6E"/>
    <w:lvl w:ilvl="0" w:tentative="0">
      <w:start w:val="0"/>
      <w:numFmt w:val="bullet"/>
      <w:lvlText w:val="￮"/>
      <w:lvlJc w:val="left"/>
      <w:rPr>
        <w:color w:val="3370FF"/>
      </w:rPr>
    </w:lvl>
  </w:abstractNum>
  <w:abstractNum w:abstractNumId="109">
    <w:nsid w:val="610EFE5C"/>
    <w:multiLevelType w:val="singleLevel"/>
    <w:tmpl w:val="610EFE5C"/>
    <w:lvl w:ilvl="0" w:tentative="0">
      <w:start w:val="14"/>
      <w:numFmt w:val="decimal"/>
      <w:lvlText w:val="%1."/>
      <w:lvlJc w:val="left"/>
      <w:rPr>
        <w:color w:val="3370FF"/>
      </w:rPr>
    </w:lvl>
  </w:abstractNum>
  <w:abstractNum w:abstractNumId="110">
    <w:nsid w:val="629F7852"/>
    <w:multiLevelType w:val="singleLevel"/>
    <w:tmpl w:val="629F7852"/>
    <w:lvl w:ilvl="0" w:tentative="0">
      <w:start w:val="2"/>
      <w:numFmt w:val="decimal"/>
      <w:lvlText w:val="%1."/>
      <w:lvlJc w:val="left"/>
      <w:rPr>
        <w:color w:val="3370FF"/>
      </w:rPr>
    </w:lvl>
  </w:abstractNum>
  <w:abstractNum w:abstractNumId="111">
    <w:nsid w:val="65CD0074"/>
    <w:multiLevelType w:val="singleLevel"/>
    <w:tmpl w:val="65CD0074"/>
    <w:lvl w:ilvl="0" w:tentative="0">
      <w:start w:val="0"/>
      <w:numFmt w:val="bullet"/>
      <w:lvlText w:val="•"/>
      <w:lvlJc w:val="left"/>
      <w:rPr>
        <w:color w:val="3370FF"/>
      </w:rPr>
    </w:lvl>
  </w:abstractNum>
  <w:abstractNum w:abstractNumId="112">
    <w:nsid w:val="68B298F7"/>
    <w:multiLevelType w:val="singleLevel"/>
    <w:tmpl w:val="68B298F7"/>
    <w:lvl w:ilvl="0" w:tentative="0">
      <w:start w:val="3"/>
      <w:numFmt w:val="decimal"/>
      <w:lvlText w:val="%1."/>
      <w:lvlJc w:val="left"/>
      <w:rPr>
        <w:color w:val="3370FF"/>
      </w:rPr>
    </w:lvl>
  </w:abstractNum>
  <w:abstractNum w:abstractNumId="113">
    <w:nsid w:val="700FDCEF"/>
    <w:multiLevelType w:val="singleLevel"/>
    <w:tmpl w:val="700FDCEF"/>
    <w:lvl w:ilvl="0" w:tentative="0">
      <w:start w:val="0"/>
      <w:numFmt w:val="bullet"/>
      <w:lvlText w:val="•"/>
      <w:lvlJc w:val="left"/>
      <w:rPr>
        <w:color w:val="3370FF"/>
      </w:rPr>
    </w:lvl>
  </w:abstractNum>
  <w:abstractNum w:abstractNumId="114">
    <w:nsid w:val="72183CF9"/>
    <w:multiLevelType w:val="singleLevel"/>
    <w:tmpl w:val="72183CF9"/>
    <w:lvl w:ilvl="0" w:tentative="0">
      <w:start w:val="0"/>
      <w:numFmt w:val="bullet"/>
      <w:lvlText w:val="•"/>
      <w:lvlJc w:val="left"/>
      <w:rPr>
        <w:color w:val="3370FF"/>
      </w:rPr>
    </w:lvl>
  </w:abstractNum>
  <w:abstractNum w:abstractNumId="115">
    <w:nsid w:val="74C28B35"/>
    <w:multiLevelType w:val="singleLevel"/>
    <w:tmpl w:val="74C28B35"/>
    <w:lvl w:ilvl="0" w:tentative="0">
      <w:start w:val="0"/>
      <w:numFmt w:val="bullet"/>
      <w:lvlText w:val="•"/>
      <w:lvlJc w:val="left"/>
      <w:rPr>
        <w:color w:val="3370FF"/>
      </w:rPr>
    </w:lvl>
  </w:abstractNum>
  <w:abstractNum w:abstractNumId="116">
    <w:nsid w:val="77633216"/>
    <w:multiLevelType w:val="singleLevel"/>
    <w:tmpl w:val="77633216"/>
    <w:lvl w:ilvl="0" w:tentative="0">
      <w:start w:val="0"/>
      <w:numFmt w:val="bullet"/>
      <w:lvlText w:val="•"/>
      <w:lvlJc w:val="left"/>
      <w:rPr>
        <w:color w:val="3370FF"/>
      </w:rPr>
    </w:lvl>
  </w:abstractNum>
  <w:abstractNum w:abstractNumId="117">
    <w:nsid w:val="77ECEA79"/>
    <w:multiLevelType w:val="singleLevel"/>
    <w:tmpl w:val="77ECEA79"/>
    <w:lvl w:ilvl="0" w:tentative="0">
      <w:start w:val="0"/>
      <w:numFmt w:val="bullet"/>
      <w:lvlText w:val="•"/>
      <w:lvlJc w:val="left"/>
      <w:rPr>
        <w:color w:val="3370FF"/>
      </w:rPr>
    </w:lvl>
  </w:abstractNum>
  <w:abstractNum w:abstractNumId="118">
    <w:nsid w:val="79AA4FA4"/>
    <w:multiLevelType w:val="singleLevel"/>
    <w:tmpl w:val="79AA4FA4"/>
    <w:lvl w:ilvl="0" w:tentative="0">
      <w:start w:val="0"/>
      <w:numFmt w:val="bullet"/>
      <w:lvlText w:val="•"/>
      <w:lvlJc w:val="left"/>
      <w:rPr>
        <w:color w:val="3370FF"/>
      </w:rPr>
    </w:lvl>
  </w:abstractNum>
  <w:abstractNum w:abstractNumId="119">
    <w:nsid w:val="7C246926"/>
    <w:multiLevelType w:val="singleLevel"/>
    <w:tmpl w:val="7C246926"/>
    <w:lvl w:ilvl="0" w:tentative="0">
      <w:start w:val="0"/>
      <w:numFmt w:val="bullet"/>
      <w:lvlText w:val="•"/>
      <w:lvlJc w:val="left"/>
      <w:rPr>
        <w:color w:val="3370FF"/>
      </w:rPr>
    </w:lvl>
  </w:abstractNum>
  <w:abstractNum w:abstractNumId="120">
    <w:nsid w:val="7DEC2089"/>
    <w:multiLevelType w:val="singleLevel"/>
    <w:tmpl w:val="7DEC2089"/>
    <w:lvl w:ilvl="0" w:tentative="0">
      <w:start w:val="0"/>
      <w:numFmt w:val="bullet"/>
      <w:lvlText w:val="•"/>
      <w:lvlJc w:val="left"/>
      <w:rPr>
        <w:color w:val="3370FF"/>
      </w:rPr>
    </w:lvl>
  </w:abstractNum>
  <w:num w:numId="1">
    <w:abstractNumId w:val="59"/>
  </w:num>
  <w:num w:numId="2">
    <w:abstractNumId w:val="41"/>
  </w:num>
  <w:num w:numId="3">
    <w:abstractNumId w:val="102"/>
  </w:num>
  <w:num w:numId="4">
    <w:abstractNumId w:val="35"/>
  </w:num>
  <w:num w:numId="5">
    <w:abstractNumId w:val="27"/>
  </w:num>
  <w:num w:numId="6">
    <w:abstractNumId w:val="64"/>
  </w:num>
  <w:num w:numId="7">
    <w:abstractNumId w:val="81"/>
  </w:num>
  <w:num w:numId="8">
    <w:abstractNumId w:val="114"/>
  </w:num>
  <w:num w:numId="9">
    <w:abstractNumId w:val="61"/>
  </w:num>
  <w:num w:numId="10">
    <w:abstractNumId w:val="9"/>
  </w:num>
  <w:num w:numId="11">
    <w:abstractNumId w:val="82"/>
  </w:num>
  <w:num w:numId="12">
    <w:abstractNumId w:val="104"/>
  </w:num>
  <w:num w:numId="13">
    <w:abstractNumId w:val="39"/>
  </w:num>
  <w:num w:numId="14">
    <w:abstractNumId w:val="98"/>
  </w:num>
  <w:num w:numId="15">
    <w:abstractNumId w:val="54"/>
  </w:num>
  <w:num w:numId="16">
    <w:abstractNumId w:val="80"/>
  </w:num>
  <w:num w:numId="17">
    <w:abstractNumId w:val="46"/>
  </w:num>
  <w:num w:numId="18">
    <w:abstractNumId w:val="44"/>
  </w:num>
  <w:num w:numId="19">
    <w:abstractNumId w:val="15"/>
  </w:num>
  <w:num w:numId="20">
    <w:abstractNumId w:val="95"/>
  </w:num>
  <w:num w:numId="21">
    <w:abstractNumId w:val="108"/>
  </w:num>
  <w:num w:numId="22">
    <w:abstractNumId w:val="67"/>
  </w:num>
  <w:num w:numId="23">
    <w:abstractNumId w:val="93"/>
  </w:num>
  <w:num w:numId="24">
    <w:abstractNumId w:val="24"/>
  </w:num>
  <w:num w:numId="25">
    <w:abstractNumId w:val="119"/>
  </w:num>
  <w:num w:numId="26">
    <w:abstractNumId w:val="117"/>
  </w:num>
  <w:num w:numId="27">
    <w:abstractNumId w:val="34"/>
  </w:num>
  <w:num w:numId="28">
    <w:abstractNumId w:val="110"/>
  </w:num>
  <w:num w:numId="29">
    <w:abstractNumId w:val="10"/>
  </w:num>
  <w:num w:numId="30">
    <w:abstractNumId w:val="90"/>
  </w:num>
  <w:num w:numId="31">
    <w:abstractNumId w:val="4"/>
  </w:num>
  <w:num w:numId="32">
    <w:abstractNumId w:val="101"/>
  </w:num>
  <w:num w:numId="33">
    <w:abstractNumId w:val="120"/>
  </w:num>
  <w:num w:numId="34">
    <w:abstractNumId w:val="1"/>
  </w:num>
  <w:num w:numId="35">
    <w:abstractNumId w:val="79"/>
  </w:num>
  <w:num w:numId="36">
    <w:abstractNumId w:val="99"/>
  </w:num>
  <w:num w:numId="37">
    <w:abstractNumId w:val="57"/>
  </w:num>
  <w:num w:numId="38">
    <w:abstractNumId w:val="48"/>
  </w:num>
  <w:num w:numId="39">
    <w:abstractNumId w:val="86"/>
  </w:num>
  <w:num w:numId="40">
    <w:abstractNumId w:val="118"/>
  </w:num>
  <w:num w:numId="41">
    <w:abstractNumId w:val="30"/>
  </w:num>
  <w:num w:numId="42">
    <w:abstractNumId w:val="7"/>
  </w:num>
  <w:num w:numId="43">
    <w:abstractNumId w:val="29"/>
  </w:num>
  <w:num w:numId="44">
    <w:abstractNumId w:val="105"/>
  </w:num>
  <w:num w:numId="45">
    <w:abstractNumId w:val="3"/>
  </w:num>
  <w:num w:numId="46">
    <w:abstractNumId w:val="73"/>
  </w:num>
  <w:num w:numId="47">
    <w:abstractNumId w:val="6"/>
  </w:num>
  <w:num w:numId="48">
    <w:abstractNumId w:val="107"/>
  </w:num>
  <w:num w:numId="49">
    <w:abstractNumId w:val="115"/>
  </w:num>
  <w:num w:numId="50">
    <w:abstractNumId w:val="96"/>
  </w:num>
  <w:num w:numId="51">
    <w:abstractNumId w:val="87"/>
  </w:num>
  <w:num w:numId="52">
    <w:abstractNumId w:val="111"/>
  </w:num>
  <w:num w:numId="53">
    <w:abstractNumId w:val="65"/>
  </w:num>
  <w:num w:numId="54">
    <w:abstractNumId w:val="66"/>
  </w:num>
  <w:num w:numId="55">
    <w:abstractNumId w:val="43"/>
  </w:num>
  <w:num w:numId="56">
    <w:abstractNumId w:val="88"/>
  </w:num>
  <w:num w:numId="57">
    <w:abstractNumId w:val="76"/>
  </w:num>
  <w:num w:numId="58">
    <w:abstractNumId w:val="51"/>
  </w:num>
  <w:num w:numId="59">
    <w:abstractNumId w:val="78"/>
  </w:num>
  <w:num w:numId="60">
    <w:abstractNumId w:val="26"/>
  </w:num>
  <w:num w:numId="61">
    <w:abstractNumId w:val="92"/>
  </w:num>
  <w:num w:numId="62">
    <w:abstractNumId w:val="68"/>
  </w:num>
  <w:num w:numId="63">
    <w:abstractNumId w:val="89"/>
  </w:num>
  <w:num w:numId="64">
    <w:abstractNumId w:val="62"/>
  </w:num>
  <w:num w:numId="65">
    <w:abstractNumId w:val="37"/>
  </w:num>
  <w:num w:numId="66">
    <w:abstractNumId w:val="70"/>
  </w:num>
  <w:num w:numId="67">
    <w:abstractNumId w:val="25"/>
  </w:num>
  <w:num w:numId="68">
    <w:abstractNumId w:val="91"/>
  </w:num>
  <w:num w:numId="69">
    <w:abstractNumId w:val="20"/>
  </w:num>
  <w:num w:numId="70">
    <w:abstractNumId w:val="56"/>
  </w:num>
  <w:num w:numId="71">
    <w:abstractNumId w:val="85"/>
  </w:num>
  <w:num w:numId="72">
    <w:abstractNumId w:val="58"/>
  </w:num>
  <w:num w:numId="73">
    <w:abstractNumId w:val="72"/>
  </w:num>
  <w:num w:numId="74">
    <w:abstractNumId w:val="113"/>
  </w:num>
  <w:num w:numId="75">
    <w:abstractNumId w:val="49"/>
  </w:num>
  <w:num w:numId="76">
    <w:abstractNumId w:val="38"/>
  </w:num>
  <w:num w:numId="77">
    <w:abstractNumId w:val="19"/>
  </w:num>
  <w:num w:numId="78">
    <w:abstractNumId w:val="116"/>
  </w:num>
  <w:num w:numId="79">
    <w:abstractNumId w:val="45"/>
  </w:num>
  <w:num w:numId="80">
    <w:abstractNumId w:val="28"/>
  </w:num>
  <w:num w:numId="81">
    <w:abstractNumId w:val="84"/>
  </w:num>
  <w:num w:numId="82">
    <w:abstractNumId w:val="50"/>
  </w:num>
  <w:num w:numId="83">
    <w:abstractNumId w:val="13"/>
  </w:num>
  <w:num w:numId="84">
    <w:abstractNumId w:val="103"/>
  </w:num>
  <w:num w:numId="85">
    <w:abstractNumId w:val="32"/>
  </w:num>
  <w:num w:numId="86">
    <w:abstractNumId w:val="23"/>
  </w:num>
  <w:num w:numId="87">
    <w:abstractNumId w:val="11"/>
  </w:num>
  <w:num w:numId="88">
    <w:abstractNumId w:val="16"/>
  </w:num>
  <w:num w:numId="89">
    <w:abstractNumId w:val="22"/>
  </w:num>
  <w:num w:numId="90">
    <w:abstractNumId w:val="8"/>
  </w:num>
  <w:num w:numId="91">
    <w:abstractNumId w:val="75"/>
  </w:num>
  <w:num w:numId="92">
    <w:abstractNumId w:val="33"/>
  </w:num>
  <w:num w:numId="93">
    <w:abstractNumId w:val="71"/>
  </w:num>
  <w:num w:numId="94">
    <w:abstractNumId w:val="42"/>
  </w:num>
  <w:num w:numId="95">
    <w:abstractNumId w:val="112"/>
  </w:num>
  <w:num w:numId="96">
    <w:abstractNumId w:val="0"/>
  </w:num>
  <w:num w:numId="97">
    <w:abstractNumId w:val="31"/>
  </w:num>
  <w:num w:numId="98">
    <w:abstractNumId w:val="55"/>
  </w:num>
  <w:num w:numId="99">
    <w:abstractNumId w:val="97"/>
  </w:num>
  <w:num w:numId="100">
    <w:abstractNumId w:val="69"/>
  </w:num>
  <w:num w:numId="101">
    <w:abstractNumId w:val="14"/>
  </w:num>
  <w:num w:numId="102">
    <w:abstractNumId w:val="47"/>
  </w:num>
  <w:num w:numId="103">
    <w:abstractNumId w:val="74"/>
  </w:num>
  <w:num w:numId="104">
    <w:abstractNumId w:val="94"/>
  </w:num>
  <w:num w:numId="105">
    <w:abstractNumId w:val="21"/>
  </w:num>
  <w:num w:numId="106">
    <w:abstractNumId w:val="109"/>
  </w:num>
  <w:num w:numId="107">
    <w:abstractNumId w:val="2"/>
  </w:num>
  <w:num w:numId="108">
    <w:abstractNumId w:val="5"/>
  </w:num>
  <w:num w:numId="109">
    <w:abstractNumId w:val="60"/>
  </w:num>
  <w:num w:numId="110">
    <w:abstractNumId w:val="18"/>
  </w:num>
  <w:num w:numId="111">
    <w:abstractNumId w:val="36"/>
  </w:num>
  <w:num w:numId="112">
    <w:abstractNumId w:val="40"/>
  </w:num>
  <w:num w:numId="113">
    <w:abstractNumId w:val="53"/>
  </w:num>
  <w:num w:numId="114">
    <w:abstractNumId w:val="106"/>
  </w:num>
  <w:num w:numId="115">
    <w:abstractNumId w:val="52"/>
  </w:num>
  <w:num w:numId="116">
    <w:abstractNumId w:val="100"/>
  </w:num>
  <w:num w:numId="117">
    <w:abstractNumId w:val="77"/>
  </w:num>
  <w:num w:numId="118">
    <w:abstractNumId w:val="12"/>
  </w:num>
  <w:num w:numId="119">
    <w:abstractNumId w:val="63"/>
  </w:num>
  <w:num w:numId="120">
    <w:abstractNumId w:val="17"/>
  </w:num>
  <w:num w:numId="121">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500E0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15453</Words>
  <Characters>24342</Characters>
  <TotalTime>0</TotalTime>
  <ScaleCrop>false</ScaleCrop>
  <LinksUpToDate>false</LinksUpToDate>
  <CharactersWithSpaces>26263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2025-12-28T11:53:00Z</dcterms:created>
  <dc:creator>Apache POI</dc:creator>
  <cp:lastModifiedBy>一缕清风</cp:lastModifiedBy>
  <dcterms:modified xsi:type="dcterms:W3CDTF">2025-12-28T12:09:48Z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05D2FCD242BC40F9BD3448AA080A9BC0_12</vt:lpwstr>
  </property>
</Properties>
</file>