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54CFB">
      <w:pPr>
        <w:spacing w:before="480" w:after="480" w:line="288" w:lineRule="auto"/>
        <w:ind w:left="0"/>
      </w:pPr>
      <w:r>
        <w:rPr>
          <w:rFonts w:ascii="Arial" w:hAnsi="Arial" w:eastAsia="等线" w:cs="Arial"/>
          <w:b/>
          <w:sz w:val="52"/>
        </w:rPr>
        <w:t>Chapter 15 Making Sure the IRS Gets Its Share</w:t>
      </w:r>
    </w:p>
    <w:p w14:paraId="7BED2FE8">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5B30978B">
      <w:pPr>
        <w:spacing w:before="120" w:after="120" w:line="288" w:lineRule="auto"/>
        <w:ind w:left="0"/>
        <w:jc w:val="left"/>
      </w:pPr>
      <w:r>
        <w:rPr>
          <w:rFonts w:ascii="Arial" w:hAnsi="Arial" w:eastAsia="等线" w:cs="Arial"/>
          <w:sz w:val="22"/>
        </w:rPr>
        <w:t>这一章是 SIE 考试的重点，因为它将证券行业的知识与每个投资者的核心关切（税收优惠和退休储蓄）直接联系起来。</w:t>
      </w:r>
    </w:p>
    <w:p w14:paraId="624FE459">
      <w:pPr>
        <w:spacing w:before="120" w:after="120" w:line="288" w:lineRule="auto"/>
        <w:ind w:left="0"/>
        <w:jc w:val="left"/>
      </w:pPr>
    </w:p>
    <w:p w14:paraId="7B4AE2FD">
      <w:pPr>
        <w:spacing w:before="120" w:after="120" w:line="288" w:lineRule="auto"/>
        <w:ind w:left="0"/>
        <w:jc w:val="left"/>
      </w:pPr>
      <w:r>
        <w:rPr>
          <w:rFonts w:ascii="Arial" w:hAnsi="Arial" w:eastAsia="等线" w:cs="Arial"/>
          <w:sz w:val="22"/>
        </w:rPr>
        <w:t>本章主要内容如下：</w:t>
      </w:r>
    </w:p>
    <w:p w14:paraId="02686688">
      <w:pPr>
        <w:numPr>
          <w:ilvl w:val="0"/>
          <w:numId w:val="1"/>
        </w:numPr>
        <w:spacing w:before="120" w:after="120" w:line="288" w:lineRule="auto"/>
        <w:ind w:left="0"/>
        <w:jc w:val="left"/>
      </w:pPr>
      <w:r>
        <w:rPr>
          <w:rFonts w:ascii="Arial" w:hAnsi="Arial" w:eastAsia="等线" w:cs="Arial"/>
          <w:sz w:val="22"/>
        </w:rPr>
        <w:t>税收类别和规则，从区分税收类型到收入类型。</w:t>
      </w:r>
    </w:p>
    <w:p w14:paraId="2177B839">
      <w:pPr>
        <w:numPr>
          <w:ilvl w:val="0"/>
          <w:numId w:val="2"/>
        </w:numPr>
        <w:spacing w:before="120" w:after="120" w:line="288" w:lineRule="auto"/>
        <w:ind w:left="0"/>
        <w:jc w:val="left"/>
      </w:pPr>
      <w:r>
        <w:rPr>
          <w:rFonts w:ascii="Arial" w:hAnsi="Arial" w:eastAsia="等线" w:cs="Arial"/>
          <w:sz w:val="22"/>
        </w:rPr>
        <w:t>不同类型退休计划、每种计划的具体细节以及税收优势的能力。</w:t>
      </w:r>
    </w:p>
    <w:p w14:paraId="4110DF2B">
      <w:pPr>
        <w:spacing w:before="120" w:after="120" w:line="288" w:lineRule="auto"/>
        <w:ind w:left="0"/>
        <w:jc w:val="left"/>
      </w:pPr>
    </w:p>
    <w:p w14:paraId="799BCA58">
      <w:pPr>
        <w:spacing w:before="120" w:after="120" w:line="288" w:lineRule="auto"/>
        <w:ind w:left="0"/>
        <w:jc w:val="left"/>
      </w:pPr>
      <w:r>
        <w:rPr>
          <w:rFonts w:ascii="Arial" w:hAnsi="Arial" w:eastAsia="等线" w:cs="Arial"/>
          <w:sz w:val="22"/>
        </w:rPr>
        <w:t>核心思想是：注册代表必须理解不同退休账户的税务影响和规则，才能为客户提供合适的建议。</w:t>
      </w:r>
    </w:p>
    <w:p w14:paraId="6829F20B">
      <w:pPr>
        <w:spacing w:before="120" w:after="120" w:line="288" w:lineRule="auto"/>
        <w:ind w:left="0"/>
        <w:jc w:val="left"/>
      </w:pPr>
    </w:p>
    <w:p w14:paraId="25BD629C">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173C7ECE">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了解税收和收入类别</w:t>
      </w:r>
      <w:bookmarkEnd w:id="2"/>
    </w:p>
    <w:p w14:paraId="3D24D256">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税收类别（Tax categories）</w:t>
      </w:r>
      <w:bookmarkEnd w:id="3"/>
    </w:p>
    <w:p w14:paraId="4FA72205">
      <w:pPr>
        <w:spacing w:before="120" w:after="120" w:line="288" w:lineRule="auto"/>
        <w:ind w:left="0"/>
        <w:jc w:val="left"/>
      </w:pPr>
      <w:r>
        <w:rPr>
          <w:rFonts w:ascii="Arial" w:hAnsi="Arial" w:eastAsia="等线" w:cs="Arial"/>
          <w:sz w:val="22"/>
        </w:rPr>
        <w:t>最高税务征收机构（美国国税局 Internal Revenue Service，IRS）根据个人缴纳的百分比，将税收分为几个类别。</w:t>
      </w:r>
    </w:p>
    <w:p w14:paraId="4EDA8863">
      <w:pPr>
        <w:spacing w:before="260" w:after="120" w:line="288" w:lineRule="auto"/>
        <w:ind w:left="0"/>
        <w:jc w:val="left"/>
        <w:outlineLvl w:val="3"/>
      </w:pPr>
      <w:bookmarkStart w:id="4" w:name="heading_4"/>
      <w:r>
        <w:rPr>
          <w:rFonts w:ascii="Arial" w:hAnsi="Arial" w:eastAsia="等线" w:cs="Arial"/>
          <w:color w:val="3370FF"/>
          <w:sz w:val="28"/>
        </w:rPr>
        <w:t xml:space="preserve">2.1.1.1 </w:t>
      </w:r>
      <w:r>
        <w:rPr>
          <w:rFonts w:ascii="Arial" w:hAnsi="Arial" w:eastAsia="等线" w:cs="Arial"/>
          <w:b/>
          <w:sz w:val="28"/>
        </w:rPr>
        <w:t>累进税</w:t>
      </w:r>
      <w:bookmarkEnd w:id="4"/>
    </w:p>
    <w:p w14:paraId="532950FE">
      <w:pPr>
        <w:spacing w:before="120" w:after="120" w:line="288" w:lineRule="auto"/>
        <w:ind w:left="0"/>
        <w:jc w:val="left"/>
      </w:pPr>
      <w:r>
        <w:rPr>
          <w:rFonts w:ascii="Arial" w:hAnsi="Arial" w:eastAsia="等线" w:cs="Arial"/>
          <w:b/>
          <w:sz w:val="22"/>
        </w:rPr>
        <w:t xml:space="preserve">核心特点： </w:t>
      </w:r>
      <w:r>
        <w:rPr>
          <w:rFonts w:ascii="Arial" w:hAnsi="Arial" w:eastAsia="等线" w:cs="Arial"/>
          <w:sz w:val="22"/>
        </w:rPr>
        <w:t>累进税（Progressive Taxes）税率随纳税人应纳税收入（或财富）的增加而提高。</w:t>
      </w:r>
    </w:p>
    <w:p w14:paraId="0ECA0DBE">
      <w:pPr>
        <w:spacing w:before="120" w:after="120" w:line="288" w:lineRule="auto"/>
        <w:ind w:left="0"/>
        <w:jc w:val="left"/>
      </w:pPr>
    </w:p>
    <w:p w14:paraId="0DE68841">
      <w:pPr>
        <w:spacing w:before="120" w:after="120" w:line="288" w:lineRule="auto"/>
        <w:ind w:left="0"/>
        <w:jc w:val="left"/>
      </w:pPr>
      <w:r>
        <w:rPr>
          <w:rFonts w:ascii="Arial" w:hAnsi="Arial" w:eastAsia="等线" w:cs="Arial"/>
          <w:b/>
          <w:sz w:val="22"/>
        </w:rPr>
        <w:t>运作方式：</w:t>
      </w:r>
      <w:r>
        <w:rPr>
          <w:rFonts w:ascii="Arial" w:hAnsi="Arial" w:eastAsia="等线" w:cs="Arial"/>
          <w:sz w:val="22"/>
        </w:rPr>
        <w:t xml:space="preserve"> 采用分级税率。收入被划分为不同的等级，每个等级按对应的税率征税。只有超过某一等级门槛的那部分收入才按更高的税率征税。阶梯式收税，对高收入人群影响大。</w:t>
      </w:r>
    </w:p>
    <w:p w14:paraId="3EA9B19F">
      <w:pPr>
        <w:spacing w:before="120" w:after="120" w:line="288" w:lineRule="auto"/>
        <w:ind w:left="0"/>
        <w:jc w:val="left"/>
      </w:pPr>
    </w:p>
    <w:p w14:paraId="771819B8">
      <w:pPr>
        <w:spacing w:before="120" w:after="120" w:line="288" w:lineRule="auto"/>
        <w:ind w:left="0"/>
        <w:jc w:val="left"/>
      </w:pPr>
      <w:r>
        <w:rPr>
          <w:rFonts w:ascii="Arial" w:hAnsi="Arial" w:eastAsia="等线" w:cs="Arial"/>
          <w:b/>
          <w:sz w:val="22"/>
        </w:rPr>
        <w:t>效果：</w:t>
      </w:r>
      <w:r>
        <w:rPr>
          <w:rFonts w:ascii="Arial" w:hAnsi="Arial" w:eastAsia="等线" w:cs="Arial"/>
          <w:sz w:val="22"/>
        </w:rPr>
        <w:t xml:space="preserve"> 具有缩小贫富差距的再分配效应。高收入者将使用更大税率进行纳税。</w:t>
      </w:r>
    </w:p>
    <w:p w14:paraId="4FC6D9C9">
      <w:pPr>
        <w:spacing w:before="120" w:after="120" w:line="288" w:lineRule="auto"/>
        <w:ind w:left="0"/>
        <w:jc w:val="left"/>
      </w:pPr>
    </w:p>
    <w:p w14:paraId="191D8333">
      <w:pPr>
        <w:spacing w:before="120" w:after="120" w:line="288" w:lineRule="auto"/>
        <w:ind w:left="0"/>
        <w:jc w:val="left"/>
      </w:pPr>
      <w:r>
        <w:rPr>
          <w:rFonts w:ascii="Arial" w:hAnsi="Arial" w:eastAsia="等线" w:cs="Arial"/>
          <w:b/>
          <w:sz w:val="22"/>
        </w:rPr>
        <w:t>包含：</w:t>
      </w:r>
      <w:r>
        <w:rPr>
          <w:rFonts w:ascii="Arial" w:hAnsi="Arial" w:eastAsia="等线" w:cs="Arial"/>
          <w:sz w:val="22"/>
        </w:rPr>
        <w:t>个人所得税（personal income）, 赠与税（gift taxes）和遗产税（estate taxes）。</w:t>
      </w:r>
    </w:p>
    <w:p w14:paraId="0D0D839F">
      <w:pPr>
        <w:spacing w:before="120" w:after="120" w:line="288" w:lineRule="auto"/>
        <w:ind w:left="0"/>
        <w:jc w:val="left"/>
      </w:pPr>
    </w:p>
    <w:p w14:paraId="143267C9">
      <w:pPr>
        <w:spacing w:before="120" w:after="120" w:line="288" w:lineRule="auto"/>
        <w:ind w:left="0"/>
        <w:jc w:val="left"/>
      </w:pPr>
      <w:r>
        <w:rPr>
          <w:rFonts w:ascii="Arial" w:hAnsi="Arial" w:eastAsia="等线" w:cs="Arial"/>
          <w:b/>
          <w:sz w:val="22"/>
        </w:rPr>
        <w:t>常见例子：</w:t>
      </w:r>
    </w:p>
    <w:p w14:paraId="59968EFB">
      <w:pPr>
        <w:spacing w:before="120" w:after="120" w:line="288" w:lineRule="auto"/>
        <w:ind w:left="0"/>
        <w:jc w:val="left"/>
      </w:pPr>
      <w:r>
        <w:rPr>
          <w:rFonts w:ascii="Arial" w:hAnsi="Arial" w:eastAsia="等线" w:cs="Arial"/>
          <w:sz w:val="22"/>
        </w:rPr>
        <w:t>比如美国联邦个人所得税是全球最知名的累进税制度之一，采用</w:t>
      </w:r>
      <w:r>
        <w:rPr>
          <w:rFonts w:ascii="Arial" w:hAnsi="Arial" w:eastAsia="等线" w:cs="Arial"/>
          <w:b/>
          <w:sz w:val="22"/>
        </w:rPr>
        <w:t>超额累进税率</w:t>
      </w:r>
      <w:r>
        <w:rPr>
          <w:rFonts w:ascii="Arial" w:hAnsi="Arial" w:eastAsia="等线" w:cs="Arial"/>
          <w:sz w:val="22"/>
        </w:rPr>
        <w:t>（仅对超过某一等级的收入部分按高税率征税）</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25"/>
        <w:gridCol w:w="1440"/>
        <w:gridCol w:w="5115"/>
      </w:tblGrid>
      <w:tr w14:paraId="0B18EF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47BE8FD7">
            <w:pPr>
              <w:spacing w:before="120" w:after="120" w:line="288" w:lineRule="auto"/>
              <w:ind w:left="0"/>
              <w:jc w:val="left"/>
            </w:pPr>
            <w:r>
              <w:rPr>
                <w:rFonts w:ascii="Arial" w:hAnsi="Arial" w:eastAsia="等线" w:cs="Arial"/>
                <w:b/>
                <w:sz w:val="22"/>
              </w:rPr>
              <w:t>应纳税所得额区间（美元）</w:t>
            </w:r>
          </w:p>
        </w:tc>
        <w:tc>
          <w:tcPr>
            <w:tcW w:w="1440" w:type="dxa"/>
            <w:tcMar>
              <w:top w:w="60" w:type="dxa"/>
              <w:left w:w="120" w:type="dxa"/>
              <w:bottom w:w="30" w:type="dxa"/>
              <w:right w:w="120" w:type="dxa"/>
            </w:tcMar>
          </w:tcPr>
          <w:p w14:paraId="6E8B3EC2">
            <w:pPr>
              <w:spacing w:before="120" w:after="120" w:line="288" w:lineRule="auto"/>
              <w:ind w:left="0"/>
              <w:jc w:val="left"/>
            </w:pPr>
            <w:r>
              <w:rPr>
                <w:rFonts w:ascii="Arial" w:hAnsi="Arial" w:eastAsia="等线" w:cs="Arial"/>
                <w:b/>
                <w:sz w:val="22"/>
              </w:rPr>
              <w:t>税率</w:t>
            </w:r>
          </w:p>
        </w:tc>
        <w:tc>
          <w:tcPr>
            <w:tcW w:w="5115" w:type="dxa"/>
            <w:tcMar>
              <w:top w:w="60" w:type="dxa"/>
              <w:left w:w="120" w:type="dxa"/>
              <w:bottom w:w="30" w:type="dxa"/>
              <w:right w:w="120" w:type="dxa"/>
            </w:tcMar>
          </w:tcPr>
          <w:p w14:paraId="0680EA56">
            <w:pPr>
              <w:spacing w:before="120" w:after="120" w:line="288" w:lineRule="auto"/>
              <w:ind w:left="0"/>
              <w:jc w:val="left"/>
            </w:pPr>
            <w:r>
              <w:rPr>
                <w:rFonts w:ascii="Arial" w:hAnsi="Arial" w:eastAsia="等线" w:cs="Arial"/>
                <w:b/>
                <w:sz w:val="22"/>
              </w:rPr>
              <w:t>说明</w:t>
            </w:r>
          </w:p>
        </w:tc>
      </w:tr>
      <w:tr w14:paraId="5214C3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4B8E63BF">
            <w:pPr>
              <w:spacing w:before="120" w:after="120" w:line="288" w:lineRule="auto"/>
              <w:ind w:left="0"/>
              <w:jc w:val="left"/>
            </w:pPr>
            <w:r>
              <w:rPr>
                <w:rFonts w:ascii="Arial" w:hAnsi="Arial" w:eastAsia="等线" w:cs="Arial"/>
                <w:sz w:val="22"/>
              </w:rPr>
              <w:t>$0 – $11,000</w:t>
            </w:r>
          </w:p>
        </w:tc>
        <w:tc>
          <w:tcPr>
            <w:tcW w:w="1440" w:type="dxa"/>
            <w:tcMar>
              <w:top w:w="60" w:type="dxa"/>
              <w:left w:w="120" w:type="dxa"/>
              <w:bottom w:w="30" w:type="dxa"/>
              <w:right w:w="120" w:type="dxa"/>
            </w:tcMar>
          </w:tcPr>
          <w:p w14:paraId="41D4CF3D">
            <w:pPr>
              <w:spacing w:before="120" w:after="120" w:line="288" w:lineRule="auto"/>
              <w:ind w:left="0"/>
              <w:jc w:val="left"/>
            </w:pPr>
            <w:r>
              <w:rPr>
                <w:rFonts w:ascii="Arial" w:hAnsi="Arial" w:eastAsia="等线" w:cs="Arial"/>
                <w:sz w:val="22"/>
              </w:rPr>
              <w:t>10%</w:t>
            </w:r>
          </w:p>
        </w:tc>
        <w:tc>
          <w:tcPr>
            <w:tcW w:w="5115" w:type="dxa"/>
            <w:tcMar>
              <w:top w:w="60" w:type="dxa"/>
              <w:left w:w="120" w:type="dxa"/>
              <w:bottom w:w="30" w:type="dxa"/>
              <w:right w:w="120" w:type="dxa"/>
            </w:tcMar>
          </w:tcPr>
          <w:p w14:paraId="5AD23796">
            <w:pPr>
              <w:spacing w:before="120" w:after="120" w:line="288" w:lineRule="auto"/>
              <w:ind w:left="0"/>
              <w:jc w:val="left"/>
            </w:pPr>
            <w:r>
              <w:rPr>
                <w:rFonts w:ascii="Arial" w:hAnsi="Arial" w:eastAsia="等线" w:cs="Arial"/>
                <w:sz w:val="22"/>
              </w:rPr>
              <w:t>该区间收入全额按 10% 征税</w:t>
            </w:r>
          </w:p>
        </w:tc>
      </w:tr>
      <w:tr w14:paraId="561E7A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0BE5B64F">
            <w:pPr>
              <w:spacing w:before="120" w:after="120" w:line="288" w:lineRule="auto"/>
              <w:ind w:left="0"/>
              <w:jc w:val="left"/>
            </w:pPr>
            <w:r>
              <w:rPr>
                <w:rFonts w:ascii="Arial" w:hAnsi="Arial" w:eastAsia="等线" w:cs="Arial"/>
                <w:sz w:val="22"/>
              </w:rPr>
              <w:t>$11,001 – $44,725</w:t>
            </w:r>
          </w:p>
        </w:tc>
        <w:tc>
          <w:tcPr>
            <w:tcW w:w="1440" w:type="dxa"/>
            <w:tcMar>
              <w:top w:w="60" w:type="dxa"/>
              <w:left w:w="120" w:type="dxa"/>
              <w:bottom w:w="30" w:type="dxa"/>
              <w:right w:w="120" w:type="dxa"/>
            </w:tcMar>
          </w:tcPr>
          <w:p w14:paraId="668C32B8">
            <w:pPr>
              <w:spacing w:before="120" w:after="120" w:line="288" w:lineRule="auto"/>
              <w:ind w:left="0"/>
              <w:jc w:val="left"/>
            </w:pPr>
            <w:r>
              <w:rPr>
                <w:rFonts w:ascii="Arial" w:hAnsi="Arial" w:eastAsia="等线" w:cs="Arial"/>
                <w:sz w:val="22"/>
              </w:rPr>
              <w:t>12%</w:t>
            </w:r>
          </w:p>
        </w:tc>
        <w:tc>
          <w:tcPr>
            <w:tcW w:w="5115" w:type="dxa"/>
            <w:tcMar>
              <w:top w:w="60" w:type="dxa"/>
              <w:left w:w="120" w:type="dxa"/>
              <w:bottom w:w="30" w:type="dxa"/>
              <w:right w:w="120" w:type="dxa"/>
            </w:tcMar>
          </w:tcPr>
          <w:p w14:paraId="0705F9C1">
            <w:pPr>
              <w:spacing w:before="120" w:after="120" w:line="288" w:lineRule="auto"/>
              <w:ind w:left="0"/>
              <w:jc w:val="left"/>
            </w:pPr>
            <w:r>
              <w:rPr>
                <w:rFonts w:ascii="Arial" w:hAnsi="Arial" w:eastAsia="等线" w:cs="Arial"/>
                <w:sz w:val="22"/>
              </w:rPr>
              <w:t>仅超过 $11,000 的部分按 12% 征税</w:t>
            </w:r>
          </w:p>
        </w:tc>
      </w:tr>
      <w:tr w14:paraId="46C6B6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2DD93777">
            <w:pPr>
              <w:spacing w:before="120" w:after="120" w:line="288" w:lineRule="auto"/>
              <w:ind w:left="0"/>
              <w:jc w:val="left"/>
            </w:pPr>
            <w:r>
              <w:rPr>
                <w:rFonts w:ascii="Arial" w:hAnsi="Arial" w:eastAsia="等线" w:cs="Arial"/>
                <w:sz w:val="22"/>
              </w:rPr>
              <w:t>$44,726 – $95,375</w:t>
            </w:r>
          </w:p>
        </w:tc>
        <w:tc>
          <w:tcPr>
            <w:tcW w:w="1440" w:type="dxa"/>
            <w:tcMar>
              <w:top w:w="60" w:type="dxa"/>
              <w:left w:w="120" w:type="dxa"/>
              <w:bottom w:w="30" w:type="dxa"/>
              <w:right w:w="120" w:type="dxa"/>
            </w:tcMar>
          </w:tcPr>
          <w:p w14:paraId="137EAA57">
            <w:pPr>
              <w:spacing w:before="120" w:after="120" w:line="288" w:lineRule="auto"/>
              <w:ind w:left="0"/>
              <w:jc w:val="left"/>
            </w:pPr>
            <w:r>
              <w:rPr>
                <w:rFonts w:ascii="Arial" w:hAnsi="Arial" w:eastAsia="等线" w:cs="Arial"/>
                <w:sz w:val="22"/>
              </w:rPr>
              <w:t>22%</w:t>
            </w:r>
          </w:p>
        </w:tc>
        <w:tc>
          <w:tcPr>
            <w:tcW w:w="5115" w:type="dxa"/>
            <w:tcMar>
              <w:top w:w="60" w:type="dxa"/>
              <w:left w:w="120" w:type="dxa"/>
              <w:bottom w:w="30" w:type="dxa"/>
              <w:right w:w="120" w:type="dxa"/>
            </w:tcMar>
          </w:tcPr>
          <w:p w14:paraId="26011898">
            <w:pPr>
              <w:spacing w:before="120" w:after="120" w:line="288" w:lineRule="auto"/>
              <w:ind w:left="0"/>
              <w:jc w:val="left"/>
            </w:pPr>
            <w:r>
              <w:rPr>
                <w:rFonts w:ascii="Arial" w:hAnsi="Arial" w:eastAsia="等线" w:cs="Arial"/>
                <w:sz w:val="22"/>
              </w:rPr>
              <w:t>仅超过 $44,725 的部分按 22% 征税</w:t>
            </w:r>
          </w:p>
        </w:tc>
      </w:tr>
      <w:tr w14:paraId="729A18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0A317E6F">
            <w:pPr>
              <w:spacing w:before="120" w:after="120" w:line="288" w:lineRule="auto"/>
              <w:ind w:left="0"/>
              <w:jc w:val="left"/>
            </w:pPr>
            <w:r>
              <w:rPr>
                <w:rFonts w:ascii="Arial" w:hAnsi="Arial" w:eastAsia="等线" w:cs="Arial"/>
                <w:sz w:val="22"/>
              </w:rPr>
              <w:t>$95,376 – $182,100</w:t>
            </w:r>
          </w:p>
        </w:tc>
        <w:tc>
          <w:tcPr>
            <w:tcW w:w="1440" w:type="dxa"/>
            <w:tcMar>
              <w:top w:w="60" w:type="dxa"/>
              <w:left w:w="120" w:type="dxa"/>
              <w:bottom w:w="30" w:type="dxa"/>
              <w:right w:w="120" w:type="dxa"/>
            </w:tcMar>
          </w:tcPr>
          <w:p w14:paraId="17863595">
            <w:pPr>
              <w:spacing w:before="120" w:after="120" w:line="288" w:lineRule="auto"/>
              <w:ind w:left="0"/>
              <w:jc w:val="left"/>
            </w:pPr>
            <w:r>
              <w:rPr>
                <w:rFonts w:ascii="Arial" w:hAnsi="Arial" w:eastAsia="等线" w:cs="Arial"/>
                <w:sz w:val="22"/>
              </w:rPr>
              <w:t>24%</w:t>
            </w:r>
          </w:p>
        </w:tc>
        <w:tc>
          <w:tcPr>
            <w:tcW w:w="5115" w:type="dxa"/>
            <w:tcMar>
              <w:top w:w="60" w:type="dxa"/>
              <w:left w:w="120" w:type="dxa"/>
              <w:bottom w:w="30" w:type="dxa"/>
              <w:right w:w="120" w:type="dxa"/>
            </w:tcMar>
          </w:tcPr>
          <w:p w14:paraId="4DC9C6A2">
            <w:pPr>
              <w:spacing w:before="120" w:after="120" w:line="288" w:lineRule="auto"/>
              <w:ind w:left="0"/>
              <w:jc w:val="left"/>
            </w:pPr>
            <w:r>
              <w:rPr>
                <w:rFonts w:ascii="Arial" w:hAnsi="Arial" w:eastAsia="等线" w:cs="Arial"/>
                <w:sz w:val="22"/>
              </w:rPr>
              <w:t>仅超过 $95,375 的部分按 24% 征税</w:t>
            </w:r>
          </w:p>
        </w:tc>
      </w:tr>
      <w:tr w14:paraId="70D040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63655179">
            <w:pPr>
              <w:spacing w:before="120" w:after="120" w:line="288" w:lineRule="auto"/>
              <w:ind w:left="0"/>
              <w:jc w:val="left"/>
            </w:pPr>
            <w:r>
              <w:rPr>
                <w:rFonts w:ascii="Arial" w:hAnsi="Arial" w:eastAsia="等线" w:cs="Arial"/>
                <w:sz w:val="22"/>
              </w:rPr>
              <w:t>$182,101 – $231,250</w:t>
            </w:r>
          </w:p>
        </w:tc>
        <w:tc>
          <w:tcPr>
            <w:tcW w:w="1440" w:type="dxa"/>
            <w:tcMar>
              <w:top w:w="60" w:type="dxa"/>
              <w:left w:w="120" w:type="dxa"/>
              <w:bottom w:w="30" w:type="dxa"/>
              <w:right w:w="120" w:type="dxa"/>
            </w:tcMar>
          </w:tcPr>
          <w:p w14:paraId="5844724B">
            <w:pPr>
              <w:spacing w:before="120" w:after="120" w:line="288" w:lineRule="auto"/>
              <w:ind w:left="0"/>
              <w:jc w:val="left"/>
            </w:pPr>
            <w:r>
              <w:rPr>
                <w:rFonts w:ascii="Arial" w:hAnsi="Arial" w:eastAsia="等线" w:cs="Arial"/>
                <w:sz w:val="22"/>
              </w:rPr>
              <w:t>32%</w:t>
            </w:r>
          </w:p>
        </w:tc>
        <w:tc>
          <w:tcPr>
            <w:tcW w:w="5115" w:type="dxa"/>
            <w:tcMar>
              <w:top w:w="60" w:type="dxa"/>
              <w:left w:w="120" w:type="dxa"/>
              <w:bottom w:w="30" w:type="dxa"/>
              <w:right w:w="120" w:type="dxa"/>
            </w:tcMar>
          </w:tcPr>
          <w:p w14:paraId="36D52FE7">
            <w:pPr>
              <w:spacing w:before="120" w:after="120" w:line="288" w:lineRule="auto"/>
              <w:ind w:left="0"/>
              <w:jc w:val="left"/>
            </w:pPr>
            <w:r>
              <w:rPr>
                <w:rFonts w:ascii="Arial" w:hAnsi="Arial" w:eastAsia="等线" w:cs="Arial"/>
                <w:sz w:val="22"/>
              </w:rPr>
              <w:t>仅超过 $182,100 的部分按 32% 征税</w:t>
            </w:r>
          </w:p>
        </w:tc>
      </w:tr>
      <w:tr w14:paraId="768DB9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63FAAE85">
            <w:pPr>
              <w:spacing w:before="120" w:after="120" w:line="288" w:lineRule="auto"/>
              <w:ind w:left="0"/>
              <w:jc w:val="left"/>
            </w:pPr>
            <w:r>
              <w:rPr>
                <w:rFonts w:ascii="Arial" w:hAnsi="Arial" w:eastAsia="等线" w:cs="Arial"/>
                <w:sz w:val="22"/>
              </w:rPr>
              <w:t>$231,251 – $578,125</w:t>
            </w:r>
          </w:p>
        </w:tc>
        <w:tc>
          <w:tcPr>
            <w:tcW w:w="1440" w:type="dxa"/>
            <w:tcMar>
              <w:top w:w="60" w:type="dxa"/>
              <w:left w:w="120" w:type="dxa"/>
              <w:bottom w:w="30" w:type="dxa"/>
              <w:right w:w="120" w:type="dxa"/>
            </w:tcMar>
          </w:tcPr>
          <w:p w14:paraId="0D53A4F4">
            <w:pPr>
              <w:spacing w:before="120" w:after="120" w:line="288" w:lineRule="auto"/>
              <w:ind w:left="0"/>
              <w:jc w:val="left"/>
            </w:pPr>
            <w:r>
              <w:rPr>
                <w:rFonts w:ascii="Arial" w:hAnsi="Arial" w:eastAsia="等线" w:cs="Arial"/>
                <w:sz w:val="22"/>
              </w:rPr>
              <w:t>35%</w:t>
            </w:r>
          </w:p>
        </w:tc>
        <w:tc>
          <w:tcPr>
            <w:tcW w:w="5115" w:type="dxa"/>
            <w:tcMar>
              <w:top w:w="60" w:type="dxa"/>
              <w:left w:w="120" w:type="dxa"/>
              <w:bottom w:w="30" w:type="dxa"/>
              <w:right w:w="120" w:type="dxa"/>
            </w:tcMar>
          </w:tcPr>
          <w:p w14:paraId="7B4E2C44">
            <w:pPr>
              <w:spacing w:before="120" w:after="120" w:line="288" w:lineRule="auto"/>
              <w:ind w:left="0"/>
              <w:jc w:val="left"/>
            </w:pPr>
            <w:r>
              <w:rPr>
                <w:rFonts w:ascii="Arial" w:hAnsi="Arial" w:eastAsia="等线" w:cs="Arial"/>
                <w:sz w:val="22"/>
              </w:rPr>
              <w:t>仅超过 $231,250 的部分按 35% 征税</w:t>
            </w:r>
          </w:p>
        </w:tc>
      </w:tr>
      <w:tr w14:paraId="58A672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21A04032">
            <w:pPr>
              <w:spacing w:before="120" w:after="120" w:line="288" w:lineRule="auto"/>
              <w:ind w:left="0"/>
              <w:jc w:val="left"/>
            </w:pPr>
            <w:r>
              <w:rPr>
                <w:rFonts w:ascii="Arial" w:hAnsi="Arial" w:eastAsia="等线" w:cs="Arial"/>
                <w:sz w:val="22"/>
              </w:rPr>
              <w:t>超过 $578,125</w:t>
            </w:r>
          </w:p>
        </w:tc>
        <w:tc>
          <w:tcPr>
            <w:tcW w:w="1440" w:type="dxa"/>
            <w:tcMar>
              <w:top w:w="60" w:type="dxa"/>
              <w:left w:w="120" w:type="dxa"/>
              <w:bottom w:w="30" w:type="dxa"/>
              <w:right w:w="120" w:type="dxa"/>
            </w:tcMar>
          </w:tcPr>
          <w:p w14:paraId="194F79C3">
            <w:pPr>
              <w:spacing w:before="120" w:after="120" w:line="288" w:lineRule="auto"/>
              <w:ind w:left="0"/>
              <w:jc w:val="left"/>
            </w:pPr>
            <w:r>
              <w:rPr>
                <w:rFonts w:ascii="Arial" w:hAnsi="Arial" w:eastAsia="等线" w:cs="Arial"/>
                <w:sz w:val="22"/>
              </w:rPr>
              <w:t>37%</w:t>
            </w:r>
          </w:p>
        </w:tc>
        <w:tc>
          <w:tcPr>
            <w:tcW w:w="5115" w:type="dxa"/>
            <w:tcMar>
              <w:top w:w="60" w:type="dxa"/>
              <w:left w:w="120" w:type="dxa"/>
              <w:bottom w:w="30" w:type="dxa"/>
              <w:right w:w="120" w:type="dxa"/>
            </w:tcMar>
          </w:tcPr>
          <w:p w14:paraId="5CE3FAAA">
            <w:pPr>
              <w:spacing w:before="120" w:after="120" w:line="288" w:lineRule="auto"/>
              <w:ind w:left="0"/>
              <w:jc w:val="left"/>
            </w:pPr>
            <w:r>
              <w:rPr>
                <w:rFonts w:ascii="Arial" w:hAnsi="Arial" w:eastAsia="等线" w:cs="Arial"/>
                <w:sz w:val="22"/>
              </w:rPr>
              <w:t>超过部分按 37% 征税</w:t>
            </w:r>
          </w:p>
        </w:tc>
      </w:tr>
    </w:tbl>
    <w:p w14:paraId="53CCF7E4"/>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C19814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5238C710">
            <w:pPr>
              <w:spacing w:before="120" w:after="120" w:line="288" w:lineRule="auto"/>
              <w:ind w:left="0"/>
              <w:jc w:val="left"/>
            </w:pPr>
            <w:r>
              <w:rPr>
                <w:rFonts w:ascii="Arial" w:hAnsi="Arial" w:eastAsia="等线" w:cs="Arial"/>
                <w:sz w:val="22"/>
              </w:rPr>
              <w:t>证券业从业人员资格考试（SIE）中关于累进税的问题比关于累退税的问题要多。</w:t>
            </w:r>
          </w:p>
        </w:tc>
      </w:tr>
    </w:tbl>
    <w:p w14:paraId="0D9EABA3">
      <w:pPr>
        <w:spacing w:before="260" w:after="120" w:line="288" w:lineRule="auto"/>
        <w:ind w:left="0"/>
        <w:jc w:val="left"/>
        <w:outlineLvl w:val="3"/>
      </w:pPr>
      <w:bookmarkStart w:id="5" w:name="heading_5"/>
      <w:r>
        <w:rPr>
          <w:rFonts w:ascii="Arial" w:hAnsi="Arial" w:eastAsia="等线" w:cs="Arial"/>
          <w:color w:val="3370FF"/>
          <w:sz w:val="28"/>
        </w:rPr>
        <w:t xml:space="preserve">2.1.1.2 </w:t>
      </w:r>
      <w:r>
        <w:rPr>
          <w:rFonts w:ascii="Arial" w:hAnsi="Arial" w:eastAsia="等线" w:cs="Arial"/>
          <w:b/>
          <w:sz w:val="28"/>
        </w:rPr>
        <w:t>累退税</w:t>
      </w:r>
      <w:bookmarkEnd w:id="5"/>
    </w:p>
    <w:p w14:paraId="69771336">
      <w:pPr>
        <w:spacing w:before="120" w:after="120" w:line="288" w:lineRule="auto"/>
        <w:ind w:left="0"/>
        <w:jc w:val="left"/>
      </w:pPr>
      <w:r>
        <w:rPr>
          <w:rFonts w:ascii="Arial" w:hAnsi="Arial" w:eastAsia="等线" w:cs="Arial"/>
          <w:b/>
          <w:sz w:val="22"/>
        </w:rPr>
        <w:t>核心特点：</w:t>
      </w:r>
      <w:r>
        <w:rPr>
          <w:rFonts w:ascii="Arial" w:hAnsi="Arial" w:eastAsia="等线" w:cs="Arial"/>
          <w:sz w:val="22"/>
        </w:rPr>
        <w:t>累退税 (Regressive Tax) 每个人都按相同税率缴税。</w:t>
      </w:r>
    </w:p>
    <w:p w14:paraId="31405908">
      <w:pPr>
        <w:spacing w:before="120" w:after="120" w:line="288" w:lineRule="auto"/>
        <w:ind w:left="0"/>
        <w:jc w:val="left"/>
      </w:pPr>
    </w:p>
    <w:p w14:paraId="56CE3FC1">
      <w:pPr>
        <w:spacing w:before="120" w:after="120" w:line="288" w:lineRule="auto"/>
        <w:ind w:left="0"/>
        <w:jc w:val="left"/>
      </w:pPr>
      <w:r>
        <w:rPr>
          <w:rFonts w:ascii="Arial" w:hAnsi="Arial" w:eastAsia="等线" w:cs="Arial"/>
          <w:b/>
          <w:sz w:val="22"/>
        </w:rPr>
        <w:t>运作方式：</w:t>
      </w:r>
      <w:r>
        <w:rPr>
          <w:rFonts w:ascii="Arial" w:hAnsi="Arial" w:eastAsia="等线" w:cs="Arial"/>
          <w:sz w:val="22"/>
        </w:rPr>
        <w:t xml:space="preserve"> 每个人都按相同的税率缴税。虽然名义税率是固定的，但因为它对所有消费者征收相同的绝对金额（或相同税率），占低收入者收入的比例远高于高收入者。因此这些税收对低收入者的影响大于对高收入者。</w:t>
      </w:r>
    </w:p>
    <w:p w14:paraId="22D23A5F">
      <w:pPr>
        <w:spacing w:before="120" w:after="120" w:line="288" w:lineRule="auto"/>
        <w:ind w:left="0"/>
        <w:jc w:val="left"/>
      </w:pPr>
    </w:p>
    <w:p w14:paraId="0B23409D">
      <w:pPr>
        <w:spacing w:before="120" w:after="120" w:line="288" w:lineRule="auto"/>
        <w:ind w:left="0"/>
        <w:jc w:val="left"/>
      </w:pPr>
      <w:r>
        <w:rPr>
          <w:rFonts w:ascii="Arial" w:hAnsi="Arial" w:eastAsia="等线" w:cs="Arial"/>
          <w:b/>
          <w:sz w:val="22"/>
        </w:rPr>
        <w:t>效果：</w:t>
      </w:r>
      <w:r>
        <w:rPr>
          <w:rFonts w:ascii="Arial" w:hAnsi="Arial" w:eastAsia="等线" w:cs="Arial"/>
          <w:sz w:val="22"/>
        </w:rPr>
        <w:t>可能加剧贫富差距，因为低收入者将其收入的更大比例用于支付这类税收。</w:t>
      </w:r>
    </w:p>
    <w:p w14:paraId="3B1E88C2">
      <w:pPr>
        <w:spacing w:before="120" w:after="120" w:line="288" w:lineRule="auto"/>
        <w:ind w:left="0"/>
        <w:jc w:val="left"/>
      </w:pPr>
    </w:p>
    <w:p w14:paraId="5B50E331">
      <w:pPr>
        <w:spacing w:before="120" w:after="120" w:line="288" w:lineRule="auto"/>
        <w:ind w:left="0"/>
        <w:jc w:val="left"/>
      </w:pPr>
      <w:r>
        <w:rPr>
          <w:rFonts w:ascii="Arial" w:hAnsi="Arial" w:eastAsia="等线" w:cs="Arial"/>
          <w:b/>
          <w:sz w:val="22"/>
        </w:rPr>
        <w:t>包含：</w:t>
      </w:r>
      <w:r>
        <w:rPr>
          <w:rFonts w:ascii="Arial" w:hAnsi="Arial" w:eastAsia="等线" w:cs="Arial"/>
          <w:sz w:val="22"/>
        </w:rPr>
        <w:t>工资税（payroll  taxes）、销售税（sales taxes）、财产税（property taxes）、消费税（excise taxes）、汽油税（gasoline taxes）等等。</w:t>
      </w:r>
    </w:p>
    <w:p w14:paraId="3ED4BA3F">
      <w:pPr>
        <w:spacing w:before="120" w:after="120" w:line="288" w:lineRule="auto"/>
        <w:ind w:left="0"/>
        <w:jc w:val="left"/>
      </w:pPr>
    </w:p>
    <w:p w14:paraId="4BA7388C">
      <w:pPr>
        <w:spacing w:before="120" w:after="120" w:line="288" w:lineRule="auto"/>
        <w:ind w:left="0"/>
        <w:jc w:val="left"/>
      </w:pPr>
      <w:r>
        <w:rPr>
          <w:rFonts w:ascii="Arial" w:hAnsi="Arial" w:eastAsia="等线" w:cs="Arial"/>
          <w:b/>
          <w:sz w:val="22"/>
        </w:rPr>
        <w:t>常见例子：</w:t>
      </w:r>
    </w:p>
    <w:p w14:paraId="37A35124">
      <w:pPr>
        <w:spacing w:before="120" w:after="120" w:line="288" w:lineRule="auto"/>
        <w:ind w:left="0"/>
        <w:jc w:val="left"/>
      </w:pPr>
      <w:r>
        <w:rPr>
          <w:rFonts w:ascii="Arial" w:hAnsi="Arial" w:eastAsia="等线" w:cs="Arial"/>
          <w:sz w:val="22"/>
        </w:rPr>
        <w:t>销售税是对商品或服务的销售金额按固定比例征收的税（如美国各州普遍征收的零售销售税，税率通常为 4%-10%），常见于投资者购买实物商品（如纸质证券凭证、金融咨询服务相关材料）或日常消费场景。</w:t>
      </w:r>
    </w:p>
    <w:p w14:paraId="0EC24A8B">
      <w:pPr>
        <w:numPr>
          <w:ilvl w:val="0"/>
          <w:numId w:val="3"/>
        </w:numPr>
        <w:spacing w:before="120" w:after="120" w:line="288" w:lineRule="auto"/>
        <w:ind w:left="0"/>
        <w:jc w:val="left"/>
      </w:pPr>
      <w:r>
        <w:rPr>
          <w:rFonts w:ascii="Arial" w:hAnsi="Arial" w:eastAsia="等线" w:cs="Arial"/>
          <w:sz w:val="22"/>
        </w:rPr>
        <w:t>假设某州销售税为5%。</w:t>
      </w:r>
    </w:p>
    <w:p w14:paraId="5DD4EEE3">
      <w:pPr>
        <w:numPr>
          <w:ilvl w:val="0"/>
          <w:numId w:val="4"/>
        </w:numPr>
        <w:spacing w:before="120" w:after="120" w:line="288" w:lineRule="auto"/>
        <w:ind w:left="0"/>
        <w:jc w:val="left"/>
      </w:pPr>
      <w:r>
        <w:rPr>
          <w:rFonts w:ascii="Arial" w:hAnsi="Arial" w:eastAsia="等线" w:cs="Arial"/>
          <w:sz w:val="22"/>
        </w:rPr>
        <w:t>低收入者：年收入$20,000，全年消费$10,000购买必需品，支付$500销售税。这$500占其收入的 2.5%。</w:t>
      </w:r>
    </w:p>
    <w:p w14:paraId="128BB0D1">
      <w:pPr>
        <w:numPr>
          <w:ilvl w:val="0"/>
          <w:numId w:val="5"/>
        </w:numPr>
        <w:spacing w:before="120" w:after="120" w:line="288" w:lineRule="auto"/>
        <w:ind w:left="0"/>
        <w:jc w:val="left"/>
      </w:pPr>
      <w:r>
        <w:rPr>
          <w:rFonts w:ascii="Arial" w:hAnsi="Arial" w:eastAsia="等线" w:cs="Arial"/>
          <w:sz w:val="22"/>
        </w:rPr>
        <w:t>高收入者：年收入$200,000，全年消费$50,000，支付$2,500销售税。这$2,500仅占其收入的 1.25%。</w:t>
      </w:r>
    </w:p>
    <w:p w14:paraId="346460E9">
      <w:pPr>
        <w:numPr>
          <w:ilvl w:val="0"/>
          <w:numId w:val="6"/>
        </w:numPr>
        <w:spacing w:before="120" w:after="120" w:line="288" w:lineRule="auto"/>
        <w:ind w:left="0"/>
        <w:jc w:val="left"/>
      </w:pPr>
      <w:r>
        <w:rPr>
          <w:rFonts w:ascii="Arial" w:hAnsi="Arial" w:eastAsia="等线" w:cs="Arial"/>
          <w:sz w:val="22"/>
        </w:rPr>
        <w:t>尽管税率相同，但低收入者实际承担的收入比例更高。</w:t>
      </w:r>
    </w:p>
    <w:p w14:paraId="6C7E4327">
      <w:pPr>
        <w:numPr>
          <w:ilvl w:val="0"/>
          <w:numId w:val="7"/>
        </w:numPr>
        <w:spacing w:before="120" w:after="120" w:line="288" w:lineRule="auto"/>
        <w:ind w:left="0"/>
        <w:jc w:val="left"/>
      </w:pPr>
      <w:r>
        <w:rPr>
          <w:rFonts w:ascii="Arial" w:hAnsi="Arial" w:eastAsia="等线" w:cs="Arial"/>
          <w:sz w:val="22"/>
        </w:rPr>
        <w:t>工薪税：如社会保障税（Social Security Tax）。在2024年，该税只对收入的前$168,600征收（之后收入部分税率为0%），因此高收入者超过该门槛后的收入有效税率变为0%，使其整体有效税率低于中低收入者。</w:t>
      </w:r>
    </w:p>
    <w:p w14:paraId="6DDF44AB">
      <w:pPr>
        <w:spacing w:before="300" w:after="120" w:line="288" w:lineRule="auto"/>
        <w:ind w:left="0"/>
        <w:jc w:val="left"/>
        <w:outlineLvl w:val="2"/>
      </w:pPr>
      <w:bookmarkStart w:id="6" w:name="heading_6"/>
      <w:r>
        <w:rPr>
          <w:rFonts w:ascii="Arial" w:hAnsi="Arial" w:eastAsia="等线" w:cs="Arial"/>
          <w:color w:val="3370FF"/>
          <w:sz w:val="30"/>
        </w:rPr>
        <w:t xml:space="preserve">2.1.2 </w:t>
      </w:r>
      <w:r>
        <w:rPr>
          <w:rFonts w:ascii="Arial" w:hAnsi="Arial" w:eastAsia="等线" w:cs="Arial"/>
          <w:b/>
          <w:sz w:val="30"/>
        </w:rPr>
        <w:t>收入类型（Types of income）</w:t>
      </w:r>
      <w:bookmarkEnd w:id="6"/>
    </w:p>
    <w:p w14:paraId="7C1343A0">
      <w:pPr>
        <w:spacing w:before="120" w:after="120" w:line="288" w:lineRule="auto"/>
        <w:ind w:left="0"/>
        <w:jc w:val="left"/>
      </w:pPr>
      <w:r>
        <w:rPr>
          <w:rFonts w:ascii="Arial" w:hAnsi="Arial" w:eastAsia="等线" w:cs="Arial"/>
          <w:sz w:val="22"/>
        </w:rPr>
        <w:t>收入主要分三大类别：</w:t>
      </w:r>
    </w:p>
    <w:p w14:paraId="47A43F83">
      <w:pPr>
        <w:numPr>
          <w:ilvl w:val="0"/>
          <w:numId w:val="8"/>
        </w:numPr>
        <w:spacing w:before="120" w:after="120" w:line="288" w:lineRule="auto"/>
        <w:ind w:left="0"/>
        <w:jc w:val="left"/>
      </w:pPr>
      <w:r>
        <w:rPr>
          <w:rFonts w:ascii="Arial" w:hAnsi="Arial" w:eastAsia="等线" w:cs="Arial"/>
          <w:b/>
          <w:sz w:val="22"/>
        </w:rPr>
        <w:t>劳动（主动）收入（Earned (active) income）</w:t>
      </w:r>
    </w:p>
    <w:p w14:paraId="15CAB217">
      <w:pPr>
        <w:spacing w:before="120" w:after="120" w:line="288" w:lineRule="auto"/>
        <w:ind w:left="0"/>
        <w:jc w:val="left"/>
      </w:pPr>
      <w:r>
        <w:rPr>
          <w:rFonts w:ascii="Arial" w:hAnsi="Arial" w:eastAsia="等线" w:cs="Arial"/>
          <w:sz w:val="22"/>
        </w:rPr>
        <w:t>人们通过积极参与的活动获得此类收入。劳动收入包括工资、奖金、小费、佣金等所得。劳动收入根据个人的税率等级及其申报状态征税。</w:t>
      </w:r>
    </w:p>
    <w:p w14:paraId="07D4D371">
      <w:pPr>
        <w:numPr>
          <w:ilvl w:val="0"/>
          <w:numId w:val="9"/>
        </w:numPr>
        <w:spacing w:before="120" w:after="120" w:line="288" w:lineRule="auto"/>
        <w:ind w:left="0"/>
        <w:jc w:val="left"/>
      </w:pPr>
      <w:r>
        <w:rPr>
          <w:rFonts w:ascii="Arial" w:hAnsi="Arial" w:eastAsia="等线" w:cs="Arial"/>
          <w:b/>
          <w:sz w:val="22"/>
        </w:rPr>
        <w:t>被动收入（Passive income）</w:t>
      </w:r>
    </w:p>
    <w:p w14:paraId="16497099">
      <w:pPr>
        <w:spacing w:before="120" w:after="120" w:line="288" w:lineRule="auto"/>
        <w:ind w:left="0"/>
        <w:jc w:val="left"/>
      </w:pPr>
      <w:r>
        <w:rPr>
          <w:rFonts w:ascii="Arial" w:hAnsi="Arial" w:eastAsia="等线" w:cs="Arial"/>
          <w:sz w:val="22"/>
        </w:rPr>
        <w:t>这种收入来自个人不积极参与的企业，包括有限合伙企业的收入和租赁物业的收入。当你在SIE考试中看到“被动收入”这个词时，应立即想到这种收入来自直接参与计划（DPP）。个人可以用任何被动收入冲销（write off）被动损失，以确定应纳税净收入。</w:t>
      </w:r>
    </w:p>
    <w:p w14:paraId="03FF654C">
      <w:pPr>
        <w:numPr>
          <w:ilvl w:val="0"/>
          <w:numId w:val="10"/>
        </w:numPr>
        <w:spacing w:before="120" w:after="120" w:line="288" w:lineRule="auto"/>
        <w:ind w:left="0"/>
        <w:jc w:val="left"/>
      </w:pPr>
      <w:r>
        <w:rPr>
          <w:rFonts w:ascii="Arial" w:hAnsi="Arial" w:eastAsia="等线" w:cs="Arial"/>
          <w:b/>
          <w:sz w:val="22"/>
        </w:rPr>
        <w:t>投资组合收入（Portfolio income）</w:t>
      </w:r>
    </w:p>
    <w:p w14:paraId="08E4C95D">
      <w:pPr>
        <w:spacing w:before="120" w:after="120" w:line="288" w:lineRule="auto"/>
        <w:ind w:left="0"/>
        <w:jc w:val="left"/>
      </w:pPr>
      <w:r>
        <w:rPr>
          <w:rFonts w:ascii="Arial" w:hAnsi="Arial" w:eastAsia="等线" w:cs="Arial"/>
          <w:sz w:val="22"/>
        </w:rPr>
        <w:t>此类收入包括利息、股息以及通过出售证券获得的资本利得（Capital gains）。下一部分将为您详细介绍投资组合收入的相关税收。投资组合收入的税率可能取决于持有期，按投资者的税率等级或更低的税率征收。</w:t>
      </w:r>
    </w:p>
    <w:p w14:paraId="21F0CE59">
      <w:pPr>
        <w:spacing w:before="120" w:after="120" w:line="288" w:lineRule="auto"/>
        <w:ind w:left="0"/>
        <w:jc w:val="left"/>
      </w:pPr>
    </w:p>
    <w:p w14:paraId="0C847452">
      <w:pPr>
        <w:spacing w:before="120" w:after="120" w:line="288" w:lineRule="auto"/>
        <w:ind w:left="0"/>
        <w:jc w:val="left"/>
      </w:pPr>
      <w:r>
        <w:rPr>
          <w:rFonts w:ascii="Arial" w:hAnsi="Arial" w:eastAsia="等线" w:cs="Arial"/>
          <w:sz w:val="22"/>
        </w:rPr>
        <w:t>如果你对投资如何征税的细节特别感兴趣，可以在</w:t>
      </w:r>
      <w:r>
        <w:rPr>
          <w:rFonts w:ascii="Consolas" w:hAnsi="Consolas" w:eastAsia="Consolas" w:cs="Consolas"/>
          <w:sz w:val="22"/>
          <w:shd w:val="clear" w:fill="EFF0F1"/>
        </w:rPr>
        <w:t>www.irs.gov</w:t>
      </w:r>
      <w:r>
        <w:rPr>
          <w:rFonts w:ascii="Arial" w:hAnsi="Arial" w:eastAsia="等线" w:cs="Arial"/>
          <w:sz w:val="22"/>
        </w:rPr>
        <w:t>上找到更多信息。你需要区分这些不同类别，因为美国国税局对它们的处理方式不同。</w:t>
      </w:r>
    </w:p>
    <w:p w14:paraId="1146B6D6">
      <w:pPr>
        <w:spacing w:before="320" w:after="120" w:line="288" w:lineRule="auto"/>
        <w:ind w:left="0"/>
        <w:jc w:val="left"/>
        <w:outlineLvl w:val="1"/>
      </w:pPr>
      <w:bookmarkStart w:id="7" w:name="heading_7"/>
      <w:r>
        <w:rPr>
          <w:rFonts w:ascii="Arial" w:hAnsi="Arial" w:eastAsia="等线" w:cs="Arial"/>
          <w:color w:val="3370FF"/>
          <w:sz w:val="32"/>
        </w:rPr>
        <w:t xml:space="preserve">2.2 </w:t>
      </w:r>
      <w:r>
        <w:rPr>
          <w:rFonts w:ascii="Arial" w:hAnsi="Arial" w:eastAsia="等线" w:cs="Arial"/>
          <w:b/>
          <w:sz w:val="32"/>
        </w:rPr>
        <w:t>投资相关税费</w:t>
      </w:r>
      <w:bookmarkEnd w:id="7"/>
    </w:p>
    <w:p w14:paraId="05885403">
      <w:pPr>
        <w:spacing w:before="120" w:after="120" w:line="288" w:lineRule="auto"/>
        <w:ind w:left="0"/>
        <w:jc w:val="left"/>
      </w:pPr>
      <w:r>
        <w:rPr>
          <w:rFonts w:ascii="Arial" w:hAnsi="Arial" w:eastAsia="等线" w:cs="Arial"/>
          <w:sz w:val="22"/>
        </w:rPr>
        <w:t>你需要了解利息（interest）、股息（dividends）、资本收益（ capital gains）和资本损失（capital losses）对投资者的影响。为了让你的生活更有趣，美国国税局（IRS）为长期持有投资的人提供了税收优惠，所以要熟悉适用于投资的税收类型以及投资者如何被征税。</w:t>
      </w:r>
    </w:p>
    <w:p w14:paraId="5BD96892">
      <w:pPr>
        <w:spacing w:before="300" w:after="120" w:line="288" w:lineRule="auto"/>
        <w:ind w:left="0"/>
        <w:jc w:val="left"/>
        <w:outlineLvl w:val="2"/>
      </w:pPr>
      <w:bookmarkStart w:id="8" w:name="heading_8"/>
      <w:r>
        <w:rPr>
          <w:rFonts w:ascii="Arial" w:hAnsi="Arial" w:eastAsia="等线" w:cs="Arial"/>
          <w:color w:val="3370FF"/>
          <w:sz w:val="30"/>
        </w:rPr>
        <w:t xml:space="preserve">2.2.1 </w:t>
      </w:r>
      <w:r>
        <w:rPr>
          <w:rFonts w:ascii="Arial" w:hAnsi="Arial" w:eastAsia="等线" w:cs="Arial"/>
          <w:b/>
          <w:sz w:val="30"/>
        </w:rPr>
        <w:t>利息收入（Interest income）</w:t>
      </w:r>
      <w:bookmarkEnd w:id="8"/>
    </w:p>
    <w:p w14:paraId="2087D50D">
      <w:pPr>
        <w:spacing w:before="120" w:after="120" w:line="288" w:lineRule="auto"/>
        <w:ind w:left="0"/>
        <w:jc w:val="left"/>
      </w:pPr>
      <w:r>
        <w:rPr>
          <w:rFonts w:ascii="Arial" w:hAnsi="Arial" w:eastAsia="等线" w:cs="Arial"/>
          <w:sz w:val="22"/>
        </w:rPr>
        <w:t>债券持有人获得的利息收入是否需要纳税取，取决于债券类型。</w:t>
      </w:r>
    </w:p>
    <w:p w14:paraId="17687CFA">
      <w:pPr>
        <w:numPr>
          <w:ilvl w:val="0"/>
          <w:numId w:val="11"/>
        </w:numPr>
        <w:spacing w:before="120" w:after="120" w:line="288" w:lineRule="auto"/>
        <w:ind w:left="0"/>
        <w:jc w:val="left"/>
      </w:pPr>
      <w:r>
        <w:rPr>
          <w:rFonts w:ascii="Arial" w:hAnsi="Arial" w:eastAsia="等线" w:cs="Arial"/>
          <w:sz w:val="22"/>
        </w:rPr>
        <w:t>公司债券利息（Corporate bond interest）：从公司债券获得的利息在所有层面（联邦、州以及存在地方税的地方）都需纳税。</w:t>
      </w:r>
    </w:p>
    <w:p w14:paraId="2E764FF6">
      <w:pPr>
        <w:numPr>
          <w:ilvl w:val="0"/>
          <w:numId w:val="12"/>
        </w:numPr>
        <w:spacing w:before="120" w:after="120" w:line="288" w:lineRule="auto"/>
        <w:ind w:left="0"/>
        <w:jc w:val="left"/>
      </w:pPr>
      <w:r>
        <w:rPr>
          <w:rFonts w:ascii="Arial" w:hAnsi="Arial" w:eastAsia="等线" w:cs="Arial"/>
          <w:sz w:val="22"/>
        </w:rPr>
        <w:t>市政债券利息（Municipal bond interest）：从大多数市政债券（应税市政债券除外）获得的利息免征联邦税；然而，投资者可能需要在州和地方层面缴税，具体取决于投资者的居住地以及债券发行方所在的市政当局。（参见第8章。）</w:t>
      </w:r>
    </w:p>
    <w:p w14:paraId="4BEB6FEE">
      <w:pPr>
        <w:numPr>
          <w:ilvl w:val="0"/>
          <w:numId w:val="13"/>
        </w:numPr>
        <w:spacing w:before="120" w:after="120" w:line="288" w:lineRule="auto"/>
        <w:ind w:left="0"/>
        <w:jc w:val="left"/>
      </w:pPr>
      <w:r>
        <w:rPr>
          <w:rFonts w:ascii="Arial" w:hAnsi="Arial" w:eastAsia="等线" w:cs="Arial"/>
          <w:sz w:val="22"/>
        </w:rPr>
        <w:t>美国政府证券利息（U.S. government securities interest）：如短期国库券、中期国库券、本息分离债券、通胀保值债券和长期国库券（T-bills, T-notes, T-STRIPS, and T-bonds）获得的利息需缴纳联邦税，但免征州税和地方税。</w:t>
      </w:r>
    </w:p>
    <w:p w14:paraId="3D958922">
      <w:pPr>
        <w:spacing w:before="300" w:after="120" w:line="288" w:lineRule="auto"/>
        <w:ind w:left="0"/>
        <w:jc w:val="left"/>
        <w:outlineLvl w:val="2"/>
      </w:pPr>
      <w:bookmarkStart w:id="9" w:name="heading_9"/>
      <w:r>
        <w:rPr>
          <w:rFonts w:ascii="Arial" w:hAnsi="Arial" w:eastAsia="等线" w:cs="Arial"/>
          <w:color w:val="3370FF"/>
          <w:sz w:val="30"/>
        </w:rPr>
        <w:t xml:space="preserve">2.2.2 </w:t>
      </w:r>
      <w:r>
        <w:rPr>
          <w:rFonts w:ascii="Arial" w:hAnsi="Arial" w:eastAsia="等线" w:cs="Arial"/>
          <w:b/>
          <w:sz w:val="30"/>
        </w:rPr>
        <w:t>股息（Dividends）</w:t>
      </w:r>
      <w:bookmarkEnd w:id="9"/>
    </w:p>
    <w:p w14:paraId="7C1F6D3A">
      <w:pPr>
        <w:spacing w:before="120" w:after="120" w:line="288" w:lineRule="auto"/>
        <w:ind w:left="0"/>
        <w:jc w:val="left"/>
      </w:pPr>
      <w:r>
        <w:rPr>
          <w:rFonts w:ascii="Arial" w:hAnsi="Arial" w:eastAsia="等线" w:cs="Arial"/>
          <w:sz w:val="22"/>
        </w:rPr>
        <w:t>股息可以以现金、股票或产品的形式发放。以下部分将讨论现金股息、股票股息和共同基金股息。</w:t>
      </w:r>
    </w:p>
    <w:p w14:paraId="57DA806C">
      <w:pPr>
        <w:spacing w:before="260" w:after="120" w:line="288" w:lineRule="auto"/>
        <w:ind w:left="0"/>
        <w:jc w:val="left"/>
        <w:outlineLvl w:val="3"/>
      </w:pPr>
      <w:bookmarkStart w:id="10" w:name="heading_10"/>
      <w:r>
        <w:rPr>
          <w:rFonts w:ascii="Arial" w:hAnsi="Arial" w:eastAsia="等线" w:cs="Arial"/>
          <w:color w:val="3370FF"/>
          <w:sz w:val="28"/>
        </w:rPr>
        <w:t xml:space="preserve">2.2.2.1 </w:t>
      </w:r>
      <w:r>
        <w:rPr>
          <w:rFonts w:ascii="Arial" w:hAnsi="Arial" w:eastAsia="等线" w:cs="Arial"/>
          <w:b/>
          <w:sz w:val="28"/>
        </w:rPr>
        <w:t>现金股息（Cash dividends）</w:t>
      </w:r>
      <w:bookmarkEnd w:id="10"/>
    </w:p>
    <w:p w14:paraId="6A8655E6">
      <w:pPr>
        <w:spacing w:before="120" w:after="120" w:line="288" w:lineRule="auto"/>
        <w:ind w:left="0"/>
        <w:jc w:val="left"/>
      </w:pPr>
      <w:r>
        <w:rPr>
          <w:rFonts w:ascii="Arial" w:hAnsi="Arial" w:eastAsia="等线" w:cs="Arial"/>
          <w:sz w:val="22"/>
        </w:rPr>
        <w:t>从股票中获得的合格现金股息的税率最高为 0%、15% 或 20%，具体取决于投资者调整后总收入（Adjusted Gross Income，AGI）。</w:t>
      </w:r>
    </w:p>
    <w:p w14:paraId="01FB2B3C">
      <w:pPr>
        <w:spacing w:before="120" w:after="120" w:line="288" w:lineRule="auto"/>
        <w:ind w:left="0"/>
        <w:jc w:val="left"/>
      </w:pPr>
    </w:p>
    <w:p w14:paraId="1F75F95E">
      <w:pPr>
        <w:spacing w:before="120" w:after="120" w:line="288" w:lineRule="auto"/>
        <w:ind w:left="0"/>
        <w:jc w:val="left"/>
      </w:pPr>
      <w:r>
        <w:rPr>
          <w:rFonts w:ascii="Arial" w:hAnsi="Arial" w:eastAsia="等线" w:cs="Arial"/>
          <w:sz w:val="22"/>
        </w:rPr>
        <w:t>合格现金股息（Qualified cash dividends）是指客户持有股票至少61天（优先股为91天）所获得的股息。这61天的持有期从除息日（股票开始不附带股息进行交易的第一天）前60天开始计算。如果投资者持有股票时间少于61天，所获股息将被视为非合格股息，投资者需按其常规税率等级所确定的税率缴税。</w:t>
      </w:r>
    </w:p>
    <w:p w14:paraId="64E2F662">
      <w:pPr>
        <w:spacing w:before="120" w:after="120" w:line="288" w:lineRule="auto"/>
        <w:ind w:left="0"/>
        <w:jc w:val="left"/>
      </w:pPr>
    </w:p>
    <w:p w14:paraId="5AAD0C03">
      <w:pPr>
        <w:spacing w:before="120" w:after="120" w:line="288" w:lineRule="auto"/>
        <w:ind w:left="0"/>
        <w:jc w:val="left"/>
      </w:pPr>
      <w:r>
        <w:rPr>
          <w:rFonts w:ascii="Arial" w:hAnsi="Arial" w:eastAsia="等线" w:cs="Arial"/>
          <w:b/>
          <w:sz w:val="22"/>
        </w:rPr>
        <w:t>注意：目前，个人投资者调整后总收入超过20万美元（已婚夫妇为25万美元）的额外净投资税为3.8%。</w:t>
      </w:r>
    </w:p>
    <w:p w14:paraId="25538CC3">
      <w:pPr>
        <w:spacing w:before="120" w:after="120" w:line="288" w:lineRule="auto"/>
        <w:ind w:left="0"/>
        <w:jc w:val="left"/>
      </w:pPr>
    </w:p>
    <w:p w14:paraId="78FD443C">
      <w:pPr>
        <w:spacing w:before="260" w:after="120" w:line="288" w:lineRule="auto"/>
        <w:ind w:left="0"/>
        <w:jc w:val="left"/>
        <w:outlineLvl w:val="3"/>
      </w:pPr>
      <w:bookmarkStart w:id="11" w:name="heading_11"/>
      <w:r>
        <w:rPr>
          <w:rFonts w:ascii="Arial" w:hAnsi="Arial" w:eastAsia="等线" w:cs="Arial"/>
          <w:color w:val="3370FF"/>
          <w:sz w:val="28"/>
        </w:rPr>
        <w:t xml:space="preserve">2.2.2.2 </w:t>
      </w:r>
      <w:r>
        <w:rPr>
          <w:rFonts w:ascii="Arial" w:hAnsi="Arial" w:eastAsia="等线" w:cs="Arial"/>
          <w:b/>
          <w:sz w:val="28"/>
        </w:rPr>
        <w:t>股票股息（Stock dividends）</w:t>
      </w:r>
      <w:bookmarkEnd w:id="11"/>
    </w:p>
    <w:p w14:paraId="583DAF07">
      <w:pPr>
        <w:spacing w:before="120" w:after="120" w:line="288" w:lineRule="auto"/>
        <w:ind w:left="0"/>
        <w:jc w:val="left"/>
      </w:pPr>
      <w:r>
        <w:rPr>
          <w:rFonts w:ascii="Arial" w:hAnsi="Arial" w:eastAsia="等线" w:cs="Arial"/>
          <w:sz w:val="22"/>
        </w:rPr>
        <w:t>股票股息不会改变投资的整体价值，因此收到的额外股票无需缴税。（详情见第6章。）然而，出于税务目的，股票股息确实会降低每股的成本基准。成本基准用于计算资本利得和损失。</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8FE0A1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245BB44">
            <w:pPr>
              <w:spacing w:before="120" w:after="120" w:line="288" w:lineRule="auto"/>
              <w:ind w:left="0"/>
              <w:jc w:val="left"/>
            </w:pPr>
            <w:r>
              <w:rPr>
                <w:rFonts w:ascii="Arial" w:hAnsi="Arial" w:eastAsia="等线" w:cs="Arial"/>
                <w:sz w:val="22"/>
              </w:rPr>
              <w:t>股票股息的股票来源：</w:t>
            </w:r>
          </w:p>
          <w:p w14:paraId="581327CE">
            <w:pPr>
              <w:spacing w:before="120" w:after="120" w:line="288" w:lineRule="auto"/>
              <w:ind w:left="0"/>
              <w:jc w:val="left"/>
            </w:pPr>
            <w:r>
              <w:rPr>
                <w:rFonts w:ascii="Arial" w:hAnsi="Arial" w:eastAsia="等线" w:cs="Arial"/>
                <w:b/>
                <w:sz w:val="22"/>
              </w:rPr>
              <w:t>核心来源 1：未发行股份（Unissued Shares）—— 最主要来源。</w:t>
            </w:r>
          </w:p>
          <w:p w14:paraId="020C1471">
            <w:pPr>
              <w:spacing w:before="120" w:after="120" w:line="288" w:lineRule="auto"/>
              <w:ind w:left="0"/>
              <w:jc w:val="left"/>
            </w:pPr>
            <w:r>
              <w:rPr>
                <w:rFonts w:ascii="Arial" w:hAnsi="Arial" w:eastAsia="等线" w:cs="Arial"/>
                <w:sz w:val="22"/>
              </w:rPr>
              <w:t>这种方式无需公司动用现金或资产，仅通过 “账面股权结构调整” 即可完成股息分配，符合股票股息 “不影响公司总市值、仅稀释每股价格” 的核心特征。</w:t>
            </w:r>
            <w:r>
              <w:rPr>
                <w:rFonts w:ascii="Arial" w:hAnsi="Arial" w:eastAsia="等线" w:cs="Arial"/>
                <w:b/>
                <w:sz w:val="22"/>
              </w:rPr>
              <w:t>会增加公司的 已发行股份总数（Issued Shares），但不会改变授权股份（Authorized Shares）数量。</w:t>
            </w:r>
          </w:p>
          <w:p w14:paraId="26CA6612">
            <w:pPr>
              <w:spacing w:before="120" w:after="120" w:line="288" w:lineRule="auto"/>
              <w:ind w:left="0"/>
              <w:jc w:val="left"/>
            </w:pPr>
          </w:p>
          <w:p w14:paraId="73E48D08">
            <w:pPr>
              <w:spacing w:before="120" w:after="120" w:line="288" w:lineRule="auto"/>
              <w:ind w:left="0"/>
              <w:jc w:val="left"/>
            </w:pPr>
            <w:r>
              <w:rPr>
                <w:rFonts w:ascii="Arial" w:hAnsi="Arial" w:eastAsia="等线" w:cs="Arial"/>
                <w:b/>
                <w:sz w:val="22"/>
              </w:rPr>
              <w:t>核心来源 2：库存股（Treasury Stock）—— 补充来源。</w:t>
            </w:r>
          </w:p>
          <w:p w14:paraId="37DBE4A1">
            <w:pPr>
              <w:spacing w:before="120" w:after="120" w:line="288" w:lineRule="auto"/>
              <w:ind w:left="0"/>
              <w:jc w:val="left"/>
            </w:pPr>
            <w:r>
              <w:rPr>
                <w:rFonts w:ascii="Arial" w:hAnsi="Arial" w:eastAsia="等线" w:cs="Arial"/>
                <w:sz w:val="22"/>
              </w:rPr>
              <w:t>“库存股” 为 “公司从已发行股份中回购的、由公司自身持有的股份”（如公司通过市场回购流通股份以稳定股价）。</w:t>
            </w:r>
          </w:p>
          <w:p w14:paraId="7094DD4E">
            <w:pPr>
              <w:spacing w:before="120" w:after="120" w:line="288" w:lineRule="auto"/>
              <w:ind w:left="0"/>
              <w:jc w:val="left"/>
            </w:pPr>
            <w:r>
              <w:rPr>
                <w:rFonts w:ascii="Arial" w:hAnsi="Arial" w:eastAsia="等线" w:cs="Arial"/>
                <w:sz w:val="22"/>
              </w:rPr>
              <w:t>若公司库存股数量充足，也可动用库存股作为股票股息的来源 —— 即把公司持有的库存股按股息比例重新分配给现有股东。</w:t>
            </w:r>
          </w:p>
        </w:tc>
      </w:tr>
    </w:tbl>
    <w:p w14:paraId="45D92963">
      <w:pPr>
        <w:spacing w:before="260" w:after="120" w:line="288" w:lineRule="auto"/>
        <w:ind w:left="0"/>
        <w:jc w:val="left"/>
        <w:outlineLvl w:val="3"/>
      </w:pPr>
      <w:bookmarkStart w:id="12" w:name="heading_12"/>
      <w:r>
        <w:rPr>
          <w:rFonts w:ascii="Arial" w:hAnsi="Arial" w:eastAsia="等线" w:cs="Arial"/>
          <w:color w:val="3370FF"/>
          <w:sz w:val="28"/>
        </w:rPr>
        <w:t xml:space="preserve">2.2.2.3 </w:t>
      </w:r>
      <w:r>
        <w:rPr>
          <w:rFonts w:ascii="Arial" w:hAnsi="Arial" w:eastAsia="等线" w:cs="Arial"/>
          <w:b/>
          <w:sz w:val="28"/>
        </w:rPr>
        <w:t>共同基金的股息（Dividends from mutual funds）</w:t>
      </w:r>
      <w:bookmarkEnd w:id="12"/>
    </w:p>
    <w:p w14:paraId="46D8AEA6">
      <w:pPr>
        <w:spacing w:before="120" w:after="120" w:line="288" w:lineRule="auto"/>
        <w:ind w:left="0"/>
        <w:jc w:val="left"/>
      </w:pPr>
      <w:r>
        <w:rPr>
          <w:rFonts w:ascii="Arial" w:hAnsi="Arial" w:eastAsia="等线" w:cs="Arial"/>
          <w:sz w:val="22"/>
        </w:rPr>
        <w:t>共同基金投资组合中持有的证券所产生的股息和利息会分配给投资者，并按合格股息（参见前面的“现金股息”部分）或非合格股息征税。投资组合中证券的类型和基金持有证券的时间长短决定了投资者如何纳税。</w:t>
      </w:r>
    </w:p>
    <w:p w14:paraId="7F48C195">
      <w:pPr>
        <w:spacing w:before="120" w:after="120" w:line="288" w:lineRule="auto"/>
        <w:ind w:left="0"/>
        <w:jc w:val="left"/>
      </w:pPr>
    </w:p>
    <w:p w14:paraId="263C063D">
      <w:pPr>
        <w:spacing w:before="120" w:after="120" w:line="288" w:lineRule="auto"/>
        <w:ind w:left="0"/>
        <w:jc w:val="left"/>
      </w:pPr>
      <w:r>
        <w:rPr>
          <w:rFonts w:ascii="Arial" w:hAnsi="Arial" w:eastAsia="等线" w:cs="Arial"/>
          <w:sz w:val="22"/>
        </w:rPr>
        <w:t>以下是共同基金股息的征税方式：</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05"/>
        <w:gridCol w:w="2205"/>
        <w:gridCol w:w="3870"/>
      </w:tblGrid>
      <w:tr w14:paraId="1D957F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380E2989">
            <w:pPr>
              <w:spacing w:before="120" w:after="120" w:line="288" w:lineRule="auto"/>
              <w:ind w:left="0"/>
              <w:jc w:val="left"/>
            </w:pPr>
            <w:r>
              <w:rPr>
                <w:rFonts w:ascii="Arial" w:hAnsi="Arial" w:eastAsia="等线" w:cs="Arial"/>
                <w:b/>
                <w:sz w:val="22"/>
              </w:rPr>
              <w:t>Federally Tax-Free</w:t>
            </w:r>
          </w:p>
        </w:tc>
        <w:tc>
          <w:tcPr>
            <w:tcW w:w="2205" w:type="dxa"/>
            <w:tcMar>
              <w:top w:w="60" w:type="dxa"/>
              <w:left w:w="120" w:type="dxa"/>
              <w:bottom w:w="30" w:type="dxa"/>
              <w:right w:w="120" w:type="dxa"/>
            </w:tcMar>
          </w:tcPr>
          <w:p w14:paraId="2E61243E">
            <w:pPr>
              <w:spacing w:before="120" w:after="120" w:line="288" w:lineRule="auto"/>
              <w:ind w:left="0"/>
              <w:jc w:val="left"/>
            </w:pPr>
            <w:r>
              <w:rPr>
                <w:rFonts w:ascii="Arial" w:hAnsi="Arial" w:eastAsia="等线" w:cs="Arial"/>
                <w:b/>
                <w:sz w:val="22"/>
              </w:rPr>
              <w:t>0, 15, or 20 Percent</w:t>
            </w:r>
          </w:p>
        </w:tc>
        <w:tc>
          <w:tcPr>
            <w:tcW w:w="3870" w:type="dxa"/>
            <w:tcMar>
              <w:top w:w="60" w:type="dxa"/>
              <w:left w:w="120" w:type="dxa"/>
              <w:bottom w:w="30" w:type="dxa"/>
              <w:right w:w="120" w:type="dxa"/>
            </w:tcMar>
          </w:tcPr>
          <w:p w14:paraId="26E9DB30">
            <w:pPr>
              <w:spacing w:before="120" w:after="120" w:line="288" w:lineRule="auto"/>
              <w:ind w:left="0"/>
              <w:jc w:val="left"/>
            </w:pPr>
            <w:r>
              <w:rPr>
                <w:rFonts w:ascii="Arial" w:hAnsi="Arial" w:eastAsia="等线" w:cs="Arial"/>
                <w:b/>
                <w:sz w:val="22"/>
              </w:rPr>
              <w:t>Ordinary Income</w:t>
            </w:r>
          </w:p>
        </w:tc>
      </w:tr>
      <w:tr w14:paraId="19B7BB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1CD057A1">
            <w:pPr>
              <w:spacing w:before="120" w:after="120" w:line="288" w:lineRule="auto"/>
              <w:ind w:left="0"/>
              <w:jc w:val="left"/>
            </w:pPr>
            <w:r>
              <w:rPr>
                <w:rFonts w:ascii="Arial" w:hAnsi="Arial" w:eastAsia="等线" w:cs="Arial"/>
                <w:sz w:val="22"/>
              </w:rPr>
              <w:t>Municipal bond funds</w:t>
            </w:r>
          </w:p>
        </w:tc>
        <w:tc>
          <w:tcPr>
            <w:tcW w:w="2205" w:type="dxa"/>
            <w:tcMar>
              <w:top w:w="60" w:type="dxa"/>
              <w:left w:w="120" w:type="dxa"/>
              <w:bottom w:w="30" w:type="dxa"/>
              <w:right w:w="120" w:type="dxa"/>
            </w:tcMar>
          </w:tcPr>
          <w:p w14:paraId="46975742">
            <w:pPr>
              <w:spacing w:before="120" w:after="120" w:line="288" w:lineRule="auto"/>
              <w:ind w:left="0"/>
              <w:jc w:val="left"/>
            </w:pPr>
            <w:r>
              <w:rPr>
                <w:rFonts w:ascii="Arial" w:hAnsi="Arial" w:eastAsia="等线" w:cs="Arial"/>
                <w:sz w:val="22"/>
              </w:rPr>
              <w:t>Stock funds</w:t>
            </w:r>
          </w:p>
        </w:tc>
        <w:tc>
          <w:tcPr>
            <w:tcW w:w="3870" w:type="dxa"/>
            <w:tcMar>
              <w:top w:w="60" w:type="dxa"/>
              <w:left w:w="120" w:type="dxa"/>
              <w:bottom w:w="30" w:type="dxa"/>
              <w:right w:w="120" w:type="dxa"/>
            </w:tcMar>
          </w:tcPr>
          <w:p w14:paraId="382CC95A">
            <w:pPr>
              <w:spacing w:before="120" w:after="120" w:line="288" w:lineRule="auto"/>
              <w:ind w:left="0"/>
              <w:jc w:val="left"/>
            </w:pPr>
            <w:r>
              <w:rPr>
                <w:rFonts w:ascii="Arial" w:hAnsi="Arial" w:eastAsia="等线" w:cs="Arial"/>
                <w:sz w:val="22"/>
              </w:rPr>
              <w:t>Corporate bond funds</w:t>
            </w:r>
          </w:p>
        </w:tc>
      </w:tr>
      <w:tr w14:paraId="6D4518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583F1F47">
            <w:pPr>
              <w:spacing w:before="120" w:after="120" w:line="288" w:lineRule="auto"/>
              <w:ind w:left="0"/>
              <w:jc w:val="left"/>
            </w:pPr>
          </w:p>
        </w:tc>
        <w:tc>
          <w:tcPr>
            <w:tcW w:w="2205" w:type="dxa"/>
            <w:tcMar>
              <w:top w:w="60" w:type="dxa"/>
              <w:left w:w="120" w:type="dxa"/>
              <w:bottom w:w="30" w:type="dxa"/>
              <w:right w:w="120" w:type="dxa"/>
            </w:tcMar>
          </w:tcPr>
          <w:p w14:paraId="35155CF6">
            <w:pPr>
              <w:spacing w:before="120" w:after="120" w:line="288" w:lineRule="auto"/>
              <w:ind w:left="0"/>
              <w:jc w:val="left"/>
            </w:pPr>
            <w:r>
              <w:rPr>
                <w:rFonts w:ascii="Arial" w:hAnsi="Arial" w:eastAsia="等线" w:cs="Arial"/>
                <w:sz w:val="22"/>
              </w:rPr>
              <w:t>Long-term capital gains</w:t>
            </w:r>
          </w:p>
        </w:tc>
        <w:tc>
          <w:tcPr>
            <w:tcW w:w="3870" w:type="dxa"/>
            <w:tcMar>
              <w:top w:w="60" w:type="dxa"/>
              <w:left w:w="120" w:type="dxa"/>
              <w:bottom w:w="30" w:type="dxa"/>
              <w:right w:w="120" w:type="dxa"/>
            </w:tcMar>
          </w:tcPr>
          <w:p w14:paraId="7F4CEF03">
            <w:pPr>
              <w:spacing w:before="120" w:after="120" w:line="288" w:lineRule="auto"/>
              <w:ind w:left="0"/>
              <w:jc w:val="left"/>
            </w:pPr>
            <w:r>
              <w:rPr>
                <w:rFonts w:ascii="Arial" w:hAnsi="Arial" w:eastAsia="等线" w:cs="Arial"/>
                <w:sz w:val="22"/>
              </w:rPr>
              <w:t>Short-term capital gains</w:t>
            </w:r>
          </w:p>
        </w:tc>
      </w:tr>
    </w:tbl>
    <w:p w14:paraId="51FF64E2">
      <w:pPr>
        <w:spacing w:before="120" w:after="120" w:line="288" w:lineRule="auto"/>
        <w:ind w:left="0"/>
        <w:jc w:val="left"/>
      </w:pPr>
      <w:r>
        <w:rPr>
          <w:rFonts w:ascii="Arial" w:hAnsi="Arial" w:eastAsia="等线" w:cs="Arial"/>
          <w:sz w:val="22"/>
        </w:rPr>
        <w:t>共同基金的长期或短期收益是由其持有期决定的，而非投资者的持有期。此外，请记住，即使资金再投资于该基金，你每年仍需缴纳资本利得税和股息税。</w:t>
      </w:r>
    </w:p>
    <w:p w14:paraId="6F1126A2">
      <w:pPr>
        <w:spacing w:before="120" w:after="120" w:line="288" w:lineRule="auto"/>
        <w:ind w:left="0"/>
        <w:jc w:val="left"/>
      </w:pPr>
    </w:p>
    <w:p w14:paraId="31B5EFF6">
      <w:pPr>
        <w:spacing w:before="300" w:after="120" w:line="288" w:lineRule="auto"/>
        <w:ind w:left="0"/>
        <w:jc w:val="left"/>
        <w:outlineLvl w:val="2"/>
      </w:pPr>
      <w:bookmarkStart w:id="13" w:name="heading_13"/>
      <w:r>
        <w:rPr>
          <w:rFonts w:ascii="Arial" w:hAnsi="Arial" w:eastAsia="等线" w:cs="Arial"/>
          <w:color w:val="3370FF"/>
          <w:sz w:val="30"/>
        </w:rPr>
        <w:t xml:space="preserve">2.2.3 </w:t>
      </w:r>
      <w:r>
        <w:rPr>
          <w:rFonts w:ascii="Arial" w:hAnsi="Arial" w:eastAsia="等线" w:cs="Arial"/>
          <w:b/>
          <w:sz w:val="30"/>
        </w:rPr>
        <w:t>资本利得与损失（Capital gains and losses）</w:t>
      </w:r>
      <w:bookmarkEnd w:id="13"/>
    </w:p>
    <w:p w14:paraId="15E95B5B">
      <w:pPr>
        <w:spacing w:before="120" w:after="120" w:line="288" w:lineRule="auto"/>
        <w:ind w:left="0"/>
        <w:jc w:val="left"/>
      </w:pPr>
      <w:r>
        <w:rPr>
          <w:rFonts w:ascii="Arial" w:hAnsi="Arial" w:eastAsia="等线" w:cs="Arial"/>
          <w:sz w:val="22"/>
        </w:rPr>
        <w:t>资本利得是出售证券时获得的利润（已实现收益），资本损失是出售证券时产生的亏损。</w:t>
      </w:r>
    </w:p>
    <w:p w14:paraId="36E460EF">
      <w:pPr>
        <w:spacing w:before="120" w:after="120" w:line="288" w:lineRule="auto"/>
        <w:ind w:left="0"/>
        <w:jc w:val="left"/>
      </w:pPr>
    </w:p>
    <w:p w14:paraId="4300075C">
      <w:pPr>
        <w:spacing w:before="120" w:after="120" w:line="288" w:lineRule="auto"/>
        <w:ind w:left="0"/>
        <w:jc w:val="left"/>
      </w:pPr>
      <w:r>
        <w:rPr>
          <w:rFonts w:ascii="Arial" w:hAnsi="Arial" w:eastAsia="等线" w:cs="Arial"/>
          <w:sz w:val="22"/>
        </w:rPr>
        <w:t>要确定投资者是有资本利得还是资本损失，必须从投资者的成本基准开始算起。成本基准用于税务目的，包括购买价格加上任何佣金（不过在SIE考试中，出题者通常不会将佣金纳入计算）。除非因股票分割、股票股息、增值、摊销等情况进行调整，否则成本基准保持不变。</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E13951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A757F9F">
            <w:pPr>
              <w:spacing w:before="120" w:after="120" w:line="288" w:lineRule="auto"/>
              <w:ind w:left="0"/>
              <w:jc w:val="left"/>
            </w:pPr>
            <w:r>
              <w:rPr>
                <w:rFonts w:ascii="Arial" w:hAnsi="Arial" w:eastAsia="等线" w:cs="Arial"/>
                <w:sz w:val="22"/>
              </w:rPr>
              <w:t>当投资者以非面值价格购买债券时，就会涉及到溢价摊销和折价摊销。债券的成本基础会在到期前的这段时间内调整至面值。在SIE考试中不会要求你计算这个。</w:t>
            </w:r>
          </w:p>
        </w:tc>
      </w:tr>
    </w:tbl>
    <w:p w14:paraId="47066DD3">
      <w:pPr>
        <w:spacing w:before="120" w:after="120" w:line="288" w:lineRule="auto"/>
        <w:ind w:left="0"/>
        <w:jc w:val="left"/>
      </w:pPr>
    </w:p>
    <w:p w14:paraId="01179F64">
      <w:pPr>
        <w:spacing w:before="260" w:after="120" w:line="288" w:lineRule="auto"/>
        <w:ind w:left="0"/>
        <w:jc w:val="left"/>
        <w:outlineLvl w:val="3"/>
      </w:pPr>
      <w:bookmarkStart w:id="14" w:name="heading_14"/>
      <w:r>
        <w:rPr>
          <w:rFonts w:ascii="Arial" w:hAnsi="Arial" w:eastAsia="等线" w:cs="Arial"/>
          <w:color w:val="3370FF"/>
          <w:sz w:val="28"/>
        </w:rPr>
        <w:t xml:space="preserve">2.2.3.1 </w:t>
      </w:r>
      <w:r>
        <w:rPr>
          <w:rFonts w:ascii="Arial" w:hAnsi="Arial" w:eastAsia="等线" w:cs="Arial"/>
          <w:b/>
          <w:sz w:val="28"/>
        </w:rPr>
        <w:t>资本利得税（Capital Gains Taxes）</w:t>
      </w:r>
      <w:bookmarkEnd w:id="14"/>
    </w:p>
    <w:p w14:paraId="1840165C">
      <w:pPr>
        <w:spacing w:before="120" w:after="120" w:line="288" w:lineRule="auto"/>
        <w:ind w:left="0"/>
        <w:jc w:val="left"/>
      </w:pPr>
      <w:r>
        <w:rPr>
          <w:rFonts w:ascii="Arial" w:hAnsi="Arial" w:eastAsia="等线" w:cs="Arial"/>
          <w:sz w:val="22"/>
        </w:rPr>
        <w:t>投资者以高于成本基准的价格出售证券时，就会实现资本利得。</w:t>
      </w:r>
    </w:p>
    <w:p w14:paraId="79DD5AF8">
      <w:pPr>
        <w:spacing w:before="120" w:after="120" w:line="288" w:lineRule="auto"/>
        <w:ind w:left="0"/>
        <w:jc w:val="left"/>
      </w:pPr>
    </w:p>
    <w:p w14:paraId="5F8F256F">
      <w:pPr>
        <w:spacing w:before="120" w:after="120" w:line="288" w:lineRule="auto"/>
        <w:ind w:left="0"/>
        <w:jc w:val="left"/>
      </w:pPr>
      <w:r>
        <w:rPr>
          <w:rFonts w:ascii="Arial" w:hAnsi="Arial" w:eastAsia="等线" w:cs="Arial"/>
          <w:sz w:val="22"/>
        </w:rPr>
        <w:t>任何证券（即使是市政债券和美国政府债券）的资本利得都要在联邦、州和地方各级全额征税。</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38ABEB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0740FB3">
            <w:pPr>
              <w:spacing w:before="120" w:after="120" w:line="288" w:lineRule="auto"/>
              <w:ind w:left="0"/>
              <w:jc w:val="left"/>
            </w:pPr>
            <w:r>
              <w:rPr>
                <w:rFonts w:ascii="Arial" w:hAnsi="Arial" w:eastAsia="等线" w:cs="Arial"/>
                <w:sz w:val="22"/>
              </w:rPr>
              <w:t>注意：如果一项投资的价值上升，这被视为增值或未实现收益，且如果投资者不卖出，就不会产生资本利得税。即使共同基金的股东没有卖出任何份额，若发行方以盈利价格出售了基金持有的证券，股东仍需缴税。</w:t>
            </w:r>
          </w:p>
        </w:tc>
      </w:tr>
    </w:tbl>
    <w:p w14:paraId="7343D52D">
      <w:pPr>
        <w:spacing w:before="120" w:after="120" w:line="288" w:lineRule="auto"/>
        <w:ind w:left="0"/>
        <w:jc w:val="left"/>
      </w:pPr>
      <w:r>
        <w:rPr>
          <w:rFonts w:ascii="Arial" w:hAnsi="Arial" w:eastAsia="等线" w:cs="Arial"/>
          <w:sz w:val="22"/>
        </w:rPr>
        <w:t>资本利得根据证券的持有期限分为两类：</w:t>
      </w:r>
    </w:p>
    <w:p w14:paraId="13C67A2E">
      <w:pPr>
        <w:numPr>
          <w:ilvl w:val="0"/>
          <w:numId w:val="14"/>
        </w:numPr>
        <w:spacing w:before="120" w:after="120" w:line="288" w:lineRule="auto"/>
        <w:ind w:left="0"/>
        <w:jc w:val="left"/>
      </w:pPr>
      <w:r>
        <w:rPr>
          <w:rFonts w:ascii="Arial" w:hAnsi="Arial" w:eastAsia="等线" w:cs="Arial"/>
          <w:sz w:val="22"/>
        </w:rPr>
        <w:t>短期资本利得（Short-term capital gains）</w:t>
      </w:r>
    </w:p>
    <w:p w14:paraId="6865928B">
      <w:pPr>
        <w:spacing w:before="120" w:after="120" w:line="288" w:lineRule="auto"/>
        <w:ind w:left="0"/>
        <w:jc w:val="left"/>
      </w:pPr>
      <w:r>
        <w:rPr>
          <w:rFonts w:ascii="Arial" w:hAnsi="Arial" w:eastAsia="等线" w:cs="Arial"/>
          <w:sz w:val="22"/>
        </w:rPr>
        <w:t>当证券持有时间为一年或更短（one year or less）时实现的利得。短期资本利得根据投资者的税率等级征税。</w:t>
      </w:r>
    </w:p>
    <w:p w14:paraId="3CAF5A50">
      <w:pPr>
        <w:numPr>
          <w:ilvl w:val="0"/>
          <w:numId w:val="15"/>
        </w:numPr>
        <w:spacing w:before="120" w:after="120" w:line="288" w:lineRule="auto"/>
        <w:ind w:left="0"/>
        <w:jc w:val="left"/>
      </w:pPr>
      <w:r>
        <w:rPr>
          <w:rFonts w:ascii="Arial" w:hAnsi="Arial" w:eastAsia="等线" w:cs="Arial"/>
          <w:sz w:val="22"/>
        </w:rPr>
        <w:t>长期资本利得（Long-term capital gains）</w:t>
      </w:r>
    </w:p>
    <w:p w14:paraId="3D4DE7F8">
      <w:pPr>
        <w:spacing w:before="120" w:after="120" w:line="288" w:lineRule="auto"/>
        <w:ind w:left="0"/>
        <w:jc w:val="left"/>
      </w:pPr>
      <w:r>
        <w:rPr>
          <w:rFonts w:ascii="Arial" w:hAnsi="Arial" w:eastAsia="等线" w:cs="Arial"/>
          <w:sz w:val="22"/>
        </w:rPr>
        <w:t>当证券持有时间超过一年所实现的收益为长期资本利得。为鼓励投资者购买并持有证券，目前长期资本利得的税率与现金股息一致（根据投资者调整后总收入，税率 为 0%、15%或20%）。有关资本利得和损失的更多信息，请访问美国国税局网站：</w:t>
      </w:r>
      <w:r>
        <w:rPr>
          <w:rFonts w:ascii="Consolas" w:hAnsi="Consolas" w:eastAsia="Consolas" w:cs="Consolas"/>
          <w:sz w:val="22"/>
          <w:shd w:val="clear" w:fill="EFF0F1"/>
        </w:rPr>
        <w:t>www.irs.gov/taxtopics/tc409</w:t>
      </w:r>
      <w:r>
        <w:rPr>
          <w:rFonts w:ascii="Arial" w:hAnsi="Arial" w:eastAsia="等线" w:cs="Arial"/>
          <w:sz w:val="22"/>
        </w:rPr>
        <w:t>。</w:t>
      </w:r>
    </w:p>
    <w:p w14:paraId="533EA1FC">
      <w:pPr>
        <w:spacing w:before="260" w:after="120" w:line="288" w:lineRule="auto"/>
        <w:ind w:left="0"/>
        <w:jc w:val="left"/>
        <w:outlineLvl w:val="3"/>
      </w:pPr>
      <w:bookmarkStart w:id="15" w:name="heading_15"/>
      <w:r>
        <w:rPr>
          <w:rFonts w:ascii="Arial" w:hAnsi="Arial" w:eastAsia="等线" w:cs="Arial"/>
          <w:color w:val="3370FF"/>
          <w:sz w:val="28"/>
        </w:rPr>
        <w:t xml:space="preserve">2.2.3.2 </w:t>
      </w:r>
      <w:r>
        <w:rPr>
          <w:rFonts w:ascii="Arial" w:hAnsi="Arial" w:eastAsia="等线" w:cs="Arial"/>
          <w:b/>
          <w:sz w:val="28"/>
        </w:rPr>
        <w:t>资本损失抵消收益（Offsetting gains with capital losses）</w:t>
      </w:r>
      <w:bookmarkEnd w:id="15"/>
    </w:p>
    <w:p w14:paraId="2EC37181">
      <w:pPr>
        <w:spacing w:before="120" w:after="120" w:line="288" w:lineRule="auto"/>
        <w:ind w:left="0"/>
        <w:jc w:val="left"/>
      </w:pPr>
      <w:r>
        <w:rPr>
          <w:rFonts w:ascii="Arial" w:hAnsi="Arial" w:eastAsia="等线" w:cs="Arial"/>
          <w:sz w:val="22"/>
        </w:rPr>
        <w:t>当投资者以低于成本基准的价格出售证券时，就会产生资本损失。投资者可以利用资本损失来抵消资本收益，从而减轻税务负担。</w:t>
      </w:r>
    </w:p>
    <w:p w14:paraId="44ADBB07">
      <w:pPr>
        <w:spacing w:before="120" w:after="120" w:line="288" w:lineRule="auto"/>
        <w:ind w:left="0"/>
        <w:jc w:val="left"/>
      </w:pPr>
    </w:p>
    <w:p w14:paraId="3098B25E">
      <w:pPr>
        <w:spacing w:before="120" w:after="120" w:line="288" w:lineRule="auto"/>
        <w:ind w:left="0"/>
        <w:jc w:val="left"/>
      </w:pPr>
      <w:r>
        <w:rPr>
          <w:rFonts w:ascii="Arial" w:hAnsi="Arial" w:eastAsia="等线" w:cs="Arial"/>
          <w:sz w:val="22"/>
        </w:rPr>
        <w:t>与资本收益一样，资本损失也分为短期和长期两类：</w:t>
      </w:r>
    </w:p>
    <w:p w14:paraId="1808E139">
      <w:pPr>
        <w:numPr>
          <w:ilvl w:val="0"/>
          <w:numId w:val="16"/>
        </w:numPr>
        <w:spacing w:before="120" w:after="120" w:line="288" w:lineRule="auto"/>
        <w:ind w:left="0"/>
        <w:jc w:val="left"/>
      </w:pPr>
      <w:r>
        <w:rPr>
          <w:rFonts w:ascii="Arial" w:hAnsi="Arial" w:eastAsia="等线" w:cs="Arial"/>
          <w:sz w:val="22"/>
        </w:rPr>
        <w:t>短期资本损失（Short-term capital losses）</w:t>
      </w:r>
    </w:p>
    <w:p w14:paraId="271B136B">
      <w:pPr>
        <w:spacing w:before="120" w:after="120" w:line="288" w:lineRule="auto"/>
        <w:ind w:left="0"/>
        <w:jc w:val="left"/>
      </w:pPr>
      <w:r>
        <w:rPr>
          <w:rFonts w:ascii="Arial" w:hAnsi="Arial" w:eastAsia="等线" w:cs="Arial"/>
          <w:sz w:val="22"/>
        </w:rPr>
        <w:t>当投资者持有证券一年或更短时，就会产生这些损失。投资者可以用短期资本损失来抵消短期资本收益。</w:t>
      </w:r>
    </w:p>
    <w:p w14:paraId="44F79DD9">
      <w:pPr>
        <w:numPr>
          <w:ilvl w:val="0"/>
          <w:numId w:val="17"/>
        </w:numPr>
        <w:spacing w:before="120" w:after="120" w:line="288" w:lineRule="auto"/>
        <w:ind w:left="0"/>
        <w:jc w:val="left"/>
      </w:pPr>
      <w:r>
        <w:rPr>
          <w:rFonts w:ascii="Arial" w:hAnsi="Arial" w:eastAsia="等线" w:cs="Arial"/>
          <w:sz w:val="22"/>
        </w:rPr>
        <w:t>长期资本损失（Long-term capital losses）</w:t>
      </w:r>
    </w:p>
    <w:p w14:paraId="0D0BB6AF">
      <w:pPr>
        <w:spacing w:before="120" w:after="120" w:line="288" w:lineRule="auto"/>
        <w:ind w:left="0"/>
        <w:jc w:val="left"/>
      </w:pPr>
      <w:r>
        <w:rPr>
          <w:rFonts w:ascii="Arial" w:hAnsi="Arial" w:eastAsia="等线" w:cs="Arial"/>
          <w:sz w:val="22"/>
        </w:rPr>
        <w:t>当投资者持有证券超过一年时，会产生这些损失。长期资本损失可以抵消长期资本收益。</w:t>
      </w:r>
    </w:p>
    <w:p w14:paraId="32566B5D">
      <w:pPr>
        <w:spacing w:before="120" w:after="120" w:line="288" w:lineRule="auto"/>
        <w:ind w:left="0"/>
        <w:jc w:val="left"/>
      </w:pPr>
    </w:p>
    <w:p w14:paraId="4961AD4A">
      <w:pPr>
        <w:spacing w:before="120" w:after="120" w:line="288" w:lineRule="auto"/>
        <w:ind w:left="0"/>
        <w:jc w:val="left"/>
      </w:pPr>
      <w:r>
        <w:rPr>
          <w:rFonts w:ascii="Arial" w:hAnsi="Arial" w:eastAsia="等线" w:cs="Arial"/>
          <w:sz w:val="22"/>
        </w:rPr>
        <w:t>当投资者出现净资本损失时，他们每年最多可以从联邦税中扣除3,000美元，并将余额结转到下一年。已婚夫妇共同申报可以每年减记3,000美元，已婚夫妇单独申报可以每年减记1500美元。为便于测试，假设每年$3,000。</w:t>
      </w:r>
    </w:p>
    <w:p w14:paraId="7CDE9198">
      <w:pPr>
        <w:spacing w:before="120" w:after="120" w:line="288" w:lineRule="auto"/>
        <w:ind w:left="0"/>
        <w:jc w:val="left"/>
      </w:pPr>
    </w:p>
    <w:p w14:paraId="40647EE3">
      <w:pPr>
        <w:spacing w:before="260" w:after="120" w:line="288" w:lineRule="auto"/>
        <w:ind w:left="0"/>
        <w:jc w:val="left"/>
        <w:outlineLvl w:val="3"/>
      </w:pPr>
      <w:bookmarkStart w:id="16" w:name="heading_16"/>
      <w:r>
        <w:rPr>
          <w:rFonts w:ascii="Arial" w:hAnsi="Arial" w:eastAsia="等线" w:cs="Arial"/>
          <w:color w:val="3370FF"/>
          <w:sz w:val="28"/>
        </w:rPr>
        <w:t xml:space="preserve">2.2.3.3 </w:t>
      </w:r>
      <w:r>
        <w:rPr>
          <w:rFonts w:ascii="Arial" w:hAnsi="Arial" w:eastAsia="等线" w:cs="Arial"/>
          <w:b/>
          <w:sz w:val="28"/>
        </w:rPr>
        <w:t>洗售规则：无法申报损失时调整成本基准</w:t>
      </w:r>
      <w:bookmarkEnd w:id="16"/>
    </w:p>
    <w:p w14:paraId="05929FD3">
      <w:pPr>
        <w:spacing w:before="120" w:after="120" w:line="288" w:lineRule="auto"/>
        <w:ind w:left="0"/>
        <w:jc w:val="left"/>
      </w:pPr>
      <w:r>
        <w:rPr>
          <w:rFonts w:ascii="Arial" w:hAnsi="Arial" w:eastAsia="等线" w:cs="Arial"/>
          <w:sz w:val="22"/>
        </w:rPr>
        <w:t>洗售规则（Wash Sale Rule）是美国国税局（IRS）制定的一项非常重要的税收规则，为防止投资者在出售证券后申报损失（投资者可利用此损失抵消另一项投资的收益，详见前一节），同时又大量（或完全）回购相同证券。</w:t>
      </w:r>
    </w:p>
    <w:p w14:paraId="2C1ACD6E">
      <w:pPr>
        <w:spacing w:before="120" w:after="120" w:line="288" w:lineRule="auto"/>
        <w:ind w:left="0"/>
        <w:jc w:val="left"/>
      </w:pPr>
    </w:p>
    <w:p w14:paraId="461B3CFB">
      <w:pPr>
        <w:spacing w:before="120" w:after="120" w:line="288" w:lineRule="auto"/>
        <w:ind w:left="0"/>
        <w:jc w:val="left"/>
      </w:pPr>
      <w:r>
        <w:rPr>
          <w:rFonts w:ascii="Arial" w:hAnsi="Arial" w:eastAsia="等线" w:cs="Arial"/>
          <w:sz w:val="22"/>
        </w:rPr>
        <w:t>根据该规则，如果投资者以资本损失出售某一证券，那么在出售前30天至出售后30天内（共61天窗口期），不得回购</w:t>
      </w:r>
      <w:r>
        <w:rPr>
          <w:rFonts w:ascii="Arial" w:hAnsi="Arial" w:eastAsia="等线" w:cs="Arial"/>
          <w:b/>
          <w:sz w:val="22"/>
        </w:rPr>
        <w:t>相同证券或任何可转换为该证券的品种</w:t>
      </w:r>
      <w:r>
        <w:rPr>
          <w:rFonts w:ascii="Arial" w:hAnsi="Arial" w:eastAsia="等线" w:cs="Arial"/>
          <w:sz w:val="22"/>
        </w:rPr>
        <w:t>，否则将无法申报此项损失。投资者违反虚售规则并不会因此被捕，只是不能在报税时申报该损失。</w:t>
      </w:r>
    </w:p>
    <w:p w14:paraId="3D5FE757">
      <w:pPr>
        <w:spacing w:before="120" w:after="120" w:line="288" w:lineRule="auto"/>
        <w:ind w:left="0"/>
        <w:jc w:val="left"/>
      </w:pPr>
    </w:p>
    <w:p w14:paraId="4E4A9B13">
      <w:pPr>
        <w:spacing w:before="120" w:after="120" w:line="288" w:lineRule="auto"/>
        <w:ind w:left="0"/>
        <w:jc w:val="left"/>
      </w:pPr>
      <w:r>
        <w:rPr>
          <w:rFonts w:ascii="Arial" w:hAnsi="Arial" w:eastAsia="等线" w:cs="Arial"/>
          <w:sz w:val="22"/>
        </w:rPr>
        <w:t>简单来说，就是 IRS 不允许你“既享受亏损的税收优惠，又保持原有的投资头寸”。</w:t>
      </w:r>
    </w:p>
    <w:p w14:paraId="21E4E17D">
      <w:pPr>
        <w:spacing w:before="120" w:after="120" w:line="288" w:lineRule="auto"/>
        <w:ind w:left="0"/>
        <w:jc w:val="left"/>
      </w:pPr>
    </w:p>
    <w:p w14:paraId="4BA33BD1">
      <w:pPr>
        <w:spacing w:before="120" w:after="120" w:line="288" w:lineRule="auto"/>
        <w:ind w:left="0"/>
        <w:jc w:val="left"/>
      </w:pPr>
      <w:r>
        <w:rPr>
          <w:rFonts w:ascii="Arial" w:hAnsi="Arial" w:eastAsia="等线" w:cs="Arial"/>
          <w:sz w:val="22"/>
        </w:rPr>
        <w:t>不可以买认股权证（Warrants）和看涨期权（Call Options），因为都是可以买来股票的操作。</w:t>
      </w:r>
    </w:p>
    <w:p w14:paraId="6155E519">
      <w:pPr>
        <w:spacing w:before="120" w:after="120" w:line="288" w:lineRule="auto"/>
        <w:ind w:left="0"/>
        <w:jc w:val="left"/>
      </w:pPr>
    </w:p>
    <w:p w14:paraId="3971A580">
      <w:pPr>
        <w:spacing w:before="120" w:after="120" w:line="288" w:lineRule="auto"/>
        <w:ind w:left="0"/>
        <w:jc w:val="left"/>
      </w:pPr>
      <w:r>
        <w:rPr>
          <w:rFonts w:ascii="Arial" w:hAnsi="Arial" w:eastAsia="等线" w:cs="Arial"/>
          <w:sz w:val="22"/>
        </w:rPr>
        <w:t>可以买优先股（Preferred Stock）：持有优先股的股东在公司分红、资产分配、公司破产清算等方面享有优先权。因为不可以转化为正股（Common Stock）。</w:t>
      </w:r>
    </w:p>
    <w:p w14:paraId="1FA74504">
      <w:pPr>
        <w:spacing w:before="120" w:after="120" w:line="288" w:lineRule="auto"/>
        <w:ind w:left="0"/>
        <w:jc w:val="left"/>
      </w:pPr>
    </w:p>
    <w:p w14:paraId="16D7F79E">
      <w:pPr>
        <w:spacing w:before="120" w:after="120" w:line="288" w:lineRule="auto"/>
        <w:ind w:left="0"/>
        <w:jc w:val="left"/>
      </w:pPr>
      <w:r>
        <w:rPr>
          <w:rFonts w:ascii="Arial" w:hAnsi="Arial" w:eastAsia="等线" w:cs="Arial"/>
          <w:sz w:val="22"/>
        </w:rPr>
        <w:t>然而，如果投资者在这段时间内购买证券，损失并不会消失；投资者可以调整证券的基础成本（Cost Basis）。如果投资者以每股损失2美元的价格出售100股ABC股票，并在30天内以每股50美元的价格购买100股ABC股票，那么投资者的新成本基础（不包括佣金）将为每股52美元（50美元的购买价格加上出售股票的2美元损失），从而降低了他们在新购买时面临的资本利得额。</w:t>
      </w:r>
    </w:p>
    <w:p w14:paraId="135E44D0">
      <w:pPr>
        <w:spacing w:before="120" w:after="120" w:line="288" w:lineRule="auto"/>
        <w:ind w:left="0"/>
        <w:jc w:val="left"/>
      </w:pPr>
    </w:p>
    <w:p w14:paraId="1F37AA43">
      <w:pPr>
        <w:spacing w:before="300" w:after="120" w:line="288" w:lineRule="auto"/>
        <w:ind w:left="0"/>
        <w:jc w:val="left"/>
        <w:outlineLvl w:val="2"/>
      </w:pPr>
      <w:bookmarkStart w:id="17" w:name="heading_17"/>
      <w:r>
        <w:rPr>
          <w:rFonts w:ascii="Arial" w:hAnsi="Arial" w:eastAsia="等线" w:cs="Arial"/>
          <w:color w:val="3370FF"/>
          <w:sz w:val="30"/>
        </w:rPr>
        <w:t xml:space="preserve">2.2.4 </w:t>
      </w:r>
      <w:r>
        <w:rPr>
          <w:rFonts w:ascii="Arial" w:hAnsi="Arial" w:eastAsia="等线" w:cs="Arial"/>
          <w:b/>
          <w:sz w:val="30"/>
        </w:rPr>
        <w:t>遗产税</w:t>
      </w:r>
      <w:bookmarkEnd w:id="17"/>
    </w:p>
    <w:p w14:paraId="2AB38F20">
      <w:pPr>
        <w:spacing w:before="120" w:after="120" w:line="288" w:lineRule="auto"/>
        <w:ind w:left="0"/>
        <w:jc w:val="left"/>
      </w:pPr>
      <w:r>
        <w:rPr>
          <w:rFonts w:ascii="Arial" w:hAnsi="Arial" w:eastAsia="等线" w:cs="Arial"/>
          <w:sz w:val="22"/>
        </w:rPr>
        <w:t>遗产税（Estate taxes）是对个人去世后转移到其遗产中的财产所征收的一种税。</w:t>
      </w:r>
    </w:p>
    <w:p w14:paraId="020B0639">
      <w:pPr>
        <w:spacing w:before="120" w:after="120" w:line="288" w:lineRule="auto"/>
        <w:ind w:left="0"/>
        <w:jc w:val="left"/>
      </w:pPr>
    </w:p>
    <w:p w14:paraId="352C16F1">
      <w:pPr>
        <w:spacing w:before="120" w:after="120" w:line="288" w:lineRule="auto"/>
        <w:ind w:left="0"/>
        <w:jc w:val="left"/>
      </w:pPr>
      <w:r>
        <w:rPr>
          <w:rFonts w:ascii="Arial" w:hAnsi="Arial" w:eastAsia="等线" w:cs="Arial"/>
          <w:sz w:val="22"/>
        </w:rPr>
        <w:t>继承证券比接受证券赠与要简单一些。当个人通过继承获得证券时，他们总是以证券原所有者去世当日的公平市场价值作为该继承证券的成本基础。此外，出于纳税目的，通过继承获得的证券在出售时总是被认定为长期持有。《系列7》教材中对遗产税有更深入的阐述。</w:t>
      </w:r>
    </w:p>
    <w:p w14:paraId="34378323">
      <w:pPr>
        <w:spacing w:before="120" w:after="120" w:line="288" w:lineRule="auto"/>
        <w:ind w:left="0"/>
        <w:jc w:val="left"/>
      </w:pPr>
    </w:p>
    <w:p w14:paraId="2E10FEF4">
      <w:pPr>
        <w:spacing w:before="320" w:after="120" w:line="288" w:lineRule="auto"/>
        <w:ind w:left="0"/>
        <w:jc w:val="left"/>
        <w:outlineLvl w:val="1"/>
      </w:pPr>
      <w:bookmarkStart w:id="18" w:name="heading_18"/>
      <w:r>
        <w:rPr>
          <w:rFonts w:ascii="Arial" w:hAnsi="Arial" w:eastAsia="等线" w:cs="Arial"/>
          <w:color w:val="3370FF"/>
          <w:sz w:val="32"/>
        </w:rPr>
        <w:t xml:space="preserve">2.3 </w:t>
      </w:r>
      <w:r>
        <w:rPr>
          <w:rFonts w:ascii="Arial" w:hAnsi="Arial" w:eastAsia="等线" w:cs="Arial"/>
          <w:b/>
          <w:sz w:val="32"/>
        </w:rPr>
        <w:t>探索退休计划的税收优惠（Exploring Retirement Plan Tax Advantages）</w:t>
      </w:r>
      <w:bookmarkEnd w:id="18"/>
    </w:p>
    <w:p w14:paraId="4E8A75C9">
      <w:pPr>
        <w:spacing w:before="300" w:after="120" w:line="288" w:lineRule="auto"/>
        <w:ind w:left="0"/>
        <w:jc w:val="left"/>
        <w:outlineLvl w:val="2"/>
      </w:pPr>
      <w:bookmarkStart w:id="19" w:name="heading_19"/>
      <w:r>
        <w:rPr>
          <w:rFonts w:ascii="Arial" w:hAnsi="Arial" w:eastAsia="等线" w:cs="Arial"/>
          <w:color w:val="3370FF"/>
          <w:sz w:val="30"/>
        </w:rPr>
        <w:t xml:space="preserve">2.3.1 </w:t>
      </w:r>
      <w:r>
        <w:rPr>
          <w:rFonts w:ascii="Arial" w:hAnsi="Arial" w:eastAsia="等线" w:cs="Arial"/>
          <w:b/>
          <w:sz w:val="30"/>
        </w:rPr>
        <w:t>合格与非合格计划</w:t>
      </w:r>
      <w:bookmarkEnd w:id="19"/>
    </w:p>
    <w:p w14:paraId="0691F4E4">
      <w:pPr>
        <w:spacing w:before="120" w:after="120" w:line="288" w:lineRule="auto"/>
        <w:ind w:left="0"/>
        <w:jc w:val="left"/>
      </w:pPr>
      <w:r>
        <w:rPr>
          <w:rFonts w:ascii="Arial" w:hAnsi="Arial" w:eastAsia="等线" w:cs="Arial"/>
          <w:sz w:val="22"/>
        </w:rPr>
        <w:t>美国国税局（IRS）将员工退休计划分为合格计划或非合格计划（Qualified or Nonqualified Plans）。</w:t>
      </w:r>
    </w:p>
    <w:p w14:paraId="63C7AAD4">
      <w:pPr>
        <w:spacing w:before="120" w:after="120" w:line="288" w:lineRule="auto"/>
        <w:ind w:left="0"/>
        <w:jc w:val="left"/>
      </w:pPr>
    </w:p>
    <w:p w14:paraId="1B63EC9E">
      <w:pPr>
        <w:spacing w:before="120" w:after="120" w:line="288" w:lineRule="auto"/>
        <w:ind w:left="0"/>
        <w:jc w:val="left"/>
      </w:pPr>
      <w:r>
        <w:rPr>
          <w:rFonts w:ascii="Arial" w:hAnsi="Arial" w:eastAsia="等线" w:cs="Arial"/>
          <w:sz w:val="22"/>
        </w:rPr>
        <w:t>这种区分在于它们是否符合美国国税局和《雇员退休收入保障法》（Employee Retirement Income Security Act，ERISA）关于税收优惠待遇（favorable tax treatment）的标准。</w:t>
      </w:r>
    </w:p>
    <w:p w14:paraId="05D4704E">
      <w:pPr>
        <w:spacing w:before="120" w:after="120" w:line="288" w:lineRule="auto"/>
        <w:ind w:left="0"/>
        <w:jc w:val="left"/>
      </w:pPr>
    </w:p>
    <w:p w14:paraId="6A1CC690">
      <w:pPr>
        <w:spacing w:before="260" w:after="120" w:line="288" w:lineRule="auto"/>
        <w:ind w:left="0"/>
        <w:jc w:val="left"/>
        <w:outlineLvl w:val="3"/>
      </w:pPr>
      <w:bookmarkStart w:id="20" w:name="heading_20"/>
      <w:r>
        <w:rPr>
          <w:rFonts w:ascii="Arial" w:hAnsi="Arial" w:eastAsia="等线" w:cs="Arial"/>
          <w:color w:val="3370FF"/>
          <w:sz w:val="28"/>
        </w:rPr>
        <w:t xml:space="preserve">2.3.1.1 </w:t>
      </w:r>
      <w:r>
        <w:rPr>
          <w:rFonts w:ascii="Arial" w:hAnsi="Arial" w:eastAsia="等线" w:cs="Arial"/>
          <w:b/>
          <w:sz w:val="28"/>
        </w:rPr>
        <w:t>符合税收资格的计划（Tax-qualified plans）</w:t>
      </w:r>
      <w:bookmarkEnd w:id="20"/>
    </w:p>
    <w:p w14:paraId="1EC48FFC">
      <w:pPr>
        <w:spacing w:before="120" w:after="120" w:line="288" w:lineRule="auto"/>
        <w:ind w:left="0"/>
        <w:jc w:val="left"/>
      </w:pPr>
      <w:r>
        <w:rPr>
          <w:rFonts w:ascii="Arial" w:hAnsi="Arial" w:eastAsia="等线" w:cs="Arial"/>
          <w:sz w:val="22"/>
        </w:rPr>
        <w:t>当你投资于符合税收优惠条件的计划时，注入该计划的缴款来自税前收入，且不计入你的应税收入。不仅注入该计划的缴款不计入应税收入，该账户还能延迟纳税（收益暂不缴税）增长，因此在退休时从账户中提款前，你无需缴税。</w:t>
      </w:r>
    </w:p>
    <w:p w14:paraId="522AAE03">
      <w:pPr>
        <w:spacing w:before="120" w:after="120" w:line="288" w:lineRule="auto"/>
        <w:ind w:left="0"/>
        <w:jc w:val="left"/>
      </w:pPr>
    </w:p>
    <w:p w14:paraId="1D0839C9">
      <w:pPr>
        <w:spacing w:before="120" w:after="120" w:line="288" w:lineRule="auto"/>
        <w:ind w:left="0"/>
        <w:jc w:val="left"/>
      </w:pPr>
      <w:r>
        <w:rPr>
          <w:rFonts w:ascii="Arial" w:hAnsi="Arial" w:eastAsia="等线" w:cs="Arial"/>
          <w:sz w:val="22"/>
        </w:rPr>
        <w:t>例如个人退休账户（IRAs, Individual Retirement Accounts）就是符合税收优惠条件的退休计划。</w:t>
      </w:r>
    </w:p>
    <w:p w14:paraId="6E4A9864">
      <w:pPr>
        <w:spacing w:before="120" w:after="120" w:line="288" w:lineRule="auto"/>
        <w:ind w:left="0"/>
        <w:jc w:val="left"/>
      </w:pPr>
    </w:p>
    <w:p w14:paraId="65526855">
      <w:pPr>
        <w:spacing w:before="120" w:after="120" w:line="288" w:lineRule="auto"/>
        <w:ind w:left="0"/>
        <w:jc w:val="left"/>
      </w:pPr>
      <w:r>
        <w:rPr>
          <w:rFonts w:ascii="Arial" w:hAnsi="Arial" w:eastAsia="等线" w:cs="Arial"/>
          <w:sz w:val="22"/>
        </w:rPr>
        <w:t>企业符合税收优惠条件的退休计划有两种类型：</w:t>
      </w:r>
    </w:p>
    <w:p w14:paraId="252B680D">
      <w:pPr>
        <w:spacing w:before="120" w:after="120" w:line="288" w:lineRule="auto"/>
        <w:ind w:left="0"/>
        <w:jc w:val="left"/>
      </w:pPr>
    </w:p>
    <w:p w14:paraId="33E8C9DA">
      <w:pPr>
        <w:spacing w:before="240" w:after="120" w:line="288" w:lineRule="auto"/>
        <w:ind w:left="0"/>
        <w:jc w:val="left"/>
        <w:outlineLvl w:val="4"/>
      </w:pPr>
      <w:bookmarkStart w:id="21" w:name="heading_21"/>
      <w:r>
        <w:rPr>
          <w:rFonts w:ascii="Arial" w:hAnsi="Arial" w:eastAsia="等线" w:cs="Arial"/>
          <w:color w:val="3370FF"/>
          <w:sz w:val="24"/>
        </w:rPr>
        <w:t xml:space="preserve">2.3.1.1.1 </w:t>
      </w:r>
      <w:r>
        <w:rPr>
          <w:rFonts w:ascii="Arial" w:hAnsi="Arial" w:eastAsia="等线" w:cs="Arial"/>
          <w:b/>
          <w:sz w:val="24"/>
        </w:rPr>
        <w:t>固定缴款计划（defined contribution plans）</w:t>
      </w:r>
      <w:bookmarkEnd w:id="21"/>
    </w:p>
    <w:p w14:paraId="5A5D0F50">
      <w:pPr>
        <w:spacing w:before="120" w:after="120" w:line="288" w:lineRule="auto"/>
        <w:ind w:left="0"/>
        <w:jc w:val="left"/>
      </w:pPr>
      <w:r>
        <w:rPr>
          <w:rFonts w:ascii="Arial" w:hAnsi="Arial" w:eastAsia="等线" w:cs="Arial"/>
          <w:sz w:val="22"/>
        </w:rPr>
        <w:t>在这种计划中，雇主、员工或双方共同向员工个人退休账户定期存入固定金额资金。</w:t>
      </w:r>
    </w:p>
    <w:p w14:paraId="7485B4CB">
      <w:pPr>
        <w:spacing w:before="120" w:after="120" w:line="288" w:lineRule="auto"/>
        <w:ind w:left="0"/>
        <w:jc w:val="left"/>
      </w:pPr>
    </w:p>
    <w:p w14:paraId="407ABB63">
      <w:pPr>
        <w:spacing w:before="120" w:after="120" w:line="288" w:lineRule="auto"/>
        <w:ind w:left="0"/>
        <w:jc w:val="left"/>
      </w:pPr>
      <w:r>
        <w:rPr>
          <w:rFonts w:ascii="Arial" w:hAnsi="Arial" w:eastAsia="等线" w:cs="Arial"/>
          <w:sz w:val="22"/>
        </w:rPr>
        <w:t>员工退休时能领取的金额完全取决于账户的累计总额（即缴款本金加上投资损益）。所有投资风险由员工承担。</w:t>
      </w:r>
    </w:p>
    <w:p w14:paraId="7EB86C8C">
      <w:pPr>
        <w:spacing w:before="120" w:after="120" w:line="288" w:lineRule="auto"/>
        <w:ind w:left="0"/>
        <w:jc w:val="left"/>
      </w:pPr>
    </w:p>
    <w:p w14:paraId="49430864">
      <w:pPr>
        <w:spacing w:before="120" w:after="120" w:line="288" w:lineRule="auto"/>
        <w:ind w:left="0"/>
        <w:jc w:val="left"/>
      </w:pPr>
      <w:r>
        <w:rPr>
          <w:rFonts w:ascii="Arial" w:hAnsi="Arial" w:eastAsia="等线" w:cs="Arial"/>
          <w:sz w:val="22"/>
        </w:rPr>
        <w:t>如何运作：</w:t>
      </w:r>
    </w:p>
    <w:p w14:paraId="063E0B90">
      <w:pPr>
        <w:numPr>
          <w:ilvl w:val="0"/>
          <w:numId w:val="18"/>
        </w:numPr>
        <w:spacing w:before="120" w:after="120" w:line="288" w:lineRule="auto"/>
        <w:ind w:left="453"/>
        <w:jc w:val="left"/>
      </w:pPr>
      <w:r>
        <w:rPr>
          <w:rFonts w:ascii="Arial" w:hAnsi="Arial" w:eastAsia="等线" w:cs="Arial"/>
          <w:sz w:val="22"/>
        </w:rPr>
        <w:t>员工选择将工资的一定比例（例如5%）存入计划；</w:t>
      </w:r>
    </w:p>
    <w:p w14:paraId="32DF3CF2">
      <w:pPr>
        <w:numPr>
          <w:ilvl w:val="0"/>
          <w:numId w:val="19"/>
        </w:numPr>
        <w:spacing w:before="120" w:after="120" w:line="288" w:lineRule="auto"/>
        <w:ind w:left="453"/>
        <w:jc w:val="left"/>
      </w:pPr>
      <w:r>
        <w:rPr>
          <w:rFonts w:ascii="Arial" w:hAnsi="Arial" w:eastAsia="等线" w:cs="Arial"/>
          <w:sz w:val="22"/>
        </w:rPr>
        <w:t>雇主可能按一定比例匹配缴款（例如，匹配员工缴款的50%，最高不超过其工资的6%）。</w:t>
      </w:r>
    </w:p>
    <w:p w14:paraId="62EABAB7">
      <w:pPr>
        <w:numPr>
          <w:ilvl w:val="0"/>
          <w:numId w:val="20"/>
        </w:numPr>
        <w:spacing w:before="120" w:after="120" w:line="288" w:lineRule="auto"/>
        <w:ind w:left="453"/>
        <w:jc w:val="left"/>
      </w:pPr>
      <w:r>
        <w:rPr>
          <w:rFonts w:ascii="Arial" w:hAnsi="Arial" w:eastAsia="等线" w:cs="Arial"/>
          <w:sz w:val="22"/>
        </w:rPr>
        <w:t>员工自行从一系列投资选项（如股票基金、债券基金等）中选择如何投资其账户资金。</w:t>
      </w:r>
    </w:p>
    <w:p w14:paraId="0A448A58">
      <w:pPr>
        <w:numPr>
          <w:ilvl w:val="0"/>
          <w:numId w:val="21"/>
        </w:numPr>
        <w:spacing w:before="120" w:after="120" w:line="288" w:lineRule="auto"/>
        <w:ind w:left="453"/>
        <w:jc w:val="left"/>
      </w:pPr>
      <w:r>
        <w:rPr>
          <w:rFonts w:ascii="Arial" w:hAnsi="Arial" w:eastAsia="等线" w:cs="Arial"/>
          <w:sz w:val="22"/>
        </w:rPr>
        <w:t>退休时，账户余额就是可供使用的总额。</w:t>
      </w:r>
    </w:p>
    <w:p w14:paraId="5BBE1C58">
      <w:pPr>
        <w:spacing w:before="120" w:after="120" w:line="288" w:lineRule="auto"/>
        <w:ind w:left="0"/>
        <w:jc w:val="left"/>
      </w:pPr>
    </w:p>
    <w:p w14:paraId="07007629">
      <w:pPr>
        <w:spacing w:before="120" w:after="120" w:line="288" w:lineRule="auto"/>
        <w:ind w:left="0"/>
        <w:jc w:val="left"/>
      </w:pPr>
      <w:r>
        <w:rPr>
          <w:rFonts w:ascii="Arial" w:hAnsi="Arial" w:eastAsia="等线" w:cs="Arial"/>
          <w:sz w:val="22"/>
        </w:rPr>
        <w:t>例如：</w:t>
      </w:r>
    </w:p>
    <w:p w14:paraId="08358043">
      <w:pPr>
        <w:numPr>
          <w:ilvl w:val="0"/>
          <w:numId w:val="22"/>
        </w:numPr>
        <w:spacing w:before="120" w:after="120" w:line="288" w:lineRule="auto"/>
        <w:ind w:left="453"/>
        <w:jc w:val="left"/>
      </w:pPr>
      <w:r>
        <w:rPr>
          <w:rFonts w:ascii="Arial" w:hAnsi="Arial" w:eastAsia="等线" w:cs="Arial"/>
          <w:sz w:val="22"/>
        </w:rPr>
        <w:t>401(k) 计划：这是最常见的固定缴款计划。</w:t>
      </w:r>
    </w:p>
    <w:p w14:paraId="6801DD3C">
      <w:pPr>
        <w:numPr>
          <w:ilvl w:val="0"/>
          <w:numId w:val="23"/>
        </w:numPr>
        <w:spacing w:before="120" w:after="120" w:line="288" w:lineRule="auto"/>
        <w:ind w:left="453"/>
        <w:jc w:val="left"/>
      </w:pPr>
      <w:r>
        <w:rPr>
          <w:rFonts w:ascii="Arial" w:hAnsi="Arial" w:eastAsia="等线" w:cs="Arial"/>
          <w:sz w:val="22"/>
        </w:rPr>
        <w:t>403(b) 计划：适用于公立学校和某些非营利组织的员工。</w:t>
      </w:r>
    </w:p>
    <w:p w14:paraId="0CC6E7F9">
      <w:pPr>
        <w:numPr>
          <w:ilvl w:val="0"/>
          <w:numId w:val="24"/>
        </w:numPr>
        <w:spacing w:before="120" w:after="120" w:line="288" w:lineRule="auto"/>
        <w:ind w:left="453"/>
        <w:jc w:val="left"/>
      </w:pPr>
      <w:r>
        <w:rPr>
          <w:rFonts w:ascii="Arial" w:hAnsi="Arial" w:eastAsia="等线" w:cs="Arial"/>
          <w:sz w:val="22"/>
        </w:rPr>
        <w:t>利润分享计划（profit-sharing plans）：雇主根据公司利润向员工的账户缴款，金额每年可能变化。</w:t>
      </w:r>
    </w:p>
    <w:p w14:paraId="058E4BAB">
      <w:pPr>
        <w:numPr>
          <w:ilvl w:val="0"/>
          <w:numId w:val="25"/>
        </w:numPr>
        <w:spacing w:before="120" w:after="120" w:line="288" w:lineRule="auto"/>
        <w:ind w:left="453"/>
        <w:jc w:val="left"/>
      </w:pPr>
      <w:r>
        <w:rPr>
          <w:rFonts w:ascii="Arial" w:hAnsi="Arial" w:eastAsia="等线" w:cs="Arial"/>
          <w:sz w:val="22"/>
        </w:rPr>
        <w:t>现金购买计划（money-purchase plans）：强制性的、由雇主单方面供款，雇主必须按固定比例缴款，受年度缴款上限限制。</w:t>
      </w:r>
    </w:p>
    <w:p w14:paraId="7E11D746">
      <w:pPr>
        <w:spacing w:before="120" w:after="120" w:line="288" w:lineRule="auto"/>
        <w:ind w:left="0"/>
        <w:jc w:val="left"/>
      </w:pPr>
    </w:p>
    <w:p w14:paraId="67A4975A">
      <w:pPr>
        <w:spacing w:before="240" w:after="120" w:line="288" w:lineRule="auto"/>
        <w:ind w:left="0"/>
        <w:jc w:val="left"/>
        <w:outlineLvl w:val="4"/>
      </w:pPr>
      <w:bookmarkStart w:id="22" w:name="heading_22"/>
      <w:r>
        <w:rPr>
          <w:rFonts w:ascii="Arial" w:hAnsi="Arial" w:eastAsia="等线" w:cs="Arial"/>
          <w:color w:val="3370FF"/>
          <w:sz w:val="24"/>
        </w:rPr>
        <w:t xml:space="preserve">2.3.1.1.2 </w:t>
      </w:r>
      <w:r>
        <w:rPr>
          <w:rFonts w:ascii="Arial" w:hAnsi="Arial" w:eastAsia="等线" w:cs="Arial"/>
          <w:b/>
          <w:sz w:val="24"/>
        </w:rPr>
        <w:t>固定收益计划（defined benefit plans）</w:t>
      </w:r>
      <w:bookmarkEnd w:id="22"/>
    </w:p>
    <w:p w14:paraId="108D15CA">
      <w:pPr>
        <w:spacing w:before="120" w:after="120" w:line="288" w:lineRule="auto"/>
        <w:ind w:left="0"/>
        <w:jc w:val="left"/>
      </w:pPr>
      <w:r>
        <w:rPr>
          <w:rFonts w:ascii="Arial" w:hAnsi="Arial" w:eastAsia="等线" w:cs="Arial"/>
          <w:sz w:val="22"/>
        </w:rPr>
        <w:t>这种计划就是我们常说的 “传统养老金” 。它承诺员工退休后，按照一个预先设定的公式支付终身养老金。雇主负责确保有足够的资金来支付这些未来收益，并承担所有的投资风险和长寿风险（即员工寿命超过预期的风险）。</w:t>
      </w:r>
    </w:p>
    <w:p w14:paraId="06993ECD">
      <w:pPr>
        <w:spacing w:before="120" w:after="120" w:line="288" w:lineRule="auto"/>
        <w:ind w:left="0"/>
        <w:jc w:val="left"/>
      </w:pPr>
    </w:p>
    <w:p w14:paraId="35763689">
      <w:pPr>
        <w:spacing w:before="120" w:after="120" w:line="288" w:lineRule="auto"/>
        <w:ind w:left="0"/>
        <w:jc w:val="left"/>
      </w:pPr>
      <w:r>
        <w:rPr>
          <w:rFonts w:ascii="Arial" w:hAnsi="Arial" w:eastAsia="等线" w:cs="Arial"/>
          <w:sz w:val="22"/>
        </w:rPr>
        <w:t>如何运作：</w:t>
      </w:r>
    </w:p>
    <w:p w14:paraId="4BC8DCF9">
      <w:pPr>
        <w:numPr>
          <w:ilvl w:val="0"/>
          <w:numId w:val="26"/>
        </w:numPr>
        <w:spacing w:before="120" w:after="120" w:line="288" w:lineRule="auto"/>
        <w:ind w:left="0"/>
        <w:jc w:val="left"/>
      </w:pPr>
      <w:r>
        <w:rPr>
          <w:rFonts w:ascii="Arial" w:hAnsi="Arial" w:eastAsia="等线" w:cs="Arial"/>
          <w:sz w:val="22"/>
        </w:rPr>
        <w:t>一个精算公式决定了员工退休后每年能拿到的收益。</w:t>
      </w:r>
    </w:p>
    <w:p w14:paraId="16117289">
      <w:pPr>
        <w:numPr>
          <w:ilvl w:val="0"/>
          <w:numId w:val="27"/>
        </w:numPr>
        <w:spacing w:before="120" w:after="120" w:line="288" w:lineRule="auto"/>
        <w:ind w:left="0"/>
        <w:jc w:val="left"/>
      </w:pPr>
      <w:r>
        <w:rPr>
          <w:rFonts w:ascii="Arial" w:hAnsi="Arial" w:eastAsia="等线" w:cs="Arial"/>
          <w:sz w:val="22"/>
        </w:rPr>
        <w:t>雇主根据该公式的预测，定期向一个大型资金池缴款，以确保未来有足够资金支付给所有符合条件的退休员工。</w:t>
      </w:r>
    </w:p>
    <w:p w14:paraId="2E541B88">
      <w:pPr>
        <w:numPr>
          <w:ilvl w:val="0"/>
          <w:numId w:val="28"/>
        </w:numPr>
        <w:spacing w:before="120" w:after="120" w:line="288" w:lineRule="auto"/>
        <w:ind w:left="0"/>
        <w:jc w:val="left"/>
      </w:pPr>
      <w:r>
        <w:rPr>
          <w:rFonts w:ascii="Arial" w:hAnsi="Arial" w:eastAsia="等线" w:cs="Arial"/>
          <w:sz w:val="22"/>
        </w:rPr>
        <w:t>员工个人没有独立的账户，而是拥有在未来按约定领取养老金的权利。</w:t>
      </w:r>
    </w:p>
    <w:p w14:paraId="2A3EB134">
      <w:pPr>
        <w:numPr>
          <w:ilvl w:val="0"/>
          <w:numId w:val="29"/>
        </w:numPr>
        <w:spacing w:before="120" w:after="120" w:line="288" w:lineRule="auto"/>
        <w:ind w:left="0"/>
        <w:jc w:val="left"/>
      </w:pPr>
      <w:r>
        <w:rPr>
          <w:rFonts w:ascii="Arial" w:hAnsi="Arial" w:eastAsia="等线" w:cs="Arial"/>
          <w:sz w:val="22"/>
        </w:rPr>
        <w:t>退休后，员工通常每月领取固定金额的养老金，直至身故。</w:t>
      </w:r>
    </w:p>
    <w:p w14:paraId="6917568E">
      <w:pPr>
        <w:spacing w:before="120" w:after="120" w:line="288" w:lineRule="auto"/>
        <w:ind w:left="0"/>
        <w:jc w:val="left"/>
      </w:pPr>
    </w:p>
    <w:p w14:paraId="252B5A6B">
      <w:pPr>
        <w:spacing w:before="120" w:after="120" w:line="288" w:lineRule="auto"/>
        <w:ind w:left="0"/>
        <w:jc w:val="left"/>
      </w:pPr>
      <w:r>
        <w:rPr>
          <w:rFonts w:ascii="Arial" w:hAnsi="Arial" w:eastAsia="等线" w:cs="Arial"/>
          <w:sz w:val="22"/>
        </w:rPr>
        <w:t>收益计算公式举例：</w:t>
      </w:r>
      <w:r>
        <w:rPr>
          <w:rFonts w:ascii="Arial" w:hAnsi="Arial" w:eastAsia="等线" w:cs="Arial"/>
          <w:sz w:val="22"/>
        </w:rPr>
        <w:br w:type="textWrapping"/>
      </w:r>
      <w:r>
        <w:rPr>
          <w:rFonts w:ascii="Arial" w:hAnsi="Arial" w:eastAsia="等线" w:cs="Arial"/>
          <w:sz w:val="22"/>
        </w:rPr>
        <w:t>一个常见的公式是：退休年度收益 = 工作年限 × 最终平均工资 × 乘数</w:t>
      </w:r>
    </w:p>
    <w:p w14:paraId="665B8722">
      <w:pPr>
        <w:numPr>
          <w:ilvl w:val="0"/>
          <w:numId w:val="30"/>
        </w:numPr>
        <w:spacing w:before="120" w:after="120" w:line="288" w:lineRule="auto"/>
        <w:ind w:left="453"/>
        <w:jc w:val="left"/>
      </w:pPr>
      <w:r>
        <w:rPr>
          <w:rFonts w:ascii="Arial" w:hAnsi="Arial" w:eastAsia="等线" w:cs="Arial"/>
          <w:sz w:val="22"/>
        </w:rPr>
        <w:t>工作年限：员工为公司服务的总年数。</w:t>
      </w:r>
    </w:p>
    <w:p w14:paraId="5C0E8D39">
      <w:pPr>
        <w:numPr>
          <w:ilvl w:val="0"/>
          <w:numId w:val="31"/>
        </w:numPr>
        <w:spacing w:before="120" w:after="120" w:line="288" w:lineRule="auto"/>
        <w:ind w:left="453"/>
        <w:jc w:val="left"/>
      </w:pPr>
      <w:r>
        <w:rPr>
          <w:rFonts w:ascii="Arial" w:hAnsi="Arial" w:eastAsia="等线" w:cs="Arial"/>
          <w:sz w:val="22"/>
        </w:rPr>
        <w:t>最终平均工资：通常是退休前最后3年或5年的平均工资。</w:t>
      </w:r>
    </w:p>
    <w:p w14:paraId="38CA551E">
      <w:pPr>
        <w:numPr>
          <w:ilvl w:val="0"/>
          <w:numId w:val="32"/>
        </w:numPr>
        <w:spacing w:before="120" w:after="120" w:line="288" w:lineRule="auto"/>
        <w:ind w:left="453"/>
        <w:jc w:val="left"/>
      </w:pPr>
      <w:r>
        <w:rPr>
          <w:rFonts w:ascii="Arial" w:hAnsi="Arial" w:eastAsia="等线" w:cs="Arial"/>
          <w:sz w:val="22"/>
        </w:rPr>
        <w:t>乘数：一个固定的百分比，例如1.5%或2%。</w:t>
      </w:r>
    </w:p>
    <w:p w14:paraId="5BFD54B5">
      <w:pPr>
        <w:spacing w:before="120" w:after="120" w:line="288" w:lineRule="auto"/>
        <w:ind w:left="0"/>
        <w:jc w:val="left"/>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B130F3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9F4007C">
            <w:pPr>
              <w:spacing w:before="120" w:after="120" w:line="288" w:lineRule="auto"/>
              <w:ind w:left="0"/>
              <w:jc w:val="left"/>
            </w:pPr>
            <w:r>
              <w:rPr>
                <w:rFonts w:ascii="Arial" w:hAnsi="Arial" w:eastAsia="等线" w:cs="Arial"/>
                <w:sz w:val="22"/>
              </w:rPr>
              <w:t>由于投资者无需为初始存入的资金或收益缴税，因此从符合税收优惠条件的计划中提取的全部金额，将按照投资者的税率等级计税，而该税率在退休期间通常较低。此外，在59岁半之前提取的款项，除因死亡、残疾、首次购房、特定家庭成员的教育支出、失业人员的医疗保险费等情况外，需缴纳10%的税收罚款（即对提前提取的金额额外征收10%的税款）。</w:t>
            </w:r>
          </w:p>
        </w:tc>
      </w:tr>
    </w:tbl>
    <w:p w14:paraId="6B3DC3A6">
      <w:pPr>
        <w:spacing w:before="120" w:after="120" w:line="288" w:lineRule="auto"/>
        <w:ind w:left="0"/>
        <w:jc w:val="left"/>
      </w:pPr>
    </w:p>
    <w:p w14:paraId="7CE7F6C0">
      <w:pPr>
        <w:spacing w:before="260" w:after="120" w:line="288" w:lineRule="auto"/>
        <w:ind w:left="0"/>
        <w:jc w:val="left"/>
        <w:outlineLvl w:val="3"/>
      </w:pPr>
      <w:bookmarkStart w:id="23" w:name="heading_23"/>
      <w:r>
        <w:rPr>
          <w:rFonts w:ascii="Arial" w:hAnsi="Arial" w:eastAsia="等线" w:cs="Arial"/>
          <w:color w:val="3370FF"/>
          <w:sz w:val="28"/>
        </w:rPr>
        <w:t xml:space="preserve">2.3.1.2 </w:t>
      </w:r>
      <w:r>
        <w:rPr>
          <w:rFonts w:ascii="Arial" w:hAnsi="Arial" w:eastAsia="等线" w:cs="Arial"/>
          <w:b/>
          <w:sz w:val="28"/>
        </w:rPr>
        <w:t>非合格计划 (Nonqualified plans)</w:t>
      </w:r>
      <w:bookmarkEnd w:id="23"/>
    </w:p>
    <w:p w14:paraId="4F6C68DD">
      <w:pPr>
        <w:spacing w:before="120" w:after="120" w:line="288" w:lineRule="auto"/>
        <w:ind w:left="0"/>
        <w:jc w:val="left"/>
      </w:pPr>
      <w:r>
        <w:rPr>
          <w:rFonts w:ascii="Arial" w:hAnsi="Arial" w:eastAsia="等线" w:cs="Arial"/>
          <w:sz w:val="22"/>
        </w:rPr>
        <w:t>不符合 IRS 和《雇员退休收入保障法》（ERISA）关于优惠税收待遇的标准。</w:t>
      </w:r>
    </w:p>
    <w:p w14:paraId="6718EC49">
      <w:pPr>
        <w:numPr>
          <w:ilvl w:val="0"/>
          <w:numId w:val="33"/>
        </w:numPr>
        <w:spacing w:before="120" w:after="120" w:line="288" w:lineRule="auto"/>
        <w:ind w:left="0"/>
        <w:jc w:val="left"/>
      </w:pPr>
      <w:r>
        <w:rPr>
          <w:rFonts w:ascii="Arial" w:hAnsi="Arial" w:eastAsia="等线" w:cs="Arial"/>
          <w:sz w:val="22"/>
        </w:rPr>
        <w:t>递延薪酬计划</w:t>
      </w:r>
    </w:p>
    <w:p w14:paraId="448547AB">
      <w:pPr>
        <w:numPr>
          <w:ilvl w:val="0"/>
          <w:numId w:val="34"/>
        </w:numPr>
        <w:spacing w:before="120" w:after="120" w:line="288" w:lineRule="auto"/>
        <w:ind w:left="0"/>
        <w:jc w:val="left"/>
      </w:pPr>
      <w:r>
        <w:rPr>
          <w:rFonts w:ascii="Arial" w:hAnsi="Arial" w:eastAsia="等线" w:cs="Arial"/>
          <w:sz w:val="22"/>
        </w:rPr>
        <w:t>工资扣除计划</w:t>
      </w:r>
    </w:p>
    <w:p w14:paraId="42893D91">
      <w:pPr>
        <w:numPr>
          <w:ilvl w:val="0"/>
          <w:numId w:val="35"/>
        </w:numPr>
        <w:spacing w:before="120" w:after="120" w:line="288" w:lineRule="auto"/>
        <w:ind w:left="0"/>
        <w:jc w:val="left"/>
      </w:pPr>
      <w:r>
        <w:rPr>
          <w:rFonts w:ascii="Arial" w:hAnsi="Arial" w:eastAsia="等线" w:cs="Arial"/>
          <w:sz w:val="22"/>
        </w:rPr>
        <w:t>457计划</w:t>
      </w:r>
    </w:p>
    <w:p w14:paraId="1D002CBA">
      <w:pPr>
        <w:spacing w:before="120" w:after="120" w:line="288" w:lineRule="auto"/>
        <w:ind w:left="0"/>
        <w:jc w:val="left"/>
      </w:pPr>
    </w:p>
    <w:p w14:paraId="14692BA9">
      <w:pPr>
        <w:spacing w:before="120" w:after="120" w:line="288" w:lineRule="auto"/>
        <w:ind w:left="0"/>
        <w:jc w:val="left"/>
      </w:pPr>
      <w:r>
        <w:rPr>
          <w:rFonts w:ascii="Arial" w:hAnsi="Arial" w:eastAsia="等线" w:cs="Arial"/>
          <w:sz w:val="22"/>
        </w:rPr>
        <w:t>这类计划之所以属于非合格退休计划，存款不可抵税（not tax deductible）（它们来自税后收入 after-tax dollars），原因是未达到监管机构对 “税收优惠退休计划” 的严格要求，主要体现在两点：</w:t>
      </w:r>
    </w:p>
    <w:p w14:paraId="22C556CE">
      <w:pPr>
        <w:numPr>
          <w:ilvl w:val="0"/>
          <w:numId w:val="36"/>
        </w:numPr>
        <w:spacing w:before="120" w:after="120" w:line="288" w:lineRule="auto"/>
        <w:ind w:left="0"/>
        <w:jc w:val="left"/>
      </w:pPr>
      <w:r>
        <w:rPr>
          <w:rFonts w:ascii="Arial" w:hAnsi="Arial" w:eastAsia="等线" w:cs="Arial"/>
          <w:b/>
          <w:sz w:val="22"/>
        </w:rPr>
        <w:t>无税收递延优惠</w:t>
      </w:r>
      <w:r>
        <w:rPr>
          <w:rFonts w:ascii="Arial" w:hAnsi="Arial" w:eastAsia="等线" w:cs="Arial"/>
          <w:sz w:val="22"/>
        </w:rPr>
        <w:t>：员工每月从工资中扣除的资金，需先缴纳个人所得税（属于 “税后扣除”），不像 401 (k) 等合格计划那样可 “税前扣除、退休后缴税”，无法通过税收递延实现资金复利增值。</w:t>
      </w:r>
    </w:p>
    <w:p w14:paraId="37203359">
      <w:pPr>
        <w:numPr>
          <w:ilvl w:val="0"/>
          <w:numId w:val="37"/>
        </w:numPr>
        <w:spacing w:before="120" w:after="120" w:line="288" w:lineRule="auto"/>
        <w:ind w:left="0"/>
        <w:jc w:val="left"/>
      </w:pPr>
      <w:r>
        <w:rPr>
          <w:rFonts w:ascii="Arial" w:hAnsi="Arial" w:eastAsia="等线" w:cs="Arial"/>
          <w:b/>
          <w:sz w:val="22"/>
        </w:rPr>
        <w:t>无严格监管合规要求</w:t>
      </w:r>
      <w:r>
        <w:rPr>
          <w:rFonts w:ascii="Arial" w:hAnsi="Arial" w:eastAsia="等线" w:cs="Arial"/>
          <w:sz w:val="22"/>
        </w:rPr>
        <w:t>：无需遵守合格计划对 “参与资格（如工作年限）、缴费限额（如每年最高缴费额）、非歧视原则（不得仅向高收入员工倾斜）” 的强制规定，企业可自主设定计划规则。</w:t>
      </w:r>
    </w:p>
    <w:p w14:paraId="5F008172">
      <w:pPr>
        <w:spacing w:before="120" w:after="120" w:line="288" w:lineRule="auto"/>
        <w:ind w:left="0"/>
        <w:jc w:val="left"/>
      </w:pPr>
    </w:p>
    <w:p w14:paraId="3CC4783E">
      <w:pPr>
        <w:numPr>
          <w:ilvl w:val="0"/>
          <w:numId w:val="38"/>
        </w:numPr>
        <w:spacing w:before="120" w:after="120" w:line="288" w:lineRule="auto"/>
        <w:ind w:left="0"/>
        <w:jc w:val="left"/>
      </w:pPr>
      <w:r>
        <w:rPr>
          <w:rFonts w:ascii="Arial" w:hAnsi="Arial" w:eastAsia="等线" w:cs="Arial"/>
          <w:b/>
          <w:sz w:val="22"/>
        </w:rPr>
        <w:t>递延薪酬计划（deferred compensation plans）</w:t>
      </w:r>
    </w:p>
    <w:p w14:paraId="21D342A6">
      <w:pPr>
        <w:spacing w:before="120" w:after="120" w:line="288" w:lineRule="auto"/>
        <w:ind w:left="0"/>
        <w:jc w:val="left"/>
      </w:pPr>
      <w:r>
        <w:rPr>
          <w:rFonts w:ascii="Arial" w:hAnsi="Arial" w:eastAsia="等线" w:cs="Arial"/>
          <w:sz w:val="22"/>
        </w:rPr>
        <w:t>主要面向高管和高收入员工。参与者（员工）可以与雇主协议，自愿将一部分当前收入（如工资或奖金）推迟到未来指定日期（通常是退休后）再领取。</w:t>
      </w:r>
    </w:p>
    <w:p w14:paraId="01AE5611">
      <w:pPr>
        <w:spacing w:before="120" w:after="120" w:line="288" w:lineRule="auto"/>
        <w:ind w:left="0"/>
        <w:jc w:val="left"/>
      </w:pPr>
    </w:p>
    <w:p w14:paraId="6C063295">
      <w:pPr>
        <w:spacing w:before="120" w:after="120" w:line="288" w:lineRule="auto"/>
        <w:ind w:left="0"/>
        <w:jc w:val="left"/>
      </w:pPr>
      <w:r>
        <w:rPr>
          <w:rFonts w:ascii="Arial" w:hAnsi="Arial" w:eastAsia="等线" w:cs="Arial"/>
          <w:sz w:val="22"/>
        </w:rPr>
        <w:t>关键特点：</w:t>
      </w:r>
    </w:p>
    <w:p w14:paraId="346BF78B">
      <w:pPr>
        <w:numPr>
          <w:ilvl w:val="0"/>
          <w:numId w:val="39"/>
        </w:numPr>
        <w:spacing w:before="120" w:after="120" w:line="288" w:lineRule="auto"/>
        <w:ind w:left="453"/>
        <w:jc w:val="left"/>
      </w:pPr>
      <w:r>
        <w:rPr>
          <w:rFonts w:ascii="Arial" w:hAnsi="Arial" w:eastAsia="等线" w:cs="Arial"/>
          <w:sz w:val="22"/>
        </w:rPr>
        <w:t>税收递延： 被推迟的金额及其投资收益在实际支付给员工之前，无需缴纳所得税。</w:t>
      </w:r>
    </w:p>
    <w:p w14:paraId="7653A1BC">
      <w:pPr>
        <w:numPr>
          <w:ilvl w:val="0"/>
          <w:numId w:val="40"/>
        </w:numPr>
        <w:spacing w:before="120" w:after="120" w:line="288" w:lineRule="auto"/>
        <w:ind w:left="453"/>
        <w:jc w:val="left"/>
      </w:pPr>
      <w:r>
        <w:rPr>
          <w:rFonts w:ascii="Arial" w:hAnsi="Arial" w:eastAsia="等线" w:cs="Arial"/>
          <w:sz w:val="22"/>
        </w:rPr>
        <w:t>无缴款上限： 不同于401(k)等合格计划有严格的年度限额，此计划的递延金额可以很高。</w:t>
      </w:r>
    </w:p>
    <w:p w14:paraId="61CADC95">
      <w:pPr>
        <w:numPr>
          <w:ilvl w:val="0"/>
          <w:numId w:val="41"/>
        </w:numPr>
        <w:spacing w:before="120" w:after="120" w:line="288" w:lineRule="auto"/>
        <w:ind w:left="453"/>
        <w:jc w:val="left"/>
      </w:pPr>
      <w:r>
        <w:rPr>
          <w:rFonts w:ascii="Arial" w:hAnsi="Arial" w:eastAsia="等线" w:cs="Arial"/>
          <w:sz w:val="22"/>
        </w:rPr>
        <w:t>存在风险： 这笔钱仍然是公司的一般资产，不受 ERISA 的破产保护。如果公司破产，员工将作为普通无担保债权人，有可能无法收回全部递延款项。</w:t>
      </w:r>
    </w:p>
    <w:p w14:paraId="5C0D0934">
      <w:pPr>
        <w:spacing w:before="120" w:after="120" w:line="288" w:lineRule="auto"/>
        <w:ind w:left="0"/>
        <w:jc w:val="left"/>
      </w:pPr>
    </w:p>
    <w:p w14:paraId="5C76A165">
      <w:pPr>
        <w:numPr>
          <w:ilvl w:val="0"/>
          <w:numId w:val="42"/>
        </w:numPr>
        <w:spacing w:before="120" w:after="120" w:line="288" w:lineRule="auto"/>
        <w:ind w:left="0"/>
        <w:jc w:val="left"/>
      </w:pPr>
      <w:r>
        <w:rPr>
          <w:rFonts w:ascii="Arial" w:hAnsi="Arial" w:eastAsia="等线" w:cs="Arial"/>
          <w:b/>
          <w:sz w:val="22"/>
        </w:rPr>
        <w:t>工资扣除计划</w:t>
      </w:r>
    </w:p>
    <w:p w14:paraId="6ADC28E6">
      <w:pPr>
        <w:spacing w:before="120" w:after="120" w:line="288" w:lineRule="auto"/>
        <w:ind w:left="0"/>
        <w:jc w:val="left"/>
      </w:pPr>
      <w:r>
        <w:rPr>
          <w:rFonts w:ascii="Arial" w:hAnsi="Arial" w:eastAsia="等线" w:cs="Arial"/>
          <w:sz w:val="22"/>
        </w:rPr>
        <w:t>工资扣除计划（payroll deduction plans）是企业为员工提供的、不满足税收优惠退休计划要求，仅通过工资自动扣除机制助力员工积累退休资金的补充性安排。</w:t>
      </w:r>
    </w:p>
    <w:p w14:paraId="32DAA2D8">
      <w:pPr>
        <w:spacing w:before="120" w:after="120" w:line="288" w:lineRule="auto"/>
        <w:ind w:left="0"/>
        <w:jc w:val="left"/>
      </w:pPr>
    </w:p>
    <w:p w14:paraId="3BE58FC6">
      <w:pPr>
        <w:spacing w:before="120" w:after="120" w:line="288" w:lineRule="auto"/>
        <w:ind w:left="0"/>
        <w:jc w:val="left"/>
      </w:pPr>
      <w:r>
        <w:rPr>
          <w:rFonts w:ascii="Arial" w:hAnsi="Arial" w:eastAsia="等线" w:cs="Arial"/>
          <w:sz w:val="22"/>
        </w:rPr>
        <w:t>核心特点是 “灵活性高但无专项税收优惠”。</w:t>
      </w:r>
    </w:p>
    <w:p w14:paraId="24C5CB9B">
      <w:pPr>
        <w:spacing w:before="120" w:after="120" w:line="288" w:lineRule="auto"/>
        <w:ind w:left="0"/>
        <w:jc w:val="left"/>
      </w:pPr>
    </w:p>
    <w:p w14:paraId="0640ED88">
      <w:pPr>
        <w:numPr>
          <w:ilvl w:val="0"/>
          <w:numId w:val="43"/>
        </w:numPr>
        <w:spacing w:before="120" w:after="120" w:line="288" w:lineRule="auto"/>
        <w:ind w:left="0"/>
        <w:jc w:val="left"/>
      </w:pPr>
      <w:r>
        <w:rPr>
          <w:rFonts w:ascii="Arial" w:hAnsi="Arial" w:eastAsia="等线" w:cs="Arial"/>
          <w:b/>
          <w:sz w:val="22"/>
        </w:rPr>
        <w:t>457计划</w:t>
      </w:r>
    </w:p>
    <w:p w14:paraId="3AC7430F">
      <w:pPr>
        <w:spacing w:before="120" w:after="120" w:line="288" w:lineRule="auto"/>
        <w:ind w:left="0"/>
        <w:jc w:val="left"/>
      </w:pPr>
      <w:r>
        <w:rPr>
          <w:rFonts w:ascii="Arial" w:hAnsi="Arial" w:eastAsia="等线" w:cs="Arial"/>
          <w:sz w:val="22"/>
        </w:rPr>
        <w:t>457 计划是专门为州和地方政府雇员以及某些免税组织雇员设立的递延补偿计划。它分为两种主要类型：</w:t>
      </w:r>
    </w:p>
    <w:p w14:paraId="36D408B5">
      <w:pPr>
        <w:spacing w:before="120" w:after="120" w:line="288" w:lineRule="auto"/>
        <w:ind w:left="0"/>
        <w:jc w:val="left"/>
      </w:pPr>
    </w:p>
    <w:p w14:paraId="2DDF6296">
      <w:pPr>
        <w:numPr>
          <w:ilvl w:val="0"/>
          <w:numId w:val="44"/>
        </w:numPr>
        <w:spacing w:before="120" w:after="120" w:line="288" w:lineRule="auto"/>
        <w:ind w:left="0"/>
        <w:jc w:val="left"/>
      </w:pPr>
      <w:r>
        <w:rPr>
          <w:rFonts w:ascii="Arial" w:hAnsi="Arial" w:eastAsia="等线" w:cs="Arial"/>
          <w:sz w:val="22"/>
        </w:rPr>
        <w:t>457(b) - 合格计划：</w:t>
      </w:r>
    </w:p>
    <w:p w14:paraId="102C8809">
      <w:pPr>
        <w:numPr>
          <w:ilvl w:val="0"/>
          <w:numId w:val="45"/>
        </w:numPr>
        <w:spacing w:before="120" w:after="120" w:line="288" w:lineRule="auto"/>
        <w:ind w:left="453"/>
        <w:jc w:val="left"/>
      </w:pPr>
      <w:r>
        <w:rPr>
          <w:rFonts w:ascii="Arial" w:hAnsi="Arial" w:eastAsia="等线" w:cs="Arial"/>
          <w:sz w:val="22"/>
        </w:rPr>
        <w:t>这是为大多数政府雇员和部分免税组织雇员设立的。</w:t>
      </w:r>
    </w:p>
    <w:p w14:paraId="04FAC222">
      <w:pPr>
        <w:numPr>
          <w:ilvl w:val="0"/>
          <w:numId w:val="46"/>
        </w:numPr>
        <w:spacing w:before="120" w:after="120" w:line="288" w:lineRule="auto"/>
        <w:ind w:left="453"/>
        <w:jc w:val="left"/>
      </w:pPr>
      <w:r>
        <w:rPr>
          <w:rFonts w:ascii="Arial" w:hAnsi="Arial" w:eastAsia="等线" w:cs="Arial"/>
          <w:sz w:val="22"/>
        </w:rPr>
        <w:t>它虽然名称不同，但功能和待遇上与401(k)/403(b)非常相似（有年度缴款限额、享受税收递延），并且同样被视为合格计划。</w:t>
      </w:r>
    </w:p>
    <w:p w14:paraId="392ABB22">
      <w:pPr>
        <w:numPr>
          <w:ilvl w:val="0"/>
          <w:numId w:val="47"/>
        </w:numPr>
        <w:spacing w:before="120" w:after="120" w:line="288" w:lineRule="auto"/>
        <w:ind w:left="453"/>
        <w:jc w:val="left"/>
      </w:pPr>
      <w:r>
        <w:rPr>
          <w:rFonts w:ascii="Arial" w:hAnsi="Arial" w:eastAsia="等线" w:cs="Arial"/>
          <w:sz w:val="22"/>
        </w:rPr>
        <w:t>一个显著优点是：在年满59.5岁之前离职时，提取罚则通常比401(k)更宽松。</w:t>
      </w:r>
    </w:p>
    <w:p w14:paraId="6942E077">
      <w:pPr>
        <w:numPr>
          <w:ilvl w:val="0"/>
          <w:numId w:val="48"/>
        </w:numPr>
        <w:spacing w:before="120" w:after="120" w:line="288" w:lineRule="auto"/>
        <w:ind w:left="0"/>
        <w:jc w:val="left"/>
      </w:pPr>
      <w:r>
        <w:rPr>
          <w:rFonts w:ascii="Arial" w:hAnsi="Arial" w:eastAsia="等线" w:cs="Arial"/>
          <w:sz w:val="22"/>
        </w:rPr>
        <w:t>457(f) - 非合格计划：</w:t>
      </w:r>
    </w:p>
    <w:p w14:paraId="71B0F413">
      <w:pPr>
        <w:numPr>
          <w:ilvl w:val="0"/>
          <w:numId w:val="49"/>
        </w:numPr>
        <w:spacing w:before="120" w:after="120" w:line="288" w:lineRule="auto"/>
        <w:ind w:left="453"/>
        <w:jc w:val="left"/>
      </w:pPr>
      <w:r>
        <w:rPr>
          <w:rFonts w:ascii="Arial" w:hAnsi="Arial" w:eastAsia="等线" w:cs="Arial"/>
          <w:sz w:val="22"/>
        </w:rPr>
        <w:t>主要面向州和地方政府的高管或关键雇员。</w:t>
      </w:r>
    </w:p>
    <w:p w14:paraId="75E5BA7F">
      <w:pPr>
        <w:numPr>
          <w:ilvl w:val="0"/>
          <w:numId w:val="50"/>
        </w:numPr>
        <w:spacing w:before="120" w:after="120" w:line="288" w:lineRule="auto"/>
        <w:ind w:left="453"/>
        <w:jc w:val="left"/>
      </w:pPr>
      <w:r>
        <w:rPr>
          <w:rFonts w:ascii="Arial" w:hAnsi="Arial" w:eastAsia="等线" w:cs="Arial"/>
          <w:sz w:val="22"/>
        </w:rPr>
        <w:t>它没有缴款上限，但福利必须面临“实质性的没收风险”（即需要满足特定服务年限才能归属）。</w:t>
      </w:r>
    </w:p>
    <w:p w14:paraId="481D0CFF">
      <w:pPr>
        <w:numPr>
          <w:ilvl w:val="0"/>
          <w:numId w:val="51"/>
        </w:numPr>
        <w:spacing w:before="120" w:after="120" w:line="288" w:lineRule="auto"/>
        <w:ind w:left="453"/>
        <w:jc w:val="left"/>
      </w:pPr>
      <w:r>
        <w:rPr>
          <w:rFonts w:ascii="Arial" w:hAnsi="Arial" w:eastAsia="等线" w:cs="Arial"/>
          <w:sz w:val="22"/>
        </w:rPr>
        <w:t>在福利归属（既得）的当年，需要一次性计入普通收入纳税，不再享受递延纳税，除非该福利被进一步递延到未来的支付日期。</w:t>
      </w:r>
    </w:p>
    <w:p w14:paraId="0D88BCE6">
      <w:pPr>
        <w:spacing w:before="120" w:after="120" w:line="288" w:lineRule="auto"/>
        <w:ind w:left="0"/>
        <w:jc w:val="left"/>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4842EE0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B8A4A9E">
            <w:pPr>
              <w:spacing w:before="120" w:after="120" w:line="288" w:lineRule="auto"/>
              <w:ind w:left="0"/>
              <w:jc w:val="left"/>
            </w:pPr>
            <w:r>
              <w:rPr>
                <w:rFonts w:ascii="Arial" w:hAnsi="Arial" w:eastAsia="等线" w:cs="Arial"/>
                <w:sz w:val="22"/>
              </w:rPr>
              <w:t>由于投资者已经为初始存入的资金缴纳了税款，但尚未为收益缴税，因此从非合格计划中提取的资金仅按投资者税级所确定的税率部分征税。投资者只需为超过已缴出资额的部分缴税。</w:t>
            </w:r>
          </w:p>
        </w:tc>
      </w:tr>
    </w:tbl>
    <w:p w14:paraId="6BDB95BD">
      <w:pPr>
        <w:spacing w:before="120" w:after="120" w:line="288" w:lineRule="auto"/>
        <w:ind w:left="0"/>
        <w:jc w:val="left"/>
      </w:pPr>
    </w:p>
    <w:p w14:paraId="791EF9A7">
      <w:pPr>
        <w:spacing w:before="300" w:after="120" w:line="288" w:lineRule="auto"/>
        <w:ind w:left="0"/>
        <w:jc w:val="left"/>
        <w:outlineLvl w:val="2"/>
      </w:pPr>
      <w:bookmarkStart w:id="24" w:name="heading_24"/>
      <w:r>
        <w:rPr>
          <w:rFonts w:ascii="Arial" w:hAnsi="Arial" w:eastAsia="等线" w:cs="Arial"/>
          <w:color w:val="3370FF"/>
          <w:sz w:val="30"/>
        </w:rPr>
        <w:t xml:space="preserve">2.3.2 </w:t>
      </w:r>
      <w:r>
        <w:rPr>
          <w:rFonts w:ascii="Arial" w:hAnsi="Arial" w:eastAsia="等线" w:cs="Arial"/>
          <w:b/>
          <w:sz w:val="30"/>
        </w:rPr>
        <w:t>IRA 类型及缴费限额（IRA types and contribution limits）</w:t>
      </w:r>
      <w:bookmarkEnd w:id="24"/>
    </w:p>
    <w:p w14:paraId="20C46C29">
      <w:pPr>
        <w:spacing w:before="120" w:after="120" w:line="288" w:lineRule="auto"/>
        <w:ind w:left="0"/>
        <w:jc w:val="left"/>
      </w:pPr>
      <w:r>
        <w:rPr>
          <w:rFonts w:ascii="Arial" w:hAnsi="Arial" w:eastAsia="等线" w:cs="Arial"/>
          <w:sz w:val="22"/>
        </w:rPr>
        <w:t>IRA（Individual Retirement Account）为个人退休账户。</w:t>
      </w:r>
    </w:p>
    <w:p w14:paraId="393030BB">
      <w:pPr>
        <w:spacing w:before="120" w:after="120" w:line="288" w:lineRule="auto"/>
        <w:ind w:left="0"/>
        <w:jc w:val="left"/>
      </w:pPr>
    </w:p>
    <w:p w14:paraId="24C1FB96">
      <w:pPr>
        <w:spacing w:before="120" w:after="120" w:line="288" w:lineRule="auto"/>
        <w:ind w:left="0"/>
        <w:jc w:val="left"/>
      </w:pPr>
      <w:r>
        <w:rPr>
          <w:rFonts w:ascii="Arial" w:hAnsi="Arial" w:eastAsia="等线" w:cs="Arial"/>
          <w:sz w:val="22"/>
        </w:rPr>
        <w:t>不同类型的退休计划有不同的缴费限额，缴费限额几乎每年都会变化，而SIE考试的题目可能不会那么频繁更新。只要你对缴费限额有个大致了解就行。如需最新信息和更多内容，可以访问：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7BFB9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5EE5BE3">
            <w:pPr>
              <w:spacing w:before="120" w:after="120" w:line="288" w:lineRule="auto"/>
              <w:ind w:left="0"/>
              <w:jc w:val="left"/>
            </w:pPr>
            <w:r>
              <w:rPr>
                <w:rFonts w:ascii="Arial" w:hAnsi="Arial" w:eastAsia="等线" w:cs="Arial"/>
                <w:color w:val="646A73"/>
                <w:sz w:val="22"/>
              </w:rPr>
              <w:t>www.irs.gov/retirement-plans/plan-participant-employee/retirement-topics-ira-contribution-limits。</w:t>
            </w:r>
          </w:p>
        </w:tc>
      </w:tr>
    </w:tbl>
    <w:p w14:paraId="575394C1">
      <w:pPr>
        <w:spacing w:before="120" w:after="120" w:line="288" w:lineRule="auto"/>
        <w:ind w:left="0"/>
        <w:jc w:val="left"/>
      </w:pPr>
    </w:p>
    <w:p w14:paraId="3C7D6460">
      <w:pPr>
        <w:spacing w:before="260" w:after="120" w:line="288" w:lineRule="auto"/>
        <w:ind w:left="0"/>
        <w:jc w:val="left"/>
        <w:outlineLvl w:val="3"/>
      </w:pPr>
      <w:bookmarkStart w:id="25" w:name="heading_25"/>
      <w:r>
        <w:rPr>
          <w:rFonts w:ascii="Arial" w:hAnsi="Arial" w:eastAsia="等线" w:cs="Arial"/>
          <w:color w:val="3370FF"/>
          <w:sz w:val="28"/>
        </w:rPr>
        <w:t xml:space="preserve">2.3.2.1 </w:t>
      </w:r>
      <w:r>
        <w:rPr>
          <w:rFonts w:ascii="Arial" w:hAnsi="Arial" w:eastAsia="等线" w:cs="Arial"/>
          <w:b/>
          <w:sz w:val="28"/>
        </w:rPr>
        <w:t>传统个人退休账户（Traditional IRAs）</w:t>
      </w:r>
      <w:bookmarkEnd w:id="25"/>
    </w:p>
    <w:p w14:paraId="7B96624F">
      <w:pPr>
        <w:spacing w:before="120" w:after="120" w:line="288" w:lineRule="auto"/>
        <w:ind w:left="0"/>
        <w:jc w:val="left"/>
      </w:pPr>
      <w:r>
        <w:rPr>
          <w:rFonts w:ascii="Arial" w:hAnsi="Arial" w:eastAsia="等线" w:cs="Arial"/>
          <w:sz w:val="22"/>
        </w:rPr>
        <w:t>IRA 是一种个人自主设立和管理的退休储蓄账户，它提供税收优惠，账户中的存款来自税前收入。</w:t>
      </w:r>
    </w:p>
    <w:p w14:paraId="3CE39990">
      <w:pPr>
        <w:spacing w:before="120" w:after="120" w:line="288" w:lineRule="auto"/>
        <w:ind w:left="0"/>
        <w:jc w:val="left"/>
      </w:pPr>
    </w:p>
    <w:p w14:paraId="20F17190">
      <w:pPr>
        <w:spacing w:before="120" w:after="120" w:line="288" w:lineRule="auto"/>
        <w:ind w:left="0"/>
        <w:jc w:val="left"/>
      </w:pPr>
      <w:r>
        <w:rPr>
          <w:rFonts w:ascii="Arial" w:hAnsi="Arial" w:eastAsia="等线" w:cs="Arial"/>
          <w:sz w:val="22"/>
        </w:rPr>
        <w:t>无论个人是否参加了养老金计划，他们都可以向 IRA 存款。它与雇主提供的 401(k) 等计划无关，是个人直接通过银行、券商或基金公司开设的，IRA 完全由账户持有人供款。</w:t>
      </w:r>
    </w:p>
    <w:p w14:paraId="31221F86">
      <w:pPr>
        <w:spacing w:before="120" w:after="120" w:line="288" w:lineRule="auto"/>
        <w:ind w:left="0"/>
        <w:jc w:val="left"/>
      </w:pPr>
    </w:p>
    <w:p w14:paraId="52319651">
      <w:pPr>
        <w:spacing w:before="120" w:after="120" w:line="288" w:lineRule="auto"/>
        <w:ind w:left="0"/>
        <w:jc w:val="left"/>
      </w:pPr>
      <w:r>
        <w:rPr>
          <w:rFonts w:ascii="Arial" w:hAnsi="Arial" w:eastAsia="等线" w:cs="Arial"/>
          <w:sz w:val="22"/>
        </w:rPr>
        <w:t>以下是 IRA 的一些关键特点：</w:t>
      </w:r>
    </w:p>
    <w:p w14:paraId="2BA7F468">
      <w:pPr>
        <w:numPr>
          <w:ilvl w:val="0"/>
          <w:numId w:val="52"/>
        </w:numPr>
        <w:spacing w:before="120" w:after="120" w:line="288" w:lineRule="auto"/>
        <w:ind w:left="0"/>
        <w:jc w:val="left"/>
      </w:pPr>
      <w:r>
        <w:rPr>
          <w:rFonts w:ascii="Arial" w:hAnsi="Arial" w:eastAsia="等线" w:cs="Arial"/>
          <w:sz w:val="22"/>
        </w:rPr>
        <w:t>IRA 可设立为单一生命型（single life）（账户所有者为账户受益人时）、联合生存型（joint and last survivor）（账户唯一受益人为其配偶且配偶比所有者年轻十岁以上时）或统一终身型（uniform lifetime）（配偶不是唯一受益人或配偶比所有者年轻不超过十岁时）；</w:t>
      </w:r>
    </w:p>
    <w:p w14:paraId="1545B136">
      <w:pPr>
        <w:numPr>
          <w:ilvl w:val="0"/>
          <w:numId w:val="53"/>
        </w:numPr>
        <w:spacing w:before="120" w:after="120" w:line="288" w:lineRule="auto"/>
        <w:ind w:left="0"/>
        <w:jc w:val="left"/>
      </w:pPr>
      <w:r>
        <w:rPr>
          <w:rFonts w:ascii="Arial" w:hAnsi="Arial" w:eastAsia="等线" w:cs="Arial"/>
          <w:sz w:val="22"/>
        </w:rPr>
        <w:t>IRA 允许投资包括股票、债券、共同基金、美国金银币和房地产；</w:t>
      </w:r>
    </w:p>
    <w:p w14:paraId="5FA3B81F">
      <w:pPr>
        <w:numPr>
          <w:ilvl w:val="0"/>
          <w:numId w:val="54"/>
        </w:numPr>
        <w:spacing w:before="120" w:after="120" w:line="288" w:lineRule="auto"/>
        <w:ind w:left="0"/>
        <w:jc w:val="left"/>
      </w:pPr>
      <w:r>
        <w:rPr>
          <w:rFonts w:ascii="Arial" w:hAnsi="Arial" w:eastAsia="等线" w:cs="Arial"/>
          <w:sz w:val="22"/>
        </w:rPr>
        <w:t>截至2024年，每人的最高缴费额（已从每年$6,500 from 2023) 上调至 $7,000 美元）。此外，50岁及以上的投资者每年还允许额外补缴（additional catch-up contribution）1,000美元。超额缴费部分将按每年6%的税率征税，直至超额部分被取出；</w:t>
      </w:r>
    </w:p>
    <w:p w14:paraId="7234F0AA">
      <w:pPr>
        <w:numPr>
          <w:ilvl w:val="0"/>
          <w:numId w:val="55"/>
        </w:numPr>
        <w:spacing w:before="120" w:after="120" w:line="288" w:lineRule="auto"/>
        <w:ind w:left="0"/>
        <w:jc w:val="left"/>
      </w:pPr>
      <w:r>
        <w:rPr>
          <w:rFonts w:ascii="Arial" w:hAnsi="Arial" w:eastAsia="等线" w:cs="Arial"/>
          <w:sz w:val="22"/>
        </w:rPr>
        <w:t>截至2024年，50岁以下的夫妻可以拥有各自账户，每年每人最高缴存额为7000美元，无论两人都有工作还是其中一人有工作；</w:t>
      </w:r>
    </w:p>
    <w:p w14:paraId="5C3596BB">
      <w:pPr>
        <w:numPr>
          <w:ilvl w:val="0"/>
          <w:numId w:val="56"/>
        </w:numPr>
        <w:spacing w:before="120" w:after="120" w:line="288" w:lineRule="auto"/>
        <w:ind w:left="0"/>
        <w:jc w:val="left"/>
      </w:pPr>
      <w:r>
        <w:rPr>
          <w:rFonts w:ascii="Arial" w:hAnsi="Arial" w:eastAsia="等线" w:cs="Arial"/>
          <w:sz w:val="22"/>
        </w:rPr>
        <w:t>对于未参加雇主养老金计划的个人，向 IRA 缴纳的款项可全额抵扣；</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547A2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335F7C2">
            <w:pPr>
              <w:spacing w:before="120" w:after="120" w:line="288" w:lineRule="auto"/>
              <w:ind w:left="0"/>
              <w:jc w:val="left"/>
            </w:pPr>
            <w:r>
              <w:rPr>
                <w:rFonts w:ascii="Arial" w:hAnsi="Arial" w:eastAsia="等线" w:cs="Arial"/>
                <w:color w:val="646A73"/>
                <w:sz w:val="22"/>
              </w:rPr>
              <w:t>如果投资者参加了工作场所的退休计划，那么存入个人退休账户（IRA）的款项可能可以抵税，也可能不可以。虽然我认为你被考到这些数值的可能性很小，但截至2024年，如果个人参加了工作场所的退休计划，且收入不超过$77,000 per year ($123,000美元（夫妻联合申报），那么存入个人退休账户的款项可全额抵税。当个人收入超过$87,000 per year ($143,000美元（夫妻联合申报）时，抵税额度会逐步递减直至完全消失。</w:t>
            </w:r>
          </w:p>
        </w:tc>
      </w:tr>
    </w:tbl>
    <w:p w14:paraId="77F31BC1">
      <w:pPr>
        <w:numPr>
          <w:ilvl w:val="0"/>
          <w:numId w:val="57"/>
        </w:numPr>
        <w:spacing w:before="120" w:after="120" w:line="288" w:lineRule="auto"/>
        <w:ind w:left="0"/>
        <w:jc w:val="left"/>
      </w:pPr>
      <w:r>
        <w:rPr>
          <w:rFonts w:ascii="Arial" w:hAnsi="Arial" w:eastAsia="等线" w:cs="Arial"/>
          <w:sz w:val="22"/>
        </w:rPr>
        <w:t>当投资者开始从 IRA 提取资金时，整个提取金额（包括未缴税的存款金额以及增值部分）都需要缴税。这笔提取金额将按普通收入征税（taxed as ordinary income）；</w:t>
      </w:r>
    </w:p>
    <w:p w14:paraId="138D5D61">
      <w:pPr>
        <w:numPr>
          <w:ilvl w:val="0"/>
          <w:numId w:val="58"/>
        </w:numPr>
        <w:spacing w:before="120" w:after="120" w:line="288" w:lineRule="auto"/>
        <w:ind w:left="0"/>
        <w:jc w:val="left"/>
      </w:pPr>
      <w:r>
        <w:rPr>
          <w:rFonts w:ascii="Arial" w:hAnsi="Arial" w:eastAsia="等线" w:cs="Arial"/>
          <w:sz w:val="22"/>
        </w:rPr>
        <w:t>59岁半之前不能开始提款，否则投资者必须支付10%的提前提款罚款，这笔罚款会根据投资者的税率等级加到其税率中。投资者并非在死亡、残疾、首次购房者以及其他少数例外情况下，需缴纳10%的税收罚款。（显然，已故退休人员不会进行提款，但他们的受益人会；在这种情况下，受益人不会被征收10%的罚款。）</w:t>
      </w:r>
    </w:p>
    <w:p w14:paraId="6963EFB0">
      <w:pPr>
        <w:numPr>
          <w:ilvl w:val="0"/>
          <w:numId w:val="59"/>
        </w:numPr>
        <w:spacing w:before="120" w:after="120" w:line="288" w:lineRule="auto"/>
        <w:ind w:left="0"/>
        <w:jc w:val="left"/>
      </w:pPr>
      <w:r>
        <w:rPr>
          <w:rFonts w:ascii="Arial" w:hAnsi="Arial" w:eastAsia="等线" w:cs="Arial"/>
          <w:sz w:val="22"/>
        </w:rPr>
        <w:t>投资者年满72岁后的次年4月1日之后必须开始提取款项，这一日期被称为 RBD（Required Beginning Date）。若投资者未在该日期前提取所需的最低提款额（RMD，Required Minimum Distribution），则需按应提取金额缴纳50%的税收罚款。美国国税局提供了最低提款额计算表，以帮助人们确定为避免罚款所需提取的金额，这些表格可在以下网站找到：</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B2A55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tcBorders>
              <w:top w:val="nil"/>
              <w:left w:val="single" w:color="BBBFC4" w:sz="18" w:space="0"/>
              <w:bottom w:val="nil"/>
              <w:right w:val="nil"/>
            </w:tcBorders>
            <w:tcMar>
              <w:top w:w="60" w:type="dxa"/>
              <w:left w:w="120" w:type="dxa"/>
              <w:bottom w:w="30" w:type="dxa"/>
              <w:right w:w="120" w:type="dxa"/>
            </w:tcMar>
          </w:tcPr>
          <w:p w14:paraId="3BFD93B8">
            <w:pPr>
              <w:spacing w:before="120" w:after="120" w:line="288" w:lineRule="auto"/>
              <w:ind w:left="0"/>
              <w:jc w:val="left"/>
            </w:pPr>
            <w:r>
              <w:rPr>
                <w:rFonts w:ascii="Arial" w:hAnsi="Arial" w:eastAsia="等线" w:cs="Arial"/>
                <w:color w:val="646A73"/>
                <w:sz w:val="22"/>
              </w:rPr>
              <w:t>www.irs.gov/retirement-plans/plan-participant-employee/required-minimum-distribution-worksheets</w:t>
            </w:r>
          </w:p>
        </w:tc>
      </w:tr>
    </w:tbl>
    <w:p w14:paraId="232A395F">
      <w:pPr>
        <w:numPr>
          <w:ilvl w:val="0"/>
          <w:numId w:val="60"/>
        </w:numPr>
        <w:spacing w:before="120" w:after="120" w:line="288" w:lineRule="auto"/>
        <w:ind w:left="0"/>
        <w:jc w:val="left"/>
      </w:pPr>
      <w:r>
        <w:rPr>
          <w:rFonts w:ascii="Arial" w:hAnsi="Arial" w:eastAsia="等线" w:cs="Arial"/>
          <w:sz w:val="22"/>
        </w:rPr>
        <w:t>IRA 存款可在4月15日（报税日）前存入，以符合上一年度税收的扣除条件。</w:t>
      </w:r>
    </w:p>
    <w:p w14:paraId="2EDF3CF0">
      <w:pPr>
        <w:spacing w:before="120" w:after="120" w:line="288" w:lineRule="auto"/>
        <w:ind w:left="0"/>
        <w:jc w:val="left"/>
      </w:pPr>
    </w:p>
    <w:p w14:paraId="4CA2A5A7">
      <w:pPr>
        <w:spacing w:before="260" w:after="120" w:line="288" w:lineRule="auto"/>
        <w:ind w:left="0"/>
        <w:jc w:val="left"/>
        <w:outlineLvl w:val="3"/>
      </w:pPr>
      <w:bookmarkStart w:id="26" w:name="heading_26"/>
      <w:r>
        <w:rPr>
          <w:rFonts w:ascii="Arial" w:hAnsi="Arial" w:eastAsia="等线" w:cs="Arial"/>
          <w:color w:val="3370FF"/>
          <w:sz w:val="28"/>
        </w:rPr>
        <w:t xml:space="preserve">2.3.2.2 </w:t>
      </w:r>
      <w:r>
        <w:rPr>
          <w:rFonts w:ascii="Arial" w:hAnsi="Arial" w:eastAsia="等线" w:cs="Arial"/>
          <w:b/>
          <w:sz w:val="28"/>
        </w:rPr>
        <w:t>罗斯个人退休账户</w:t>
      </w:r>
      <w:bookmarkEnd w:id="26"/>
    </w:p>
    <w:p w14:paraId="43F983B2">
      <w:pPr>
        <w:spacing w:before="120" w:after="120" w:line="288" w:lineRule="auto"/>
        <w:ind w:left="0"/>
        <w:jc w:val="left"/>
      </w:pPr>
      <w:r>
        <w:rPr>
          <w:rFonts w:ascii="Arial" w:hAnsi="Arial" w:eastAsia="等线" w:cs="Arial"/>
          <w:sz w:val="22"/>
        </w:rPr>
        <w:t>任何收入低于美国国税局调整后总收入限额的人都可以开设罗斯个人退休账户（Roth IRAs）。</w:t>
      </w:r>
    </w:p>
    <w:p w14:paraId="43F1EC26">
      <w:pPr>
        <w:spacing w:before="120" w:after="120" w:line="288" w:lineRule="auto"/>
        <w:ind w:left="0"/>
        <w:jc w:val="left"/>
      </w:pPr>
    </w:p>
    <w:p w14:paraId="32DBBF23">
      <w:pPr>
        <w:spacing w:before="120" w:after="120" w:line="288" w:lineRule="auto"/>
        <w:ind w:left="0"/>
        <w:jc w:val="left"/>
      </w:pPr>
      <w:r>
        <w:rPr>
          <w:rFonts w:ascii="Arial" w:hAnsi="Arial" w:eastAsia="等线" w:cs="Arial"/>
          <w:sz w:val="22"/>
        </w:rPr>
        <w:t>Roth IRA 以这项立法的主要推动者、已故的特拉华州参议员 William Roth 的名字命名。</w:t>
      </w:r>
    </w:p>
    <w:p w14:paraId="31AB0892">
      <w:pPr>
        <w:spacing w:before="120" w:after="120" w:line="288" w:lineRule="auto"/>
        <w:ind w:left="0"/>
        <w:jc w:val="left"/>
      </w:pPr>
    </w:p>
    <w:p w14:paraId="6D66FDBD">
      <w:pPr>
        <w:spacing w:before="120" w:after="120" w:line="288" w:lineRule="auto"/>
        <w:ind w:left="0"/>
        <w:jc w:val="left"/>
      </w:pPr>
      <w:r>
        <w:rPr>
          <w:rFonts w:ascii="Arial" w:hAnsi="Arial" w:eastAsia="等线" w:cs="Arial"/>
          <w:sz w:val="22"/>
        </w:rPr>
        <w:t>Roth IRAs 与 IRAs 的主要区别在于存入罗斯个人退休账户的资金不可抵税（来源于税后收入），提取的资金无需缴税。。</w:t>
      </w:r>
    </w:p>
    <w:p w14:paraId="2A7C1C30">
      <w:pPr>
        <w:spacing w:before="120" w:after="120" w:line="288" w:lineRule="auto"/>
        <w:ind w:left="0"/>
        <w:jc w:val="left"/>
      </w:pPr>
    </w:p>
    <w:p w14:paraId="2780BA3C">
      <w:pPr>
        <w:spacing w:before="120" w:after="120" w:line="288" w:lineRule="auto"/>
        <w:ind w:left="0"/>
        <w:jc w:val="left"/>
      </w:pPr>
      <w:r>
        <w:rPr>
          <w:rFonts w:ascii="Arial" w:hAnsi="Arial" w:eastAsia="等线" w:cs="Arial"/>
          <w:sz w:val="22"/>
        </w:rPr>
        <w:t>只要投资者持有 Roth IRAs 账户超过五年，且年龄达到 59.5 岁，他们从该账户中提取资金时，</w:t>
      </w:r>
      <w:r>
        <w:rPr>
          <w:rFonts w:ascii="Arial" w:hAnsi="Arial" w:eastAsia="等线" w:cs="Arial"/>
          <w:b/>
          <w:sz w:val="22"/>
        </w:rPr>
        <w:t>无论是本金还是收益，都不用缴纳联邦所得税。</w:t>
      </w:r>
    </w:p>
    <w:p w14:paraId="68DB38FF">
      <w:pPr>
        <w:spacing w:before="120" w:after="120" w:line="288" w:lineRule="auto"/>
        <w:ind w:left="0"/>
        <w:jc w:val="left"/>
      </w:pPr>
    </w:p>
    <w:p w14:paraId="42224AAA">
      <w:pPr>
        <w:spacing w:before="120" w:after="120" w:line="288" w:lineRule="auto"/>
        <w:ind w:left="0"/>
        <w:jc w:val="left"/>
      </w:pPr>
      <w:r>
        <w:rPr>
          <w:rFonts w:ascii="Arial" w:hAnsi="Arial" w:eastAsia="等线" w:cs="Arial"/>
          <w:b/>
          <w:sz w:val="22"/>
        </w:rPr>
        <w:t>简单记：</w:t>
      </w:r>
      <w:r>
        <w:rPr>
          <w:rFonts w:ascii="Arial" w:hAnsi="Arial" w:eastAsia="等线" w:cs="Arial"/>
          <w:sz w:val="22"/>
        </w:rPr>
        <w:t>传统 IRA 是“先免税，后交税”；罗斯 IRA 是“先交税，后免税”</w:t>
      </w:r>
      <w:r>
        <w:rPr>
          <w:rFonts w:ascii="Arial" w:hAnsi="Arial" w:eastAsia="等线" w:cs="Arial"/>
          <w:b/>
          <w:sz w:val="22"/>
        </w:rPr>
        <w:t>。</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29A15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2403E59">
            <w:pPr>
              <w:spacing w:before="120" w:after="120" w:line="288" w:lineRule="auto"/>
              <w:ind w:left="0"/>
              <w:jc w:val="left"/>
            </w:pPr>
            <w:r>
              <w:rPr>
                <w:rFonts w:ascii="Arial" w:hAnsi="Arial" w:eastAsia="等线" w:cs="Arial"/>
                <w:sz w:val="22"/>
              </w:rPr>
              <w:t>截至2024年，个人可向传统IRA和罗斯IRA缴纳的总过最高金额为$7,000 每年。此外，50岁及以上个人每年可以补缴1000美元，这意味着他们每年最多可缴纳8,000美元。</w:t>
            </w:r>
          </w:p>
          <w:p w14:paraId="41F07019">
            <w:pPr>
              <w:spacing w:before="120" w:after="120" w:line="288" w:lineRule="auto"/>
              <w:ind w:left="0"/>
              <w:jc w:val="left"/>
            </w:pPr>
          </w:p>
          <w:p w14:paraId="27CDA686">
            <w:pPr>
              <w:spacing w:before="120" w:after="120" w:line="288" w:lineRule="auto"/>
              <w:ind w:left="0"/>
              <w:jc w:val="left"/>
            </w:pPr>
            <w:r>
              <w:rPr>
                <w:rFonts w:ascii="Arial" w:hAnsi="Arial" w:eastAsia="等线" w:cs="Arial"/>
                <w:sz w:val="22"/>
              </w:rPr>
              <w:t>截至2024年，调整后总收入超过$161,000 每年（已婚联合申报$240,000美元）的投资者不能向罗斯个人退休账户缴费。</w:t>
            </w:r>
          </w:p>
        </w:tc>
      </w:tr>
    </w:tbl>
    <w:p w14:paraId="0EF3E79E">
      <w:pPr>
        <w:spacing w:before="120" w:after="120" w:line="288" w:lineRule="auto"/>
        <w:ind w:left="0"/>
        <w:jc w:val="left"/>
      </w:pPr>
      <w:r>
        <w:rPr>
          <w:rFonts w:ascii="Arial" w:hAnsi="Arial" w:eastAsia="等线" w:cs="Arial"/>
          <w:sz w:val="22"/>
        </w:rPr>
        <w:t>两类 IRA 的核心资格差异：</w:t>
      </w:r>
    </w:p>
    <w:p w14:paraId="5F067A57">
      <w:pPr>
        <w:numPr>
          <w:ilvl w:val="0"/>
          <w:numId w:val="61"/>
        </w:numPr>
        <w:spacing w:before="120" w:after="120" w:line="288" w:lineRule="auto"/>
        <w:ind w:left="0"/>
        <w:jc w:val="left"/>
      </w:pPr>
      <w:r>
        <w:rPr>
          <w:rFonts w:ascii="Arial" w:hAnsi="Arial" w:eastAsia="等线" w:cs="Arial"/>
          <w:b/>
          <w:sz w:val="22"/>
        </w:rPr>
        <w:t>传统 IRA</w:t>
      </w:r>
      <w:r>
        <w:rPr>
          <w:rFonts w:ascii="Arial" w:hAnsi="Arial" w:eastAsia="等线" w:cs="Arial"/>
          <w:sz w:val="22"/>
        </w:rPr>
        <w:t>：只要个人有劳动收入（如工资、奖金，不含投资收入），无论收入多少均可参与（无收入上限）。</w:t>
      </w:r>
    </w:p>
    <w:p w14:paraId="7C21EC3E">
      <w:pPr>
        <w:numPr>
          <w:ilvl w:val="0"/>
          <w:numId w:val="62"/>
        </w:numPr>
        <w:spacing w:before="120" w:after="120" w:line="288" w:lineRule="auto"/>
        <w:ind w:left="0"/>
        <w:jc w:val="left"/>
      </w:pPr>
      <w:r>
        <w:rPr>
          <w:rFonts w:ascii="Arial" w:hAnsi="Arial" w:eastAsia="等线" w:cs="Arial"/>
          <w:b/>
          <w:sz w:val="22"/>
        </w:rPr>
        <w:t>罗斯 IRA</w:t>
      </w:r>
      <w:r>
        <w:rPr>
          <w:rFonts w:ascii="Arial" w:hAnsi="Arial" w:eastAsia="等线" w:cs="Arial"/>
          <w:sz w:val="22"/>
        </w:rPr>
        <w:t>：虽要求有劳动收入，但设置收入上限，当个人调整后总收入（AGI，Adjusted Gross Income）超过 IRS 规定的阈值（如 2024 年单身≥16.1 万美元、夫妻共同申报≥24.6 万美元），即使有劳动收入，也无法参与罗斯 IRA 缴费。</w:t>
      </w:r>
    </w:p>
    <w:p w14:paraId="14105B2F">
      <w:pPr>
        <w:spacing w:before="120" w:after="120" w:line="288" w:lineRule="auto"/>
        <w:ind w:left="0"/>
        <w:jc w:val="left"/>
      </w:pPr>
    </w:p>
    <w:p w14:paraId="4DB81948">
      <w:pPr>
        <w:spacing w:before="260" w:after="120" w:line="288" w:lineRule="auto"/>
        <w:ind w:left="0"/>
        <w:jc w:val="left"/>
        <w:outlineLvl w:val="3"/>
      </w:pPr>
      <w:bookmarkStart w:id="27" w:name="heading_27"/>
      <w:r>
        <w:rPr>
          <w:rFonts w:ascii="Arial" w:hAnsi="Arial" w:eastAsia="等线" w:cs="Arial"/>
          <w:color w:val="3370FF"/>
          <w:sz w:val="28"/>
        </w:rPr>
        <w:t xml:space="preserve">2.3.2.3 </w:t>
      </w:r>
      <w:r>
        <w:rPr>
          <w:rFonts w:ascii="Arial" w:hAnsi="Arial" w:eastAsia="等线" w:cs="Arial"/>
          <w:b/>
          <w:sz w:val="28"/>
        </w:rPr>
        <w:t>简化员工养老金（SEP-IRAs）</w:t>
      </w:r>
      <w:bookmarkEnd w:id="27"/>
    </w:p>
    <w:p w14:paraId="047EF526">
      <w:pPr>
        <w:spacing w:before="120" w:after="120" w:line="288" w:lineRule="auto"/>
        <w:ind w:left="0"/>
        <w:jc w:val="left"/>
      </w:pPr>
      <w:r>
        <w:rPr>
          <w:rFonts w:ascii="Arial" w:hAnsi="Arial" w:eastAsia="等线" w:cs="Arial"/>
          <w:sz w:val="22"/>
        </w:rPr>
        <w:t>SEP-IRA（Simplified Employee Pension - Individual Retirement Account）为简化版员工养老金计划。</w:t>
      </w:r>
    </w:p>
    <w:p w14:paraId="656B29D6">
      <w:pPr>
        <w:spacing w:before="120" w:after="120" w:line="288" w:lineRule="auto"/>
        <w:ind w:left="0"/>
        <w:jc w:val="left"/>
      </w:pPr>
    </w:p>
    <w:p w14:paraId="415C5EDF">
      <w:pPr>
        <w:spacing w:before="120" w:after="120" w:line="288" w:lineRule="auto"/>
        <w:ind w:left="0"/>
        <w:jc w:val="left"/>
      </w:pPr>
      <w:r>
        <w:rPr>
          <w:rFonts w:ascii="Arial" w:hAnsi="Arial" w:eastAsia="等线" w:cs="Arial"/>
          <w:sz w:val="22"/>
        </w:rPr>
        <w:t>SEP-IRA 是一种专为小企业主、自雇人士（个体户）及其员工设计的退休计划。其核心特点是只能由雇主供款，规则简单，但供款额度很高。</w:t>
      </w:r>
    </w:p>
    <w:p w14:paraId="1D152CD9">
      <w:pPr>
        <w:spacing w:before="120" w:after="120" w:line="288" w:lineRule="auto"/>
        <w:ind w:left="0"/>
        <w:jc w:val="left"/>
      </w:pPr>
    </w:p>
    <w:p w14:paraId="7C9CF07B">
      <w:pPr>
        <w:spacing w:before="120" w:after="120" w:line="288" w:lineRule="auto"/>
        <w:ind w:left="0"/>
        <w:jc w:val="left"/>
      </w:pPr>
      <w:r>
        <w:rPr>
          <w:rFonts w:ascii="Arial" w:hAnsi="Arial" w:eastAsia="等线" w:cs="Arial"/>
          <w:sz w:val="22"/>
        </w:rPr>
        <w:t xml:space="preserve">SEP-IRA 允许参与者以延税方式为退休投资。雇主可以向员工的 SEP-IRA 直接缴纳可抵税的款项。截至 2024 年，雇主向每位员工的 SEP-IRA 缴纳的最高金额为员工薪酬（工资、奖金和加班费）的 </w:t>
      </w:r>
      <w:r>
        <w:rPr>
          <w:rFonts w:ascii="Arial" w:hAnsi="Arial" w:eastAsia="等线" w:cs="Arial"/>
          <w:b/>
          <w:sz w:val="22"/>
        </w:rPr>
        <w:t>25% 或 69,000 美元</w:t>
      </w:r>
      <w:r>
        <w:rPr>
          <w:rFonts w:ascii="Arial" w:hAnsi="Arial" w:eastAsia="等线" w:cs="Arial"/>
          <w:sz w:val="22"/>
        </w:rPr>
        <w:t>（后续年份可能会根据生活成本上涨进行调整），以两者中的较低者为准。参与该计划的员工仍可每年向传统 IRA 或 Roth IRA 供款。</w:t>
      </w:r>
    </w:p>
    <w:p w14:paraId="42FBD9A7">
      <w:pPr>
        <w:spacing w:before="120" w:after="120" w:line="288" w:lineRule="auto"/>
        <w:ind w:left="0"/>
        <w:jc w:val="left"/>
      </w:pPr>
    </w:p>
    <w:p w14:paraId="7C380DBF">
      <w:pPr>
        <w:spacing w:before="300" w:after="120" w:line="288" w:lineRule="auto"/>
        <w:ind w:left="0"/>
        <w:jc w:val="left"/>
        <w:outlineLvl w:val="2"/>
      </w:pPr>
      <w:bookmarkStart w:id="28" w:name="heading_28"/>
      <w:r>
        <w:rPr>
          <w:rFonts w:ascii="Arial" w:hAnsi="Arial" w:eastAsia="等线" w:cs="Arial"/>
          <w:color w:val="3370FF"/>
          <w:sz w:val="30"/>
        </w:rPr>
        <w:t xml:space="preserve">2.3.3 </w:t>
      </w:r>
      <w:r>
        <w:rPr>
          <w:rFonts w:ascii="Arial" w:hAnsi="Arial" w:eastAsia="等线" w:cs="Arial"/>
          <w:b/>
          <w:sz w:val="30"/>
        </w:rPr>
        <w:t>401(k) 和 403(b)</w:t>
      </w:r>
      <w:bookmarkEnd w:id="28"/>
    </w:p>
    <w:p w14:paraId="74674A39">
      <w:pPr>
        <w:spacing w:before="120" w:after="120" w:line="288" w:lineRule="auto"/>
        <w:ind w:left="0"/>
        <w:jc w:val="left"/>
      </w:pPr>
      <w:r>
        <w:rPr>
          <w:rFonts w:ascii="Arial" w:hAnsi="Arial" w:eastAsia="等线" w:cs="Arial"/>
          <w:sz w:val="22"/>
        </w:rPr>
        <w:t>除了个人退休账户（IRAs），还有许多合格退休计划。</w:t>
      </w:r>
    </w:p>
    <w:p w14:paraId="5CC48020">
      <w:pPr>
        <w:spacing w:before="260" w:after="120" w:line="288" w:lineRule="auto"/>
        <w:ind w:left="0"/>
        <w:jc w:val="left"/>
        <w:outlineLvl w:val="3"/>
      </w:pPr>
      <w:bookmarkStart w:id="29" w:name="heading_29"/>
      <w:r>
        <w:rPr>
          <w:rFonts w:ascii="Arial" w:hAnsi="Arial" w:eastAsia="等线" w:cs="Arial"/>
          <w:color w:val="3370FF"/>
          <w:sz w:val="28"/>
        </w:rPr>
        <w:t xml:space="preserve">2.3.3.1 </w:t>
      </w:r>
      <w:r>
        <w:rPr>
          <w:rFonts w:ascii="Arial" w:hAnsi="Arial" w:eastAsia="等线" w:cs="Arial"/>
          <w:b/>
          <w:sz w:val="28"/>
        </w:rPr>
        <w:t>401(k) 计划</w:t>
      </w:r>
      <w:bookmarkEnd w:id="29"/>
    </w:p>
    <w:p w14:paraId="0DAE27CE">
      <w:pPr>
        <w:spacing w:before="120" w:after="120" w:line="288" w:lineRule="auto"/>
        <w:ind w:left="0"/>
        <w:jc w:val="left"/>
      </w:pPr>
      <w:r>
        <w:rPr>
          <w:rFonts w:ascii="Arial" w:hAnsi="Arial" w:eastAsia="等线" w:cs="Arial"/>
          <w:sz w:val="22"/>
        </w:rPr>
        <w:t>如前所述，401(k) 是一种企业退休计划。</w:t>
      </w:r>
    </w:p>
    <w:p w14:paraId="4E4AE968">
      <w:pPr>
        <w:spacing w:before="120" w:after="120" w:line="288" w:lineRule="auto"/>
        <w:ind w:left="0"/>
        <w:jc w:val="left"/>
      </w:pPr>
    </w:p>
    <w:p w14:paraId="0BC7FD8A">
      <w:pPr>
        <w:spacing w:before="120" w:after="120" w:line="288" w:lineRule="auto"/>
        <w:ind w:left="0"/>
        <w:jc w:val="left"/>
      </w:pPr>
      <w:r>
        <w:rPr>
          <w:rFonts w:ascii="Arial" w:hAnsi="Arial" w:eastAsia="等线" w:cs="Arial"/>
          <w:sz w:val="22"/>
        </w:rPr>
        <w:t>在这种计划下，员工每年可以将其工资的一定比例存入账户，存入金额有上限（因此，它是一种固定缴费计划）。由于这是一项合格计划，员工存入401(k)的金额不计入其总收入。此外，在大多数情况下，雇主会按一定比例（例如25%、50%等）匹配员工的缴费。该账户以延税方式增值，因此退休时从账户中取出的所有款项都需纳税。</w:t>
      </w:r>
    </w:p>
    <w:p w14:paraId="56C7EBDA">
      <w:pPr>
        <w:spacing w:before="120" w:after="120" w:line="288" w:lineRule="auto"/>
        <w:ind w:left="0"/>
        <w:jc w:val="left"/>
      </w:pPr>
    </w:p>
    <w:p w14:paraId="73ECDA4C">
      <w:pPr>
        <w:spacing w:before="260" w:after="120" w:line="288" w:lineRule="auto"/>
        <w:ind w:left="0"/>
        <w:jc w:val="left"/>
        <w:outlineLvl w:val="3"/>
      </w:pPr>
      <w:bookmarkStart w:id="30" w:name="heading_30"/>
      <w:r>
        <w:rPr>
          <w:rFonts w:ascii="Arial" w:hAnsi="Arial" w:eastAsia="等线" w:cs="Arial"/>
          <w:color w:val="3370FF"/>
          <w:sz w:val="28"/>
        </w:rPr>
        <w:t xml:space="preserve">2.3.3.2 </w:t>
      </w:r>
      <w:r>
        <w:rPr>
          <w:rFonts w:ascii="Arial" w:hAnsi="Arial" w:eastAsia="等线" w:cs="Arial"/>
          <w:b/>
          <w:sz w:val="28"/>
        </w:rPr>
        <w:t>Roth 401(k) 计划</w:t>
      </w:r>
      <w:bookmarkEnd w:id="30"/>
    </w:p>
    <w:p w14:paraId="3342BFA7">
      <w:pPr>
        <w:spacing w:before="120" w:after="120" w:line="288" w:lineRule="auto"/>
        <w:ind w:left="0"/>
        <w:jc w:val="left"/>
      </w:pPr>
      <w:r>
        <w:rPr>
          <w:rFonts w:ascii="Arial" w:hAnsi="Arial" w:eastAsia="等线" w:cs="Arial"/>
          <w:sz w:val="22"/>
        </w:rPr>
        <w:t>Roth 401(k) 计划与传统 401(k) 计划和 Roth IRA 有相似之处。</w:t>
      </w:r>
    </w:p>
    <w:p w14:paraId="66CFCF8F">
      <w:pPr>
        <w:spacing w:before="120" w:after="120" w:line="288" w:lineRule="auto"/>
        <w:ind w:left="0"/>
        <w:jc w:val="left"/>
      </w:pPr>
    </w:p>
    <w:p w14:paraId="40F4D197">
      <w:pPr>
        <w:spacing w:before="120" w:after="120" w:line="288" w:lineRule="auto"/>
        <w:ind w:left="0"/>
        <w:jc w:val="left"/>
      </w:pPr>
      <w:r>
        <w:rPr>
          <w:rFonts w:ascii="Arial" w:hAnsi="Arial" w:eastAsia="等线" w:cs="Arial"/>
          <w:sz w:val="22"/>
        </w:rPr>
        <w:t>与传统 401(k) 计划一样，每年调整的缴费限额相同，而且它们都是雇主赞助的计划。</w:t>
      </w:r>
    </w:p>
    <w:p w14:paraId="2722DE1C">
      <w:pPr>
        <w:spacing w:before="120" w:after="120" w:line="288" w:lineRule="auto"/>
        <w:ind w:left="0"/>
        <w:jc w:val="left"/>
      </w:pPr>
    </w:p>
    <w:p w14:paraId="6A10EF03">
      <w:pPr>
        <w:spacing w:before="120" w:after="120" w:line="288" w:lineRule="auto"/>
        <w:ind w:left="0"/>
        <w:jc w:val="left"/>
      </w:pPr>
      <w:r>
        <w:rPr>
          <w:rFonts w:ascii="Arial" w:hAnsi="Arial" w:eastAsia="等线" w:cs="Arial"/>
          <w:sz w:val="22"/>
        </w:rPr>
        <w:t>与 Roth IRA 一样，税后缴款。因此，只要账户持有至少5年，持有人至少年满 59.5 岁（死亡或残疾的情况除外），</w:t>
      </w:r>
      <w:r>
        <w:rPr>
          <w:rFonts w:ascii="Arial" w:hAnsi="Arial" w:eastAsia="等线" w:cs="Arial"/>
          <w:b/>
          <w:sz w:val="22"/>
        </w:rPr>
        <w:t>无论是本金还是收益，都不用缴纳联邦所得税。</w:t>
      </w:r>
    </w:p>
    <w:p w14:paraId="28870848">
      <w:pPr>
        <w:spacing w:before="120" w:after="120" w:line="288" w:lineRule="auto"/>
        <w:ind w:left="0"/>
        <w:jc w:val="left"/>
      </w:pPr>
    </w:p>
    <w:p w14:paraId="494E8C54">
      <w:pPr>
        <w:spacing w:before="120" w:after="120" w:line="288" w:lineRule="auto"/>
        <w:ind w:left="0"/>
        <w:jc w:val="left"/>
      </w:pPr>
      <w:r>
        <w:rPr>
          <w:rFonts w:ascii="Arial" w:hAnsi="Arial" w:eastAsia="等线" w:cs="Arial"/>
          <w:sz w:val="22"/>
        </w:rPr>
        <w:t>注意：与 Roth IRA 不同，最低提取额（RMD，Required Minimum Distribution）规则适用于 Roth 401(k) 计划。</w:t>
      </w:r>
    </w:p>
    <w:p w14:paraId="33B3DF09">
      <w:pPr>
        <w:spacing w:before="120" w:after="120" w:line="288" w:lineRule="auto"/>
        <w:ind w:left="0"/>
        <w:jc w:val="left"/>
      </w:pPr>
    </w:p>
    <w:p w14:paraId="3A90D6A6">
      <w:pPr>
        <w:spacing w:before="260" w:after="120" w:line="288" w:lineRule="auto"/>
        <w:ind w:left="0"/>
        <w:jc w:val="left"/>
        <w:outlineLvl w:val="3"/>
      </w:pPr>
      <w:bookmarkStart w:id="31" w:name="heading_31"/>
      <w:r>
        <w:rPr>
          <w:rFonts w:ascii="Arial" w:hAnsi="Arial" w:eastAsia="等线" w:cs="Arial"/>
          <w:color w:val="3370FF"/>
          <w:sz w:val="28"/>
        </w:rPr>
        <w:t xml:space="preserve">2.3.3.3 </w:t>
      </w:r>
      <w:r>
        <w:rPr>
          <w:rFonts w:ascii="Arial" w:hAnsi="Arial" w:eastAsia="等线" w:cs="Arial"/>
          <w:b/>
          <w:sz w:val="28"/>
        </w:rPr>
        <w:t>403(b) 计划</w:t>
      </w:r>
      <w:bookmarkEnd w:id="31"/>
    </w:p>
    <w:p w14:paraId="5EA98CD2">
      <w:pPr>
        <w:spacing w:before="120" w:after="120" w:line="288" w:lineRule="auto"/>
        <w:ind w:left="0"/>
        <w:jc w:val="left"/>
      </w:pPr>
      <w:r>
        <w:rPr>
          <w:rFonts w:ascii="Arial" w:hAnsi="Arial" w:eastAsia="等线" w:cs="Arial"/>
          <w:sz w:val="22"/>
        </w:rPr>
        <w:t>这些是面向公立学校（小学、中学、大学等）员工、免税组织和宗教组织的薪资缩减计划（salary reduction plan）。这些计划也被称为避税年金（Tax-sheltered Annuities）。</w:t>
      </w:r>
    </w:p>
    <w:p w14:paraId="7EDD04D3">
      <w:pPr>
        <w:spacing w:before="120" w:after="120" w:line="288" w:lineRule="auto"/>
        <w:ind w:left="0"/>
        <w:jc w:val="left"/>
      </w:pPr>
    </w:p>
    <w:p w14:paraId="3612B511">
      <w:pPr>
        <w:spacing w:before="120" w:after="120" w:line="288" w:lineRule="auto"/>
        <w:ind w:left="0"/>
        <w:jc w:val="left"/>
      </w:pPr>
      <w:r>
        <w:rPr>
          <w:rFonts w:ascii="Arial" w:hAnsi="Arial" w:eastAsia="等线" w:cs="Arial"/>
          <w:sz w:val="22"/>
        </w:rPr>
        <w:t>与 401(k) 计划一样，员工可以选择将部分工资存入享受税收递延的退休计划。和 401(k) 计划类似，雇主可能会按一定比例匹配员工的缴费。要符合资格，员工必须年满21岁且为雇主工作满一年。</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DE488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72C76666">
            <w:pPr>
              <w:spacing w:before="120" w:after="120" w:line="288" w:lineRule="auto"/>
              <w:ind w:left="0"/>
              <w:jc w:val="left"/>
            </w:pPr>
            <w:r>
              <w:rPr>
                <w:rFonts w:ascii="Arial" w:hAnsi="Arial" w:eastAsia="等线" w:cs="Arial"/>
                <w:sz w:val="22"/>
              </w:rPr>
              <w:t>由于 IRS 希望能够征收税款，个人退休账户（IRA，罗斯个人退休账户除外）的持有人以及其他合格计划的参与者必须在特定时间点开始提取资金。计划参与者必须在年满73岁后的次年4月1日之前提取最低提取额（RMD），无论他们此时是否需要这笔钱。此外，他们必须在随后的每一年继续提取额外的最低分配额，直到账户中资金全部取出为止。</w:t>
            </w:r>
          </w:p>
        </w:tc>
      </w:tr>
    </w:tbl>
    <w:p w14:paraId="2E8E8F25">
      <w:pPr>
        <w:spacing w:before="120" w:after="120" w:line="288" w:lineRule="auto"/>
        <w:ind w:left="0"/>
        <w:jc w:val="left"/>
      </w:pPr>
    </w:p>
    <w:p w14:paraId="48D2EE3A">
      <w:pPr>
        <w:spacing w:before="380" w:after="140" w:line="288" w:lineRule="auto"/>
        <w:ind w:left="0"/>
        <w:jc w:val="left"/>
        <w:outlineLvl w:val="0"/>
      </w:pPr>
      <w:bookmarkStart w:id="32" w:name="heading_32"/>
      <w:r>
        <w:rPr>
          <w:rFonts w:ascii="Arial" w:hAnsi="Arial" w:eastAsia="等线" w:cs="Arial"/>
          <w:color w:val="3370FF"/>
          <w:sz w:val="36"/>
        </w:rPr>
        <w:t xml:space="preserve">3. </w:t>
      </w:r>
      <w:r>
        <w:rPr>
          <w:rFonts w:ascii="Arial" w:hAnsi="Arial" w:eastAsia="等线" w:cs="Arial"/>
          <w:b/>
          <w:sz w:val="36"/>
        </w:rPr>
        <w:t>核心考点</w:t>
      </w:r>
      <w:bookmarkEnd w:id="32"/>
    </w:p>
    <w:p w14:paraId="29E1071B">
      <w:pPr>
        <w:numPr>
          <w:ilvl w:val="0"/>
          <w:numId w:val="63"/>
        </w:numPr>
        <w:spacing w:before="120" w:after="120" w:line="288" w:lineRule="auto"/>
        <w:ind w:left="0"/>
        <w:jc w:val="left"/>
      </w:pPr>
      <w:r>
        <w:rPr>
          <w:rFonts w:ascii="Arial" w:hAnsi="Arial" w:eastAsia="等线" w:cs="Arial"/>
          <w:sz w:val="22"/>
        </w:rPr>
        <w:t>税务与收入类别区分</w:t>
      </w:r>
    </w:p>
    <w:p w14:paraId="6E9BEF7D">
      <w:pPr>
        <w:numPr>
          <w:ilvl w:val="0"/>
          <w:numId w:val="64"/>
        </w:numPr>
        <w:spacing w:before="120" w:after="120" w:line="288" w:lineRule="auto"/>
        <w:ind w:left="453"/>
        <w:jc w:val="left"/>
      </w:pPr>
      <w:r>
        <w:rPr>
          <w:rFonts w:ascii="Arial" w:hAnsi="Arial" w:eastAsia="等线" w:cs="Arial"/>
          <w:b/>
          <w:sz w:val="22"/>
        </w:rPr>
        <w:t>税务分类</w:t>
      </w:r>
      <w:r>
        <w:rPr>
          <w:rFonts w:ascii="Arial" w:hAnsi="Arial" w:eastAsia="等线" w:cs="Arial"/>
          <w:sz w:val="22"/>
        </w:rPr>
        <w:t>：明确应税收入（股票股息、非市政债券利息、资本利得等）与免税收入（核心是市政债券利息，联邦层面免税，部分为 “三重免税”）的差异。</w:t>
      </w:r>
    </w:p>
    <w:p w14:paraId="3278990D">
      <w:pPr>
        <w:numPr>
          <w:ilvl w:val="0"/>
          <w:numId w:val="65"/>
        </w:numPr>
        <w:spacing w:before="120" w:after="120" w:line="288" w:lineRule="auto"/>
        <w:ind w:left="453"/>
        <w:jc w:val="left"/>
      </w:pPr>
      <w:r>
        <w:rPr>
          <w:rFonts w:ascii="Arial" w:hAnsi="Arial" w:eastAsia="等线" w:cs="Arial"/>
          <w:b/>
          <w:sz w:val="22"/>
        </w:rPr>
        <w:t>收入类型</w:t>
      </w:r>
      <w:r>
        <w:rPr>
          <w:rFonts w:ascii="Arial" w:hAnsi="Arial" w:eastAsia="等线" w:cs="Arial"/>
          <w:sz w:val="22"/>
        </w:rPr>
        <w:t>：</w:t>
      </w:r>
    </w:p>
    <w:p w14:paraId="1BCAF6CB">
      <w:pPr>
        <w:numPr>
          <w:ilvl w:val="0"/>
          <w:numId w:val="66"/>
        </w:numPr>
        <w:spacing w:before="120" w:after="120" w:line="288" w:lineRule="auto"/>
        <w:ind w:left="907"/>
        <w:jc w:val="left"/>
      </w:pPr>
      <w:r>
        <w:rPr>
          <w:rFonts w:ascii="Arial" w:hAnsi="Arial" w:eastAsia="等线" w:cs="Arial"/>
          <w:sz w:val="22"/>
        </w:rPr>
        <w:t>利息收入：除市政债券外均应税，注意 “应计利息” 的税务抵扣与计税规则；</w:t>
      </w:r>
    </w:p>
    <w:p w14:paraId="3819AA69">
      <w:pPr>
        <w:numPr>
          <w:ilvl w:val="0"/>
          <w:numId w:val="67"/>
        </w:numPr>
        <w:spacing w:before="120" w:after="120" w:line="288" w:lineRule="auto"/>
        <w:ind w:left="907"/>
        <w:jc w:val="left"/>
      </w:pPr>
      <w:r>
        <w:rPr>
          <w:rFonts w:ascii="Arial" w:hAnsi="Arial" w:eastAsia="等线" w:cs="Arial"/>
          <w:sz w:val="22"/>
        </w:rPr>
        <w:t>股息收入：区分普通股息（按普通税率）与合格股息（满足条件按资本利得税率，税率更低）；</w:t>
      </w:r>
    </w:p>
    <w:p w14:paraId="6DE26405">
      <w:pPr>
        <w:numPr>
          <w:ilvl w:val="0"/>
          <w:numId w:val="68"/>
        </w:numPr>
        <w:spacing w:before="120" w:after="120" w:line="288" w:lineRule="auto"/>
        <w:ind w:left="907"/>
        <w:jc w:val="left"/>
      </w:pPr>
      <w:r>
        <w:rPr>
          <w:rFonts w:ascii="Arial" w:hAnsi="Arial" w:eastAsia="等线" w:cs="Arial"/>
          <w:sz w:val="22"/>
        </w:rPr>
        <w:t>资本利得与损失：短期（1 年及以内）利得按普通税率，长期（1 年以上）利得按低税率；每年资本损失超利得部分最多抵扣 $3,000，未抵扣部分可结转。</w:t>
      </w:r>
    </w:p>
    <w:p w14:paraId="73730AA2">
      <w:pPr>
        <w:numPr>
          <w:ilvl w:val="0"/>
          <w:numId w:val="69"/>
        </w:numPr>
        <w:spacing w:before="120" w:after="120" w:line="288" w:lineRule="auto"/>
        <w:ind w:left="0"/>
        <w:jc w:val="left"/>
      </w:pPr>
      <w:r>
        <w:rPr>
          <w:rFonts w:ascii="Arial" w:hAnsi="Arial" w:eastAsia="等线" w:cs="Arial"/>
          <w:sz w:val="22"/>
        </w:rPr>
        <w:t>退休计划税务优势</w:t>
      </w:r>
    </w:p>
    <w:p w14:paraId="2BA8E616">
      <w:pPr>
        <w:numPr>
          <w:ilvl w:val="0"/>
          <w:numId w:val="70"/>
        </w:numPr>
        <w:spacing w:before="120" w:after="120" w:line="288" w:lineRule="auto"/>
        <w:ind w:left="453"/>
        <w:jc w:val="left"/>
      </w:pPr>
      <w:r>
        <w:rPr>
          <w:rFonts w:ascii="Arial" w:hAnsi="Arial" w:eastAsia="等线" w:cs="Arial"/>
          <w:b/>
          <w:sz w:val="22"/>
        </w:rPr>
        <w:t>核心优势</w:t>
      </w:r>
      <w:r>
        <w:rPr>
          <w:rFonts w:ascii="Arial" w:hAnsi="Arial" w:eastAsia="等线" w:cs="Arial"/>
          <w:sz w:val="22"/>
        </w:rPr>
        <w:t>：投资收益在账户内递延纳税（仅提取时计税）。</w:t>
      </w:r>
    </w:p>
    <w:p w14:paraId="01CC366C">
      <w:pPr>
        <w:numPr>
          <w:ilvl w:val="0"/>
          <w:numId w:val="71"/>
        </w:numPr>
        <w:spacing w:before="120" w:after="120" w:line="288" w:lineRule="auto"/>
        <w:ind w:left="453"/>
        <w:jc w:val="left"/>
      </w:pPr>
      <w:r>
        <w:rPr>
          <w:rFonts w:ascii="Arial" w:hAnsi="Arial" w:eastAsia="等线" w:cs="Arial"/>
          <w:b/>
          <w:sz w:val="22"/>
        </w:rPr>
        <w:t>主要计划税务规则（对比）</w:t>
      </w:r>
      <w:r>
        <w:rPr>
          <w:rFonts w:ascii="Arial" w:hAnsi="Arial" w:eastAsia="等线" w:cs="Arial"/>
          <w:sz w:val="22"/>
        </w:rPr>
        <w:t>：</w:t>
      </w:r>
    </w:p>
    <w:p w14:paraId="04B969A5">
      <w:pPr>
        <w:spacing w:before="120" w:after="120" w:line="288" w:lineRule="auto"/>
        <w:ind w:left="0"/>
      </w:pPr>
      <w:r>
        <w:object>
          <v:shape id="_x0000_i1025" o:spt="75" type="#_x0000_t75" style="height:115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7BC886FC">
      <w:pPr>
        <w:spacing w:after="120"/>
        <w:ind w:left="0"/>
        <w:jc w:val="center"/>
      </w:pPr>
      <w:r>
        <w:rPr>
          <w:rFonts w:ascii="Arial" w:hAnsi="Arial" w:eastAsia="等线" w:cs="Arial"/>
          <w:b/>
          <w:sz w:val="22"/>
        </w:rPr>
        <w:t>点击图片可查看完整电子表格</w:t>
      </w:r>
    </w:p>
    <w:p w14:paraId="358BF0C4">
      <w:pPr>
        <w:numPr>
          <w:ilvl w:val="0"/>
          <w:numId w:val="72"/>
        </w:numPr>
        <w:spacing w:before="120" w:after="120" w:line="288" w:lineRule="auto"/>
        <w:ind w:left="0"/>
        <w:jc w:val="left"/>
      </w:pPr>
      <w:r>
        <w:rPr>
          <w:rFonts w:ascii="Arial" w:hAnsi="Arial" w:eastAsia="等线" w:cs="Arial"/>
          <w:b/>
          <w:sz w:val="22"/>
        </w:rPr>
        <w:t>合格 vs 非合格退休计划</w:t>
      </w:r>
    </w:p>
    <w:p w14:paraId="7D3E3D70">
      <w:pPr>
        <w:numPr>
          <w:ilvl w:val="0"/>
          <w:numId w:val="73"/>
        </w:numPr>
        <w:spacing w:before="120" w:after="120" w:line="288" w:lineRule="auto"/>
        <w:ind w:left="453"/>
        <w:jc w:val="left"/>
      </w:pPr>
      <w:r>
        <w:rPr>
          <w:rFonts w:ascii="Arial" w:hAnsi="Arial" w:eastAsia="等线" w:cs="Arial"/>
          <w:sz w:val="22"/>
        </w:rPr>
        <w:t>合格计划（IRA、401 (k)）享税务优惠（限缴、规则合规）；非合格计划无 IRS 认证，税务优势弱。</w:t>
      </w:r>
    </w:p>
    <w:p w14:paraId="223C9DEF">
      <w:pPr>
        <w:numPr>
          <w:ilvl w:val="0"/>
          <w:numId w:val="74"/>
        </w:numPr>
        <w:spacing w:before="120" w:after="120" w:line="288" w:lineRule="auto"/>
        <w:ind w:left="453"/>
        <w:jc w:val="left"/>
      </w:pPr>
      <w:r>
        <w:rPr>
          <w:rFonts w:ascii="Arial" w:hAnsi="Arial" w:eastAsia="等线" w:cs="Arial"/>
          <w:sz w:val="22"/>
        </w:rPr>
        <w:t>非合格计划无 IRS 认证，税务优势弱。</w:t>
      </w:r>
    </w:p>
    <w:p w14:paraId="30FEF8CC">
      <w:pPr>
        <w:spacing w:before="380" w:after="140" w:line="288" w:lineRule="auto"/>
        <w:ind w:left="0"/>
        <w:jc w:val="left"/>
        <w:outlineLvl w:val="0"/>
      </w:pPr>
      <w:bookmarkStart w:id="33" w:name="heading_33"/>
      <w:r>
        <w:rPr>
          <w:rFonts w:ascii="Arial" w:hAnsi="Arial" w:eastAsia="等线" w:cs="Arial"/>
          <w:color w:val="3370FF"/>
          <w:sz w:val="36"/>
        </w:rPr>
        <w:t xml:space="preserve">4. </w:t>
      </w:r>
      <w:r>
        <w:rPr>
          <w:rFonts w:ascii="Arial" w:hAnsi="Arial" w:eastAsia="等线" w:cs="Arial"/>
          <w:b/>
          <w:sz w:val="36"/>
        </w:rPr>
        <w:t>核心词汇表</w:t>
      </w:r>
      <w:bookmarkEnd w:id="33"/>
    </w:p>
    <w:p w14:paraId="250855C8">
      <w:pPr>
        <w:spacing w:before="320" w:after="120" w:line="288" w:lineRule="auto"/>
        <w:ind w:left="0"/>
        <w:jc w:val="left"/>
        <w:outlineLvl w:val="1"/>
      </w:pPr>
      <w:bookmarkStart w:id="34" w:name="heading_34"/>
      <w:r>
        <w:rPr>
          <w:rFonts w:ascii="Arial" w:hAnsi="Arial" w:eastAsia="等线" w:cs="Arial"/>
          <w:color w:val="3370FF"/>
          <w:sz w:val="32"/>
        </w:rPr>
        <w:t xml:space="preserve">4.1 </w:t>
      </w:r>
      <w:r>
        <w:rPr>
          <w:rFonts w:ascii="Arial" w:hAnsi="Arial" w:eastAsia="等线" w:cs="Arial"/>
          <w:b/>
          <w:sz w:val="32"/>
        </w:rPr>
        <w:t>税务与收入</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1050"/>
        <w:gridCol w:w="5400"/>
      </w:tblGrid>
      <w:tr w14:paraId="1E4EB7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2DC1ED9">
            <w:pPr>
              <w:spacing w:before="120" w:after="120" w:line="288" w:lineRule="auto"/>
              <w:ind w:left="0"/>
              <w:jc w:val="left"/>
            </w:pPr>
            <w:r>
              <w:rPr>
                <w:rFonts w:ascii="Arial" w:hAnsi="Arial" w:eastAsia="等线" w:cs="Arial"/>
                <w:b/>
                <w:sz w:val="22"/>
              </w:rPr>
              <w:t>英文</w:t>
            </w:r>
          </w:p>
        </w:tc>
        <w:tc>
          <w:tcPr>
            <w:tcW w:w="1050" w:type="dxa"/>
            <w:tcMar>
              <w:top w:w="60" w:type="dxa"/>
              <w:left w:w="120" w:type="dxa"/>
              <w:bottom w:w="30" w:type="dxa"/>
              <w:right w:w="120" w:type="dxa"/>
            </w:tcMar>
          </w:tcPr>
          <w:p w14:paraId="1F10A466">
            <w:pPr>
              <w:spacing w:before="120" w:after="120" w:line="288" w:lineRule="auto"/>
              <w:ind w:left="0"/>
              <w:jc w:val="left"/>
            </w:pPr>
            <w:r>
              <w:rPr>
                <w:rFonts w:ascii="Arial" w:hAnsi="Arial" w:eastAsia="等线" w:cs="Arial"/>
                <w:b/>
                <w:sz w:val="22"/>
              </w:rPr>
              <w:t>中文</w:t>
            </w:r>
          </w:p>
        </w:tc>
        <w:tc>
          <w:tcPr>
            <w:tcW w:w="5400" w:type="dxa"/>
            <w:tcMar>
              <w:top w:w="60" w:type="dxa"/>
              <w:left w:w="120" w:type="dxa"/>
              <w:bottom w:w="30" w:type="dxa"/>
              <w:right w:w="120" w:type="dxa"/>
            </w:tcMar>
          </w:tcPr>
          <w:p w14:paraId="11576940">
            <w:pPr>
              <w:spacing w:before="120" w:after="120" w:line="288" w:lineRule="auto"/>
              <w:ind w:left="0"/>
              <w:jc w:val="left"/>
            </w:pPr>
            <w:r>
              <w:rPr>
                <w:rFonts w:ascii="Arial" w:hAnsi="Arial" w:eastAsia="等线" w:cs="Arial"/>
                <w:b/>
                <w:sz w:val="22"/>
              </w:rPr>
              <w:t>释义</w:t>
            </w:r>
          </w:p>
        </w:tc>
      </w:tr>
      <w:tr w14:paraId="2156AF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78BB60F">
            <w:pPr>
              <w:spacing w:before="120" w:after="120" w:line="288" w:lineRule="auto"/>
              <w:ind w:left="0"/>
              <w:jc w:val="left"/>
            </w:pPr>
            <w:r>
              <w:rPr>
                <w:rFonts w:ascii="Arial" w:hAnsi="Arial" w:eastAsia="等线" w:cs="Arial"/>
                <w:sz w:val="22"/>
              </w:rPr>
              <w:t>Tax Categories</w:t>
            </w:r>
          </w:p>
        </w:tc>
        <w:tc>
          <w:tcPr>
            <w:tcW w:w="1050" w:type="dxa"/>
            <w:tcMar>
              <w:top w:w="60" w:type="dxa"/>
              <w:left w:w="120" w:type="dxa"/>
              <w:bottom w:w="30" w:type="dxa"/>
              <w:right w:w="120" w:type="dxa"/>
            </w:tcMar>
          </w:tcPr>
          <w:p w14:paraId="7C6E4133">
            <w:pPr>
              <w:spacing w:before="120" w:after="120" w:line="288" w:lineRule="auto"/>
              <w:ind w:left="0"/>
              <w:jc w:val="left"/>
            </w:pPr>
            <w:r>
              <w:rPr>
                <w:rFonts w:ascii="Arial" w:hAnsi="Arial" w:eastAsia="等线" w:cs="Arial"/>
                <w:sz w:val="22"/>
              </w:rPr>
              <w:t>税收分类</w:t>
            </w:r>
          </w:p>
        </w:tc>
        <w:tc>
          <w:tcPr>
            <w:tcW w:w="5400" w:type="dxa"/>
            <w:tcMar>
              <w:top w:w="60" w:type="dxa"/>
              <w:left w:w="120" w:type="dxa"/>
              <w:bottom w:w="30" w:type="dxa"/>
              <w:right w:w="120" w:type="dxa"/>
            </w:tcMar>
          </w:tcPr>
          <w:p w14:paraId="709A94A2">
            <w:pPr>
              <w:spacing w:before="120" w:after="120" w:line="288" w:lineRule="auto"/>
              <w:ind w:left="0"/>
              <w:jc w:val="left"/>
            </w:pPr>
            <w:r>
              <w:rPr>
                <w:rFonts w:ascii="Arial" w:hAnsi="Arial" w:eastAsia="等线" w:cs="Arial"/>
                <w:sz w:val="22"/>
              </w:rPr>
              <w:t>最高税务征收机构（美国国税局 Internal Revenue Service，IRS）根据个人缴纳的百分比，将税收分为累进税和累退税。</w:t>
            </w:r>
          </w:p>
        </w:tc>
      </w:tr>
      <w:tr w14:paraId="048699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777DDC37">
            <w:pPr>
              <w:spacing w:before="120" w:after="120" w:line="288" w:lineRule="auto"/>
              <w:ind w:left="0"/>
              <w:jc w:val="left"/>
            </w:pPr>
            <w:r>
              <w:rPr>
                <w:rFonts w:ascii="Arial" w:hAnsi="Arial" w:eastAsia="等线" w:cs="Arial"/>
                <w:sz w:val="22"/>
              </w:rPr>
              <w:t>Types of Income</w:t>
            </w:r>
          </w:p>
        </w:tc>
        <w:tc>
          <w:tcPr>
            <w:tcW w:w="1050" w:type="dxa"/>
            <w:tcMar>
              <w:top w:w="60" w:type="dxa"/>
              <w:left w:w="120" w:type="dxa"/>
              <w:bottom w:w="30" w:type="dxa"/>
              <w:right w:w="120" w:type="dxa"/>
            </w:tcMar>
          </w:tcPr>
          <w:p w14:paraId="741E412D">
            <w:pPr>
              <w:spacing w:before="120" w:after="120" w:line="288" w:lineRule="auto"/>
              <w:ind w:left="0"/>
              <w:jc w:val="left"/>
            </w:pPr>
            <w:r>
              <w:rPr>
                <w:rFonts w:ascii="Arial" w:hAnsi="Arial" w:eastAsia="等线" w:cs="Arial"/>
                <w:sz w:val="22"/>
              </w:rPr>
              <w:t>收入类型</w:t>
            </w:r>
          </w:p>
        </w:tc>
        <w:tc>
          <w:tcPr>
            <w:tcW w:w="5400" w:type="dxa"/>
            <w:tcMar>
              <w:top w:w="60" w:type="dxa"/>
              <w:left w:w="120" w:type="dxa"/>
              <w:bottom w:w="30" w:type="dxa"/>
              <w:right w:w="120" w:type="dxa"/>
            </w:tcMar>
          </w:tcPr>
          <w:p w14:paraId="7BFE3017">
            <w:pPr>
              <w:spacing w:before="120" w:after="120" w:line="288" w:lineRule="auto"/>
              <w:ind w:left="0"/>
              <w:jc w:val="left"/>
            </w:pPr>
            <w:r>
              <w:rPr>
                <w:rFonts w:ascii="Arial" w:hAnsi="Arial" w:eastAsia="等线" w:cs="Arial"/>
                <w:sz w:val="22"/>
              </w:rPr>
              <w:t>收入类型主要分三大类别：主动收入，被动收入和投资组合收入。不同类型对应不同税务规则。</w:t>
            </w:r>
          </w:p>
        </w:tc>
      </w:tr>
      <w:tr w14:paraId="5E6E8D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368DE84">
            <w:pPr>
              <w:spacing w:before="120" w:after="120" w:line="288" w:lineRule="auto"/>
              <w:ind w:left="0"/>
              <w:jc w:val="left"/>
            </w:pPr>
            <w:r>
              <w:rPr>
                <w:rFonts w:ascii="Arial" w:hAnsi="Arial" w:eastAsia="等线" w:cs="Arial"/>
                <w:sz w:val="22"/>
              </w:rPr>
              <w:t>Taxable Income</w:t>
            </w:r>
          </w:p>
          <w:p w14:paraId="03948E74">
            <w:pPr>
              <w:spacing w:before="120" w:after="120" w:line="288" w:lineRule="auto"/>
              <w:ind w:left="0"/>
              <w:jc w:val="left"/>
            </w:pPr>
          </w:p>
        </w:tc>
        <w:tc>
          <w:tcPr>
            <w:tcW w:w="1050" w:type="dxa"/>
            <w:tcMar>
              <w:top w:w="60" w:type="dxa"/>
              <w:left w:w="120" w:type="dxa"/>
              <w:bottom w:w="30" w:type="dxa"/>
              <w:right w:w="120" w:type="dxa"/>
            </w:tcMar>
          </w:tcPr>
          <w:p w14:paraId="0DC3B17E">
            <w:pPr>
              <w:spacing w:before="120" w:after="120" w:line="288" w:lineRule="auto"/>
              <w:ind w:left="0"/>
              <w:jc w:val="left"/>
            </w:pPr>
            <w:r>
              <w:rPr>
                <w:rFonts w:ascii="Arial" w:hAnsi="Arial" w:eastAsia="等线" w:cs="Arial"/>
                <w:sz w:val="22"/>
              </w:rPr>
              <w:t>应税收入</w:t>
            </w:r>
          </w:p>
        </w:tc>
        <w:tc>
          <w:tcPr>
            <w:tcW w:w="5400" w:type="dxa"/>
            <w:tcMar>
              <w:top w:w="60" w:type="dxa"/>
              <w:left w:w="120" w:type="dxa"/>
              <w:bottom w:w="30" w:type="dxa"/>
              <w:right w:w="120" w:type="dxa"/>
            </w:tcMar>
          </w:tcPr>
          <w:p w14:paraId="6D489AB6">
            <w:pPr>
              <w:spacing w:before="120" w:after="120" w:line="288" w:lineRule="auto"/>
              <w:ind w:left="0"/>
              <w:jc w:val="left"/>
            </w:pPr>
            <w:r>
              <w:rPr>
                <w:rFonts w:ascii="Arial" w:hAnsi="Arial" w:eastAsia="等线" w:cs="Arial"/>
                <w:sz w:val="22"/>
              </w:rPr>
              <w:t>需按投资者适用税率缴纳联邦（及可能州 / 地方）所得税的收入，包括非市政债券利息、普通股息、短期资本利得等</w:t>
            </w:r>
          </w:p>
        </w:tc>
      </w:tr>
      <w:tr w14:paraId="09D963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E7BE68A">
            <w:pPr>
              <w:spacing w:before="120" w:after="120" w:line="288" w:lineRule="auto"/>
              <w:ind w:left="0"/>
              <w:jc w:val="left"/>
            </w:pPr>
            <w:r>
              <w:rPr>
                <w:rFonts w:ascii="Arial" w:hAnsi="Arial" w:eastAsia="等线" w:cs="Arial"/>
                <w:sz w:val="22"/>
              </w:rPr>
              <w:t>Tax-Exempt Income</w:t>
            </w:r>
          </w:p>
        </w:tc>
        <w:tc>
          <w:tcPr>
            <w:tcW w:w="1050" w:type="dxa"/>
            <w:tcMar>
              <w:top w:w="60" w:type="dxa"/>
              <w:left w:w="120" w:type="dxa"/>
              <w:bottom w:w="30" w:type="dxa"/>
              <w:right w:w="120" w:type="dxa"/>
            </w:tcMar>
          </w:tcPr>
          <w:p w14:paraId="2F05B632">
            <w:pPr>
              <w:spacing w:before="120" w:after="120" w:line="288" w:lineRule="auto"/>
              <w:ind w:left="0"/>
              <w:jc w:val="left"/>
            </w:pPr>
            <w:r>
              <w:rPr>
                <w:rFonts w:ascii="Arial" w:hAnsi="Arial" w:eastAsia="等线" w:cs="Arial"/>
                <w:sz w:val="22"/>
              </w:rPr>
              <w:t>免税收入</w:t>
            </w:r>
          </w:p>
        </w:tc>
        <w:tc>
          <w:tcPr>
            <w:tcW w:w="5400" w:type="dxa"/>
            <w:tcMar>
              <w:top w:w="60" w:type="dxa"/>
              <w:left w:w="120" w:type="dxa"/>
              <w:bottom w:w="30" w:type="dxa"/>
              <w:right w:w="120" w:type="dxa"/>
            </w:tcMar>
          </w:tcPr>
          <w:p w14:paraId="1D76DC92">
            <w:pPr>
              <w:spacing w:before="120" w:after="120" w:line="288" w:lineRule="auto"/>
              <w:ind w:left="0"/>
              <w:jc w:val="left"/>
            </w:pPr>
            <w:r>
              <w:rPr>
                <w:rFonts w:ascii="Arial" w:hAnsi="Arial" w:eastAsia="等线" w:cs="Arial"/>
                <w:sz w:val="22"/>
              </w:rPr>
              <w:t>无需缴纳特定税款的收入，章节核心为市政债券利息（联邦层面免税，部分为 “三重免税”）</w:t>
            </w:r>
          </w:p>
        </w:tc>
      </w:tr>
    </w:tbl>
    <w:p w14:paraId="7CF73B52">
      <w:pPr>
        <w:spacing w:before="320" w:after="120" w:line="288" w:lineRule="auto"/>
        <w:ind w:left="0"/>
        <w:jc w:val="left"/>
        <w:outlineLvl w:val="1"/>
      </w:pPr>
      <w:bookmarkStart w:id="35" w:name="heading_35"/>
      <w:r>
        <w:rPr>
          <w:rFonts w:ascii="Arial" w:hAnsi="Arial" w:eastAsia="等线" w:cs="Arial"/>
          <w:color w:val="3370FF"/>
          <w:sz w:val="32"/>
        </w:rPr>
        <w:t xml:space="preserve">4.2 </w:t>
      </w:r>
      <w:r>
        <w:rPr>
          <w:rFonts w:ascii="Arial" w:hAnsi="Arial" w:eastAsia="等线" w:cs="Arial"/>
          <w:b/>
          <w:sz w:val="32"/>
        </w:rPr>
        <w:t>投资相关税费</w:t>
      </w:r>
      <w:bookmarkEnd w:id="3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1050"/>
        <w:gridCol w:w="5400"/>
      </w:tblGrid>
      <w:tr w14:paraId="345B5C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5ACB1C8">
            <w:pPr>
              <w:spacing w:before="120" w:after="120" w:line="288" w:lineRule="auto"/>
              <w:ind w:left="0"/>
              <w:jc w:val="left"/>
            </w:pPr>
            <w:r>
              <w:rPr>
                <w:rFonts w:ascii="Arial" w:hAnsi="Arial" w:eastAsia="等线" w:cs="Arial"/>
                <w:b/>
                <w:sz w:val="22"/>
              </w:rPr>
              <w:t>英文</w:t>
            </w:r>
          </w:p>
        </w:tc>
        <w:tc>
          <w:tcPr>
            <w:tcW w:w="1050" w:type="dxa"/>
            <w:tcMar>
              <w:top w:w="60" w:type="dxa"/>
              <w:left w:w="120" w:type="dxa"/>
              <w:bottom w:w="30" w:type="dxa"/>
              <w:right w:w="120" w:type="dxa"/>
            </w:tcMar>
          </w:tcPr>
          <w:p w14:paraId="3B389E2D">
            <w:pPr>
              <w:spacing w:before="120" w:after="120" w:line="288" w:lineRule="auto"/>
              <w:ind w:left="0"/>
              <w:jc w:val="left"/>
            </w:pPr>
            <w:r>
              <w:rPr>
                <w:rFonts w:ascii="Arial" w:hAnsi="Arial" w:eastAsia="等线" w:cs="Arial"/>
                <w:b/>
                <w:sz w:val="22"/>
              </w:rPr>
              <w:t>中文</w:t>
            </w:r>
          </w:p>
        </w:tc>
        <w:tc>
          <w:tcPr>
            <w:tcW w:w="5400" w:type="dxa"/>
            <w:tcMar>
              <w:top w:w="60" w:type="dxa"/>
              <w:left w:w="120" w:type="dxa"/>
              <w:bottom w:w="30" w:type="dxa"/>
              <w:right w:w="120" w:type="dxa"/>
            </w:tcMar>
          </w:tcPr>
          <w:p w14:paraId="37922D6A">
            <w:pPr>
              <w:spacing w:before="120" w:after="120" w:line="288" w:lineRule="auto"/>
              <w:ind w:left="0"/>
              <w:jc w:val="left"/>
            </w:pPr>
            <w:r>
              <w:rPr>
                <w:rFonts w:ascii="Arial" w:hAnsi="Arial" w:eastAsia="等线" w:cs="Arial"/>
                <w:b/>
                <w:sz w:val="22"/>
              </w:rPr>
              <w:t>释义</w:t>
            </w:r>
          </w:p>
        </w:tc>
      </w:tr>
      <w:tr w14:paraId="5771E7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B9EBC54">
            <w:pPr>
              <w:spacing w:before="120" w:after="120" w:line="288" w:lineRule="auto"/>
              <w:ind w:left="0"/>
              <w:jc w:val="left"/>
            </w:pPr>
            <w:r>
              <w:rPr>
                <w:rFonts w:ascii="Arial" w:hAnsi="Arial" w:eastAsia="等线" w:cs="Arial"/>
                <w:sz w:val="22"/>
              </w:rPr>
              <w:t>Interest Income</w:t>
            </w:r>
          </w:p>
        </w:tc>
        <w:tc>
          <w:tcPr>
            <w:tcW w:w="1050" w:type="dxa"/>
            <w:tcMar>
              <w:top w:w="60" w:type="dxa"/>
              <w:left w:w="120" w:type="dxa"/>
              <w:bottom w:w="30" w:type="dxa"/>
              <w:right w:w="120" w:type="dxa"/>
            </w:tcMar>
          </w:tcPr>
          <w:p w14:paraId="629AFB3D">
            <w:pPr>
              <w:spacing w:before="120" w:after="120" w:line="288" w:lineRule="auto"/>
              <w:ind w:left="0"/>
              <w:jc w:val="left"/>
            </w:pPr>
            <w:r>
              <w:rPr>
                <w:rFonts w:ascii="Arial" w:hAnsi="Arial" w:eastAsia="等线" w:cs="Arial"/>
                <w:sz w:val="22"/>
              </w:rPr>
              <w:t>利息收入</w:t>
            </w:r>
          </w:p>
        </w:tc>
        <w:tc>
          <w:tcPr>
            <w:tcW w:w="5400" w:type="dxa"/>
            <w:tcMar>
              <w:top w:w="60" w:type="dxa"/>
              <w:left w:w="120" w:type="dxa"/>
              <w:bottom w:w="30" w:type="dxa"/>
              <w:right w:w="120" w:type="dxa"/>
            </w:tcMar>
          </w:tcPr>
          <w:p w14:paraId="5ED69A58">
            <w:pPr>
              <w:spacing w:before="120" w:after="120" w:line="288" w:lineRule="auto"/>
              <w:ind w:left="0"/>
              <w:jc w:val="left"/>
            </w:pPr>
            <w:r>
              <w:rPr>
                <w:rFonts w:ascii="Arial" w:hAnsi="Arial" w:eastAsia="等线" w:cs="Arial"/>
                <w:sz w:val="22"/>
              </w:rPr>
              <w:t>固定收益产品（债券、CD 等）产生的收入，除市政债券外均需全额应税；需关注 “应计利息” 税务归属（购买时支付的应计利息可抵扣，出售时收取的应计利息需计税）</w:t>
            </w:r>
          </w:p>
        </w:tc>
      </w:tr>
      <w:tr w14:paraId="714DD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46E4FD31">
            <w:pPr>
              <w:spacing w:before="120" w:after="120" w:line="288" w:lineRule="auto"/>
              <w:ind w:left="0"/>
              <w:jc w:val="left"/>
            </w:pPr>
            <w:r>
              <w:rPr>
                <w:rFonts w:ascii="Arial" w:hAnsi="Arial" w:eastAsia="等线" w:cs="Arial"/>
                <w:sz w:val="22"/>
              </w:rPr>
              <w:t>Dividends</w:t>
            </w:r>
          </w:p>
        </w:tc>
        <w:tc>
          <w:tcPr>
            <w:tcW w:w="1050" w:type="dxa"/>
            <w:tcMar>
              <w:top w:w="60" w:type="dxa"/>
              <w:left w:w="120" w:type="dxa"/>
              <w:bottom w:w="30" w:type="dxa"/>
              <w:right w:w="120" w:type="dxa"/>
            </w:tcMar>
          </w:tcPr>
          <w:p w14:paraId="64D06258">
            <w:pPr>
              <w:spacing w:before="120" w:after="120" w:line="288" w:lineRule="auto"/>
              <w:ind w:left="0"/>
              <w:jc w:val="left"/>
            </w:pPr>
            <w:r>
              <w:rPr>
                <w:rFonts w:ascii="Arial" w:hAnsi="Arial" w:eastAsia="等线" w:cs="Arial"/>
                <w:sz w:val="22"/>
              </w:rPr>
              <w:t>股息收入</w:t>
            </w:r>
          </w:p>
        </w:tc>
        <w:tc>
          <w:tcPr>
            <w:tcW w:w="5400" w:type="dxa"/>
            <w:tcMar>
              <w:top w:w="60" w:type="dxa"/>
              <w:left w:w="120" w:type="dxa"/>
              <w:bottom w:w="30" w:type="dxa"/>
              <w:right w:w="120" w:type="dxa"/>
            </w:tcMar>
          </w:tcPr>
          <w:p w14:paraId="44B0C017">
            <w:pPr>
              <w:spacing w:before="120" w:after="120" w:line="288" w:lineRule="auto"/>
              <w:ind w:left="0"/>
              <w:jc w:val="left"/>
            </w:pPr>
            <w:r>
              <w:rPr>
                <w:rFonts w:ascii="Arial" w:hAnsi="Arial" w:eastAsia="等线" w:cs="Arial"/>
                <w:sz w:val="22"/>
              </w:rPr>
              <w:t>公司向股东分配的利润，章节明确分为 “普通股息” 和 “合格股息”，前者按普通收入税率计税，后者（满足持有期等条件）按资本利得税率计税（税率更低）</w:t>
            </w:r>
          </w:p>
        </w:tc>
      </w:tr>
      <w:tr w14:paraId="52BDD6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337BF9C">
            <w:pPr>
              <w:spacing w:before="120" w:after="120" w:line="288" w:lineRule="auto"/>
              <w:ind w:left="0"/>
              <w:jc w:val="left"/>
            </w:pPr>
            <w:r>
              <w:rPr>
                <w:rFonts w:ascii="Arial" w:hAnsi="Arial" w:eastAsia="等线" w:cs="Arial"/>
                <w:sz w:val="22"/>
              </w:rPr>
              <w:t>Cash Dividends</w:t>
            </w:r>
          </w:p>
        </w:tc>
        <w:tc>
          <w:tcPr>
            <w:tcW w:w="1050" w:type="dxa"/>
            <w:tcMar>
              <w:top w:w="60" w:type="dxa"/>
              <w:left w:w="120" w:type="dxa"/>
              <w:bottom w:w="30" w:type="dxa"/>
              <w:right w:w="120" w:type="dxa"/>
            </w:tcMar>
          </w:tcPr>
          <w:p w14:paraId="50D33421">
            <w:pPr>
              <w:spacing w:before="120" w:after="120" w:line="288" w:lineRule="auto"/>
              <w:ind w:left="0"/>
              <w:jc w:val="left"/>
            </w:pPr>
            <w:r>
              <w:rPr>
                <w:rFonts w:ascii="Arial" w:hAnsi="Arial" w:eastAsia="等线" w:cs="Arial"/>
                <w:sz w:val="22"/>
              </w:rPr>
              <w:t>现金股息</w:t>
            </w:r>
          </w:p>
        </w:tc>
        <w:tc>
          <w:tcPr>
            <w:tcW w:w="5400" w:type="dxa"/>
            <w:tcMar>
              <w:top w:w="60" w:type="dxa"/>
              <w:left w:w="120" w:type="dxa"/>
              <w:bottom w:w="30" w:type="dxa"/>
              <w:right w:w="120" w:type="dxa"/>
            </w:tcMar>
          </w:tcPr>
          <w:p w14:paraId="09938BFA">
            <w:pPr>
              <w:spacing w:before="120" w:after="120" w:line="288" w:lineRule="auto"/>
              <w:ind w:left="0"/>
              <w:jc w:val="left"/>
            </w:pPr>
            <w:r>
              <w:rPr>
                <w:rFonts w:ascii="Arial" w:hAnsi="Arial" w:eastAsia="等线" w:cs="Arial"/>
                <w:sz w:val="22"/>
              </w:rPr>
              <w:t>以现金形式发放的股息，属应税收入，需按 “普通股息” 或 “合格股息” 规则确定税率</w:t>
            </w:r>
          </w:p>
        </w:tc>
      </w:tr>
      <w:tr w14:paraId="3B8C21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0E853B0">
            <w:pPr>
              <w:spacing w:before="120" w:after="120" w:line="288" w:lineRule="auto"/>
              <w:ind w:left="0"/>
              <w:jc w:val="left"/>
            </w:pPr>
            <w:r>
              <w:rPr>
                <w:rFonts w:ascii="Arial" w:hAnsi="Arial" w:eastAsia="等线" w:cs="Arial"/>
                <w:sz w:val="22"/>
              </w:rPr>
              <w:t>Stock Dividends</w:t>
            </w:r>
          </w:p>
        </w:tc>
        <w:tc>
          <w:tcPr>
            <w:tcW w:w="1050" w:type="dxa"/>
            <w:tcMar>
              <w:top w:w="60" w:type="dxa"/>
              <w:left w:w="120" w:type="dxa"/>
              <w:bottom w:w="30" w:type="dxa"/>
              <w:right w:w="120" w:type="dxa"/>
            </w:tcMar>
          </w:tcPr>
          <w:p w14:paraId="712C5397">
            <w:pPr>
              <w:spacing w:before="120" w:after="120" w:line="288" w:lineRule="auto"/>
              <w:ind w:left="0"/>
              <w:jc w:val="left"/>
            </w:pPr>
            <w:r>
              <w:rPr>
                <w:rFonts w:ascii="Arial" w:hAnsi="Arial" w:eastAsia="等线" w:cs="Arial"/>
                <w:sz w:val="22"/>
              </w:rPr>
              <w:t>股票股息</w:t>
            </w:r>
          </w:p>
        </w:tc>
        <w:tc>
          <w:tcPr>
            <w:tcW w:w="5400" w:type="dxa"/>
            <w:tcMar>
              <w:top w:w="60" w:type="dxa"/>
              <w:left w:w="120" w:type="dxa"/>
              <w:bottom w:w="30" w:type="dxa"/>
              <w:right w:w="120" w:type="dxa"/>
            </w:tcMar>
          </w:tcPr>
          <w:p w14:paraId="36B527B7">
            <w:pPr>
              <w:spacing w:before="120" w:after="120" w:line="288" w:lineRule="auto"/>
              <w:ind w:left="0"/>
              <w:jc w:val="left"/>
            </w:pPr>
            <w:r>
              <w:rPr>
                <w:rFonts w:ascii="Arial" w:hAnsi="Arial" w:eastAsia="等线" w:cs="Arial"/>
                <w:sz w:val="22"/>
              </w:rPr>
              <w:t>以额外股票形式发放的股息，通常不即时应税（投资者总投资价值未变），仅在后续出售股票时按资本利得 / 损失规则计税</w:t>
            </w:r>
          </w:p>
        </w:tc>
      </w:tr>
      <w:tr w14:paraId="7A64B3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C603A4B">
            <w:pPr>
              <w:spacing w:before="120" w:after="120" w:line="288" w:lineRule="auto"/>
              <w:ind w:left="0"/>
              <w:jc w:val="left"/>
            </w:pPr>
            <w:r>
              <w:rPr>
                <w:rFonts w:ascii="Arial" w:hAnsi="Arial" w:eastAsia="等线" w:cs="Arial"/>
                <w:sz w:val="22"/>
              </w:rPr>
              <w:t>Dividends from Mutual Funds</w:t>
            </w:r>
          </w:p>
        </w:tc>
        <w:tc>
          <w:tcPr>
            <w:tcW w:w="1050" w:type="dxa"/>
            <w:tcMar>
              <w:top w:w="60" w:type="dxa"/>
              <w:left w:w="120" w:type="dxa"/>
              <w:bottom w:w="30" w:type="dxa"/>
              <w:right w:w="120" w:type="dxa"/>
            </w:tcMar>
          </w:tcPr>
          <w:p w14:paraId="63FABE2C">
            <w:pPr>
              <w:spacing w:before="120" w:after="120" w:line="288" w:lineRule="auto"/>
              <w:ind w:left="0"/>
              <w:jc w:val="left"/>
            </w:pPr>
            <w:r>
              <w:rPr>
                <w:rFonts w:ascii="Arial" w:hAnsi="Arial" w:eastAsia="等线" w:cs="Arial"/>
                <w:sz w:val="22"/>
              </w:rPr>
              <w:t>共同基金股息</w:t>
            </w:r>
          </w:p>
        </w:tc>
        <w:tc>
          <w:tcPr>
            <w:tcW w:w="5400" w:type="dxa"/>
            <w:tcMar>
              <w:top w:w="60" w:type="dxa"/>
              <w:left w:w="120" w:type="dxa"/>
              <w:bottom w:w="30" w:type="dxa"/>
              <w:right w:w="120" w:type="dxa"/>
            </w:tcMar>
          </w:tcPr>
          <w:p w14:paraId="6F9145CB">
            <w:pPr>
              <w:spacing w:before="120" w:after="120" w:line="288" w:lineRule="auto"/>
              <w:ind w:left="0"/>
              <w:jc w:val="left"/>
            </w:pPr>
            <w:r>
              <w:rPr>
                <w:rFonts w:ascii="Arial" w:hAnsi="Arial" w:eastAsia="等线" w:cs="Arial"/>
                <w:sz w:val="22"/>
              </w:rPr>
              <w:t>共同基金分配的股息，税务处理与股票股息一致，需区分 “普通股息” 和 “合格股息”</w:t>
            </w:r>
          </w:p>
        </w:tc>
      </w:tr>
      <w:tr w14:paraId="5986BD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5640D12">
            <w:pPr>
              <w:spacing w:before="120" w:after="120" w:line="288" w:lineRule="auto"/>
              <w:ind w:left="0"/>
              <w:jc w:val="left"/>
            </w:pPr>
            <w:r>
              <w:rPr>
                <w:rFonts w:ascii="Arial" w:hAnsi="Arial" w:eastAsia="等线" w:cs="Arial"/>
                <w:sz w:val="22"/>
              </w:rPr>
              <w:t>Capital Gains and Losses</w:t>
            </w:r>
          </w:p>
        </w:tc>
        <w:tc>
          <w:tcPr>
            <w:tcW w:w="1050" w:type="dxa"/>
            <w:tcMar>
              <w:top w:w="60" w:type="dxa"/>
              <w:left w:w="120" w:type="dxa"/>
              <w:bottom w:w="30" w:type="dxa"/>
              <w:right w:w="120" w:type="dxa"/>
            </w:tcMar>
          </w:tcPr>
          <w:p w14:paraId="142517A3">
            <w:pPr>
              <w:spacing w:before="120" w:after="120" w:line="288" w:lineRule="auto"/>
              <w:ind w:left="0"/>
              <w:jc w:val="left"/>
            </w:pPr>
            <w:r>
              <w:rPr>
                <w:rFonts w:ascii="Arial" w:hAnsi="Arial" w:eastAsia="等线" w:cs="Arial"/>
                <w:sz w:val="22"/>
              </w:rPr>
              <w:t>资本利得与损失</w:t>
            </w:r>
          </w:p>
        </w:tc>
        <w:tc>
          <w:tcPr>
            <w:tcW w:w="5400" w:type="dxa"/>
            <w:tcMar>
              <w:top w:w="60" w:type="dxa"/>
              <w:left w:w="120" w:type="dxa"/>
              <w:bottom w:w="30" w:type="dxa"/>
              <w:right w:w="120" w:type="dxa"/>
            </w:tcMar>
          </w:tcPr>
          <w:p w14:paraId="49A4E6A1">
            <w:pPr>
              <w:spacing w:before="120" w:after="120" w:line="288" w:lineRule="auto"/>
              <w:ind w:left="0"/>
              <w:jc w:val="left"/>
            </w:pPr>
            <w:r>
              <w:rPr>
                <w:rFonts w:ascii="Arial" w:hAnsi="Arial" w:eastAsia="等线" w:cs="Arial"/>
                <w:sz w:val="22"/>
              </w:rPr>
              <w:t>出售证券时 “售价 - 成本基” 的差额；短期（1 年及以内）利得按普通税率，长期（1 年以上）利得按低税率；损失可抵扣利得，超额部分每年最多抵扣 $3,000，未抵扣部分可结转</w:t>
            </w:r>
          </w:p>
        </w:tc>
      </w:tr>
      <w:tr w14:paraId="0067A3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74F821C">
            <w:pPr>
              <w:spacing w:before="120" w:after="120" w:line="288" w:lineRule="auto"/>
              <w:ind w:left="0"/>
              <w:jc w:val="left"/>
            </w:pPr>
            <w:r>
              <w:rPr>
                <w:rFonts w:ascii="Arial" w:hAnsi="Arial" w:eastAsia="等线" w:cs="Arial"/>
                <w:sz w:val="22"/>
              </w:rPr>
              <w:t>Wash Sale Rule</w:t>
            </w:r>
          </w:p>
        </w:tc>
        <w:tc>
          <w:tcPr>
            <w:tcW w:w="1050" w:type="dxa"/>
            <w:tcMar>
              <w:top w:w="60" w:type="dxa"/>
              <w:left w:w="120" w:type="dxa"/>
              <w:bottom w:w="30" w:type="dxa"/>
              <w:right w:w="120" w:type="dxa"/>
            </w:tcMar>
          </w:tcPr>
          <w:p w14:paraId="782C1A91">
            <w:pPr>
              <w:spacing w:before="120" w:after="120" w:line="288" w:lineRule="auto"/>
              <w:ind w:left="0"/>
              <w:jc w:val="left"/>
            </w:pPr>
            <w:r>
              <w:rPr>
                <w:rFonts w:ascii="Arial" w:hAnsi="Arial" w:eastAsia="等线" w:cs="Arial"/>
                <w:sz w:val="22"/>
              </w:rPr>
              <w:t>洗售规则</w:t>
            </w:r>
          </w:p>
        </w:tc>
        <w:tc>
          <w:tcPr>
            <w:tcW w:w="5400" w:type="dxa"/>
            <w:tcMar>
              <w:top w:w="60" w:type="dxa"/>
              <w:left w:w="120" w:type="dxa"/>
              <w:bottom w:w="30" w:type="dxa"/>
              <w:right w:w="120" w:type="dxa"/>
            </w:tcMar>
          </w:tcPr>
          <w:p w14:paraId="59CF59E2">
            <w:pPr>
              <w:spacing w:before="120" w:after="120" w:line="288" w:lineRule="auto"/>
              <w:ind w:left="0"/>
              <w:jc w:val="left"/>
            </w:pPr>
            <w:r>
              <w:rPr>
                <w:rFonts w:ascii="Arial" w:hAnsi="Arial" w:eastAsia="等线" w:cs="Arial"/>
                <w:sz w:val="22"/>
              </w:rPr>
              <w:t>限制 “虚假损失抵扣” 的规则：出售证券产生损失后 30 天内买入相同 / 实质相似证券，该损失不可当期抵扣，需调整成本基</w:t>
            </w:r>
          </w:p>
        </w:tc>
      </w:tr>
      <w:tr w14:paraId="18E075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95B9B6D">
            <w:pPr>
              <w:spacing w:before="120" w:after="120" w:line="288" w:lineRule="auto"/>
              <w:ind w:left="0"/>
              <w:jc w:val="left"/>
            </w:pPr>
            <w:r>
              <w:rPr>
                <w:rFonts w:ascii="Arial" w:hAnsi="Arial" w:eastAsia="等线" w:cs="Arial"/>
                <w:sz w:val="22"/>
              </w:rPr>
              <w:t>Estate Taxes</w:t>
            </w:r>
          </w:p>
        </w:tc>
        <w:tc>
          <w:tcPr>
            <w:tcW w:w="1050" w:type="dxa"/>
            <w:tcMar>
              <w:top w:w="60" w:type="dxa"/>
              <w:left w:w="120" w:type="dxa"/>
              <w:bottom w:w="30" w:type="dxa"/>
              <w:right w:w="120" w:type="dxa"/>
            </w:tcMar>
          </w:tcPr>
          <w:p w14:paraId="6CB4D8FA">
            <w:pPr>
              <w:spacing w:before="120" w:after="120" w:line="288" w:lineRule="auto"/>
              <w:ind w:left="0"/>
              <w:jc w:val="left"/>
            </w:pPr>
            <w:r>
              <w:rPr>
                <w:rFonts w:ascii="Arial" w:hAnsi="Arial" w:eastAsia="等线" w:cs="Arial"/>
                <w:sz w:val="22"/>
              </w:rPr>
              <w:t>遗产税</w:t>
            </w:r>
          </w:p>
        </w:tc>
        <w:tc>
          <w:tcPr>
            <w:tcW w:w="5400" w:type="dxa"/>
            <w:tcMar>
              <w:top w:w="60" w:type="dxa"/>
              <w:left w:w="120" w:type="dxa"/>
              <w:bottom w:w="30" w:type="dxa"/>
              <w:right w:w="120" w:type="dxa"/>
            </w:tcMar>
          </w:tcPr>
          <w:p w14:paraId="7F6EF41E">
            <w:pPr>
              <w:spacing w:before="120" w:after="120" w:line="288" w:lineRule="auto"/>
              <w:ind w:left="0"/>
              <w:jc w:val="left"/>
            </w:pPr>
            <w:r>
              <w:rPr>
                <w:rFonts w:ascii="Arial" w:hAnsi="Arial" w:eastAsia="等线" w:cs="Arial"/>
                <w:sz w:val="22"/>
              </w:rPr>
              <w:t>针对遗产转移征收的税款，章节提及基础概念，聚焦投资资产传承相关的税务合规基础</w:t>
            </w:r>
          </w:p>
        </w:tc>
      </w:tr>
    </w:tbl>
    <w:p w14:paraId="75CDB010">
      <w:pPr>
        <w:spacing w:before="320" w:after="120" w:line="288" w:lineRule="auto"/>
        <w:ind w:left="0"/>
        <w:jc w:val="left"/>
        <w:outlineLvl w:val="1"/>
      </w:pPr>
      <w:bookmarkStart w:id="36" w:name="heading_36"/>
      <w:r>
        <w:rPr>
          <w:rFonts w:ascii="Arial" w:hAnsi="Arial" w:eastAsia="等线" w:cs="Arial"/>
          <w:color w:val="3370FF"/>
          <w:sz w:val="32"/>
        </w:rPr>
        <w:t xml:space="preserve">4.3 </w:t>
      </w:r>
      <w:r>
        <w:rPr>
          <w:rFonts w:ascii="Arial" w:hAnsi="Arial" w:eastAsia="等线" w:cs="Arial"/>
          <w:b/>
          <w:sz w:val="32"/>
        </w:rPr>
        <w:t>退休计划税务类</w:t>
      </w:r>
      <w:bookmarkEnd w:id="3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40"/>
        <w:gridCol w:w="1290"/>
        <w:gridCol w:w="4950"/>
      </w:tblGrid>
      <w:tr w14:paraId="59693F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125572D0">
            <w:pPr>
              <w:spacing w:before="120" w:after="120" w:line="288" w:lineRule="auto"/>
              <w:ind w:left="0"/>
              <w:jc w:val="left"/>
            </w:pPr>
            <w:r>
              <w:rPr>
                <w:rFonts w:ascii="Arial" w:hAnsi="Arial" w:eastAsia="等线" w:cs="Arial"/>
                <w:b/>
                <w:sz w:val="22"/>
              </w:rPr>
              <w:t>英文</w:t>
            </w:r>
          </w:p>
        </w:tc>
        <w:tc>
          <w:tcPr>
            <w:tcW w:w="1290" w:type="dxa"/>
            <w:tcMar>
              <w:top w:w="60" w:type="dxa"/>
              <w:left w:w="120" w:type="dxa"/>
              <w:bottom w:w="30" w:type="dxa"/>
              <w:right w:w="120" w:type="dxa"/>
            </w:tcMar>
          </w:tcPr>
          <w:p w14:paraId="70200DE4">
            <w:pPr>
              <w:spacing w:before="120" w:after="120" w:line="288" w:lineRule="auto"/>
              <w:ind w:left="0"/>
              <w:jc w:val="left"/>
            </w:pPr>
            <w:r>
              <w:rPr>
                <w:rFonts w:ascii="Arial" w:hAnsi="Arial" w:eastAsia="等线" w:cs="Arial"/>
                <w:b/>
                <w:sz w:val="22"/>
              </w:rPr>
              <w:t>中文</w:t>
            </w:r>
          </w:p>
        </w:tc>
        <w:tc>
          <w:tcPr>
            <w:tcW w:w="4950" w:type="dxa"/>
            <w:tcMar>
              <w:top w:w="60" w:type="dxa"/>
              <w:left w:w="120" w:type="dxa"/>
              <w:bottom w:w="30" w:type="dxa"/>
              <w:right w:w="120" w:type="dxa"/>
            </w:tcMar>
          </w:tcPr>
          <w:p w14:paraId="47453EFE">
            <w:pPr>
              <w:spacing w:before="120" w:after="120" w:line="288" w:lineRule="auto"/>
              <w:ind w:left="0"/>
              <w:jc w:val="left"/>
            </w:pPr>
            <w:r>
              <w:rPr>
                <w:rFonts w:ascii="Arial" w:hAnsi="Arial" w:eastAsia="等线" w:cs="Arial"/>
                <w:b/>
                <w:sz w:val="22"/>
              </w:rPr>
              <w:t>释义</w:t>
            </w:r>
          </w:p>
        </w:tc>
      </w:tr>
      <w:tr w14:paraId="14F0E7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58CCBE58">
            <w:pPr>
              <w:spacing w:before="120" w:after="120" w:line="288" w:lineRule="auto"/>
              <w:ind w:left="0"/>
              <w:jc w:val="left"/>
            </w:pPr>
            <w:r>
              <w:rPr>
                <w:rFonts w:ascii="Arial" w:hAnsi="Arial" w:eastAsia="等线" w:cs="Arial"/>
                <w:sz w:val="22"/>
              </w:rPr>
              <w:t>Retirement Plan Tax Advantages</w:t>
            </w:r>
          </w:p>
        </w:tc>
        <w:tc>
          <w:tcPr>
            <w:tcW w:w="1290" w:type="dxa"/>
            <w:tcMar>
              <w:top w:w="60" w:type="dxa"/>
              <w:left w:w="120" w:type="dxa"/>
              <w:bottom w:w="30" w:type="dxa"/>
              <w:right w:w="120" w:type="dxa"/>
            </w:tcMar>
          </w:tcPr>
          <w:p w14:paraId="7652E792">
            <w:pPr>
              <w:spacing w:before="120" w:after="120" w:line="288" w:lineRule="auto"/>
              <w:ind w:left="0"/>
              <w:jc w:val="left"/>
            </w:pPr>
            <w:r>
              <w:rPr>
                <w:rFonts w:ascii="Arial" w:hAnsi="Arial" w:eastAsia="等线" w:cs="Arial"/>
                <w:sz w:val="22"/>
              </w:rPr>
              <w:t>退休计划税务优势</w:t>
            </w:r>
          </w:p>
        </w:tc>
        <w:tc>
          <w:tcPr>
            <w:tcW w:w="4950" w:type="dxa"/>
            <w:tcMar>
              <w:top w:w="60" w:type="dxa"/>
              <w:left w:w="120" w:type="dxa"/>
              <w:bottom w:w="30" w:type="dxa"/>
              <w:right w:w="120" w:type="dxa"/>
            </w:tcMar>
          </w:tcPr>
          <w:p w14:paraId="4BF6EA38">
            <w:pPr>
              <w:spacing w:before="120" w:after="120" w:line="288" w:lineRule="auto"/>
              <w:ind w:left="0"/>
              <w:jc w:val="left"/>
            </w:pPr>
            <w:r>
              <w:rPr>
                <w:rFonts w:ascii="Arial" w:hAnsi="Arial" w:eastAsia="等线" w:cs="Arial"/>
                <w:sz w:val="22"/>
              </w:rPr>
              <w:t>退休账户的核心价值，主要体现为 “税收递延”，即账户内投资收益暂不计税，仅在提取时按规则计税</w:t>
            </w:r>
          </w:p>
        </w:tc>
      </w:tr>
      <w:tr w14:paraId="4E1755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0FF78574">
            <w:pPr>
              <w:spacing w:before="120" w:after="120" w:line="288" w:lineRule="auto"/>
              <w:ind w:left="0"/>
              <w:jc w:val="left"/>
            </w:pPr>
            <w:r>
              <w:rPr>
                <w:rFonts w:ascii="Arial" w:hAnsi="Arial" w:eastAsia="等线" w:cs="Arial"/>
                <w:sz w:val="22"/>
              </w:rPr>
              <w:t>Qualified Plans</w:t>
            </w:r>
          </w:p>
        </w:tc>
        <w:tc>
          <w:tcPr>
            <w:tcW w:w="1290" w:type="dxa"/>
            <w:tcMar>
              <w:top w:w="60" w:type="dxa"/>
              <w:left w:w="120" w:type="dxa"/>
              <w:bottom w:w="30" w:type="dxa"/>
              <w:right w:w="120" w:type="dxa"/>
            </w:tcMar>
          </w:tcPr>
          <w:p w14:paraId="019F9362">
            <w:pPr>
              <w:spacing w:before="120" w:after="120" w:line="288" w:lineRule="auto"/>
              <w:ind w:left="0"/>
              <w:jc w:val="left"/>
            </w:pPr>
            <w:r>
              <w:rPr>
                <w:rFonts w:ascii="Arial" w:hAnsi="Arial" w:eastAsia="等线" w:cs="Arial"/>
                <w:sz w:val="22"/>
              </w:rPr>
              <w:t>合格计划</w:t>
            </w:r>
          </w:p>
        </w:tc>
        <w:tc>
          <w:tcPr>
            <w:tcW w:w="4950" w:type="dxa"/>
            <w:tcMar>
              <w:top w:w="60" w:type="dxa"/>
              <w:left w:w="120" w:type="dxa"/>
              <w:bottom w:w="30" w:type="dxa"/>
              <w:right w:w="120" w:type="dxa"/>
            </w:tcMar>
          </w:tcPr>
          <w:p w14:paraId="4C3CF189">
            <w:pPr>
              <w:spacing w:before="120" w:after="120" w:line="288" w:lineRule="auto"/>
              <w:ind w:left="0"/>
              <w:jc w:val="left"/>
            </w:pPr>
            <w:r>
              <w:rPr>
                <w:rFonts w:ascii="Arial" w:hAnsi="Arial" w:eastAsia="等线" w:cs="Arial"/>
                <w:sz w:val="22"/>
              </w:rPr>
              <w:t>符合 IRS 规定（如缴费限额、提取规则）的退休计划，享受 “税前缴费 / 递延纳税” 优惠，如传统 IRA、401 (k)</w:t>
            </w:r>
          </w:p>
        </w:tc>
      </w:tr>
      <w:tr w14:paraId="5C71BC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6CB7BD7C">
            <w:pPr>
              <w:spacing w:before="120" w:after="120" w:line="288" w:lineRule="auto"/>
              <w:ind w:left="0"/>
              <w:jc w:val="left"/>
            </w:pPr>
            <w:r>
              <w:rPr>
                <w:rFonts w:ascii="Arial" w:hAnsi="Arial" w:eastAsia="等线" w:cs="Arial"/>
                <w:sz w:val="22"/>
              </w:rPr>
              <w:t>Nonqualified Plans</w:t>
            </w:r>
          </w:p>
        </w:tc>
        <w:tc>
          <w:tcPr>
            <w:tcW w:w="1290" w:type="dxa"/>
            <w:tcMar>
              <w:top w:w="60" w:type="dxa"/>
              <w:left w:w="120" w:type="dxa"/>
              <w:bottom w:w="30" w:type="dxa"/>
              <w:right w:w="120" w:type="dxa"/>
            </w:tcMar>
          </w:tcPr>
          <w:p w14:paraId="04D0056F">
            <w:pPr>
              <w:spacing w:before="120" w:after="120" w:line="288" w:lineRule="auto"/>
              <w:ind w:left="0"/>
              <w:jc w:val="left"/>
            </w:pPr>
            <w:r>
              <w:rPr>
                <w:rFonts w:ascii="Arial" w:hAnsi="Arial" w:eastAsia="等线" w:cs="Arial"/>
                <w:sz w:val="22"/>
              </w:rPr>
              <w:t>非合格计划</w:t>
            </w:r>
          </w:p>
        </w:tc>
        <w:tc>
          <w:tcPr>
            <w:tcW w:w="4950" w:type="dxa"/>
            <w:tcMar>
              <w:top w:w="60" w:type="dxa"/>
              <w:left w:w="120" w:type="dxa"/>
              <w:bottom w:w="30" w:type="dxa"/>
              <w:right w:w="120" w:type="dxa"/>
            </w:tcMar>
          </w:tcPr>
          <w:p w14:paraId="40AB7451">
            <w:pPr>
              <w:spacing w:before="120" w:after="120" w:line="288" w:lineRule="auto"/>
              <w:ind w:left="0"/>
              <w:jc w:val="left"/>
            </w:pPr>
            <w:r>
              <w:rPr>
                <w:rFonts w:ascii="Arial" w:hAnsi="Arial" w:eastAsia="等线" w:cs="Arial"/>
                <w:sz w:val="22"/>
              </w:rPr>
              <w:t>未通过 IRS 资格认证的退休计划，无统一税务优惠（通常无税前缴费优惠），规则灵活但税务优势弱</w:t>
            </w:r>
          </w:p>
        </w:tc>
      </w:tr>
      <w:tr w14:paraId="0F013B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365C5166">
            <w:pPr>
              <w:spacing w:before="120" w:after="120" w:line="288" w:lineRule="auto"/>
              <w:ind w:left="0"/>
              <w:jc w:val="left"/>
            </w:pPr>
            <w:r>
              <w:rPr>
                <w:rFonts w:ascii="Arial" w:hAnsi="Arial" w:eastAsia="等线" w:cs="Arial"/>
                <w:sz w:val="22"/>
              </w:rPr>
              <w:t>Traditional IRAs</w:t>
            </w:r>
          </w:p>
        </w:tc>
        <w:tc>
          <w:tcPr>
            <w:tcW w:w="1290" w:type="dxa"/>
            <w:tcMar>
              <w:top w:w="60" w:type="dxa"/>
              <w:left w:w="120" w:type="dxa"/>
              <w:bottom w:w="30" w:type="dxa"/>
              <w:right w:w="120" w:type="dxa"/>
            </w:tcMar>
          </w:tcPr>
          <w:p w14:paraId="26B9D930">
            <w:pPr>
              <w:spacing w:before="120" w:after="120" w:line="288" w:lineRule="auto"/>
              <w:ind w:left="0"/>
              <w:jc w:val="left"/>
            </w:pPr>
            <w:r>
              <w:rPr>
                <w:rFonts w:ascii="Arial" w:hAnsi="Arial" w:eastAsia="等线" w:cs="Arial"/>
                <w:sz w:val="22"/>
              </w:rPr>
              <w:t>传统 IRA</w:t>
            </w:r>
          </w:p>
        </w:tc>
        <w:tc>
          <w:tcPr>
            <w:tcW w:w="4950" w:type="dxa"/>
            <w:tcMar>
              <w:top w:w="60" w:type="dxa"/>
              <w:left w:w="120" w:type="dxa"/>
              <w:bottom w:w="30" w:type="dxa"/>
              <w:right w:w="120" w:type="dxa"/>
            </w:tcMar>
          </w:tcPr>
          <w:p w14:paraId="32D0462A">
            <w:pPr>
              <w:spacing w:before="120" w:after="120" w:line="288" w:lineRule="auto"/>
              <w:ind w:left="0"/>
              <w:jc w:val="left"/>
            </w:pPr>
            <w:r>
              <w:rPr>
                <w:rFonts w:ascii="Arial" w:hAnsi="Arial" w:eastAsia="等线" w:cs="Arial"/>
                <w:sz w:val="22"/>
              </w:rPr>
              <w:t>合格退休计划类型之一：缴费部分满足收入限额可税前扣除，收益递延纳税，59.5 岁后提取按普通收入税率计税</w:t>
            </w:r>
          </w:p>
        </w:tc>
      </w:tr>
      <w:tr w14:paraId="69C44D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51E933F3">
            <w:pPr>
              <w:spacing w:before="120" w:after="120" w:line="288" w:lineRule="auto"/>
              <w:ind w:left="0"/>
              <w:jc w:val="left"/>
            </w:pPr>
            <w:r>
              <w:rPr>
                <w:rFonts w:ascii="Arial" w:hAnsi="Arial" w:eastAsia="等线" w:cs="Arial"/>
                <w:sz w:val="22"/>
              </w:rPr>
              <w:t>Roth IRAs</w:t>
            </w:r>
          </w:p>
        </w:tc>
        <w:tc>
          <w:tcPr>
            <w:tcW w:w="1290" w:type="dxa"/>
            <w:tcMar>
              <w:top w:w="60" w:type="dxa"/>
              <w:left w:w="120" w:type="dxa"/>
              <w:bottom w:w="30" w:type="dxa"/>
              <w:right w:w="120" w:type="dxa"/>
            </w:tcMar>
          </w:tcPr>
          <w:p w14:paraId="4CB8E223">
            <w:pPr>
              <w:spacing w:before="120" w:after="120" w:line="288" w:lineRule="auto"/>
              <w:ind w:left="0"/>
              <w:jc w:val="left"/>
            </w:pPr>
            <w:r>
              <w:rPr>
                <w:rFonts w:ascii="Arial" w:hAnsi="Arial" w:eastAsia="等线" w:cs="Arial"/>
                <w:sz w:val="22"/>
              </w:rPr>
              <w:t>罗斯 IRA</w:t>
            </w:r>
          </w:p>
        </w:tc>
        <w:tc>
          <w:tcPr>
            <w:tcW w:w="4950" w:type="dxa"/>
            <w:tcMar>
              <w:top w:w="60" w:type="dxa"/>
              <w:left w:w="120" w:type="dxa"/>
              <w:bottom w:w="30" w:type="dxa"/>
              <w:right w:w="120" w:type="dxa"/>
            </w:tcMar>
          </w:tcPr>
          <w:p w14:paraId="099A58CC">
            <w:pPr>
              <w:spacing w:before="120" w:after="120" w:line="288" w:lineRule="auto"/>
              <w:ind w:left="0"/>
              <w:jc w:val="left"/>
            </w:pPr>
            <w:r>
              <w:rPr>
                <w:rFonts w:ascii="Arial" w:hAnsi="Arial" w:eastAsia="等线" w:cs="Arial"/>
                <w:sz w:val="22"/>
              </w:rPr>
              <w:t>合格退休计划类型之一：缴费为税后资金（无税前扣除），满足 “持有满 5 年 + 59.5 岁” 时收益提取免税，本金提取无税</w:t>
            </w:r>
          </w:p>
        </w:tc>
      </w:tr>
      <w:tr w14:paraId="35B356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5D5FADB8">
            <w:pPr>
              <w:spacing w:before="120" w:after="120" w:line="288" w:lineRule="auto"/>
              <w:ind w:left="0"/>
              <w:jc w:val="left"/>
            </w:pPr>
            <w:r>
              <w:rPr>
                <w:rFonts w:ascii="Arial" w:hAnsi="Arial" w:eastAsia="等线" w:cs="Arial"/>
                <w:sz w:val="22"/>
              </w:rPr>
              <w:t>Contribution Limits</w:t>
            </w:r>
          </w:p>
        </w:tc>
        <w:tc>
          <w:tcPr>
            <w:tcW w:w="1290" w:type="dxa"/>
            <w:tcMar>
              <w:top w:w="60" w:type="dxa"/>
              <w:left w:w="120" w:type="dxa"/>
              <w:bottom w:w="30" w:type="dxa"/>
              <w:right w:w="120" w:type="dxa"/>
            </w:tcMar>
          </w:tcPr>
          <w:p w14:paraId="3C2457CC">
            <w:pPr>
              <w:spacing w:before="120" w:after="120" w:line="288" w:lineRule="auto"/>
              <w:ind w:left="0"/>
              <w:jc w:val="left"/>
            </w:pPr>
            <w:r>
              <w:rPr>
                <w:rFonts w:ascii="Arial" w:hAnsi="Arial" w:eastAsia="等线" w:cs="Arial"/>
                <w:sz w:val="22"/>
              </w:rPr>
              <w:t>缴费限额</w:t>
            </w:r>
          </w:p>
        </w:tc>
        <w:tc>
          <w:tcPr>
            <w:tcW w:w="4950" w:type="dxa"/>
            <w:tcMar>
              <w:top w:w="60" w:type="dxa"/>
              <w:left w:w="120" w:type="dxa"/>
              <w:bottom w:w="30" w:type="dxa"/>
              <w:right w:w="120" w:type="dxa"/>
            </w:tcMar>
          </w:tcPr>
          <w:p w14:paraId="2331FB1E">
            <w:pPr>
              <w:spacing w:before="120" w:after="120" w:line="288" w:lineRule="auto"/>
              <w:ind w:left="0"/>
              <w:jc w:val="left"/>
            </w:pPr>
            <w:r>
              <w:rPr>
                <w:rFonts w:ascii="Arial" w:hAnsi="Arial" w:eastAsia="等线" w:cs="Arial"/>
                <w:sz w:val="22"/>
              </w:rPr>
              <w:t>退休计划关键限制条件，如 2024 年传统 IRA / 罗斯 IRA 常规缴费限额$7,000（50岁及以上额外$1,000）</w:t>
            </w:r>
          </w:p>
        </w:tc>
      </w:tr>
      <w:tr w14:paraId="09DE03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51E3B304">
            <w:pPr>
              <w:spacing w:before="120" w:after="120" w:line="288" w:lineRule="auto"/>
              <w:ind w:left="0"/>
              <w:jc w:val="left"/>
            </w:pPr>
            <w:r>
              <w:rPr>
                <w:rFonts w:ascii="Arial" w:hAnsi="Arial" w:eastAsia="等线" w:cs="Arial"/>
                <w:sz w:val="22"/>
              </w:rPr>
              <w:t>Tax-Deferral</w:t>
            </w:r>
          </w:p>
        </w:tc>
        <w:tc>
          <w:tcPr>
            <w:tcW w:w="1290" w:type="dxa"/>
            <w:tcMar>
              <w:top w:w="60" w:type="dxa"/>
              <w:left w:w="120" w:type="dxa"/>
              <w:bottom w:w="30" w:type="dxa"/>
              <w:right w:w="120" w:type="dxa"/>
            </w:tcMar>
          </w:tcPr>
          <w:p w14:paraId="25983669">
            <w:pPr>
              <w:spacing w:before="120" w:after="120" w:line="288" w:lineRule="auto"/>
              <w:ind w:left="0"/>
              <w:jc w:val="left"/>
            </w:pPr>
            <w:r>
              <w:rPr>
                <w:rFonts w:ascii="Arial" w:hAnsi="Arial" w:eastAsia="等线" w:cs="Arial"/>
                <w:sz w:val="22"/>
              </w:rPr>
              <w:t>税收递延</w:t>
            </w:r>
          </w:p>
        </w:tc>
        <w:tc>
          <w:tcPr>
            <w:tcW w:w="4950" w:type="dxa"/>
            <w:tcMar>
              <w:top w:w="60" w:type="dxa"/>
              <w:left w:w="120" w:type="dxa"/>
              <w:bottom w:w="30" w:type="dxa"/>
              <w:right w:w="120" w:type="dxa"/>
            </w:tcMar>
          </w:tcPr>
          <w:p w14:paraId="331D0386">
            <w:pPr>
              <w:spacing w:before="120" w:after="120" w:line="288" w:lineRule="auto"/>
              <w:ind w:left="0"/>
              <w:jc w:val="left"/>
            </w:pPr>
            <w:r>
              <w:rPr>
                <w:rFonts w:ascii="Arial" w:hAnsi="Arial" w:eastAsia="等线" w:cs="Arial"/>
                <w:sz w:val="22"/>
              </w:rPr>
              <w:t>退休计划核心税务优势，区别于 “免税”，指投资收益在账户内暂不计税，仅在提取时纳入应税收入，提升长期复利效应</w:t>
            </w:r>
          </w:p>
        </w:tc>
      </w:tr>
    </w:tbl>
    <w:p w14:paraId="445ADFEA">
      <w:pPr>
        <w:spacing w:before="380" w:after="140" w:line="288" w:lineRule="auto"/>
        <w:ind w:left="0"/>
        <w:jc w:val="left"/>
        <w:outlineLvl w:val="0"/>
      </w:pPr>
      <w:bookmarkStart w:id="37" w:name="heading_37"/>
      <w:r>
        <w:rPr>
          <w:rFonts w:ascii="Arial" w:hAnsi="Arial" w:eastAsia="等线" w:cs="Arial"/>
          <w:color w:val="3370FF"/>
          <w:sz w:val="36"/>
        </w:rPr>
        <w:t xml:space="preserve">5. </w:t>
      </w:r>
      <w:r>
        <w:rPr>
          <w:rFonts w:ascii="Arial" w:hAnsi="Arial" w:eastAsia="等线" w:cs="Arial"/>
          <w:b/>
          <w:sz w:val="36"/>
        </w:rPr>
        <w:t>例题与答案</w:t>
      </w:r>
      <w:bookmarkEnd w:id="37"/>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ED74E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65F581F5">
            <w:pPr>
              <w:numPr>
                <w:ilvl w:val="0"/>
                <w:numId w:val="75"/>
              </w:numPr>
              <w:spacing w:before="120" w:after="120" w:line="288" w:lineRule="auto"/>
              <w:ind w:left="0"/>
              <w:jc w:val="left"/>
            </w:pPr>
            <w:r>
              <w:rPr>
                <w:rFonts w:ascii="Arial" w:hAnsi="Arial" w:eastAsia="等线" w:cs="Arial"/>
                <w:sz w:val="22"/>
              </w:rPr>
              <w:t>In a particular year, Jones realizes $30,000 in long-term capital gains and $50,000 in long-term capital losses. How much of the capital losses would be carried forward to the following year?</w:t>
            </w:r>
          </w:p>
          <w:p w14:paraId="7205D4A3">
            <w:pPr>
              <w:spacing w:before="120" w:after="120" w:line="288" w:lineRule="auto"/>
              <w:ind w:left="0"/>
              <w:jc w:val="left"/>
            </w:pPr>
            <w:r>
              <w:rPr>
                <w:rFonts w:ascii="Arial" w:hAnsi="Arial" w:eastAsia="等线" w:cs="Arial"/>
                <w:sz w:val="22"/>
              </w:rPr>
              <w:t>(A) $3,000</w:t>
            </w:r>
          </w:p>
          <w:p w14:paraId="682CACB6">
            <w:pPr>
              <w:spacing w:before="120" w:after="120" w:line="288" w:lineRule="auto"/>
              <w:ind w:left="0"/>
              <w:jc w:val="left"/>
            </w:pPr>
            <w:r>
              <w:rPr>
                <w:rFonts w:ascii="Arial" w:hAnsi="Arial" w:eastAsia="等线" w:cs="Arial"/>
                <w:sz w:val="22"/>
              </w:rPr>
              <w:t>(B) $17,000</w:t>
            </w:r>
          </w:p>
          <w:p w14:paraId="54E787F1">
            <w:pPr>
              <w:spacing w:before="120" w:after="120" w:line="288" w:lineRule="auto"/>
              <w:ind w:left="0"/>
              <w:jc w:val="left"/>
            </w:pPr>
            <w:r>
              <w:rPr>
                <w:rFonts w:ascii="Arial" w:hAnsi="Arial" w:eastAsia="等线" w:cs="Arial"/>
                <w:sz w:val="22"/>
              </w:rPr>
              <w:t>(C) $20,000</w:t>
            </w:r>
          </w:p>
          <w:p w14:paraId="38F26869">
            <w:pPr>
              <w:spacing w:before="120" w:after="120" w:line="288" w:lineRule="auto"/>
              <w:ind w:left="0"/>
              <w:jc w:val="left"/>
            </w:pPr>
            <w:r>
              <w:rPr>
                <w:rFonts w:ascii="Arial" w:hAnsi="Arial" w:eastAsia="等线" w:cs="Arial"/>
                <w:sz w:val="22"/>
              </w:rPr>
              <w:t>(D) $30,000</w:t>
            </w:r>
          </w:p>
          <w:p w14:paraId="7EBA2048">
            <w:pPr>
              <w:spacing w:before="120" w:after="120" w:line="288" w:lineRule="auto"/>
              <w:ind w:left="0"/>
              <w:jc w:val="left"/>
            </w:pPr>
          </w:p>
          <w:p w14:paraId="7C8B586C">
            <w:pPr>
              <w:numPr>
                <w:ilvl w:val="0"/>
                <w:numId w:val="76"/>
              </w:numPr>
              <w:spacing w:before="120" w:after="120" w:line="288" w:lineRule="auto"/>
              <w:ind w:left="0"/>
              <w:jc w:val="left"/>
            </w:pPr>
            <w:r>
              <w:rPr>
                <w:rFonts w:ascii="Arial" w:hAnsi="Arial" w:eastAsia="等线" w:cs="Arial"/>
                <w:sz w:val="22"/>
              </w:rPr>
              <w:t>If Melissa sells DEF common stock at a loss on June 2, for 30 days they can’t buy which of the following securities without being subject to the wash sale rule?</w:t>
            </w:r>
          </w:p>
          <w:p w14:paraId="027FBCDE">
            <w:pPr>
              <w:spacing w:before="120" w:after="120" w:line="288" w:lineRule="auto"/>
              <w:ind w:left="0"/>
              <w:jc w:val="left"/>
            </w:pPr>
            <w:r>
              <w:rPr>
                <w:rFonts w:ascii="Arial" w:hAnsi="Arial" w:eastAsia="等线" w:cs="Arial"/>
                <w:sz w:val="22"/>
              </w:rPr>
              <w:t>I. DEF common stock</w:t>
            </w:r>
          </w:p>
          <w:p w14:paraId="783919DF">
            <w:pPr>
              <w:spacing w:before="120" w:after="120" w:line="288" w:lineRule="auto"/>
              <w:ind w:left="0"/>
              <w:jc w:val="left"/>
            </w:pPr>
            <w:r>
              <w:rPr>
                <w:rFonts w:ascii="Arial" w:hAnsi="Arial" w:eastAsia="等线" w:cs="Arial"/>
                <w:sz w:val="22"/>
              </w:rPr>
              <w:t>II. DEF warrants</w:t>
            </w:r>
          </w:p>
          <w:p w14:paraId="536AA1B8">
            <w:pPr>
              <w:spacing w:before="120" w:after="120" w:line="288" w:lineRule="auto"/>
              <w:ind w:left="0"/>
              <w:jc w:val="left"/>
            </w:pPr>
            <w:r>
              <w:rPr>
                <w:rFonts w:ascii="Arial" w:hAnsi="Arial" w:eastAsia="等线" w:cs="Arial"/>
                <w:sz w:val="22"/>
              </w:rPr>
              <w:t>III. DEF call options</w:t>
            </w:r>
          </w:p>
          <w:p w14:paraId="3AAF2304">
            <w:pPr>
              <w:spacing w:before="120" w:after="120" w:line="288" w:lineRule="auto"/>
              <w:ind w:left="0"/>
              <w:jc w:val="left"/>
            </w:pPr>
            <w:r>
              <w:rPr>
                <w:rFonts w:ascii="Arial" w:hAnsi="Arial" w:eastAsia="等线" w:cs="Arial"/>
                <w:sz w:val="22"/>
              </w:rPr>
              <w:t>IV. DEF preferred stock</w:t>
            </w:r>
          </w:p>
          <w:p w14:paraId="2AAFEAA3">
            <w:pPr>
              <w:spacing w:before="120" w:after="120" w:line="288" w:lineRule="auto"/>
              <w:ind w:left="0"/>
              <w:jc w:val="left"/>
            </w:pPr>
            <w:r>
              <w:rPr>
                <w:rFonts w:ascii="Arial" w:hAnsi="Arial" w:eastAsia="等线" w:cs="Arial"/>
                <w:sz w:val="22"/>
              </w:rPr>
              <w:t>(A) I only</w:t>
            </w:r>
          </w:p>
          <w:p w14:paraId="42E78DA9">
            <w:pPr>
              <w:spacing w:before="120" w:after="120" w:line="288" w:lineRule="auto"/>
              <w:ind w:left="0"/>
              <w:jc w:val="left"/>
            </w:pPr>
            <w:r>
              <w:rPr>
                <w:rFonts w:ascii="Arial" w:hAnsi="Arial" w:eastAsia="等线" w:cs="Arial"/>
                <w:sz w:val="22"/>
              </w:rPr>
              <w:t>(B) I and IV only</w:t>
            </w:r>
          </w:p>
          <w:p w14:paraId="5274A311">
            <w:pPr>
              <w:spacing w:before="120" w:after="120" w:line="288" w:lineRule="auto"/>
              <w:ind w:left="0"/>
              <w:jc w:val="left"/>
            </w:pPr>
            <w:r>
              <w:rPr>
                <w:rFonts w:ascii="Arial" w:hAnsi="Arial" w:eastAsia="等线" w:cs="Arial"/>
                <w:sz w:val="22"/>
              </w:rPr>
              <w:t>(C) I, II, and III only</w:t>
            </w:r>
          </w:p>
          <w:p w14:paraId="73F5C300">
            <w:pPr>
              <w:spacing w:before="120" w:after="120" w:line="288" w:lineRule="auto"/>
              <w:ind w:left="0"/>
              <w:jc w:val="left"/>
            </w:pPr>
            <w:r>
              <w:rPr>
                <w:rFonts w:ascii="Arial" w:hAnsi="Arial" w:eastAsia="等线" w:cs="Arial"/>
                <w:sz w:val="22"/>
              </w:rPr>
              <w:t>(D) I, II, III, and IV</w:t>
            </w:r>
          </w:p>
          <w:p w14:paraId="24AA1E2E">
            <w:pPr>
              <w:spacing w:before="120" w:after="120" w:line="288" w:lineRule="auto"/>
              <w:ind w:left="0"/>
              <w:jc w:val="left"/>
            </w:pPr>
          </w:p>
          <w:p w14:paraId="00BF6F5A">
            <w:pPr>
              <w:numPr>
                <w:ilvl w:val="0"/>
                <w:numId w:val="77"/>
              </w:numPr>
              <w:spacing w:before="120" w:after="120" w:line="288" w:lineRule="auto"/>
              <w:ind w:left="0"/>
              <w:jc w:val="left"/>
            </w:pPr>
            <w:r>
              <w:rPr>
                <w:rFonts w:ascii="Arial" w:hAnsi="Arial" w:eastAsia="等线" w:cs="Arial"/>
                <w:sz w:val="22"/>
              </w:rPr>
              <w:t>Which of the following are regressive taxes?</w:t>
            </w:r>
          </w:p>
          <w:p w14:paraId="7F396380">
            <w:pPr>
              <w:spacing w:before="120" w:after="120" w:line="288" w:lineRule="auto"/>
              <w:ind w:left="0"/>
              <w:jc w:val="left"/>
            </w:pPr>
            <w:r>
              <w:rPr>
                <w:rFonts w:ascii="Arial" w:hAnsi="Arial" w:eastAsia="等线" w:cs="Arial"/>
                <w:sz w:val="22"/>
              </w:rPr>
              <w:t>I. Sales</w:t>
            </w:r>
          </w:p>
          <w:p w14:paraId="1EDB1ECA">
            <w:pPr>
              <w:spacing w:before="120" w:after="120" w:line="288" w:lineRule="auto"/>
              <w:ind w:left="0"/>
              <w:jc w:val="left"/>
            </w:pPr>
            <w:r>
              <w:rPr>
                <w:rFonts w:ascii="Arial" w:hAnsi="Arial" w:eastAsia="等线" w:cs="Arial"/>
                <w:sz w:val="22"/>
              </w:rPr>
              <w:t>II. Income</w:t>
            </w:r>
          </w:p>
          <w:p w14:paraId="0CC5B2D6">
            <w:pPr>
              <w:spacing w:before="120" w:after="120" w:line="288" w:lineRule="auto"/>
              <w:ind w:left="0"/>
              <w:jc w:val="left"/>
            </w:pPr>
            <w:r>
              <w:rPr>
                <w:rFonts w:ascii="Arial" w:hAnsi="Arial" w:eastAsia="等线" w:cs="Arial"/>
                <w:sz w:val="22"/>
              </w:rPr>
              <w:t>III. Gasoline</w:t>
            </w:r>
          </w:p>
          <w:p w14:paraId="0884C8A8">
            <w:pPr>
              <w:spacing w:before="120" w:after="120" w:line="288" w:lineRule="auto"/>
              <w:ind w:left="0"/>
              <w:jc w:val="left"/>
            </w:pPr>
            <w:r>
              <w:rPr>
                <w:rFonts w:ascii="Arial" w:hAnsi="Arial" w:eastAsia="等线" w:cs="Arial"/>
                <w:sz w:val="22"/>
              </w:rPr>
              <w:t>IV. Alcohol</w:t>
            </w:r>
          </w:p>
          <w:p w14:paraId="5BE99EA1">
            <w:pPr>
              <w:spacing w:before="120" w:after="120" w:line="288" w:lineRule="auto"/>
              <w:ind w:left="0"/>
              <w:jc w:val="left"/>
            </w:pPr>
            <w:r>
              <w:rPr>
                <w:rFonts w:ascii="Arial" w:hAnsi="Arial" w:eastAsia="等线" w:cs="Arial"/>
                <w:sz w:val="22"/>
              </w:rPr>
              <w:t>(A) III and IV</w:t>
            </w:r>
          </w:p>
          <w:p w14:paraId="0D7A8475">
            <w:pPr>
              <w:spacing w:before="120" w:after="120" w:line="288" w:lineRule="auto"/>
              <w:ind w:left="0"/>
              <w:jc w:val="left"/>
            </w:pPr>
            <w:r>
              <w:rPr>
                <w:rFonts w:ascii="Arial" w:hAnsi="Arial" w:eastAsia="等线" w:cs="Arial"/>
                <w:sz w:val="22"/>
              </w:rPr>
              <w:t>(B) I, II, and III</w:t>
            </w:r>
          </w:p>
          <w:p w14:paraId="4D603750">
            <w:pPr>
              <w:spacing w:before="120" w:after="120" w:line="288" w:lineRule="auto"/>
              <w:ind w:left="0"/>
              <w:jc w:val="left"/>
            </w:pPr>
            <w:r>
              <w:rPr>
                <w:rFonts w:ascii="Arial" w:hAnsi="Arial" w:eastAsia="等线" w:cs="Arial"/>
                <w:sz w:val="22"/>
              </w:rPr>
              <w:t>(C) I, III, and IV</w:t>
            </w:r>
          </w:p>
          <w:p w14:paraId="1F4CA8BA">
            <w:pPr>
              <w:spacing w:before="120" w:after="120" w:line="288" w:lineRule="auto"/>
              <w:ind w:left="0"/>
              <w:jc w:val="left"/>
            </w:pPr>
            <w:r>
              <w:rPr>
                <w:rFonts w:ascii="Arial" w:hAnsi="Arial" w:eastAsia="等线" w:cs="Arial"/>
                <w:sz w:val="22"/>
              </w:rPr>
              <w:t>(D) I, II, III, and IV</w:t>
            </w:r>
          </w:p>
          <w:p w14:paraId="197CC0C0">
            <w:pPr>
              <w:spacing w:before="120" w:after="120" w:line="288" w:lineRule="auto"/>
              <w:ind w:left="0"/>
              <w:jc w:val="left"/>
            </w:pPr>
          </w:p>
          <w:p w14:paraId="1D9720BB">
            <w:pPr>
              <w:numPr>
                <w:ilvl w:val="0"/>
                <w:numId w:val="78"/>
              </w:numPr>
              <w:spacing w:before="120" w:after="120" w:line="288" w:lineRule="auto"/>
              <w:ind w:left="0"/>
              <w:jc w:val="left"/>
            </w:pPr>
            <w:r>
              <w:rPr>
                <w:rFonts w:ascii="Arial" w:hAnsi="Arial" w:eastAsia="等线" w:cs="Arial"/>
                <w:sz w:val="22"/>
              </w:rPr>
              <w:t>All of the following are types of tax-qualified retirement plans EXCEPT</w:t>
            </w:r>
          </w:p>
          <w:p w14:paraId="5CD0612F">
            <w:pPr>
              <w:spacing w:before="120" w:after="120" w:line="288" w:lineRule="auto"/>
              <w:ind w:left="0"/>
              <w:jc w:val="left"/>
            </w:pPr>
            <w:r>
              <w:rPr>
                <w:rFonts w:ascii="Arial" w:hAnsi="Arial" w:eastAsia="等线" w:cs="Arial"/>
                <w:sz w:val="22"/>
              </w:rPr>
              <w:t>(A) 401(k)</w:t>
            </w:r>
          </w:p>
          <w:p w14:paraId="556CD3CB">
            <w:pPr>
              <w:spacing w:before="120" w:after="120" w:line="288" w:lineRule="auto"/>
              <w:ind w:left="0"/>
              <w:jc w:val="left"/>
            </w:pPr>
            <w:r>
              <w:rPr>
                <w:rFonts w:ascii="Arial" w:hAnsi="Arial" w:eastAsia="等线" w:cs="Arial"/>
                <w:sz w:val="22"/>
              </w:rPr>
              <w:t>(B) profit-sharing</w:t>
            </w:r>
          </w:p>
          <w:p w14:paraId="05CBE5D6">
            <w:pPr>
              <w:spacing w:before="120" w:after="120" w:line="288" w:lineRule="auto"/>
              <w:ind w:left="0"/>
              <w:jc w:val="left"/>
            </w:pPr>
            <w:r>
              <w:rPr>
                <w:rFonts w:ascii="Arial" w:hAnsi="Arial" w:eastAsia="等线" w:cs="Arial"/>
                <w:sz w:val="22"/>
              </w:rPr>
              <w:t>(C) IRA</w:t>
            </w:r>
          </w:p>
          <w:p w14:paraId="58A55B5A">
            <w:pPr>
              <w:spacing w:before="120" w:after="120" w:line="288" w:lineRule="auto"/>
              <w:ind w:left="0"/>
              <w:jc w:val="left"/>
            </w:pPr>
            <w:r>
              <w:rPr>
                <w:rFonts w:ascii="Arial" w:hAnsi="Arial" w:eastAsia="等线" w:cs="Arial"/>
                <w:sz w:val="22"/>
              </w:rPr>
              <w:t>(D) deferred compensation</w:t>
            </w:r>
          </w:p>
          <w:p w14:paraId="424CAB81">
            <w:pPr>
              <w:spacing w:before="120" w:after="120" w:line="288" w:lineRule="auto"/>
              <w:ind w:left="0"/>
              <w:jc w:val="left"/>
            </w:pPr>
          </w:p>
          <w:p w14:paraId="53144F18">
            <w:pPr>
              <w:numPr>
                <w:ilvl w:val="0"/>
                <w:numId w:val="79"/>
              </w:numPr>
              <w:spacing w:before="120" w:after="120" w:line="288" w:lineRule="auto"/>
              <w:ind w:left="0"/>
              <w:jc w:val="left"/>
            </w:pPr>
            <w:r>
              <w:rPr>
                <w:rFonts w:ascii="Arial" w:hAnsi="Arial" w:eastAsia="等线" w:cs="Arial"/>
                <w:sz w:val="22"/>
              </w:rPr>
              <w:t>Which of the following are TRUE regarding Roth IRAs and Roth 401(k)s?</w:t>
            </w:r>
          </w:p>
          <w:p w14:paraId="26740DF5">
            <w:pPr>
              <w:spacing w:before="120" w:after="120" w:line="288" w:lineRule="auto"/>
              <w:ind w:left="0"/>
              <w:jc w:val="left"/>
            </w:pPr>
            <w:r>
              <w:rPr>
                <w:rFonts w:ascii="Arial" w:hAnsi="Arial" w:eastAsia="等线" w:cs="Arial"/>
                <w:sz w:val="22"/>
              </w:rPr>
              <w:t>(A) Withdrawals from both are tax-free provided that investors have held the accounts</w:t>
            </w:r>
          </w:p>
          <w:p w14:paraId="07DE1610">
            <w:pPr>
              <w:spacing w:before="120" w:after="120" w:line="288" w:lineRule="auto"/>
              <w:ind w:left="0"/>
              <w:jc w:val="left"/>
            </w:pPr>
            <w:r>
              <w:rPr>
                <w:rFonts w:ascii="Arial" w:hAnsi="Arial" w:eastAsia="等线" w:cs="Arial"/>
                <w:sz w:val="22"/>
              </w:rPr>
              <w:t>for at least five years and have reached the age of 59½.</w:t>
            </w:r>
          </w:p>
          <w:p w14:paraId="61ED2163">
            <w:pPr>
              <w:spacing w:before="120" w:after="120" w:line="288" w:lineRule="auto"/>
              <w:ind w:left="0"/>
              <w:jc w:val="left"/>
            </w:pPr>
            <w:r>
              <w:rPr>
                <w:rFonts w:ascii="Arial" w:hAnsi="Arial" w:eastAsia="等线" w:cs="Arial"/>
                <w:sz w:val="22"/>
              </w:rPr>
              <w:t>(B) There are no contribution limits.</w:t>
            </w:r>
          </w:p>
          <w:p w14:paraId="3C142F90">
            <w:pPr>
              <w:spacing w:before="120" w:after="120" w:line="288" w:lineRule="auto"/>
              <w:ind w:left="0"/>
              <w:jc w:val="left"/>
            </w:pPr>
            <w:r>
              <w:rPr>
                <w:rFonts w:ascii="Arial" w:hAnsi="Arial" w:eastAsia="等线" w:cs="Arial"/>
                <w:sz w:val="22"/>
              </w:rPr>
              <w:t>(C) Contributions made to both are made pretax.</w:t>
            </w:r>
          </w:p>
          <w:p w14:paraId="52ABC652">
            <w:pPr>
              <w:spacing w:before="120" w:after="120" w:line="288" w:lineRule="auto"/>
              <w:ind w:left="0"/>
              <w:jc w:val="left"/>
            </w:pPr>
            <w:r>
              <w:rPr>
                <w:rFonts w:ascii="Arial" w:hAnsi="Arial" w:eastAsia="等线" w:cs="Arial"/>
                <w:sz w:val="22"/>
              </w:rPr>
              <w:t>(D) All of the above.</w:t>
            </w:r>
          </w:p>
          <w:p w14:paraId="5718118A">
            <w:pPr>
              <w:spacing w:before="120" w:after="120" w:line="288" w:lineRule="auto"/>
              <w:ind w:left="0"/>
              <w:jc w:val="left"/>
            </w:pPr>
          </w:p>
          <w:p w14:paraId="5F2AE55A">
            <w:pPr>
              <w:numPr>
                <w:ilvl w:val="0"/>
                <w:numId w:val="80"/>
              </w:numPr>
              <w:spacing w:before="120" w:after="120" w:line="288" w:lineRule="auto"/>
              <w:ind w:left="0"/>
              <w:jc w:val="left"/>
            </w:pPr>
            <w:r>
              <w:rPr>
                <w:rFonts w:ascii="Arial" w:hAnsi="Arial" w:eastAsia="等线" w:cs="Arial"/>
                <w:sz w:val="22"/>
              </w:rPr>
              <w:t>An investor buys 1,000 shares of a stock at $30. If the stock increases in value to $50, how</w:t>
            </w:r>
          </w:p>
          <w:p w14:paraId="2BA5B922">
            <w:pPr>
              <w:spacing w:before="120" w:after="120" w:line="288" w:lineRule="auto"/>
              <w:ind w:left="0"/>
              <w:jc w:val="left"/>
            </w:pPr>
            <w:r>
              <w:rPr>
                <w:rFonts w:ascii="Arial" w:hAnsi="Arial" w:eastAsia="等线" w:cs="Arial"/>
                <w:sz w:val="22"/>
              </w:rPr>
              <w:t>would the result be categorized?</w:t>
            </w:r>
          </w:p>
          <w:p w14:paraId="7DDD4EC2">
            <w:pPr>
              <w:spacing w:before="120" w:after="120" w:line="288" w:lineRule="auto"/>
              <w:ind w:left="0"/>
              <w:jc w:val="left"/>
            </w:pPr>
            <w:r>
              <w:rPr>
                <w:rFonts w:ascii="Arial" w:hAnsi="Arial" w:eastAsia="等线" w:cs="Arial"/>
                <w:sz w:val="22"/>
              </w:rPr>
              <w:t>(A) Profit</w:t>
            </w:r>
          </w:p>
          <w:p w14:paraId="070EE491">
            <w:pPr>
              <w:spacing w:before="120" w:after="120" w:line="288" w:lineRule="auto"/>
              <w:ind w:left="0"/>
              <w:jc w:val="left"/>
            </w:pPr>
            <w:r>
              <w:rPr>
                <w:rFonts w:ascii="Arial" w:hAnsi="Arial" w:eastAsia="等线" w:cs="Arial"/>
                <w:sz w:val="22"/>
              </w:rPr>
              <w:t>(B) Appreciation</w:t>
            </w:r>
          </w:p>
          <w:p w14:paraId="2EE85098">
            <w:pPr>
              <w:spacing w:before="120" w:after="120" w:line="288" w:lineRule="auto"/>
              <w:ind w:left="0"/>
              <w:jc w:val="left"/>
            </w:pPr>
            <w:r>
              <w:rPr>
                <w:rFonts w:ascii="Arial" w:hAnsi="Arial" w:eastAsia="等线" w:cs="Arial"/>
                <w:sz w:val="22"/>
              </w:rPr>
              <w:t>(C) Capital gain</w:t>
            </w:r>
          </w:p>
          <w:p w14:paraId="4923FD76">
            <w:pPr>
              <w:spacing w:before="120" w:after="120" w:line="288" w:lineRule="auto"/>
              <w:ind w:left="0"/>
              <w:jc w:val="left"/>
            </w:pPr>
            <w:r>
              <w:rPr>
                <w:rFonts w:ascii="Arial" w:hAnsi="Arial" w:eastAsia="等线" w:cs="Arial"/>
                <w:sz w:val="22"/>
              </w:rPr>
              <w:t>(D) Investment income</w:t>
            </w:r>
          </w:p>
          <w:p w14:paraId="7F777C6A">
            <w:pPr>
              <w:spacing w:before="120" w:after="120" w:line="288" w:lineRule="auto"/>
              <w:ind w:left="0"/>
              <w:jc w:val="left"/>
            </w:pPr>
          </w:p>
          <w:p w14:paraId="674A26B9">
            <w:pPr>
              <w:numPr>
                <w:ilvl w:val="0"/>
                <w:numId w:val="81"/>
              </w:numPr>
              <w:spacing w:before="120" w:after="120" w:line="288" w:lineRule="auto"/>
              <w:ind w:left="0"/>
              <w:jc w:val="left"/>
            </w:pPr>
            <w:r>
              <w:rPr>
                <w:rFonts w:ascii="Arial" w:hAnsi="Arial" w:eastAsia="等线" w:cs="Arial"/>
                <w:sz w:val="22"/>
              </w:rPr>
              <w:t>An individual investor who lives at home with their parents is covered by an employer pension</w:t>
            </w:r>
          </w:p>
          <w:p w14:paraId="190BFD12">
            <w:pPr>
              <w:spacing w:before="120" w:after="120" w:line="288" w:lineRule="auto"/>
              <w:ind w:left="0"/>
              <w:jc w:val="left"/>
            </w:pPr>
            <w:r>
              <w:rPr>
                <w:rFonts w:ascii="Arial" w:hAnsi="Arial" w:eastAsia="等线" w:cs="Arial"/>
                <w:sz w:val="22"/>
              </w:rPr>
              <w:t>plan. However, they would like more coverage at retirement and decides to put the maximum</w:t>
            </w:r>
          </w:p>
          <w:p w14:paraId="08CE578B">
            <w:pPr>
              <w:spacing w:before="120" w:after="120" w:line="288" w:lineRule="auto"/>
              <w:ind w:left="0"/>
              <w:jc w:val="left"/>
            </w:pPr>
            <w:r>
              <w:rPr>
                <w:rFonts w:ascii="Arial" w:hAnsi="Arial" w:eastAsia="等线" w:cs="Arial"/>
                <w:sz w:val="22"/>
              </w:rPr>
              <w:t>allowable contribution in an IRA. If their salary is $52,000 per year, which of the following is</w:t>
            </w:r>
          </w:p>
          <w:p w14:paraId="7F56B313">
            <w:pPr>
              <w:spacing w:before="120" w:after="120" w:line="288" w:lineRule="auto"/>
              <w:ind w:left="0"/>
              <w:jc w:val="left"/>
            </w:pPr>
            <w:r>
              <w:rPr>
                <w:rFonts w:ascii="Arial" w:hAnsi="Arial" w:eastAsia="等线" w:cs="Arial"/>
                <w:sz w:val="22"/>
              </w:rPr>
              <w:t>TRUE?</w:t>
            </w:r>
          </w:p>
          <w:p w14:paraId="042491D7">
            <w:pPr>
              <w:spacing w:before="120" w:after="120" w:line="288" w:lineRule="auto"/>
              <w:ind w:left="0"/>
              <w:jc w:val="left"/>
            </w:pPr>
            <w:r>
              <w:rPr>
                <w:rFonts w:ascii="Arial" w:hAnsi="Arial" w:eastAsia="等线" w:cs="Arial"/>
                <w:sz w:val="22"/>
              </w:rPr>
              <w:t>(A) Contributions to the IRA are fully deductible.</w:t>
            </w:r>
          </w:p>
          <w:p w14:paraId="5E253016">
            <w:pPr>
              <w:spacing w:before="120" w:after="120" w:line="288" w:lineRule="auto"/>
              <w:ind w:left="0"/>
              <w:jc w:val="left"/>
            </w:pPr>
            <w:r>
              <w:rPr>
                <w:rFonts w:ascii="Arial" w:hAnsi="Arial" w:eastAsia="等线" w:cs="Arial"/>
                <w:sz w:val="22"/>
              </w:rPr>
              <w:t>(B) Contributions to the IRA are partially deductible.</w:t>
            </w:r>
          </w:p>
          <w:p w14:paraId="54718D70">
            <w:pPr>
              <w:spacing w:before="120" w:after="120" w:line="288" w:lineRule="auto"/>
              <w:ind w:left="0"/>
              <w:jc w:val="left"/>
            </w:pPr>
            <w:r>
              <w:rPr>
                <w:rFonts w:ascii="Arial" w:hAnsi="Arial" w:eastAsia="等线" w:cs="Arial"/>
                <w:sz w:val="22"/>
              </w:rPr>
              <w:t>(C) Contributions to the IRA are not deductible.</w:t>
            </w:r>
          </w:p>
          <w:p w14:paraId="251886AB">
            <w:pPr>
              <w:spacing w:before="120" w:after="120" w:line="288" w:lineRule="auto"/>
              <w:ind w:left="0"/>
              <w:jc w:val="left"/>
            </w:pPr>
            <w:r>
              <w:rPr>
                <w:rFonts w:ascii="Arial" w:hAnsi="Arial" w:eastAsia="等线" w:cs="Arial"/>
                <w:sz w:val="22"/>
              </w:rPr>
              <w:t>(D) Cannot be determined.</w:t>
            </w:r>
          </w:p>
          <w:p w14:paraId="09E8C0B2">
            <w:pPr>
              <w:spacing w:before="120" w:after="120" w:line="288" w:lineRule="auto"/>
              <w:ind w:left="0"/>
              <w:jc w:val="left"/>
            </w:pPr>
          </w:p>
          <w:p w14:paraId="2187600D">
            <w:pPr>
              <w:numPr>
                <w:ilvl w:val="0"/>
                <w:numId w:val="82"/>
              </w:numPr>
              <w:spacing w:before="120" w:after="120" w:line="288" w:lineRule="auto"/>
              <w:ind w:left="0"/>
              <w:jc w:val="left"/>
            </w:pPr>
            <w:r>
              <w:rPr>
                <w:rFonts w:ascii="Arial" w:hAnsi="Arial" w:eastAsia="等线" w:cs="Arial"/>
                <w:sz w:val="22"/>
              </w:rPr>
              <w:t>Which of the following is taxable for an investor for the year in which it occurs?</w:t>
            </w:r>
          </w:p>
          <w:p w14:paraId="06E31C78">
            <w:pPr>
              <w:spacing w:before="120" w:after="120" w:line="288" w:lineRule="auto"/>
              <w:ind w:left="0"/>
              <w:jc w:val="left"/>
            </w:pPr>
            <w:r>
              <w:rPr>
                <w:rFonts w:ascii="Arial" w:hAnsi="Arial" w:eastAsia="等线" w:cs="Arial"/>
                <w:sz w:val="22"/>
              </w:rPr>
              <w:t>I. Stock dividends</w:t>
            </w:r>
          </w:p>
          <w:p w14:paraId="3E0AE11D">
            <w:pPr>
              <w:spacing w:before="120" w:after="120" w:line="288" w:lineRule="auto"/>
              <w:ind w:left="0"/>
              <w:jc w:val="left"/>
            </w:pPr>
            <w:r>
              <w:rPr>
                <w:rFonts w:ascii="Arial" w:hAnsi="Arial" w:eastAsia="等线" w:cs="Arial"/>
                <w:sz w:val="22"/>
              </w:rPr>
              <w:t>II. Cash dividends</w:t>
            </w:r>
          </w:p>
          <w:p w14:paraId="006AF7CE">
            <w:pPr>
              <w:spacing w:before="120" w:after="120" w:line="288" w:lineRule="auto"/>
              <w:ind w:left="0"/>
              <w:jc w:val="left"/>
            </w:pPr>
            <w:r>
              <w:rPr>
                <w:rFonts w:ascii="Arial" w:hAnsi="Arial" w:eastAsia="等线" w:cs="Arial"/>
                <w:sz w:val="22"/>
              </w:rPr>
              <w:t>III. Interest received from corporate bonds</w:t>
            </w:r>
          </w:p>
          <w:p w14:paraId="2A672A2E">
            <w:pPr>
              <w:spacing w:before="120" w:after="120" w:line="288" w:lineRule="auto"/>
              <w:ind w:left="0"/>
              <w:jc w:val="left"/>
            </w:pPr>
            <w:r>
              <w:rPr>
                <w:rFonts w:ascii="Arial" w:hAnsi="Arial" w:eastAsia="等线" w:cs="Arial"/>
                <w:sz w:val="22"/>
              </w:rPr>
              <w:t>IV. Interest received from U.S. government bonds</w:t>
            </w:r>
          </w:p>
          <w:p w14:paraId="28BA8191">
            <w:pPr>
              <w:spacing w:before="120" w:after="120" w:line="288" w:lineRule="auto"/>
              <w:ind w:left="0"/>
              <w:jc w:val="left"/>
            </w:pPr>
            <w:r>
              <w:rPr>
                <w:rFonts w:ascii="Arial" w:hAnsi="Arial" w:eastAsia="等线" w:cs="Arial"/>
                <w:sz w:val="22"/>
              </w:rPr>
              <w:t>(A) I, II, and III</w:t>
            </w:r>
          </w:p>
          <w:p w14:paraId="2B13E14F">
            <w:pPr>
              <w:spacing w:before="120" w:after="120" w:line="288" w:lineRule="auto"/>
              <w:ind w:left="0"/>
              <w:jc w:val="left"/>
            </w:pPr>
            <w:r>
              <w:rPr>
                <w:rFonts w:ascii="Arial" w:hAnsi="Arial" w:eastAsia="等线" w:cs="Arial"/>
                <w:sz w:val="22"/>
              </w:rPr>
              <w:t>(B) II and III</w:t>
            </w:r>
          </w:p>
          <w:p w14:paraId="35617BEF">
            <w:pPr>
              <w:spacing w:before="120" w:after="120" w:line="288" w:lineRule="auto"/>
              <w:ind w:left="0"/>
              <w:jc w:val="left"/>
            </w:pPr>
            <w:r>
              <w:rPr>
                <w:rFonts w:ascii="Arial" w:hAnsi="Arial" w:eastAsia="等线" w:cs="Arial"/>
                <w:sz w:val="22"/>
              </w:rPr>
              <w:t>(C) II, III, and IV</w:t>
            </w:r>
          </w:p>
          <w:p w14:paraId="164BC951">
            <w:pPr>
              <w:spacing w:before="120" w:after="120" w:line="288" w:lineRule="auto"/>
              <w:ind w:left="0"/>
              <w:jc w:val="left"/>
            </w:pPr>
            <w:r>
              <w:rPr>
                <w:rFonts w:ascii="Arial" w:hAnsi="Arial" w:eastAsia="等线" w:cs="Arial"/>
                <w:sz w:val="22"/>
              </w:rPr>
              <w:t>(D) I, II, III, and IV</w:t>
            </w:r>
          </w:p>
          <w:p w14:paraId="488C8B5D">
            <w:pPr>
              <w:spacing w:before="120" w:after="120" w:line="288" w:lineRule="auto"/>
              <w:ind w:left="0"/>
              <w:jc w:val="left"/>
            </w:pPr>
          </w:p>
          <w:p w14:paraId="40B24FB4">
            <w:pPr>
              <w:numPr>
                <w:ilvl w:val="0"/>
                <w:numId w:val="83"/>
              </w:numPr>
              <w:spacing w:before="120" w:after="120" w:line="288" w:lineRule="auto"/>
              <w:ind w:left="0"/>
              <w:jc w:val="left"/>
            </w:pPr>
            <w:r>
              <w:rPr>
                <w:rFonts w:ascii="Arial" w:hAnsi="Arial" w:eastAsia="等线" w:cs="Arial"/>
                <w:sz w:val="22"/>
              </w:rPr>
              <w:t>A customer purchased 100 shares of ABC stock at $40 per share on March 24. On March 24 of</w:t>
            </w:r>
          </w:p>
          <w:p w14:paraId="41856C84">
            <w:pPr>
              <w:spacing w:before="120" w:after="120" w:line="288" w:lineRule="auto"/>
              <w:ind w:left="0"/>
              <w:jc w:val="left"/>
            </w:pPr>
            <w:r>
              <w:rPr>
                <w:rFonts w:ascii="Arial" w:hAnsi="Arial" w:eastAsia="等线" w:cs="Arial"/>
                <w:sz w:val="22"/>
              </w:rPr>
              <w:t>the following year, the customer sold the stock at $46 per share. Which TWO of the following</w:t>
            </w:r>
          </w:p>
          <w:p w14:paraId="6CAB778F">
            <w:pPr>
              <w:spacing w:before="120" w:after="120" w:line="288" w:lineRule="auto"/>
              <w:ind w:left="0"/>
              <w:jc w:val="left"/>
            </w:pPr>
            <w:r>
              <w:rPr>
                <w:rFonts w:ascii="Arial" w:hAnsi="Arial" w:eastAsia="等线" w:cs="Arial"/>
                <w:sz w:val="22"/>
              </w:rPr>
              <w:t>are TRUE regarding these transactions?</w:t>
            </w:r>
          </w:p>
          <w:p w14:paraId="2F2FAD8D">
            <w:pPr>
              <w:spacing w:before="120" w:after="120" w:line="288" w:lineRule="auto"/>
              <w:ind w:left="0"/>
              <w:jc w:val="left"/>
            </w:pPr>
            <w:r>
              <w:rPr>
                <w:rFonts w:ascii="Arial" w:hAnsi="Arial" w:eastAsia="等线" w:cs="Arial"/>
                <w:sz w:val="22"/>
              </w:rPr>
              <w:t>I. They would be taxed as a short-term capital gain.</w:t>
            </w:r>
          </w:p>
          <w:p w14:paraId="1989B7F4">
            <w:pPr>
              <w:spacing w:before="120" w:after="120" w:line="288" w:lineRule="auto"/>
              <w:ind w:left="0"/>
              <w:jc w:val="left"/>
            </w:pPr>
            <w:r>
              <w:rPr>
                <w:rFonts w:ascii="Arial" w:hAnsi="Arial" w:eastAsia="等线" w:cs="Arial"/>
                <w:sz w:val="22"/>
              </w:rPr>
              <w:t>II. They would be taxed as a long-term capital gain.</w:t>
            </w:r>
          </w:p>
          <w:p w14:paraId="2941D496">
            <w:pPr>
              <w:spacing w:before="120" w:after="120" w:line="288" w:lineRule="auto"/>
              <w:ind w:left="0"/>
              <w:jc w:val="left"/>
            </w:pPr>
            <w:r>
              <w:rPr>
                <w:rFonts w:ascii="Arial" w:hAnsi="Arial" w:eastAsia="等线" w:cs="Arial"/>
                <w:sz w:val="22"/>
              </w:rPr>
              <w:t>III. The gain would be taxed at the customer’s tax bracket.</w:t>
            </w:r>
          </w:p>
          <w:p w14:paraId="378D6CA3">
            <w:pPr>
              <w:spacing w:before="120" w:after="120" w:line="288" w:lineRule="auto"/>
              <w:ind w:left="0"/>
              <w:jc w:val="left"/>
            </w:pPr>
            <w:r>
              <w:rPr>
                <w:rFonts w:ascii="Arial" w:hAnsi="Arial" w:eastAsia="等线" w:cs="Arial"/>
                <w:sz w:val="22"/>
              </w:rPr>
              <w:t>IV. The gain would be taxed at 0 percent, 15 percent, or 20 percent, depending on the</w:t>
            </w:r>
          </w:p>
          <w:p w14:paraId="24A7C6B9">
            <w:pPr>
              <w:spacing w:before="120" w:after="120" w:line="288" w:lineRule="auto"/>
              <w:ind w:left="0"/>
              <w:jc w:val="left"/>
            </w:pPr>
            <w:r>
              <w:rPr>
                <w:rFonts w:ascii="Arial" w:hAnsi="Arial" w:eastAsia="等线" w:cs="Arial"/>
                <w:sz w:val="22"/>
              </w:rPr>
              <w:t>customer’s adjusted gross income.</w:t>
            </w:r>
          </w:p>
          <w:p w14:paraId="3072B585">
            <w:pPr>
              <w:spacing w:before="120" w:after="120" w:line="288" w:lineRule="auto"/>
              <w:ind w:left="0"/>
              <w:jc w:val="left"/>
            </w:pPr>
            <w:r>
              <w:rPr>
                <w:rFonts w:ascii="Arial" w:hAnsi="Arial" w:eastAsia="等线" w:cs="Arial"/>
                <w:sz w:val="22"/>
              </w:rPr>
              <w:t>(A) I and III</w:t>
            </w:r>
          </w:p>
          <w:p w14:paraId="046DB08C">
            <w:pPr>
              <w:spacing w:before="120" w:after="120" w:line="288" w:lineRule="auto"/>
              <w:ind w:left="0"/>
              <w:jc w:val="left"/>
            </w:pPr>
            <w:r>
              <w:rPr>
                <w:rFonts w:ascii="Arial" w:hAnsi="Arial" w:eastAsia="等线" w:cs="Arial"/>
                <w:sz w:val="22"/>
              </w:rPr>
              <w:t>(B) I and IV</w:t>
            </w:r>
          </w:p>
          <w:p w14:paraId="073A66EC">
            <w:pPr>
              <w:spacing w:before="120" w:after="120" w:line="288" w:lineRule="auto"/>
              <w:ind w:left="0"/>
              <w:jc w:val="left"/>
            </w:pPr>
            <w:r>
              <w:rPr>
                <w:rFonts w:ascii="Arial" w:hAnsi="Arial" w:eastAsia="等线" w:cs="Arial"/>
                <w:sz w:val="22"/>
              </w:rPr>
              <w:t>(C) II and III</w:t>
            </w:r>
          </w:p>
          <w:p w14:paraId="19B0C12F">
            <w:pPr>
              <w:spacing w:before="120" w:after="120" w:line="288" w:lineRule="auto"/>
              <w:ind w:left="0"/>
              <w:jc w:val="left"/>
            </w:pPr>
            <w:r>
              <w:rPr>
                <w:rFonts w:ascii="Arial" w:hAnsi="Arial" w:eastAsia="等线" w:cs="Arial"/>
                <w:sz w:val="22"/>
              </w:rPr>
              <w:t>(D) II and IV</w:t>
            </w:r>
          </w:p>
          <w:p w14:paraId="5E7A2480">
            <w:pPr>
              <w:spacing w:before="120" w:after="120" w:line="288" w:lineRule="auto"/>
              <w:ind w:left="0"/>
              <w:jc w:val="left"/>
            </w:pPr>
          </w:p>
          <w:p w14:paraId="0AB2AE7C">
            <w:pPr>
              <w:numPr>
                <w:ilvl w:val="0"/>
                <w:numId w:val="84"/>
              </w:numPr>
              <w:spacing w:before="120" w:after="120" w:line="288" w:lineRule="auto"/>
              <w:ind w:left="0"/>
              <w:jc w:val="left"/>
            </w:pPr>
            <w:r>
              <w:rPr>
                <w:rFonts w:ascii="Arial" w:hAnsi="Arial" w:eastAsia="等线" w:cs="Arial"/>
                <w:sz w:val="22"/>
              </w:rPr>
              <w:t>According to the wash sale rule, if a customer sold a security at a loss, which of the following</w:t>
            </w:r>
          </w:p>
          <w:p w14:paraId="07BEFD6E">
            <w:pPr>
              <w:spacing w:before="120" w:after="120" w:line="288" w:lineRule="auto"/>
              <w:ind w:left="0"/>
              <w:jc w:val="left"/>
            </w:pPr>
            <w:r>
              <w:rPr>
                <w:rFonts w:ascii="Arial" w:hAnsi="Arial" w:eastAsia="等线" w:cs="Arial"/>
                <w:sz w:val="22"/>
              </w:rPr>
              <w:t>is TRUE?</w:t>
            </w:r>
          </w:p>
          <w:p w14:paraId="0CBC4E8F">
            <w:pPr>
              <w:spacing w:before="120" w:after="120" w:line="288" w:lineRule="auto"/>
              <w:ind w:left="0"/>
              <w:jc w:val="left"/>
            </w:pPr>
            <w:r>
              <w:rPr>
                <w:rFonts w:ascii="Arial" w:hAnsi="Arial" w:eastAsia="等线" w:cs="Arial"/>
                <w:sz w:val="22"/>
              </w:rPr>
              <w:t>(A) The customer cannot purchase call options on the same security for 30 days before or</w:t>
            </w:r>
          </w:p>
          <w:p w14:paraId="1C0DADCA">
            <w:pPr>
              <w:spacing w:before="120" w:after="120" w:line="288" w:lineRule="auto"/>
              <w:ind w:left="0"/>
              <w:jc w:val="left"/>
            </w:pPr>
            <w:r>
              <w:rPr>
                <w:rFonts w:ascii="Arial" w:hAnsi="Arial" w:eastAsia="等线" w:cs="Arial"/>
                <w:sz w:val="22"/>
              </w:rPr>
              <w:t>after the sale and be able to claim the loss.</w:t>
            </w:r>
          </w:p>
          <w:p w14:paraId="75F495FC">
            <w:pPr>
              <w:spacing w:before="120" w:after="120" w:line="288" w:lineRule="auto"/>
              <w:ind w:left="0"/>
              <w:jc w:val="left"/>
            </w:pPr>
            <w:r>
              <w:rPr>
                <w:rFonts w:ascii="Arial" w:hAnsi="Arial" w:eastAsia="等线" w:cs="Arial"/>
                <w:sz w:val="22"/>
              </w:rPr>
              <w:t>(B) The customer cannot purchase bonds by the same issuer for 30 days before and after the</w:t>
            </w:r>
          </w:p>
          <w:p w14:paraId="4429C7A9">
            <w:pPr>
              <w:spacing w:before="120" w:after="120" w:line="288" w:lineRule="auto"/>
              <w:ind w:left="0"/>
              <w:jc w:val="left"/>
            </w:pPr>
            <w:r>
              <w:rPr>
                <w:rFonts w:ascii="Arial" w:hAnsi="Arial" w:eastAsia="等线" w:cs="Arial"/>
                <w:sz w:val="22"/>
              </w:rPr>
              <w:t>sale and be able to claim the loss.</w:t>
            </w:r>
          </w:p>
          <w:p w14:paraId="7A0F55DB">
            <w:pPr>
              <w:spacing w:before="120" w:after="120" w:line="288" w:lineRule="auto"/>
              <w:ind w:left="0"/>
              <w:jc w:val="left"/>
            </w:pPr>
            <w:r>
              <w:rPr>
                <w:rFonts w:ascii="Arial" w:hAnsi="Arial" w:eastAsia="等线" w:cs="Arial"/>
                <w:sz w:val="22"/>
              </w:rPr>
              <w:t>(C) The customer cannot sell short the same security within 30 days before or after the sale</w:t>
            </w:r>
          </w:p>
          <w:p w14:paraId="55C2876C">
            <w:pPr>
              <w:spacing w:before="120" w:after="120" w:line="288" w:lineRule="auto"/>
              <w:ind w:left="0"/>
              <w:jc w:val="left"/>
            </w:pPr>
            <w:r>
              <w:rPr>
                <w:rFonts w:ascii="Arial" w:hAnsi="Arial" w:eastAsia="等线" w:cs="Arial"/>
                <w:sz w:val="22"/>
              </w:rPr>
              <w:t>and be able to claim the loss.</w:t>
            </w:r>
          </w:p>
          <w:p w14:paraId="50182A34">
            <w:pPr>
              <w:spacing w:before="120" w:after="120" w:line="288" w:lineRule="auto"/>
              <w:ind w:left="0"/>
              <w:jc w:val="left"/>
            </w:pPr>
            <w:r>
              <w:rPr>
                <w:rFonts w:ascii="Arial" w:hAnsi="Arial" w:eastAsia="等线" w:cs="Arial"/>
                <w:sz w:val="22"/>
              </w:rPr>
              <w:t>(D) The customer cannot purchase mutual funds holding the same security for 30 days before</w:t>
            </w:r>
          </w:p>
          <w:p w14:paraId="69534848">
            <w:pPr>
              <w:spacing w:before="120" w:after="120" w:line="288" w:lineRule="auto"/>
              <w:ind w:left="0"/>
              <w:jc w:val="left"/>
            </w:pPr>
            <w:r>
              <w:rPr>
                <w:rFonts w:ascii="Arial" w:hAnsi="Arial" w:eastAsia="等线" w:cs="Arial"/>
                <w:sz w:val="22"/>
              </w:rPr>
              <w:t>and after the sale and be able to claim the loss.</w:t>
            </w:r>
          </w:p>
          <w:p w14:paraId="5DF245AC">
            <w:pPr>
              <w:spacing w:before="120" w:after="120" w:line="288" w:lineRule="auto"/>
              <w:ind w:left="0"/>
              <w:jc w:val="left"/>
            </w:pPr>
          </w:p>
          <w:p w14:paraId="1EC0A803">
            <w:pPr>
              <w:numPr>
                <w:ilvl w:val="0"/>
                <w:numId w:val="85"/>
              </w:numPr>
              <w:spacing w:before="120" w:after="120" w:line="288" w:lineRule="auto"/>
              <w:ind w:left="0"/>
              <w:jc w:val="left"/>
            </w:pPr>
            <w:r>
              <w:rPr>
                <w:rFonts w:ascii="Arial" w:hAnsi="Arial" w:eastAsia="等线" w:cs="Arial"/>
                <w:sz w:val="22"/>
              </w:rPr>
              <w:t>Which of the following types of retirement plans is a salary reduction plan set up for public</w:t>
            </w:r>
          </w:p>
          <w:p w14:paraId="5A9B913B">
            <w:pPr>
              <w:spacing w:before="120" w:after="120" w:line="288" w:lineRule="auto"/>
              <w:ind w:left="0"/>
              <w:jc w:val="left"/>
            </w:pPr>
            <w:r>
              <w:rPr>
                <w:rFonts w:ascii="Arial" w:hAnsi="Arial" w:eastAsia="等线" w:cs="Arial"/>
                <w:sz w:val="22"/>
              </w:rPr>
              <w:t>school employees?</w:t>
            </w:r>
          </w:p>
          <w:p w14:paraId="3B5F9C8C">
            <w:pPr>
              <w:spacing w:before="120" w:after="120" w:line="288" w:lineRule="auto"/>
              <w:ind w:left="0"/>
              <w:jc w:val="left"/>
            </w:pPr>
            <w:r>
              <w:rPr>
                <w:rFonts w:ascii="Arial" w:hAnsi="Arial" w:eastAsia="等线" w:cs="Arial"/>
                <w:sz w:val="22"/>
              </w:rPr>
              <w:t>(A) SEP-IRAs</w:t>
            </w:r>
          </w:p>
          <w:p w14:paraId="57BE50A9">
            <w:pPr>
              <w:spacing w:before="120" w:after="120" w:line="288" w:lineRule="auto"/>
              <w:ind w:left="0"/>
              <w:jc w:val="left"/>
            </w:pPr>
            <w:r>
              <w:rPr>
                <w:rFonts w:ascii="Arial" w:hAnsi="Arial" w:eastAsia="等线" w:cs="Arial"/>
                <w:sz w:val="22"/>
              </w:rPr>
              <w:t>(B) 401(k)s</w:t>
            </w:r>
          </w:p>
          <w:p w14:paraId="29763145">
            <w:pPr>
              <w:spacing w:before="120" w:after="120" w:line="288" w:lineRule="auto"/>
              <w:ind w:left="0"/>
              <w:jc w:val="left"/>
            </w:pPr>
            <w:r>
              <w:rPr>
                <w:rFonts w:ascii="Arial" w:hAnsi="Arial" w:eastAsia="等线" w:cs="Arial"/>
                <w:sz w:val="22"/>
              </w:rPr>
              <w:t>(C) 403(b)s</w:t>
            </w:r>
          </w:p>
          <w:p w14:paraId="64BD5A9F">
            <w:pPr>
              <w:spacing w:before="120" w:after="120" w:line="288" w:lineRule="auto"/>
              <w:ind w:left="0"/>
              <w:jc w:val="left"/>
            </w:pPr>
            <w:r>
              <w:rPr>
                <w:rFonts w:ascii="Arial" w:hAnsi="Arial" w:eastAsia="等线" w:cs="Arial"/>
                <w:sz w:val="22"/>
              </w:rPr>
              <w:t>(D) Keogh plans</w:t>
            </w:r>
          </w:p>
        </w:tc>
      </w:tr>
    </w:tbl>
    <w:p w14:paraId="791C9A50"/>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7F132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D9F5D6"/>
            <w:tcMar>
              <w:top w:w="60" w:type="dxa"/>
              <w:left w:w="120" w:type="dxa"/>
              <w:bottom w:w="30" w:type="dxa"/>
              <w:right w:w="120" w:type="dxa"/>
            </w:tcMar>
          </w:tcPr>
          <w:p w14:paraId="6A42DDD8">
            <w:pPr>
              <w:numPr>
                <w:ilvl w:val="0"/>
                <w:numId w:val="86"/>
              </w:numPr>
              <w:spacing w:before="120" w:after="120" w:line="288" w:lineRule="auto"/>
              <w:ind w:left="0"/>
              <w:jc w:val="left"/>
            </w:pPr>
            <w:r>
              <w:rPr>
                <w:rFonts w:ascii="Arial" w:hAnsi="Arial" w:eastAsia="等线" w:cs="Arial"/>
                <w:sz w:val="22"/>
              </w:rPr>
              <w:t>B</w:t>
            </w:r>
          </w:p>
          <w:p w14:paraId="0727144B">
            <w:pPr>
              <w:spacing w:before="120" w:after="120" w:line="288" w:lineRule="auto"/>
              <w:ind w:left="0"/>
              <w:jc w:val="left"/>
            </w:pPr>
            <w:r>
              <w:rPr>
                <w:rFonts w:ascii="Arial" w:hAnsi="Arial" w:eastAsia="等线" w:cs="Arial"/>
                <w:sz w:val="22"/>
              </w:rPr>
              <w:t>The correct answer is (B). Jones has a net capital loss of $20,000 (a $50,000 loss minus the $30,000 gain). Jones writes off $3,000 of that capital loss against the earned income and carries the additional loss of $17,000 forward to write off against any capital gains they may have in future years. In the event that Jones doesn’t have any capital gains the following year, they can still write off $3,000 of the $17,000 against any earned income and carry the remaining $14,000 forward, which can be used to offset any capital gains the following year. The loss can be carried forward to subsequent years until used up or the investor dies.</w:t>
            </w:r>
          </w:p>
          <w:p w14:paraId="32ABD40D">
            <w:pPr>
              <w:spacing w:before="120" w:after="120" w:line="288" w:lineRule="auto"/>
              <w:ind w:left="0"/>
              <w:jc w:val="left"/>
            </w:pPr>
            <w:r>
              <w:rPr>
                <w:rFonts w:ascii="Arial" w:hAnsi="Arial" w:eastAsia="等线" w:cs="Arial"/>
                <w:sz w:val="22"/>
              </w:rPr>
              <w:t>正确答案是(B)。琼斯的净资本损失为20,000美元（50,000美元的损失减去30,000美元的收益）。琼斯将3000美元的资本损失冲销到劳动收入中，并将额外的17000美元的损失冲销到未来几年可能获得的任何资本收益中。如果琼斯在下一年没有任何资本利得，他们仍然可以将17,000美元中的3,000美元冲销任何劳动收入，并将剩余的14,000美元结转，这可以用来抵消下一年的任何资本利得。亏损可以结转到以后的年度，直到用完或投资者死亡。</w:t>
            </w:r>
          </w:p>
          <w:p w14:paraId="00BBE138">
            <w:pPr>
              <w:spacing w:before="120" w:after="120" w:line="288" w:lineRule="auto"/>
              <w:ind w:left="0"/>
              <w:jc w:val="left"/>
            </w:pPr>
          </w:p>
          <w:p w14:paraId="3752535E">
            <w:pPr>
              <w:numPr>
                <w:ilvl w:val="0"/>
                <w:numId w:val="87"/>
              </w:numPr>
              <w:spacing w:before="120" w:after="120" w:line="288" w:lineRule="auto"/>
              <w:ind w:left="0"/>
              <w:jc w:val="left"/>
            </w:pPr>
            <w:r>
              <w:rPr>
                <w:rFonts w:ascii="Arial" w:hAnsi="Arial" w:eastAsia="等线" w:cs="Arial"/>
                <w:sz w:val="22"/>
              </w:rPr>
              <w:t>C</w:t>
            </w:r>
          </w:p>
          <w:p w14:paraId="7E1D33CA">
            <w:pPr>
              <w:spacing w:before="120" w:after="120" w:line="288" w:lineRule="auto"/>
              <w:ind w:left="0"/>
              <w:jc w:val="left"/>
            </w:pPr>
            <w:r>
              <w:rPr>
                <w:rFonts w:ascii="Arial" w:hAnsi="Arial" w:eastAsia="等线" w:cs="Arial"/>
                <w:sz w:val="22"/>
              </w:rPr>
              <w:t>The answer you want is (C). You need to remember that Melissa sold DEF at a loss; therefore, they can’t buy back the same security (as in statement I) or anything convertible into the same security (as in statements II and III) within 30 days to avoid the wash sale rule. Warrants give an investor the right to buy stock at a fixed price (see Chapter 6), and call options give investors the right to buy securities at a fixed price (Chapter 11). However, statement IV is okay because DEF preferred stock is a different security and is not convertible into DEF common stock (unless it’s convertible preferred, which it isn’t; if it were convertible, the question would have told you so). For Melissa to avoid the wash sale rule, they can’t buy DEF common stock, DEF convertible preferred stock, DEF convertible bonds, DEF call options, DEF warrants, or DEF rights for 30 days. However, they can buy DEF preferred stock, DEF bonds, or DEF put options (the right to sell DEF).</w:t>
            </w:r>
          </w:p>
          <w:p w14:paraId="146C51BC">
            <w:pPr>
              <w:spacing w:before="120" w:after="120" w:line="288" w:lineRule="auto"/>
              <w:ind w:left="0"/>
              <w:jc w:val="left"/>
            </w:pPr>
            <w:r>
              <w:rPr>
                <w:rFonts w:ascii="Arial" w:hAnsi="Arial" w:eastAsia="等线" w:cs="Arial"/>
                <w:sz w:val="22"/>
              </w:rPr>
              <w:t>你想要的答案是（C）。你需要记住梅丽莎以亏损价卖出了DEF股票，因此，为了避免适用洗售规则，她在30天内不能回购相同的证券（如陈述I所述），也不能回购任何可转换为该证券的品种（如陈述II和III所述）。认股权证赋予投资者以固定价格购买股票的权利（见第6章），看涨期权则赋予投资者以固定价格购买证券的权利（第11章）。不过，陈述IV是可行的，因为DEF优先股是不同的证券，且不能转换为DEF普通股（除非是可转换优先股，但这里并非如此；如果是可转换的，题目会明确说明）。为避免触发虚售规则，梅丽莎在30天内不得购买DEF普通股、DEF可转换优先股、DEF可转换债券、DEF看涨期权、DEF认股权证或DEF认购权。但她可以购买DEF优先股、DEF债券或DEF看跌期权（卖出DEF的权利）。</w:t>
            </w:r>
          </w:p>
          <w:p w14:paraId="0957B64F">
            <w:pPr>
              <w:spacing w:before="120" w:after="120" w:line="288" w:lineRule="auto"/>
              <w:ind w:left="0"/>
              <w:jc w:val="left"/>
            </w:pPr>
          </w:p>
          <w:p w14:paraId="43B641EB">
            <w:pPr>
              <w:numPr>
                <w:ilvl w:val="0"/>
                <w:numId w:val="88"/>
              </w:numPr>
              <w:spacing w:before="120" w:after="120" w:line="288" w:lineRule="auto"/>
              <w:ind w:left="0"/>
              <w:jc w:val="left"/>
            </w:pPr>
            <w:r>
              <w:rPr>
                <w:rFonts w:ascii="Arial" w:hAnsi="Arial" w:eastAsia="等线" w:cs="Arial"/>
                <w:sz w:val="22"/>
              </w:rPr>
              <w:t>C</w:t>
            </w:r>
          </w:p>
          <w:p w14:paraId="5DDE7094">
            <w:pPr>
              <w:spacing w:before="120" w:after="120" w:line="288" w:lineRule="auto"/>
              <w:ind w:left="0"/>
              <w:jc w:val="left"/>
            </w:pPr>
            <w:r>
              <w:rPr>
                <w:rFonts w:ascii="Arial" w:hAnsi="Arial" w:eastAsia="等线" w:cs="Arial"/>
                <w:sz w:val="22"/>
              </w:rPr>
              <w:t>Regressive taxes are ones in which all individuals are charged the same percentage regardless of their income. Sales tax, gasoline tax, and alcohol tax are all regressive taxes. Income tax is a progressive tax because the higher your income, the higher the tax bracket.</w:t>
            </w:r>
          </w:p>
          <w:p w14:paraId="4CDECC9D">
            <w:pPr>
              <w:spacing w:before="120" w:after="120" w:line="288" w:lineRule="auto"/>
              <w:ind w:left="0"/>
              <w:jc w:val="left"/>
            </w:pPr>
            <w:r>
              <w:rPr>
                <w:rFonts w:ascii="Arial" w:hAnsi="Arial" w:eastAsia="等线" w:cs="Arial"/>
                <w:sz w:val="22"/>
              </w:rPr>
              <w:t>累退税是指无论个人收入多少，都按相同比例征税的税种。销售税、汽油税和酒精税都属于累退税。所得税是累进税，因为收入越高，适用的税率等级就越高。</w:t>
            </w:r>
          </w:p>
          <w:p w14:paraId="65545CB0">
            <w:pPr>
              <w:spacing w:before="120" w:after="120" w:line="288" w:lineRule="auto"/>
              <w:ind w:left="0"/>
              <w:jc w:val="left"/>
            </w:pPr>
          </w:p>
          <w:p w14:paraId="17AA0A50">
            <w:pPr>
              <w:numPr>
                <w:ilvl w:val="0"/>
                <w:numId w:val="89"/>
              </w:numPr>
              <w:spacing w:before="120" w:after="120" w:line="288" w:lineRule="auto"/>
              <w:ind w:left="0"/>
              <w:jc w:val="left"/>
            </w:pPr>
            <w:r>
              <w:rPr>
                <w:rFonts w:ascii="Arial" w:hAnsi="Arial" w:eastAsia="等线" w:cs="Arial"/>
                <w:sz w:val="22"/>
              </w:rPr>
              <w:t>D</w:t>
            </w:r>
          </w:p>
          <w:p w14:paraId="4FB06788">
            <w:pPr>
              <w:spacing w:before="120" w:after="120" w:line="288" w:lineRule="auto"/>
              <w:ind w:left="0"/>
              <w:jc w:val="left"/>
            </w:pPr>
            <w:r>
              <w:rPr>
                <w:rFonts w:ascii="Arial" w:hAnsi="Arial" w:eastAsia="等线" w:cs="Arial"/>
                <w:sz w:val="22"/>
              </w:rPr>
              <w:t>Tax-qualified plans are ones that meet IRS standards for favorable tax treatment. If the plan is tax-qualified, contributions are made from pretax dollars. However, when the money is withdrawn, the entire amount, including the initial contributions plus any gains, is taxable. Tax-qualified plans include IRAs, 401(k)s, profit-sharing, money-purchase, and so on. Nonqualified plans are funded from after-tax contributions and include deferred compensation, payroll deduction, 457 plans, and so on.</w:t>
            </w:r>
          </w:p>
          <w:p w14:paraId="1CDD8E87">
            <w:pPr>
              <w:spacing w:before="120" w:after="120" w:line="288" w:lineRule="auto"/>
              <w:ind w:left="0"/>
              <w:jc w:val="left"/>
            </w:pPr>
            <w:r>
              <w:rPr>
                <w:rFonts w:ascii="Arial" w:hAnsi="Arial" w:eastAsia="等线" w:cs="Arial"/>
                <w:sz w:val="22"/>
              </w:rPr>
              <w:t>符合税收条件的计划是指那些满足美国国税局（IRS）优惠税收待遇标准的计划。如果该计划符合税收条件，其供款将从税前收入中提取。然而，当取出资金时，包括初始供款以及任何收益在内的全部金额都需纳税。符合税收条件的计划包括个人退休账户（IRAs）、401(k)计划、利润分享计划、固定缴款计划等。非合格计划的资金来自税后供款，包括递延薪酬计划、工资扣除计划、457计划等。</w:t>
            </w:r>
          </w:p>
          <w:p w14:paraId="600EAB67">
            <w:pPr>
              <w:spacing w:before="120" w:after="120" w:line="288" w:lineRule="auto"/>
              <w:ind w:left="0"/>
              <w:jc w:val="left"/>
            </w:pPr>
          </w:p>
          <w:p w14:paraId="10980D98">
            <w:pPr>
              <w:numPr>
                <w:ilvl w:val="0"/>
                <w:numId w:val="90"/>
              </w:numPr>
              <w:spacing w:before="120" w:after="120" w:line="288" w:lineRule="auto"/>
              <w:ind w:left="0"/>
              <w:jc w:val="left"/>
            </w:pPr>
            <w:r>
              <w:rPr>
                <w:rFonts w:ascii="Arial" w:hAnsi="Arial" w:eastAsia="等线" w:cs="Arial"/>
                <w:sz w:val="22"/>
              </w:rPr>
              <w:t>A</w:t>
            </w:r>
          </w:p>
          <w:p w14:paraId="31720084">
            <w:pPr>
              <w:spacing w:before="120" w:after="120" w:line="288" w:lineRule="auto"/>
              <w:ind w:left="0"/>
              <w:jc w:val="left"/>
            </w:pPr>
            <w:r>
              <w:rPr>
                <w:rFonts w:ascii="Arial" w:hAnsi="Arial" w:eastAsia="等线" w:cs="Arial"/>
                <w:sz w:val="22"/>
              </w:rPr>
              <w:t>Contributions to both Roth IRAs and Roth 401(k)s are made from after-tax dollars. So, withdrawals are tax-free provided that investors have held the accounts for at least five years and are at least \(591/2) years old.</w:t>
            </w:r>
          </w:p>
          <w:p w14:paraId="4EC2BEE3">
            <w:pPr>
              <w:spacing w:before="120" w:after="120" w:line="288" w:lineRule="auto"/>
              <w:ind w:left="0"/>
              <w:jc w:val="left"/>
            </w:pPr>
            <w:r>
              <w:rPr>
                <w:rFonts w:ascii="Arial" w:hAnsi="Arial" w:eastAsia="等线" w:cs="Arial"/>
                <w:sz w:val="22"/>
              </w:rPr>
              <w:t>向罗斯个人退休账户（Roth IRAs）和罗斯401(k)计划的缴费均来自税后收入。因此，只要投资者持有这些账户至少五年且年龄不低于\(591/2\)岁，提款就是免税的。</w:t>
            </w:r>
          </w:p>
          <w:p w14:paraId="27C1AAC3">
            <w:pPr>
              <w:spacing w:before="120" w:after="120" w:line="288" w:lineRule="auto"/>
              <w:ind w:left="0"/>
              <w:jc w:val="left"/>
            </w:pPr>
          </w:p>
          <w:p w14:paraId="332B9005">
            <w:pPr>
              <w:numPr>
                <w:ilvl w:val="0"/>
                <w:numId w:val="91"/>
              </w:numPr>
              <w:spacing w:before="120" w:after="120" w:line="288" w:lineRule="auto"/>
              <w:ind w:left="0"/>
              <w:jc w:val="left"/>
            </w:pPr>
            <w:r>
              <w:rPr>
                <w:rFonts w:ascii="Arial" w:hAnsi="Arial" w:eastAsia="等线" w:cs="Arial"/>
                <w:sz w:val="22"/>
              </w:rPr>
              <w:t>B</w:t>
            </w:r>
          </w:p>
          <w:p w14:paraId="31588EED">
            <w:pPr>
              <w:spacing w:before="120" w:after="120" w:line="288" w:lineRule="auto"/>
              <w:ind w:left="0"/>
              <w:jc w:val="left"/>
            </w:pPr>
            <w:r>
              <w:rPr>
                <w:rFonts w:ascii="Arial" w:hAnsi="Arial" w:eastAsia="等线" w:cs="Arial"/>
                <w:sz w:val="22"/>
              </w:rPr>
              <w:t>In this case, because the investor didn’t sell the security at a profit, in which case it would’ve been a capital gain, it is categorized as appreciation.</w:t>
            </w:r>
          </w:p>
          <w:p w14:paraId="6BB2EDEC">
            <w:pPr>
              <w:spacing w:before="120" w:after="120" w:line="288" w:lineRule="auto"/>
              <w:ind w:left="0"/>
              <w:jc w:val="left"/>
            </w:pPr>
            <w:r>
              <w:rPr>
                <w:rFonts w:ascii="Arial" w:hAnsi="Arial" w:eastAsia="等线" w:cs="Arial"/>
                <w:sz w:val="22"/>
              </w:rPr>
              <w:t>在这种情况下，由于投资者没有以盈利出售该证券（如果出售的话，就会产生资本利得），因此它被归类为增值。</w:t>
            </w:r>
          </w:p>
          <w:p w14:paraId="103DF4A2">
            <w:pPr>
              <w:spacing w:before="120" w:after="120" w:line="288" w:lineRule="auto"/>
              <w:ind w:left="0"/>
              <w:jc w:val="left"/>
            </w:pPr>
          </w:p>
          <w:p w14:paraId="0E0CFB13">
            <w:pPr>
              <w:numPr>
                <w:ilvl w:val="0"/>
                <w:numId w:val="92"/>
              </w:numPr>
              <w:spacing w:before="120" w:after="120" w:line="288" w:lineRule="auto"/>
              <w:ind w:left="0"/>
              <w:jc w:val="left"/>
            </w:pPr>
            <w:r>
              <w:rPr>
                <w:rFonts w:ascii="Arial" w:hAnsi="Arial" w:eastAsia="等线" w:cs="Arial"/>
                <w:sz w:val="22"/>
              </w:rPr>
              <w:t>A</w:t>
            </w:r>
          </w:p>
          <w:p w14:paraId="5AC939D4">
            <w:pPr>
              <w:spacing w:before="120" w:after="120" w:line="288" w:lineRule="auto"/>
              <w:ind w:left="0"/>
              <w:jc w:val="left"/>
            </w:pPr>
            <w:r>
              <w:rPr>
                <w:rFonts w:ascii="Arial" w:hAnsi="Arial" w:eastAsia="等线" w:cs="Arial"/>
                <w:sz w:val="22"/>
              </w:rPr>
              <w:t>An investor can always contribute money to an IRA even if covered by an employer pension plan. However, whether it’s deductible depends on the investor’s earnings. As of 2024 (the amount increases yearly), an investor who makes up to $77,000 can contribute to an IRA and be able to deduct the full amount from their taxes.</w:t>
            </w:r>
          </w:p>
          <w:p w14:paraId="34B4B9BA">
            <w:pPr>
              <w:spacing w:before="120" w:after="120" w:line="288" w:lineRule="auto"/>
              <w:ind w:left="0"/>
              <w:jc w:val="left"/>
            </w:pPr>
            <w:r>
              <w:rPr>
                <w:rFonts w:ascii="Arial" w:hAnsi="Arial" w:eastAsia="等线" w:cs="Arial"/>
                <w:sz w:val="22"/>
              </w:rPr>
              <w:t>即使投资者参加了雇主的养老金计划，他们也始终可以向个人退休账户（IRA）缴费。不过，这笔缴费是否可抵扣税款取决于投资者的收入。截至2024年（该金额每年都会上调），年收入不超过77,000美元的投资者向个人退休账户缴费后，可从其税款中全额抵扣该笔缴费。</w:t>
            </w:r>
          </w:p>
          <w:p w14:paraId="6390479F">
            <w:pPr>
              <w:spacing w:before="120" w:after="120" w:line="288" w:lineRule="auto"/>
              <w:ind w:left="0"/>
              <w:jc w:val="left"/>
            </w:pPr>
          </w:p>
          <w:p w14:paraId="5DBDE256">
            <w:pPr>
              <w:numPr>
                <w:ilvl w:val="0"/>
                <w:numId w:val="93"/>
              </w:numPr>
              <w:spacing w:before="120" w:after="120" w:line="288" w:lineRule="auto"/>
              <w:ind w:left="0"/>
              <w:jc w:val="left"/>
            </w:pPr>
            <w:r>
              <w:rPr>
                <w:rFonts w:ascii="Arial" w:hAnsi="Arial" w:eastAsia="等线" w:cs="Arial"/>
                <w:sz w:val="22"/>
              </w:rPr>
              <w:t>C</w:t>
            </w:r>
          </w:p>
          <w:p w14:paraId="064E7EB0">
            <w:pPr>
              <w:spacing w:before="120" w:after="120" w:line="288" w:lineRule="auto"/>
              <w:ind w:left="0"/>
              <w:jc w:val="left"/>
            </w:pPr>
            <w:r>
              <w:rPr>
                <w:rFonts w:ascii="Arial" w:hAnsi="Arial" w:eastAsia="等线" w:cs="Arial"/>
                <w:sz w:val="22"/>
              </w:rPr>
              <w:t>Cash dividends, interest from corporate bonds, and interest from U.S. government bonds are all taxable for the year in which they occurred. However, stock dividends are not taxable because the investor didn’t receive a payment, just more shares of stock, which lowered the cost basis.</w:t>
            </w:r>
          </w:p>
          <w:p w14:paraId="7B4FAFF6">
            <w:pPr>
              <w:spacing w:before="120" w:after="120" w:line="288" w:lineRule="auto"/>
              <w:ind w:left="0"/>
              <w:jc w:val="left"/>
            </w:pPr>
            <w:r>
              <w:rPr>
                <w:rFonts w:ascii="Arial" w:hAnsi="Arial" w:eastAsia="等线" w:cs="Arial"/>
                <w:sz w:val="22"/>
              </w:rPr>
              <w:t>现金股息、公司债券利息和美国政府债券利息在其发生的年度均需纳税。然而，股票股息无需纳税，因为投资者并未收到款项，只是获得了更多的股票份额，这降低了成本基础。</w:t>
            </w:r>
          </w:p>
          <w:p w14:paraId="3B0F69D2">
            <w:pPr>
              <w:spacing w:before="120" w:after="120" w:line="288" w:lineRule="auto"/>
              <w:ind w:left="0"/>
              <w:jc w:val="left"/>
            </w:pPr>
          </w:p>
          <w:p w14:paraId="75C45144">
            <w:pPr>
              <w:numPr>
                <w:ilvl w:val="0"/>
                <w:numId w:val="94"/>
              </w:numPr>
              <w:spacing w:before="120" w:after="120" w:line="288" w:lineRule="auto"/>
              <w:ind w:left="0"/>
              <w:jc w:val="left"/>
            </w:pPr>
            <w:r>
              <w:rPr>
                <w:rFonts w:ascii="Arial" w:hAnsi="Arial" w:eastAsia="等线" w:cs="Arial"/>
                <w:sz w:val="22"/>
              </w:rPr>
              <w:t>A</w:t>
            </w:r>
          </w:p>
          <w:p w14:paraId="0CE24C67">
            <w:pPr>
              <w:spacing w:before="120" w:after="120" w:line="288" w:lineRule="auto"/>
              <w:ind w:left="0"/>
              <w:jc w:val="left"/>
            </w:pPr>
            <w:r>
              <w:rPr>
                <w:rFonts w:ascii="Arial" w:hAnsi="Arial" w:eastAsia="等线" w:cs="Arial"/>
                <w:sz w:val="22"/>
              </w:rPr>
              <w:t>This is a short-term capital gain because when a security is sold up to and including one year from the purchase date, it would be a short-term capital gain or loss. Because it is short-term, the gain would be taxed at the investor’s tax bracket.</w:t>
            </w:r>
          </w:p>
          <w:p w14:paraId="5923C64E">
            <w:pPr>
              <w:spacing w:before="120" w:after="120" w:line="288" w:lineRule="auto"/>
              <w:ind w:left="0"/>
              <w:jc w:val="left"/>
            </w:pPr>
            <w:r>
              <w:rPr>
                <w:rFonts w:ascii="Arial" w:hAnsi="Arial" w:eastAsia="等线" w:cs="Arial"/>
                <w:sz w:val="22"/>
              </w:rPr>
              <w:t>这是短期资本收益，因为从购买之日起一年内出售证券，这将是短期资本收益或损失。因为这是短期的，收益将按投资者的纳税等级征税。</w:t>
            </w:r>
          </w:p>
          <w:p w14:paraId="1B7FD5E4">
            <w:pPr>
              <w:spacing w:before="120" w:after="120" w:line="288" w:lineRule="auto"/>
              <w:ind w:left="0"/>
              <w:jc w:val="left"/>
            </w:pPr>
          </w:p>
          <w:p w14:paraId="0FE7EBD7">
            <w:pPr>
              <w:numPr>
                <w:ilvl w:val="0"/>
                <w:numId w:val="95"/>
              </w:numPr>
              <w:spacing w:before="120" w:after="120" w:line="288" w:lineRule="auto"/>
              <w:ind w:left="0"/>
              <w:jc w:val="left"/>
            </w:pPr>
            <w:r>
              <w:rPr>
                <w:rFonts w:ascii="Arial" w:hAnsi="Arial" w:eastAsia="等线" w:cs="Arial"/>
                <w:sz w:val="22"/>
              </w:rPr>
              <w:t>A</w:t>
            </w:r>
          </w:p>
          <w:p w14:paraId="7FD3833A">
            <w:pPr>
              <w:spacing w:before="120" w:after="120" w:line="288" w:lineRule="auto"/>
              <w:ind w:left="0"/>
              <w:jc w:val="left"/>
            </w:pPr>
            <w:r>
              <w:rPr>
                <w:rFonts w:ascii="Arial" w:hAnsi="Arial" w:eastAsia="等线" w:cs="Arial"/>
                <w:sz w:val="22"/>
              </w:rPr>
              <w:t>According to the wash sale rule, an investor who is selling a security at a loss cannot purchase the same security or anything convertible into the same security for 30 days prior or 30 days after the sale and be able to claim the loss. However, the loss isn’t gone completely; it just means that the cost basis for the new securities purchased will be adjusted for the loss. So, if the investor sold ABC common stock at a loss, they wouldn’t be able to purchase ABC call options on the stock because call options give the investor the right to purchase the underlying security.</w:t>
            </w:r>
          </w:p>
          <w:p w14:paraId="6D271D91">
            <w:pPr>
              <w:spacing w:before="120" w:after="120" w:line="288" w:lineRule="auto"/>
              <w:ind w:left="0"/>
              <w:jc w:val="left"/>
            </w:pPr>
            <w:r>
              <w:rPr>
                <w:rFonts w:ascii="Arial" w:hAnsi="Arial" w:eastAsia="等线" w:cs="Arial"/>
                <w:sz w:val="22"/>
              </w:rPr>
              <w:t>根据洗售规则，以亏损价格出售证券的投资者，在出售前30天或出售后30天内，不得购买相同证券或任何可转换为相同证券的产品，否则无法申报该笔亏损。不过，这笔亏损并非完全消失，它仅意味着所购买新证券的成本 basis 将根据该亏损进行调整。因此，如果投资者以亏损价格出售了ABC普通股，他们将不能购买该股票的ABC看涨期权，因为看涨期权赋予投资者购买标的证券的权利。</w:t>
            </w:r>
          </w:p>
          <w:p w14:paraId="40930D97">
            <w:pPr>
              <w:spacing w:before="120" w:after="120" w:line="288" w:lineRule="auto"/>
              <w:ind w:left="0"/>
              <w:jc w:val="left"/>
            </w:pPr>
          </w:p>
          <w:p w14:paraId="264CE069">
            <w:pPr>
              <w:numPr>
                <w:ilvl w:val="0"/>
                <w:numId w:val="96"/>
              </w:numPr>
              <w:spacing w:before="120" w:after="120" w:line="288" w:lineRule="auto"/>
              <w:ind w:left="0"/>
              <w:jc w:val="left"/>
            </w:pPr>
            <w:r>
              <w:rPr>
                <w:rFonts w:ascii="Arial" w:hAnsi="Arial" w:eastAsia="等线" w:cs="Arial"/>
                <w:sz w:val="22"/>
              </w:rPr>
              <w:t>C</w:t>
            </w:r>
          </w:p>
          <w:p w14:paraId="35CCF8BB">
            <w:pPr>
              <w:spacing w:before="120" w:after="120" w:line="288" w:lineRule="auto"/>
              <w:ind w:left="0"/>
              <w:jc w:val="left"/>
            </w:pPr>
            <w:r>
              <w:rPr>
                <w:rFonts w:ascii="Arial" w:hAnsi="Arial" w:eastAsia="等线" w:cs="Arial"/>
                <w:sz w:val="22"/>
              </w:rPr>
              <w:t>403(b) plans are set up for public school employees (elementary, secondary, college, and so on). They are considered salary reduction plans because the amount contributed by the employee reduces their salary so that they aren’t taxed on the money contributed until it’s taken out at retirement.</w:t>
            </w:r>
          </w:p>
          <w:p w14:paraId="624A962F">
            <w:pPr>
              <w:spacing w:before="120" w:after="120" w:line="288" w:lineRule="auto"/>
              <w:ind w:left="0"/>
              <w:jc w:val="left"/>
            </w:pPr>
            <w:r>
              <w:rPr>
                <w:rFonts w:ascii="Arial" w:hAnsi="Arial" w:eastAsia="等线" w:cs="Arial"/>
                <w:sz w:val="22"/>
              </w:rPr>
              <w:t>403(b) 计划是为公立学校员工（小学、中学、大学等）设立的。它们被视为薪资缩减计划，因为员工的缴费金额会减少其薪资，因此他们无需为这笔资金交税直至退休后被提取时。</w:t>
            </w:r>
          </w:p>
        </w:tc>
      </w:tr>
    </w:tbl>
    <w:p w14:paraId="7151E246">
      <w:pPr>
        <w:spacing w:before="120" w:after="120" w:line="288" w:lineRule="auto"/>
        <w:ind w:left="0"/>
        <w:jc w:val="left"/>
      </w:pPr>
      <w:bookmarkStart w:id="38" w:name="_GoBack"/>
      <w:bookmarkEnd w:id="38"/>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5F4B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78DF7">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11"/>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0"/>
      <w:numFmt w:val="bullet"/>
      <w:lvlText w:val="￮"/>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5"/>
      <w:numFmt w:val="decimal"/>
      <w:lvlText w:val="%1."/>
      <w:lvlJc w:val="left"/>
      <w:rPr>
        <w:color w:val="3370FF"/>
      </w:rPr>
    </w:lvl>
  </w:abstractNum>
  <w:abstractNum w:abstractNumId="7">
    <w:nsid w:val="9239341B"/>
    <w:multiLevelType w:val="singleLevel"/>
    <w:tmpl w:val="9239341B"/>
    <w:lvl w:ilvl="0" w:tentative="0">
      <w:start w:val="0"/>
      <w:numFmt w:val="bullet"/>
      <w:lvlText w:val="•"/>
      <w:lvlJc w:val="left"/>
      <w:rPr>
        <w:color w:val="3370FF"/>
      </w:rPr>
    </w:lvl>
  </w:abstractNum>
  <w:abstractNum w:abstractNumId="8">
    <w:nsid w:val="9288B902"/>
    <w:multiLevelType w:val="singleLevel"/>
    <w:tmpl w:val="9288B902"/>
    <w:lvl w:ilvl="0" w:tentative="0">
      <w:start w:val="4"/>
      <w:numFmt w:val="decimal"/>
      <w:lvlText w:val="%1."/>
      <w:lvlJc w:val="left"/>
      <w:rPr>
        <w:color w:val="3370FF"/>
      </w:rPr>
    </w:lvl>
  </w:abstractNum>
  <w:abstractNum w:abstractNumId="9">
    <w:nsid w:val="9377BC45"/>
    <w:multiLevelType w:val="singleLevel"/>
    <w:tmpl w:val="9377BC45"/>
    <w:lvl w:ilvl="0" w:tentative="0">
      <w:start w:val="2"/>
      <w:numFmt w:val="decimal"/>
      <w:lvlText w:val="%1."/>
      <w:lvlJc w:val="left"/>
      <w:rPr>
        <w:color w:val="3370FF"/>
      </w:rPr>
    </w:lvl>
  </w:abstractNum>
  <w:abstractNum w:abstractNumId="10">
    <w:nsid w:val="9ACF65A0"/>
    <w:multiLevelType w:val="singleLevel"/>
    <w:tmpl w:val="9ACF65A0"/>
    <w:lvl w:ilvl="0" w:tentative="0">
      <w:start w:val="9"/>
      <w:numFmt w:val="decimal"/>
      <w:lvlText w:val="%1."/>
      <w:lvlJc w:val="left"/>
      <w:rPr>
        <w:color w:val="3370FF"/>
      </w:rPr>
    </w:lvl>
  </w:abstractNum>
  <w:abstractNum w:abstractNumId="11">
    <w:nsid w:val="9C8AC8EF"/>
    <w:multiLevelType w:val="singleLevel"/>
    <w:tmpl w:val="9C8AC8EF"/>
    <w:lvl w:ilvl="0" w:tentative="0">
      <w:start w:val="2"/>
      <w:numFmt w:val="lowerLetter"/>
      <w:lvlText w:val="%1."/>
      <w:lvlJc w:val="left"/>
      <w:rPr>
        <w:color w:val="3370FF"/>
      </w:rPr>
    </w:lvl>
  </w:abstractNum>
  <w:abstractNum w:abstractNumId="12">
    <w:nsid w:val="9D5D7490"/>
    <w:multiLevelType w:val="singleLevel"/>
    <w:tmpl w:val="9D5D7490"/>
    <w:lvl w:ilvl="0" w:tentative="0">
      <w:start w:val="3"/>
      <w:numFmt w:val="decimal"/>
      <w:lvlText w:val="%1."/>
      <w:lvlJc w:val="left"/>
      <w:rPr>
        <w:color w:val="3370FF"/>
      </w:rPr>
    </w:lvl>
  </w:abstractNum>
  <w:abstractNum w:abstractNumId="13">
    <w:nsid w:val="A0C93552"/>
    <w:multiLevelType w:val="singleLevel"/>
    <w:tmpl w:val="A0C93552"/>
    <w:lvl w:ilvl="0" w:tentative="0">
      <w:start w:val="3"/>
      <w:numFmt w:val="decimal"/>
      <w:lvlText w:val="%1."/>
      <w:lvlJc w:val="left"/>
      <w:rPr>
        <w:color w:val="3370FF"/>
      </w:rPr>
    </w:lvl>
  </w:abstractNum>
  <w:abstractNum w:abstractNumId="14">
    <w:nsid w:val="A0F05207"/>
    <w:multiLevelType w:val="singleLevel"/>
    <w:tmpl w:val="A0F05207"/>
    <w:lvl w:ilvl="0" w:tentative="0">
      <w:start w:val="0"/>
      <w:numFmt w:val="bullet"/>
      <w:lvlText w:val="•"/>
      <w:lvlJc w:val="left"/>
      <w:rPr>
        <w:color w:val="3370FF"/>
      </w:rPr>
    </w:lvl>
  </w:abstractNum>
  <w:abstractNum w:abstractNumId="15">
    <w:nsid w:val="AAF3F3FA"/>
    <w:multiLevelType w:val="singleLevel"/>
    <w:tmpl w:val="AAF3F3FA"/>
    <w:lvl w:ilvl="0" w:tentative="0">
      <w:start w:val="4"/>
      <w:numFmt w:val="decimal"/>
      <w:lvlText w:val="%1."/>
      <w:lvlJc w:val="left"/>
      <w:rPr>
        <w:color w:val="3370FF"/>
      </w:rPr>
    </w:lvl>
  </w:abstractNum>
  <w:abstractNum w:abstractNumId="16">
    <w:nsid w:val="B0ED9BEA"/>
    <w:multiLevelType w:val="singleLevel"/>
    <w:tmpl w:val="B0ED9BEA"/>
    <w:lvl w:ilvl="0" w:tentative="0">
      <w:start w:val="1"/>
      <w:numFmt w:val="decimal"/>
      <w:lvlText w:val="%1."/>
      <w:lvlJc w:val="left"/>
      <w:rPr>
        <w:color w:val="3370FF"/>
      </w:rPr>
    </w:lvl>
  </w:abstractNum>
  <w:abstractNum w:abstractNumId="17">
    <w:nsid w:val="B0F1ACD9"/>
    <w:multiLevelType w:val="singleLevel"/>
    <w:tmpl w:val="B0F1ACD9"/>
    <w:lvl w:ilvl="0" w:tentative="0">
      <w:start w:val="0"/>
      <w:numFmt w:val="bullet"/>
      <w:lvlText w:val="￮"/>
      <w:lvlJc w:val="left"/>
      <w:rPr>
        <w:color w:val="3370FF"/>
      </w:rPr>
    </w:lvl>
  </w:abstractNum>
  <w:abstractNum w:abstractNumId="18">
    <w:nsid w:val="B23A94A9"/>
    <w:multiLevelType w:val="singleLevel"/>
    <w:tmpl w:val="B23A94A9"/>
    <w:lvl w:ilvl="0" w:tentative="0">
      <w:start w:val="0"/>
      <w:numFmt w:val="bullet"/>
      <w:lvlText w:val="▪"/>
      <w:lvlJc w:val="left"/>
      <w:rPr>
        <w:color w:val="3370FF"/>
        <w:sz w:val="11"/>
      </w:rPr>
    </w:lvl>
  </w:abstractNum>
  <w:abstractNum w:abstractNumId="19">
    <w:nsid w:val="B53F3350"/>
    <w:multiLevelType w:val="singleLevel"/>
    <w:tmpl w:val="B53F3350"/>
    <w:lvl w:ilvl="0" w:tentative="0">
      <w:start w:val="0"/>
      <w:numFmt w:val="bullet"/>
      <w:lvlText w:val="•"/>
      <w:lvlJc w:val="left"/>
      <w:rPr>
        <w:color w:val="3370FF"/>
      </w:rPr>
    </w:lvl>
  </w:abstractNum>
  <w:abstractNum w:abstractNumId="20">
    <w:nsid w:val="B5E306ED"/>
    <w:multiLevelType w:val="singleLevel"/>
    <w:tmpl w:val="B5E306ED"/>
    <w:lvl w:ilvl="0" w:tentative="0">
      <w:start w:val="0"/>
      <w:numFmt w:val="bullet"/>
      <w:lvlText w:val="•"/>
      <w:lvlJc w:val="left"/>
      <w:rPr>
        <w:color w:val="3370FF"/>
      </w:rPr>
    </w:lvl>
  </w:abstractNum>
  <w:abstractNum w:abstractNumId="21">
    <w:nsid w:val="B88D21A8"/>
    <w:multiLevelType w:val="singleLevel"/>
    <w:tmpl w:val="B88D21A8"/>
    <w:lvl w:ilvl="0" w:tentative="0">
      <w:start w:val="6"/>
      <w:numFmt w:val="decimal"/>
      <w:lvlText w:val="%1."/>
      <w:lvlJc w:val="left"/>
      <w:rPr>
        <w:color w:val="3370FF"/>
      </w:rPr>
    </w:lvl>
  </w:abstractNum>
  <w:abstractNum w:abstractNumId="22">
    <w:nsid w:val="B8CEF35B"/>
    <w:multiLevelType w:val="singleLevel"/>
    <w:tmpl w:val="B8CEF35B"/>
    <w:lvl w:ilvl="0" w:tentative="0">
      <w:start w:val="0"/>
      <w:numFmt w:val="bullet"/>
      <w:lvlText w:val="•"/>
      <w:lvlJc w:val="left"/>
      <w:rPr>
        <w:color w:val="3370FF"/>
      </w:rPr>
    </w:lvl>
  </w:abstractNum>
  <w:abstractNum w:abstractNumId="23">
    <w:nsid w:val="BB64CFA9"/>
    <w:multiLevelType w:val="singleLevel"/>
    <w:tmpl w:val="BB64CFA9"/>
    <w:lvl w:ilvl="0" w:tentative="0">
      <w:start w:val="0"/>
      <w:numFmt w:val="bullet"/>
      <w:lvlText w:val="￮"/>
      <w:lvlJc w:val="left"/>
      <w:rPr>
        <w:color w:val="3370FF"/>
      </w:rPr>
    </w:lvl>
  </w:abstractNum>
  <w:abstractNum w:abstractNumId="24">
    <w:nsid w:val="BDA1395C"/>
    <w:multiLevelType w:val="singleLevel"/>
    <w:tmpl w:val="BDA1395C"/>
    <w:lvl w:ilvl="0" w:tentative="0">
      <w:start w:val="11"/>
      <w:numFmt w:val="decimal"/>
      <w:lvlText w:val="%1."/>
      <w:lvlJc w:val="left"/>
      <w:rPr>
        <w:color w:val="3370FF"/>
      </w:rPr>
    </w:lvl>
  </w:abstractNum>
  <w:abstractNum w:abstractNumId="25">
    <w:nsid w:val="BE8A4F4C"/>
    <w:multiLevelType w:val="singleLevel"/>
    <w:tmpl w:val="BE8A4F4C"/>
    <w:lvl w:ilvl="0" w:tentative="0">
      <w:start w:val="7"/>
      <w:numFmt w:val="decimal"/>
      <w:lvlText w:val="%1."/>
      <w:lvlJc w:val="left"/>
      <w:rPr>
        <w:color w:val="3370FF"/>
      </w:rPr>
    </w:lvl>
  </w:abstractNum>
  <w:abstractNum w:abstractNumId="26">
    <w:nsid w:val="BE923771"/>
    <w:multiLevelType w:val="singleLevel"/>
    <w:tmpl w:val="BE923771"/>
    <w:lvl w:ilvl="0" w:tentative="0">
      <w:start w:val="2"/>
      <w:numFmt w:val="decimal"/>
      <w:lvlText w:val="%1."/>
      <w:lvlJc w:val="left"/>
      <w:rPr>
        <w:color w:val="3370FF"/>
      </w:rPr>
    </w:lvl>
  </w:abstractNum>
  <w:abstractNum w:abstractNumId="27">
    <w:nsid w:val="BF205925"/>
    <w:multiLevelType w:val="singleLevel"/>
    <w:tmpl w:val="BF205925"/>
    <w:lvl w:ilvl="0" w:tentative="0">
      <w:start w:val="0"/>
      <w:numFmt w:val="bullet"/>
      <w:lvlText w:val="•"/>
      <w:lvlJc w:val="left"/>
      <w:rPr>
        <w:color w:val="3370FF"/>
      </w:rPr>
    </w:lvl>
  </w:abstractNum>
  <w:abstractNum w:abstractNumId="28">
    <w:nsid w:val="C0915F4F"/>
    <w:multiLevelType w:val="singleLevel"/>
    <w:tmpl w:val="C0915F4F"/>
    <w:lvl w:ilvl="0" w:tentative="0">
      <w:start w:val="2"/>
      <w:numFmt w:val="lowerLetter"/>
      <w:lvlText w:val="%1."/>
      <w:lvlJc w:val="left"/>
      <w:rPr>
        <w:color w:val="3370FF"/>
      </w:rPr>
    </w:lvl>
  </w:abstractNum>
  <w:abstractNum w:abstractNumId="29">
    <w:nsid w:val="C4E0D24A"/>
    <w:multiLevelType w:val="singleLevel"/>
    <w:tmpl w:val="C4E0D24A"/>
    <w:lvl w:ilvl="0" w:tentative="0">
      <w:start w:val="2"/>
      <w:numFmt w:val="decimal"/>
      <w:lvlText w:val="%1."/>
      <w:lvlJc w:val="left"/>
      <w:rPr>
        <w:color w:val="3370FF"/>
      </w:rPr>
    </w:lvl>
  </w:abstractNum>
  <w:abstractNum w:abstractNumId="30">
    <w:nsid w:val="C8879AEF"/>
    <w:multiLevelType w:val="singleLevel"/>
    <w:tmpl w:val="C8879AEF"/>
    <w:lvl w:ilvl="0" w:tentative="0">
      <w:start w:val="0"/>
      <w:numFmt w:val="bullet"/>
      <w:lvlText w:val="•"/>
      <w:lvlJc w:val="left"/>
      <w:rPr>
        <w:color w:val="3370FF"/>
      </w:rPr>
    </w:lvl>
  </w:abstractNum>
  <w:abstractNum w:abstractNumId="31">
    <w:nsid w:val="CF092B84"/>
    <w:multiLevelType w:val="singleLevel"/>
    <w:tmpl w:val="CF092B84"/>
    <w:lvl w:ilvl="0" w:tentative="0">
      <w:start w:val="0"/>
      <w:numFmt w:val="bullet"/>
      <w:lvlText w:val="•"/>
      <w:lvlJc w:val="left"/>
      <w:rPr>
        <w:color w:val="3370FF"/>
      </w:rPr>
    </w:lvl>
  </w:abstractNum>
  <w:abstractNum w:abstractNumId="32">
    <w:nsid w:val="D1EB1714"/>
    <w:multiLevelType w:val="singleLevel"/>
    <w:tmpl w:val="D1EB1714"/>
    <w:lvl w:ilvl="0" w:tentative="0">
      <w:start w:val="9"/>
      <w:numFmt w:val="decimal"/>
      <w:lvlText w:val="%1."/>
      <w:lvlJc w:val="left"/>
      <w:rPr>
        <w:color w:val="3370FF"/>
      </w:rPr>
    </w:lvl>
  </w:abstractNum>
  <w:abstractNum w:abstractNumId="33">
    <w:nsid w:val="D7D140E4"/>
    <w:multiLevelType w:val="singleLevel"/>
    <w:tmpl w:val="D7D140E4"/>
    <w:lvl w:ilvl="0" w:tentative="0">
      <w:start w:val="0"/>
      <w:numFmt w:val="bullet"/>
      <w:lvlText w:val="•"/>
      <w:lvlJc w:val="left"/>
      <w:rPr>
        <w:color w:val="3370FF"/>
      </w:rPr>
    </w:lvl>
  </w:abstractNum>
  <w:abstractNum w:abstractNumId="34">
    <w:nsid w:val="D7F9FE59"/>
    <w:multiLevelType w:val="singleLevel"/>
    <w:tmpl w:val="D7F9FE59"/>
    <w:lvl w:ilvl="0" w:tentative="0">
      <w:start w:val="1"/>
      <w:numFmt w:val="lowerLetter"/>
      <w:lvlText w:val="%1."/>
      <w:lvlJc w:val="left"/>
      <w:rPr>
        <w:color w:val="3370FF"/>
      </w:rPr>
    </w:lvl>
  </w:abstractNum>
  <w:abstractNum w:abstractNumId="35">
    <w:nsid w:val="DAD3A854"/>
    <w:multiLevelType w:val="singleLevel"/>
    <w:tmpl w:val="DAD3A854"/>
    <w:lvl w:ilvl="0" w:tentative="0">
      <w:start w:val="5"/>
      <w:numFmt w:val="decimal"/>
      <w:lvlText w:val="%1."/>
      <w:lvlJc w:val="left"/>
      <w:rPr>
        <w:color w:val="3370FF"/>
      </w:rPr>
    </w:lvl>
  </w:abstractNum>
  <w:abstractNum w:abstractNumId="36">
    <w:nsid w:val="DCBA6B53"/>
    <w:multiLevelType w:val="singleLevel"/>
    <w:tmpl w:val="DCBA6B53"/>
    <w:lvl w:ilvl="0" w:tentative="0">
      <w:start w:val="0"/>
      <w:numFmt w:val="bullet"/>
      <w:lvlText w:val="•"/>
      <w:lvlJc w:val="left"/>
      <w:rPr>
        <w:color w:val="3370FF"/>
      </w:rPr>
    </w:lvl>
  </w:abstractNum>
  <w:abstractNum w:abstractNumId="37">
    <w:nsid w:val="E093A4B0"/>
    <w:multiLevelType w:val="singleLevel"/>
    <w:tmpl w:val="E093A4B0"/>
    <w:lvl w:ilvl="0" w:tentative="0">
      <w:start w:val="0"/>
      <w:numFmt w:val="bullet"/>
      <w:lvlText w:val="•"/>
      <w:lvlJc w:val="left"/>
      <w:rPr>
        <w:color w:val="3370FF"/>
      </w:rPr>
    </w:lvl>
  </w:abstractNum>
  <w:abstractNum w:abstractNumId="38">
    <w:nsid w:val="E504947C"/>
    <w:multiLevelType w:val="singleLevel"/>
    <w:tmpl w:val="E504947C"/>
    <w:lvl w:ilvl="0" w:tentative="0">
      <w:start w:val="1"/>
      <w:numFmt w:val="decimal"/>
      <w:lvlText w:val="%1."/>
      <w:lvlJc w:val="left"/>
      <w:rPr>
        <w:color w:val="3370FF"/>
      </w:rPr>
    </w:lvl>
  </w:abstractNum>
  <w:abstractNum w:abstractNumId="39">
    <w:nsid w:val="E7B27C5B"/>
    <w:multiLevelType w:val="singleLevel"/>
    <w:tmpl w:val="E7B27C5B"/>
    <w:lvl w:ilvl="0" w:tentative="0">
      <w:start w:val="8"/>
      <w:numFmt w:val="decimal"/>
      <w:lvlText w:val="%1."/>
      <w:lvlJc w:val="left"/>
      <w:rPr>
        <w:color w:val="3370FF"/>
      </w:rPr>
    </w:lvl>
  </w:abstractNum>
  <w:abstractNum w:abstractNumId="40">
    <w:nsid w:val="F0E89278"/>
    <w:multiLevelType w:val="singleLevel"/>
    <w:tmpl w:val="F0E89278"/>
    <w:lvl w:ilvl="0" w:tentative="0">
      <w:start w:val="0"/>
      <w:numFmt w:val="bullet"/>
      <w:lvlText w:val="•"/>
      <w:lvlJc w:val="left"/>
      <w:rPr>
        <w:color w:val="3370FF"/>
      </w:rPr>
    </w:lvl>
  </w:abstractNum>
  <w:abstractNum w:abstractNumId="41">
    <w:nsid w:val="F4B5D9F5"/>
    <w:multiLevelType w:val="singleLevel"/>
    <w:tmpl w:val="F4B5D9F5"/>
    <w:lvl w:ilvl="0" w:tentative="0">
      <w:start w:val="0"/>
      <w:numFmt w:val="bullet"/>
      <w:lvlText w:val="•"/>
      <w:lvlJc w:val="left"/>
      <w:rPr>
        <w:color w:val="3370FF"/>
      </w:rPr>
    </w:lvl>
  </w:abstractNum>
  <w:abstractNum w:abstractNumId="42">
    <w:nsid w:val="F689643B"/>
    <w:multiLevelType w:val="singleLevel"/>
    <w:tmpl w:val="F689643B"/>
    <w:lvl w:ilvl="0" w:tentative="0">
      <w:start w:val="1"/>
      <w:numFmt w:val="lowerLetter"/>
      <w:lvlText w:val="%1."/>
      <w:lvlJc w:val="left"/>
      <w:rPr>
        <w:color w:val="3370FF"/>
      </w:rPr>
    </w:lvl>
  </w:abstractNum>
  <w:abstractNum w:abstractNumId="43">
    <w:nsid w:val="F7735DC9"/>
    <w:multiLevelType w:val="singleLevel"/>
    <w:tmpl w:val="F7735DC9"/>
    <w:lvl w:ilvl="0" w:tentative="0">
      <w:start w:val="2"/>
      <w:numFmt w:val="decimal"/>
      <w:lvlText w:val="%1."/>
      <w:lvlJc w:val="left"/>
      <w:rPr>
        <w:color w:val="3370FF"/>
      </w:rPr>
    </w:lvl>
  </w:abstractNum>
  <w:abstractNum w:abstractNumId="44">
    <w:nsid w:val="FEC2EA36"/>
    <w:multiLevelType w:val="singleLevel"/>
    <w:tmpl w:val="FEC2EA36"/>
    <w:lvl w:ilvl="0" w:tentative="0">
      <w:start w:val="0"/>
      <w:numFmt w:val="bullet"/>
      <w:lvlText w:val="•"/>
      <w:lvlJc w:val="left"/>
      <w:rPr>
        <w:color w:val="3370FF"/>
      </w:rPr>
    </w:lvl>
  </w:abstractNum>
  <w:abstractNum w:abstractNumId="45">
    <w:nsid w:val="0053208E"/>
    <w:multiLevelType w:val="singleLevel"/>
    <w:tmpl w:val="0053208E"/>
    <w:lvl w:ilvl="0" w:tentative="0">
      <w:start w:val="0"/>
      <w:numFmt w:val="bullet"/>
      <w:lvlText w:val="•"/>
      <w:lvlJc w:val="left"/>
      <w:rPr>
        <w:color w:val="3370FF"/>
      </w:rPr>
    </w:lvl>
  </w:abstractNum>
  <w:abstractNum w:abstractNumId="46">
    <w:nsid w:val="0248C179"/>
    <w:multiLevelType w:val="singleLevel"/>
    <w:tmpl w:val="0248C179"/>
    <w:lvl w:ilvl="0" w:tentative="0">
      <w:start w:val="0"/>
      <w:numFmt w:val="bullet"/>
      <w:lvlText w:val="•"/>
      <w:lvlJc w:val="left"/>
      <w:rPr>
        <w:color w:val="3370FF"/>
      </w:rPr>
    </w:lvl>
  </w:abstractNum>
  <w:abstractNum w:abstractNumId="47">
    <w:nsid w:val="03A63A41"/>
    <w:multiLevelType w:val="singleLevel"/>
    <w:tmpl w:val="03A63A41"/>
    <w:lvl w:ilvl="0" w:tentative="0">
      <w:start w:val="1"/>
      <w:numFmt w:val="lowerLetter"/>
      <w:lvlText w:val="%1."/>
      <w:lvlJc w:val="left"/>
      <w:rPr>
        <w:color w:val="3370FF"/>
      </w:rPr>
    </w:lvl>
  </w:abstractNum>
  <w:abstractNum w:abstractNumId="48">
    <w:nsid w:val="03D62ECE"/>
    <w:multiLevelType w:val="singleLevel"/>
    <w:tmpl w:val="03D62ECE"/>
    <w:lvl w:ilvl="0" w:tentative="0">
      <w:start w:val="0"/>
      <w:numFmt w:val="bullet"/>
      <w:lvlText w:val="•"/>
      <w:lvlJc w:val="left"/>
      <w:rPr>
        <w:color w:val="3370FF"/>
      </w:rPr>
    </w:lvl>
  </w:abstractNum>
  <w:abstractNum w:abstractNumId="49">
    <w:nsid w:val="0709FD3E"/>
    <w:multiLevelType w:val="singleLevel"/>
    <w:tmpl w:val="0709FD3E"/>
    <w:lvl w:ilvl="0" w:tentative="0">
      <w:start w:val="0"/>
      <w:numFmt w:val="bullet"/>
      <w:lvlText w:val="•"/>
      <w:lvlJc w:val="left"/>
      <w:rPr>
        <w:color w:val="3370FF"/>
      </w:rPr>
    </w:lvl>
  </w:abstractNum>
  <w:abstractNum w:abstractNumId="50">
    <w:nsid w:val="0CEF100B"/>
    <w:multiLevelType w:val="singleLevel"/>
    <w:tmpl w:val="0CEF100B"/>
    <w:lvl w:ilvl="0" w:tentative="0">
      <w:start w:val="0"/>
      <w:numFmt w:val="bullet"/>
      <w:lvlText w:val="•"/>
      <w:lvlJc w:val="left"/>
      <w:rPr>
        <w:color w:val="3370FF"/>
      </w:rPr>
    </w:lvl>
  </w:abstractNum>
  <w:abstractNum w:abstractNumId="51">
    <w:nsid w:val="0E640482"/>
    <w:multiLevelType w:val="singleLevel"/>
    <w:tmpl w:val="0E640482"/>
    <w:lvl w:ilvl="0" w:tentative="0">
      <w:start w:val="0"/>
      <w:numFmt w:val="bullet"/>
      <w:lvlText w:val="￮"/>
      <w:lvlJc w:val="left"/>
      <w:rPr>
        <w:color w:val="3370FF"/>
      </w:rPr>
    </w:lvl>
  </w:abstractNum>
  <w:abstractNum w:abstractNumId="52">
    <w:nsid w:val="0F9F9CCA"/>
    <w:multiLevelType w:val="singleLevel"/>
    <w:tmpl w:val="0F9F9CCA"/>
    <w:lvl w:ilvl="0" w:tentative="0">
      <w:start w:val="0"/>
      <w:numFmt w:val="bullet"/>
      <w:lvlText w:val="•"/>
      <w:lvlJc w:val="left"/>
      <w:rPr>
        <w:color w:val="3370FF"/>
      </w:rPr>
    </w:lvl>
  </w:abstractNum>
  <w:abstractNum w:abstractNumId="53">
    <w:nsid w:val="12EADF99"/>
    <w:multiLevelType w:val="singleLevel"/>
    <w:tmpl w:val="12EADF99"/>
    <w:lvl w:ilvl="0" w:tentative="0">
      <w:start w:val="0"/>
      <w:numFmt w:val="bullet"/>
      <w:lvlText w:val="▪"/>
      <w:lvlJc w:val="left"/>
      <w:rPr>
        <w:color w:val="3370FF"/>
        <w:sz w:val="11"/>
      </w:rPr>
    </w:lvl>
  </w:abstractNum>
  <w:abstractNum w:abstractNumId="54">
    <w:nsid w:val="1450273B"/>
    <w:multiLevelType w:val="singleLevel"/>
    <w:tmpl w:val="1450273B"/>
    <w:lvl w:ilvl="0" w:tentative="0">
      <w:start w:val="8"/>
      <w:numFmt w:val="decimal"/>
      <w:lvlText w:val="%1."/>
      <w:lvlJc w:val="left"/>
      <w:rPr>
        <w:color w:val="3370FF"/>
      </w:rPr>
    </w:lvl>
  </w:abstractNum>
  <w:abstractNum w:abstractNumId="55">
    <w:nsid w:val="18F74015"/>
    <w:multiLevelType w:val="singleLevel"/>
    <w:tmpl w:val="18F74015"/>
    <w:lvl w:ilvl="0" w:tentative="0">
      <w:start w:val="0"/>
      <w:numFmt w:val="bullet"/>
      <w:lvlText w:val="￮"/>
      <w:lvlJc w:val="left"/>
      <w:rPr>
        <w:color w:val="3370FF"/>
      </w:rPr>
    </w:lvl>
  </w:abstractNum>
  <w:abstractNum w:abstractNumId="56">
    <w:nsid w:val="1ACDE60F"/>
    <w:multiLevelType w:val="singleLevel"/>
    <w:tmpl w:val="1ACDE60F"/>
    <w:lvl w:ilvl="0" w:tentative="0">
      <w:start w:val="0"/>
      <w:numFmt w:val="bullet"/>
      <w:lvlText w:val="￮"/>
      <w:lvlJc w:val="left"/>
      <w:rPr>
        <w:color w:val="3370FF"/>
      </w:rPr>
    </w:lvl>
  </w:abstractNum>
  <w:abstractNum w:abstractNumId="57">
    <w:nsid w:val="1BCBBCF0"/>
    <w:multiLevelType w:val="singleLevel"/>
    <w:tmpl w:val="1BCBBCF0"/>
    <w:lvl w:ilvl="0" w:tentative="0">
      <w:start w:val="6"/>
      <w:numFmt w:val="decimal"/>
      <w:lvlText w:val="%1."/>
      <w:lvlJc w:val="left"/>
      <w:rPr>
        <w:color w:val="3370FF"/>
      </w:rPr>
    </w:lvl>
  </w:abstractNum>
  <w:abstractNum w:abstractNumId="58">
    <w:nsid w:val="1C257C7B"/>
    <w:multiLevelType w:val="singleLevel"/>
    <w:tmpl w:val="1C257C7B"/>
    <w:lvl w:ilvl="0" w:tentative="0">
      <w:start w:val="0"/>
      <w:numFmt w:val="bullet"/>
      <w:lvlText w:val="•"/>
      <w:lvlJc w:val="left"/>
      <w:rPr>
        <w:color w:val="3370FF"/>
      </w:rPr>
    </w:lvl>
  </w:abstractNum>
  <w:abstractNum w:abstractNumId="59">
    <w:nsid w:val="23E97754"/>
    <w:multiLevelType w:val="singleLevel"/>
    <w:tmpl w:val="23E97754"/>
    <w:lvl w:ilvl="0" w:tentative="0">
      <w:start w:val="0"/>
      <w:numFmt w:val="bullet"/>
      <w:lvlText w:val="•"/>
      <w:lvlJc w:val="left"/>
      <w:rPr>
        <w:color w:val="3370FF"/>
      </w:rPr>
    </w:lvl>
  </w:abstractNum>
  <w:abstractNum w:abstractNumId="60">
    <w:nsid w:val="243FCF68"/>
    <w:multiLevelType w:val="singleLevel"/>
    <w:tmpl w:val="243FCF68"/>
    <w:lvl w:ilvl="0" w:tentative="0">
      <w:start w:val="0"/>
      <w:numFmt w:val="bullet"/>
      <w:lvlText w:val="•"/>
      <w:lvlJc w:val="left"/>
      <w:rPr>
        <w:color w:val="3370FF"/>
      </w:rPr>
    </w:lvl>
  </w:abstractNum>
  <w:abstractNum w:abstractNumId="61">
    <w:nsid w:val="2470EC97"/>
    <w:multiLevelType w:val="singleLevel"/>
    <w:tmpl w:val="2470EC97"/>
    <w:lvl w:ilvl="0" w:tentative="0">
      <w:start w:val="0"/>
      <w:numFmt w:val="bullet"/>
      <w:lvlText w:val="•"/>
      <w:lvlJc w:val="left"/>
      <w:rPr>
        <w:color w:val="3370FF"/>
      </w:rPr>
    </w:lvl>
  </w:abstractNum>
  <w:abstractNum w:abstractNumId="62">
    <w:nsid w:val="25B654F3"/>
    <w:multiLevelType w:val="singleLevel"/>
    <w:tmpl w:val="25B654F3"/>
    <w:lvl w:ilvl="0" w:tentative="0">
      <w:start w:val="0"/>
      <w:numFmt w:val="bullet"/>
      <w:lvlText w:val="•"/>
      <w:lvlJc w:val="left"/>
      <w:rPr>
        <w:color w:val="3370FF"/>
      </w:rPr>
    </w:lvl>
  </w:abstractNum>
  <w:abstractNum w:abstractNumId="63">
    <w:nsid w:val="2A8F537B"/>
    <w:multiLevelType w:val="singleLevel"/>
    <w:tmpl w:val="2A8F537B"/>
    <w:lvl w:ilvl="0" w:tentative="0">
      <w:start w:val="0"/>
      <w:numFmt w:val="bullet"/>
      <w:lvlText w:val="•"/>
      <w:lvlJc w:val="left"/>
      <w:rPr>
        <w:color w:val="3370FF"/>
      </w:rPr>
    </w:lvl>
  </w:abstractNum>
  <w:abstractNum w:abstractNumId="64">
    <w:nsid w:val="2F2D79CE"/>
    <w:multiLevelType w:val="singleLevel"/>
    <w:tmpl w:val="2F2D79CE"/>
    <w:lvl w:ilvl="0" w:tentative="0">
      <w:start w:val="7"/>
      <w:numFmt w:val="decimal"/>
      <w:lvlText w:val="%1."/>
      <w:lvlJc w:val="left"/>
      <w:rPr>
        <w:color w:val="3370FF"/>
      </w:rPr>
    </w:lvl>
  </w:abstractNum>
  <w:abstractNum w:abstractNumId="65">
    <w:nsid w:val="30A0AC00"/>
    <w:multiLevelType w:val="singleLevel"/>
    <w:tmpl w:val="30A0AC00"/>
    <w:lvl w:ilvl="0" w:tentative="0">
      <w:start w:val="2"/>
      <w:numFmt w:val="lowerLetter"/>
      <w:lvlText w:val="%1."/>
      <w:lvlJc w:val="left"/>
      <w:rPr>
        <w:color w:val="3370FF"/>
      </w:rPr>
    </w:lvl>
  </w:abstractNum>
  <w:abstractNum w:abstractNumId="66">
    <w:nsid w:val="30FC5B15"/>
    <w:multiLevelType w:val="singleLevel"/>
    <w:tmpl w:val="30FC5B15"/>
    <w:lvl w:ilvl="0" w:tentative="0">
      <w:start w:val="0"/>
      <w:numFmt w:val="bullet"/>
      <w:lvlText w:val="￮"/>
      <w:lvlJc w:val="left"/>
      <w:rPr>
        <w:color w:val="3370FF"/>
      </w:rPr>
    </w:lvl>
  </w:abstractNum>
  <w:abstractNum w:abstractNumId="67">
    <w:nsid w:val="322D85CA"/>
    <w:multiLevelType w:val="singleLevel"/>
    <w:tmpl w:val="322D85CA"/>
    <w:lvl w:ilvl="0" w:tentative="0">
      <w:start w:val="0"/>
      <w:numFmt w:val="bullet"/>
      <w:lvlText w:val="￮"/>
      <w:lvlJc w:val="left"/>
      <w:rPr>
        <w:color w:val="3370FF"/>
      </w:rPr>
    </w:lvl>
  </w:abstractNum>
  <w:abstractNum w:abstractNumId="68">
    <w:nsid w:val="32A7AF2D"/>
    <w:multiLevelType w:val="singleLevel"/>
    <w:tmpl w:val="32A7AF2D"/>
    <w:lvl w:ilvl="0" w:tentative="0">
      <w:start w:val="0"/>
      <w:numFmt w:val="bullet"/>
      <w:lvlText w:val="•"/>
      <w:lvlJc w:val="left"/>
      <w:rPr>
        <w:color w:val="3370FF"/>
      </w:rPr>
    </w:lvl>
  </w:abstractNum>
  <w:abstractNum w:abstractNumId="69">
    <w:nsid w:val="35E83B33"/>
    <w:multiLevelType w:val="singleLevel"/>
    <w:tmpl w:val="35E83B33"/>
    <w:lvl w:ilvl="0" w:tentative="0">
      <w:start w:val="0"/>
      <w:numFmt w:val="bullet"/>
      <w:lvlText w:val="•"/>
      <w:lvlJc w:val="left"/>
      <w:rPr>
        <w:color w:val="3370FF"/>
      </w:rPr>
    </w:lvl>
  </w:abstractNum>
  <w:abstractNum w:abstractNumId="70">
    <w:nsid w:val="39A0D9AC"/>
    <w:multiLevelType w:val="singleLevel"/>
    <w:tmpl w:val="39A0D9AC"/>
    <w:lvl w:ilvl="0" w:tentative="0">
      <w:start w:val="0"/>
      <w:numFmt w:val="bullet"/>
      <w:lvlText w:val="￮"/>
      <w:lvlJc w:val="left"/>
      <w:rPr>
        <w:color w:val="3370FF"/>
      </w:rPr>
    </w:lvl>
  </w:abstractNum>
  <w:abstractNum w:abstractNumId="71">
    <w:nsid w:val="3B8127DF"/>
    <w:multiLevelType w:val="singleLevel"/>
    <w:tmpl w:val="3B8127DF"/>
    <w:lvl w:ilvl="0" w:tentative="0">
      <w:start w:val="0"/>
      <w:numFmt w:val="bullet"/>
      <w:lvlText w:val="▪"/>
      <w:lvlJc w:val="left"/>
      <w:rPr>
        <w:color w:val="3370FF"/>
        <w:sz w:val="11"/>
      </w:rPr>
    </w:lvl>
  </w:abstractNum>
  <w:abstractNum w:abstractNumId="72">
    <w:nsid w:val="40B249F9"/>
    <w:multiLevelType w:val="singleLevel"/>
    <w:tmpl w:val="40B249F9"/>
    <w:lvl w:ilvl="0" w:tentative="0">
      <w:start w:val="0"/>
      <w:numFmt w:val="bullet"/>
      <w:lvlText w:val="•"/>
      <w:lvlJc w:val="left"/>
      <w:rPr>
        <w:color w:val="3370FF"/>
      </w:rPr>
    </w:lvl>
  </w:abstractNum>
  <w:abstractNum w:abstractNumId="73">
    <w:nsid w:val="46A08BB8"/>
    <w:multiLevelType w:val="singleLevel"/>
    <w:tmpl w:val="46A08BB8"/>
    <w:lvl w:ilvl="0" w:tentative="0">
      <w:start w:val="0"/>
      <w:numFmt w:val="bullet"/>
      <w:lvlText w:val="￮"/>
      <w:lvlJc w:val="left"/>
      <w:rPr>
        <w:color w:val="3370FF"/>
      </w:rPr>
    </w:lvl>
  </w:abstractNum>
  <w:abstractNum w:abstractNumId="74">
    <w:nsid w:val="4C1BAE26"/>
    <w:multiLevelType w:val="singleLevel"/>
    <w:tmpl w:val="4C1BAE26"/>
    <w:lvl w:ilvl="0" w:tentative="0">
      <w:start w:val="3"/>
      <w:numFmt w:val="lowerLetter"/>
      <w:lvlText w:val="%1."/>
      <w:lvlJc w:val="left"/>
      <w:rPr>
        <w:color w:val="3370FF"/>
      </w:rPr>
    </w:lvl>
  </w:abstractNum>
  <w:abstractNum w:abstractNumId="75">
    <w:nsid w:val="4C3D7A74"/>
    <w:multiLevelType w:val="singleLevel"/>
    <w:tmpl w:val="4C3D7A74"/>
    <w:lvl w:ilvl="0" w:tentative="0">
      <w:start w:val="0"/>
      <w:numFmt w:val="bullet"/>
      <w:lvlText w:val="￮"/>
      <w:lvlJc w:val="left"/>
      <w:rPr>
        <w:color w:val="3370FF"/>
      </w:rPr>
    </w:lvl>
  </w:abstractNum>
  <w:abstractNum w:abstractNumId="76">
    <w:nsid w:val="4D4DC07F"/>
    <w:multiLevelType w:val="singleLevel"/>
    <w:tmpl w:val="4D4DC07F"/>
    <w:lvl w:ilvl="0" w:tentative="0">
      <w:start w:val="0"/>
      <w:numFmt w:val="bullet"/>
      <w:lvlText w:val="•"/>
      <w:lvlJc w:val="left"/>
      <w:rPr>
        <w:color w:val="3370FF"/>
      </w:rPr>
    </w:lvl>
  </w:abstractNum>
  <w:abstractNum w:abstractNumId="77">
    <w:nsid w:val="4D94DA66"/>
    <w:multiLevelType w:val="singleLevel"/>
    <w:tmpl w:val="4D94DA66"/>
    <w:lvl w:ilvl="0" w:tentative="0">
      <w:start w:val="1"/>
      <w:numFmt w:val="decimal"/>
      <w:lvlText w:val="%1."/>
      <w:lvlJc w:val="left"/>
      <w:rPr>
        <w:color w:val="3370FF"/>
      </w:rPr>
    </w:lvl>
  </w:abstractNum>
  <w:abstractNum w:abstractNumId="78">
    <w:nsid w:val="58765686"/>
    <w:multiLevelType w:val="singleLevel"/>
    <w:tmpl w:val="58765686"/>
    <w:lvl w:ilvl="0" w:tentative="0">
      <w:start w:val="0"/>
      <w:numFmt w:val="bullet"/>
      <w:lvlText w:val="￮"/>
      <w:lvlJc w:val="left"/>
      <w:rPr>
        <w:color w:val="3370FF"/>
      </w:rPr>
    </w:lvl>
  </w:abstractNum>
  <w:abstractNum w:abstractNumId="79">
    <w:nsid w:val="59ADCABA"/>
    <w:multiLevelType w:val="singleLevel"/>
    <w:tmpl w:val="59ADCABA"/>
    <w:lvl w:ilvl="0" w:tentative="0">
      <w:start w:val="0"/>
      <w:numFmt w:val="bullet"/>
      <w:lvlText w:val="•"/>
      <w:lvlJc w:val="left"/>
      <w:rPr>
        <w:color w:val="3370FF"/>
      </w:rPr>
    </w:lvl>
  </w:abstractNum>
  <w:abstractNum w:abstractNumId="80">
    <w:nsid w:val="59EEFD2A"/>
    <w:multiLevelType w:val="singleLevel"/>
    <w:tmpl w:val="59EEFD2A"/>
    <w:lvl w:ilvl="0" w:tentative="0">
      <w:start w:val="10"/>
      <w:numFmt w:val="decimal"/>
      <w:lvlText w:val="%1."/>
      <w:lvlJc w:val="left"/>
      <w:rPr>
        <w:color w:val="3370FF"/>
      </w:rPr>
    </w:lvl>
  </w:abstractNum>
  <w:abstractNum w:abstractNumId="81">
    <w:nsid w:val="5A241D34"/>
    <w:multiLevelType w:val="singleLevel"/>
    <w:tmpl w:val="5A241D34"/>
    <w:lvl w:ilvl="0" w:tentative="0">
      <w:start w:val="0"/>
      <w:numFmt w:val="bullet"/>
      <w:lvlText w:val="•"/>
      <w:lvlJc w:val="left"/>
      <w:rPr>
        <w:color w:val="3370FF"/>
      </w:rPr>
    </w:lvl>
  </w:abstractNum>
  <w:abstractNum w:abstractNumId="82">
    <w:nsid w:val="5E29AB5A"/>
    <w:multiLevelType w:val="singleLevel"/>
    <w:tmpl w:val="5E29AB5A"/>
    <w:lvl w:ilvl="0" w:tentative="0">
      <w:start w:val="0"/>
      <w:numFmt w:val="bullet"/>
      <w:lvlText w:val="•"/>
      <w:lvlJc w:val="left"/>
      <w:rPr>
        <w:color w:val="3370FF"/>
      </w:rPr>
    </w:lvl>
  </w:abstractNum>
  <w:abstractNum w:abstractNumId="83">
    <w:nsid w:val="5FFFB1A7"/>
    <w:multiLevelType w:val="singleLevel"/>
    <w:tmpl w:val="5FFFB1A7"/>
    <w:lvl w:ilvl="0" w:tentative="0">
      <w:start w:val="0"/>
      <w:numFmt w:val="bullet"/>
      <w:lvlText w:val="•"/>
      <w:lvlJc w:val="left"/>
      <w:rPr>
        <w:color w:val="3370FF"/>
      </w:rPr>
    </w:lvl>
  </w:abstractNum>
  <w:abstractNum w:abstractNumId="84">
    <w:nsid w:val="60382F6E"/>
    <w:multiLevelType w:val="singleLevel"/>
    <w:tmpl w:val="60382F6E"/>
    <w:lvl w:ilvl="0" w:tentative="0">
      <w:start w:val="4"/>
      <w:numFmt w:val="lowerLetter"/>
      <w:lvlText w:val="%1."/>
      <w:lvlJc w:val="left"/>
      <w:rPr>
        <w:color w:val="3370FF"/>
      </w:rPr>
    </w:lvl>
  </w:abstractNum>
  <w:abstractNum w:abstractNumId="85">
    <w:nsid w:val="629F7852"/>
    <w:multiLevelType w:val="singleLevel"/>
    <w:tmpl w:val="629F7852"/>
    <w:lvl w:ilvl="0" w:tentative="0">
      <w:start w:val="3"/>
      <w:numFmt w:val="decimal"/>
      <w:lvlText w:val="%1."/>
      <w:lvlJc w:val="left"/>
      <w:rPr>
        <w:color w:val="3370FF"/>
      </w:rPr>
    </w:lvl>
  </w:abstractNum>
  <w:abstractNum w:abstractNumId="86">
    <w:nsid w:val="65CD0074"/>
    <w:multiLevelType w:val="singleLevel"/>
    <w:tmpl w:val="65CD0074"/>
    <w:lvl w:ilvl="0" w:tentative="0">
      <w:start w:val="0"/>
      <w:numFmt w:val="bullet"/>
      <w:lvlText w:val="•"/>
      <w:lvlJc w:val="left"/>
      <w:rPr>
        <w:color w:val="3370FF"/>
      </w:rPr>
    </w:lvl>
  </w:abstractNum>
  <w:abstractNum w:abstractNumId="87">
    <w:nsid w:val="68B298F7"/>
    <w:multiLevelType w:val="singleLevel"/>
    <w:tmpl w:val="68B298F7"/>
    <w:lvl w:ilvl="0" w:tentative="0">
      <w:start w:val="10"/>
      <w:numFmt w:val="decimal"/>
      <w:lvlText w:val="%1."/>
      <w:lvlJc w:val="left"/>
      <w:rPr>
        <w:color w:val="3370FF"/>
      </w:rPr>
    </w:lvl>
  </w:abstractNum>
  <w:abstractNum w:abstractNumId="88">
    <w:nsid w:val="700FDCEF"/>
    <w:multiLevelType w:val="singleLevel"/>
    <w:tmpl w:val="700FDCEF"/>
    <w:lvl w:ilvl="0" w:tentative="0">
      <w:start w:val="0"/>
      <w:numFmt w:val="bullet"/>
      <w:lvlText w:val="￮"/>
      <w:lvlJc w:val="left"/>
      <w:rPr>
        <w:color w:val="3370FF"/>
      </w:rPr>
    </w:lvl>
  </w:abstractNum>
  <w:abstractNum w:abstractNumId="89">
    <w:nsid w:val="72183CF9"/>
    <w:multiLevelType w:val="singleLevel"/>
    <w:tmpl w:val="72183CF9"/>
    <w:lvl w:ilvl="0" w:tentative="0">
      <w:start w:val="0"/>
      <w:numFmt w:val="bullet"/>
      <w:lvlText w:val="•"/>
      <w:lvlJc w:val="left"/>
      <w:rPr>
        <w:color w:val="3370FF"/>
      </w:rPr>
    </w:lvl>
  </w:abstractNum>
  <w:abstractNum w:abstractNumId="90">
    <w:nsid w:val="74C28B35"/>
    <w:multiLevelType w:val="singleLevel"/>
    <w:tmpl w:val="74C28B35"/>
    <w:lvl w:ilvl="0" w:tentative="0">
      <w:start w:val="0"/>
      <w:numFmt w:val="bullet"/>
      <w:lvlText w:val="￮"/>
      <w:lvlJc w:val="left"/>
      <w:rPr>
        <w:color w:val="3370FF"/>
      </w:rPr>
    </w:lvl>
  </w:abstractNum>
  <w:abstractNum w:abstractNumId="91">
    <w:nsid w:val="77633216"/>
    <w:multiLevelType w:val="singleLevel"/>
    <w:tmpl w:val="77633216"/>
    <w:lvl w:ilvl="0" w:tentative="0">
      <w:start w:val="4"/>
      <w:numFmt w:val="decimal"/>
      <w:lvlText w:val="%1."/>
      <w:lvlJc w:val="left"/>
      <w:rPr>
        <w:color w:val="3370FF"/>
      </w:rPr>
    </w:lvl>
  </w:abstractNum>
  <w:abstractNum w:abstractNumId="92">
    <w:nsid w:val="77ECEA79"/>
    <w:multiLevelType w:val="singleLevel"/>
    <w:tmpl w:val="77ECEA79"/>
    <w:lvl w:ilvl="0" w:tentative="0">
      <w:start w:val="1"/>
      <w:numFmt w:val="decimal"/>
      <w:lvlText w:val="%1."/>
      <w:lvlJc w:val="left"/>
      <w:rPr>
        <w:color w:val="3370FF"/>
      </w:rPr>
    </w:lvl>
  </w:abstractNum>
  <w:abstractNum w:abstractNumId="93">
    <w:nsid w:val="79AA4FA4"/>
    <w:multiLevelType w:val="singleLevel"/>
    <w:tmpl w:val="79AA4FA4"/>
    <w:lvl w:ilvl="0" w:tentative="0">
      <w:start w:val="0"/>
      <w:numFmt w:val="bullet"/>
      <w:lvlText w:val="￮"/>
      <w:lvlJc w:val="left"/>
      <w:rPr>
        <w:color w:val="3370FF"/>
      </w:rPr>
    </w:lvl>
  </w:abstractNum>
  <w:abstractNum w:abstractNumId="94">
    <w:nsid w:val="7C246926"/>
    <w:multiLevelType w:val="singleLevel"/>
    <w:tmpl w:val="7C246926"/>
    <w:lvl w:ilvl="0" w:tentative="0">
      <w:start w:val="0"/>
      <w:numFmt w:val="bullet"/>
      <w:lvlText w:val="￮"/>
      <w:lvlJc w:val="left"/>
      <w:rPr>
        <w:color w:val="3370FF"/>
      </w:rPr>
    </w:lvl>
  </w:abstractNum>
  <w:abstractNum w:abstractNumId="95">
    <w:nsid w:val="7DEC2089"/>
    <w:multiLevelType w:val="singleLevel"/>
    <w:tmpl w:val="7DEC2089"/>
    <w:lvl w:ilvl="0" w:tentative="0">
      <w:start w:val="0"/>
      <w:numFmt w:val="bullet"/>
      <w:lvlText w:val="•"/>
      <w:lvlJc w:val="left"/>
      <w:rPr>
        <w:color w:val="3370FF"/>
      </w:rPr>
    </w:lvl>
  </w:abstractNum>
  <w:num w:numId="1">
    <w:abstractNumId w:val="45"/>
  </w:num>
  <w:num w:numId="2">
    <w:abstractNumId w:val="31"/>
  </w:num>
  <w:num w:numId="3">
    <w:abstractNumId w:val="79"/>
  </w:num>
  <w:num w:numId="4">
    <w:abstractNumId w:val="27"/>
  </w:num>
  <w:num w:numId="5">
    <w:abstractNumId w:val="20"/>
  </w:num>
  <w:num w:numId="6">
    <w:abstractNumId w:val="48"/>
  </w:num>
  <w:num w:numId="7">
    <w:abstractNumId w:val="62"/>
  </w:num>
  <w:num w:numId="8">
    <w:abstractNumId w:val="89"/>
  </w:num>
  <w:num w:numId="9">
    <w:abstractNumId w:val="46"/>
  </w:num>
  <w:num w:numId="10">
    <w:abstractNumId w:val="7"/>
  </w:num>
  <w:num w:numId="11">
    <w:abstractNumId w:val="63"/>
  </w:num>
  <w:num w:numId="12">
    <w:abstractNumId w:val="81"/>
  </w:num>
  <w:num w:numId="13">
    <w:abstractNumId w:val="30"/>
  </w:num>
  <w:num w:numId="14">
    <w:abstractNumId w:val="76"/>
  </w:num>
  <w:num w:numId="15">
    <w:abstractNumId w:val="41"/>
  </w:num>
  <w:num w:numId="16">
    <w:abstractNumId w:val="61"/>
  </w:num>
  <w:num w:numId="17">
    <w:abstractNumId w:val="36"/>
  </w:num>
  <w:num w:numId="18">
    <w:abstractNumId w:val="34"/>
  </w:num>
  <w:num w:numId="19">
    <w:abstractNumId w:val="11"/>
  </w:num>
  <w:num w:numId="20">
    <w:abstractNumId w:val="74"/>
  </w:num>
  <w:num w:numId="21">
    <w:abstractNumId w:val="84"/>
  </w:num>
  <w:num w:numId="22">
    <w:abstractNumId w:val="51"/>
  </w:num>
  <w:num w:numId="23">
    <w:abstractNumId w:val="73"/>
  </w:num>
  <w:num w:numId="24">
    <w:abstractNumId w:val="17"/>
  </w:num>
  <w:num w:numId="25">
    <w:abstractNumId w:val="94"/>
  </w:num>
  <w:num w:numId="26">
    <w:abstractNumId w:val="92"/>
  </w:num>
  <w:num w:numId="27">
    <w:abstractNumId w:val="26"/>
  </w:num>
  <w:num w:numId="28">
    <w:abstractNumId w:val="85"/>
  </w:num>
  <w:num w:numId="29">
    <w:abstractNumId w:val="8"/>
  </w:num>
  <w:num w:numId="30">
    <w:abstractNumId w:val="70"/>
  </w:num>
  <w:num w:numId="31">
    <w:abstractNumId w:val="3"/>
  </w:num>
  <w:num w:numId="32">
    <w:abstractNumId w:val="78"/>
  </w:num>
  <w:num w:numId="33">
    <w:abstractNumId w:val="95"/>
  </w:num>
  <w:num w:numId="34">
    <w:abstractNumId w:val="1"/>
  </w:num>
  <w:num w:numId="35">
    <w:abstractNumId w:val="60"/>
  </w:num>
  <w:num w:numId="36">
    <w:abstractNumId w:val="77"/>
  </w:num>
  <w:num w:numId="37">
    <w:abstractNumId w:val="43"/>
  </w:num>
  <w:num w:numId="38">
    <w:abstractNumId w:val="37"/>
  </w:num>
  <w:num w:numId="39">
    <w:abstractNumId w:val="66"/>
  </w:num>
  <w:num w:numId="40">
    <w:abstractNumId w:val="93"/>
  </w:num>
  <w:num w:numId="41">
    <w:abstractNumId w:val="23"/>
  </w:num>
  <w:num w:numId="42">
    <w:abstractNumId w:val="5"/>
  </w:num>
  <w:num w:numId="43">
    <w:abstractNumId w:val="22"/>
  </w:num>
  <w:num w:numId="44">
    <w:abstractNumId w:val="82"/>
  </w:num>
  <w:num w:numId="45">
    <w:abstractNumId w:val="2"/>
  </w:num>
  <w:num w:numId="46">
    <w:abstractNumId w:val="56"/>
  </w:num>
  <w:num w:numId="47">
    <w:abstractNumId w:val="4"/>
  </w:num>
  <w:num w:numId="48">
    <w:abstractNumId w:val="83"/>
  </w:num>
  <w:num w:numId="49">
    <w:abstractNumId w:val="90"/>
  </w:num>
  <w:num w:numId="50">
    <w:abstractNumId w:val="75"/>
  </w:num>
  <w:num w:numId="51">
    <w:abstractNumId w:val="67"/>
  </w:num>
  <w:num w:numId="52">
    <w:abstractNumId w:val="86"/>
  </w:num>
  <w:num w:numId="53">
    <w:abstractNumId w:val="49"/>
  </w:num>
  <w:num w:numId="54">
    <w:abstractNumId w:val="50"/>
  </w:num>
  <w:num w:numId="55">
    <w:abstractNumId w:val="33"/>
  </w:num>
  <w:num w:numId="56">
    <w:abstractNumId w:val="68"/>
  </w:num>
  <w:num w:numId="57">
    <w:abstractNumId w:val="58"/>
  </w:num>
  <w:num w:numId="58">
    <w:abstractNumId w:val="40"/>
  </w:num>
  <w:num w:numId="59">
    <w:abstractNumId w:val="59"/>
  </w:num>
  <w:num w:numId="60">
    <w:abstractNumId w:val="19"/>
  </w:num>
  <w:num w:numId="61">
    <w:abstractNumId w:val="72"/>
  </w:num>
  <w:num w:numId="62">
    <w:abstractNumId w:val="52"/>
  </w:num>
  <w:num w:numId="63">
    <w:abstractNumId w:val="69"/>
  </w:num>
  <w:num w:numId="64">
    <w:abstractNumId w:val="47"/>
  </w:num>
  <w:num w:numId="65">
    <w:abstractNumId w:val="28"/>
  </w:num>
  <w:num w:numId="66">
    <w:abstractNumId w:val="53"/>
  </w:num>
  <w:num w:numId="67">
    <w:abstractNumId w:val="18"/>
  </w:num>
  <w:num w:numId="68">
    <w:abstractNumId w:val="71"/>
  </w:num>
  <w:num w:numId="69">
    <w:abstractNumId w:val="14"/>
  </w:num>
  <w:num w:numId="70">
    <w:abstractNumId w:val="42"/>
  </w:num>
  <w:num w:numId="71">
    <w:abstractNumId w:val="65"/>
  </w:num>
  <w:num w:numId="72">
    <w:abstractNumId w:val="44"/>
  </w:num>
  <w:num w:numId="73">
    <w:abstractNumId w:val="55"/>
  </w:num>
  <w:num w:numId="74">
    <w:abstractNumId w:val="88"/>
  </w:num>
  <w:num w:numId="75">
    <w:abstractNumId w:val="38"/>
  </w:num>
  <w:num w:numId="76">
    <w:abstractNumId w:val="29"/>
  </w:num>
  <w:num w:numId="77">
    <w:abstractNumId w:val="13"/>
  </w:num>
  <w:num w:numId="78">
    <w:abstractNumId w:val="91"/>
  </w:num>
  <w:num w:numId="79">
    <w:abstractNumId w:val="35"/>
  </w:num>
  <w:num w:numId="80">
    <w:abstractNumId w:val="21"/>
  </w:num>
  <w:num w:numId="81">
    <w:abstractNumId w:val="64"/>
  </w:num>
  <w:num w:numId="82">
    <w:abstractNumId w:val="39"/>
  </w:num>
  <w:num w:numId="83">
    <w:abstractNumId w:val="10"/>
  </w:num>
  <w:num w:numId="84">
    <w:abstractNumId w:val="80"/>
  </w:num>
  <w:num w:numId="85">
    <w:abstractNumId w:val="24"/>
  </w:num>
  <w:num w:numId="86">
    <w:abstractNumId w:val="16"/>
  </w:num>
  <w:num w:numId="87">
    <w:abstractNumId w:val="9"/>
  </w:num>
  <w:num w:numId="88">
    <w:abstractNumId w:val="12"/>
  </w:num>
  <w:num w:numId="89">
    <w:abstractNumId w:val="15"/>
  </w:num>
  <w:num w:numId="90">
    <w:abstractNumId w:val="6"/>
  </w:num>
  <w:num w:numId="91">
    <w:abstractNumId w:val="57"/>
  </w:num>
  <w:num w:numId="92">
    <w:abstractNumId w:val="25"/>
  </w:num>
  <w:num w:numId="93">
    <w:abstractNumId w:val="54"/>
  </w:num>
  <w:num w:numId="94">
    <w:abstractNumId w:val="32"/>
  </w:num>
  <w:num w:numId="95">
    <w:abstractNumId w:val="87"/>
  </w:num>
  <w:num w:numId="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0DFD51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13060</Words>
  <Characters>21309</Characters>
  <TotalTime>0</TotalTime>
  <ScaleCrop>false</ScaleCrop>
  <LinksUpToDate>false</LinksUpToDate>
  <CharactersWithSpaces>23145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2025-12-28T11:59:00Z</dcterms:created>
  <dc:creator>Apache POI</dc:creator>
  <cp:lastModifiedBy>一缕清风</cp:lastModifiedBy>
  <dcterms:modified xsi:type="dcterms:W3CDTF">2025-12-28T12:09:58Z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AC9ACD79ACD7438C9D5E2A9459CE8B9F_12</vt:lpwstr>
  </property>
</Properties>
</file>