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17633">
      <w:pPr>
        <w:spacing w:before="480" w:after="480" w:line="288" w:lineRule="auto"/>
        <w:ind w:left="0"/>
      </w:pPr>
      <w:r>
        <w:rPr>
          <w:rFonts w:ascii="Arial" w:hAnsi="Arial" w:eastAsia="等线" w:cs="Arial"/>
          <w:b/>
          <w:sz w:val="52"/>
        </w:rPr>
        <w:t>Chapter 16 Rules and Regulations: No Fooling Around</w:t>
      </w:r>
    </w:p>
    <w:p w14:paraId="2408F794">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1CA3C614">
      <w:pPr>
        <w:spacing w:before="120" w:after="120" w:line="288" w:lineRule="auto"/>
        <w:ind w:left="0"/>
        <w:jc w:val="left"/>
      </w:pPr>
      <w:r>
        <w:rPr>
          <w:rFonts w:ascii="Arial" w:hAnsi="Arial" w:eastAsia="等线" w:cs="Arial"/>
          <w:sz w:val="22"/>
        </w:rPr>
        <w:t>无规矩不成方圆。</w:t>
      </w:r>
    </w:p>
    <w:p w14:paraId="37B3EBEF">
      <w:pPr>
        <w:spacing w:before="120" w:after="120" w:line="288" w:lineRule="auto"/>
        <w:ind w:left="0"/>
        <w:jc w:val="left"/>
      </w:pPr>
    </w:p>
    <w:p w14:paraId="37F5B741">
      <w:pPr>
        <w:spacing w:before="120" w:after="120" w:line="288" w:lineRule="auto"/>
        <w:ind w:left="0"/>
        <w:jc w:val="left"/>
      </w:pPr>
      <w:r>
        <w:rPr>
          <w:rFonts w:ascii="Arial" w:hAnsi="Arial" w:eastAsia="等线" w:cs="Arial"/>
          <w:sz w:val="22"/>
        </w:rPr>
        <w:t>本章是 SIE 考试的重中之重，因为它涵盖了证券行业最基本的“交通规则”。所有证券活动的首要目标是保护投资者和维护市场公平，注册代表必须熟知并遵守这些规则。</w:t>
      </w:r>
    </w:p>
    <w:p w14:paraId="1DFB0402">
      <w:pPr>
        <w:spacing w:before="120" w:after="120" w:line="288" w:lineRule="auto"/>
        <w:ind w:left="0"/>
        <w:jc w:val="left"/>
      </w:pPr>
    </w:p>
    <w:p w14:paraId="514D2C5C">
      <w:pPr>
        <w:spacing w:before="120" w:after="120" w:line="288" w:lineRule="auto"/>
        <w:ind w:left="0"/>
        <w:jc w:val="left"/>
      </w:pPr>
      <w:r>
        <w:rPr>
          <w:rFonts w:ascii="Arial" w:hAnsi="Arial" w:eastAsia="等线" w:cs="Arial"/>
          <w:sz w:val="22"/>
        </w:rPr>
        <w:t>本章主要内容包括：</w:t>
      </w:r>
    </w:p>
    <w:p w14:paraId="6758E9AF">
      <w:pPr>
        <w:numPr>
          <w:ilvl w:val="0"/>
          <w:numId w:val="1"/>
        </w:numPr>
        <w:spacing w:before="120" w:after="120" w:line="288" w:lineRule="auto"/>
        <w:ind w:left="0"/>
        <w:jc w:val="left"/>
      </w:pPr>
      <w:r>
        <w:rPr>
          <w:rFonts w:ascii="Arial" w:hAnsi="Arial" w:eastAsia="等线" w:cs="Arial"/>
          <w:b/>
          <w:sz w:val="22"/>
        </w:rPr>
        <w:t>市场监管机构认知</w:t>
      </w:r>
      <w:r>
        <w:rPr>
          <w:rFonts w:ascii="Arial" w:hAnsi="Arial" w:eastAsia="等线" w:cs="Arial"/>
          <w:sz w:val="22"/>
        </w:rPr>
        <w:t>：帮助读者理解市场 “守护者”（监管机构）及其在保护投资者、执行规则方面的角色。</w:t>
      </w:r>
    </w:p>
    <w:p w14:paraId="6A2464DB">
      <w:pPr>
        <w:numPr>
          <w:ilvl w:val="0"/>
          <w:numId w:val="2"/>
        </w:numPr>
        <w:spacing w:before="120" w:after="120" w:line="288" w:lineRule="auto"/>
        <w:ind w:left="0"/>
        <w:jc w:val="left"/>
      </w:pPr>
      <w:r>
        <w:rPr>
          <w:rFonts w:ascii="Arial" w:hAnsi="Arial" w:eastAsia="等线" w:cs="Arial"/>
          <w:b/>
          <w:sz w:val="22"/>
        </w:rPr>
        <w:t>客户账户操作</w:t>
      </w:r>
      <w:r>
        <w:rPr>
          <w:rFonts w:ascii="Arial" w:hAnsi="Arial" w:eastAsia="等线" w:cs="Arial"/>
          <w:sz w:val="22"/>
        </w:rPr>
        <w:t>：重点讲解客户账户的开立、关闭、转移及日常管理流程。</w:t>
      </w:r>
    </w:p>
    <w:p w14:paraId="7BBE57A1">
      <w:pPr>
        <w:numPr>
          <w:ilvl w:val="0"/>
          <w:numId w:val="3"/>
        </w:numPr>
        <w:spacing w:before="120" w:after="120" w:line="288" w:lineRule="auto"/>
        <w:ind w:left="0"/>
        <w:jc w:val="left"/>
      </w:pPr>
      <w:r>
        <w:rPr>
          <w:rFonts w:ascii="Arial" w:hAnsi="Arial" w:eastAsia="等线" w:cs="Arial"/>
          <w:b/>
          <w:sz w:val="22"/>
        </w:rPr>
        <w:t>规则遵守</w:t>
      </w:r>
      <w:r>
        <w:rPr>
          <w:rFonts w:ascii="Arial" w:hAnsi="Arial" w:eastAsia="等线" w:cs="Arial"/>
          <w:sz w:val="22"/>
        </w:rPr>
        <w:t>：明确需遵循的核心行业规则。</w:t>
      </w:r>
    </w:p>
    <w:p w14:paraId="43CAC908">
      <w:pPr>
        <w:numPr>
          <w:ilvl w:val="0"/>
          <w:numId w:val="4"/>
        </w:numPr>
        <w:spacing w:before="120" w:after="120" w:line="288" w:lineRule="auto"/>
        <w:ind w:left="0"/>
        <w:jc w:val="left"/>
      </w:pPr>
      <w:r>
        <w:rPr>
          <w:rFonts w:ascii="Arial" w:hAnsi="Arial" w:eastAsia="等线" w:cs="Arial"/>
          <w:b/>
          <w:sz w:val="22"/>
        </w:rPr>
        <w:t>其他考点回顾</w:t>
      </w:r>
      <w:r>
        <w:rPr>
          <w:rFonts w:ascii="Arial" w:hAnsi="Arial" w:eastAsia="等线" w:cs="Arial"/>
          <w:sz w:val="22"/>
        </w:rPr>
        <w:t>：涵盖考试中涉及的额外规则相关知识点。</w:t>
      </w:r>
    </w:p>
    <w:p w14:paraId="3801410F">
      <w:pPr>
        <w:spacing w:before="120" w:after="120" w:line="288" w:lineRule="auto"/>
        <w:ind w:left="0"/>
        <w:jc w:val="left"/>
      </w:pPr>
    </w:p>
    <w:p w14:paraId="0537D29A">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66F76EA0">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证券监管组织</w:t>
      </w:r>
      <w:bookmarkEnd w:id="2"/>
    </w:p>
    <w:p w14:paraId="6F11F561">
      <w:pPr>
        <w:spacing w:before="120" w:after="120" w:line="288" w:lineRule="auto"/>
        <w:ind w:left="0"/>
        <w:jc w:val="left"/>
      </w:pPr>
      <w:r>
        <w:rPr>
          <w:rFonts w:ascii="Arial" w:hAnsi="Arial" w:eastAsia="等线" w:cs="Arial"/>
          <w:sz w:val="22"/>
        </w:rPr>
        <w:t>证券监管组织（Securities Regulatory Organizations）的存在是为了确保市场平稳运行，并保证投资者不会受到不当对待。</w:t>
      </w:r>
    </w:p>
    <w:p w14:paraId="68476E42">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证券交易委员会</w:t>
      </w:r>
      <w:bookmarkEnd w:id="3"/>
    </w:p>
    <w:p w14:paraId="0F8E0CF5">
      <w:pPr>
        <w:spacing w:before="120" w:after="120" w:line="288" w:lineRule="auto"/>
        <w:ind w:left="0"/>
        <w:jc w:val="left"/>
      </w:pPr>
      <w:r>
        <w:rPr>
          <w:rFonts w:ascii="Arial" w:hAnsi="Arial" w:eastAsia="等线" w:cs="Arial"/>
          <w:sz w:val="22"/>
        </w:rPr>
        <w:t>美国证券交易委员会（SEC，Securities and Exchange Commission）是证券行业的主要监管机构。国会于1934年成立 SEC 是为了监管证券市场，并保护投资者免受欺诈和操纵。</w:t>
      </w:r>
    </w:p>
    <w:p w14:paraId="7650C46E">
      <w:pPr>
        <w:spacing w:before="120" w:after="120" w:line="288" w:lineRule="auto"/>
        <w:ind w:left="0"/>
        <w:jc w:val="left"/>
      </w:pPr>
    </w:p>
    <w:p w14:paraId="6966B580">
      <w:pPr>
        <w:spacing w:before="120" w:after="120" w:line="288" w:lineRule="auto"/>
        <w:ind w:left="0"/>
        <w:jc w:val="left"/>
      </w:pPr>
      <w:r>
        <w:rPr>
          <w:rFonts w:ascii="Arial" w:hAnsi="Arial" w:eastAsia="等线" w:cs="Arial"/>
          <w:sz w:val="22"/>
        </w:rPr>
        <w:t>所有与投资者及其他经纪交易商进行业务往来的经纪交易商都必须向 SEC 注册。而这种注册意义重大：所有经纪交易商都必须遵守SEC的规定，否则将面临谴责（官方斥责）、业务限制、自身被暂停注册或一名及以上关联人员（如注册代表或负责人）被暂停资格、罚款，以及/或者注册被撤销。</w:t>
      </w:r>
    </w:p>
    <w:p w14:paraId="35B081B3">
      <w:pPr>
        <w:spacing w:before="120" w:after="120" w:line="288" w:lineRule="auto"/>
        <w:ind w:left="453"/>
        <w:jc w:val="left"/>
      </w:pPr>
    </w:p>
    <w:p w14:paraId="1B761E93">
      <w:pPr>
        <w:spacing w:before="120" w:after="120" w:line="288" w:lineRule="auto"/>
        <w:ind w:left="0"/>
        <w:jc w:val="left"/>
      </w:pPr>
      <w:r>
        <w:rPr>
          <w:rFonts w:ascii="Arial" w:hAnsi="Arial" w:eastAsia="等线" w:cs="Arial"/>
          <w:sz w:val="22"/>
        </w:rPr>
        <w:t>除了其众多其他职能外，你需要知道美国证券交易委员会（SEC）还负责执行以下法案：</w:t>
      </w:r>
    </w:p>
    <w:p w14:paraId="142E17A2">
      <w:pPr>
        <w:spacing w:before="120" w:after="120" w:line="288" w:lineRule="auto"/>
        <w:ind w:left="0"/>
        <w:jc w:val="left"/>
      </w:pPr>
    </w:p>
    <w:p w14:paraId="37D5C2FC">
      <w:pPr>
        <w:numPr>
          <w:ilvl w:val="0"/>
          <w:numId w:val="5"/>
        </w:numPr>
        <w:spacing w:before="120" w:after="120" w:line="288" w:lineRule="auto"/>
        <w:ind w:left="0"/>
        <w:jc w:val="left"/>
      </w:pPr>
      <w:r>
        <w:rPr>
          <w:rFonts w:ascii="Arial" w:hAnsi="Arial" w:eastAsia="等线" w:cs="Arial"/>
          <w:sz w:val="22"/>
        </w:rPr>
        <w:t>《1933年证券法》（The Securities Act of 1933）</w:t>
      </w:r>
    </w:p>
    <w:p w14:paraId="18F6E837">
      <w:pPr>
        <w:spacing w:before="120" w:after="120" w:line="288" w:lineRule="auto"/>
        <w:ind w:left="0"/>
        <w:jc w:val="left"/>
      </w:pPr>
      <w:r>
        <w:rPr>
          <w:rFonts w:ascii="Arial" w:hAnsi="Arial" w:eastAsia="等线" w:cs="Arial"/>
          <w:sz w:val="22"/>
        </w:rPr>
        <w:t>要求充分且公平地披露有关新发行证券的所有重大信息（full and fair disclosure of all material information about a new issue）。</w:t>
      </w:r>
    </w:p>
    <w:p w14:paraId="4B40ED96">
      <w:pPr>
        <w:spacing w:before="120" w:after="120" w:line="288" w:lineRule="auto"/>
        <w:ind w:left="0"/>
        <w:jc w:val="left"/>
      </w:pPr>
    </w:p>
    <w:p w14:paraId="225B9690">
      <w:pPr>
        <w:numPr>
          <w:ilvl w:val="0"/>
          <w:numId w:val="6"/>
        </w:numPr>
        <w:spacing w:before="120" w:after="120" w:line="288" w:lineRule="auto"/>
        <w:ind w:left="0"/>
        <w:jc w:val="left"/>
      </w:pPr>
      <w:r>
        <w:rPr>
          <w:rFonts w:ascii="Arial" w:hAnsi="Arial" w:eastAsia="等线" w:cs="Arial"/>
          <w:sz w:val="22"/>
        </w:rPr>
        <w:t>《1934年证券交易法》（The Securities Exchange Act of 1934）</w:t>
      </w:r>
    </w:p>
    <w:p w14:paraId="6BB0C778">
      <w:pPr>
        <w:spacing w:before="120" w:after="120" w:line="288" w:lineRule="auto"/>
        <w:ind w:left="0"/>
        <w:jc w:val="left"/>
      </w:pPr>
      <w:r>
        <w:rPr>
          <w:rFonts w:ascii="Arial" w:hAnsi="Arial" w:eastAsia="等线" w:cs="Arial"/>
          <w:sz w:val="22"/>
        </w:rPr>
        <w:t>1934年证券交易法案设立了美国证券交易委员会（SEC），其制定目的是通过监管场外交易（OTC）市场和纽约证券交易所（NYSE）等交易所来保护投资者。该法案会监管：</w:t>
      </w:r>
    </w:p>
    <w:p w14:paraId="361253C8">
      <w:pPr>
        <w:numPr>
          <w:ilvl w:val="0"/>
          <w:numId w:val="7"/>
        </w:numPr>
        <w:spacing w:before="120" w:after="120" w:line="288" w:lineRule="auto"/>
        <w:ind w:left="453"/>
        <w:jc w:val="left"/>
      </w:pPr>
      <w:r>
        <w:rPr>
          <w:rFonts w:ascii="Arial" w:hAnsi="Arial" w:eastAsia="等线" w:cs="Arial"/>
          <w:sz w:val="22"/>
        </w:rPr>
        <w:t>保证金账户中的信贷扩展（参见第12章）</w:t>
      </w:r>
    </w:p>
    <w:p w14:paraId="241D3AAB">
      <w:pPr>
        <w:numPr>
          <w:ilvl w:val="0"/>
          <w:numId w:val="8"/>
        </w:numPr>
        <w:spacing w:before="120" w:after="120" w:line="288" w:lineRule="auto"/>
        <w:ind w:left="453"/>
        <w:jc w:val="left"/>
      </w:pPr>
      <w:r>
        <w:rPr>
          <w:rFonts w:ascii="Arial" w:hAnsi="Arial" w:eastAsia="等线" w:cs="Arial"/>
          <w:sz w:val="22"/>
        </w:rPr>
        <w:t>经纪商和交易商的注册与监管。</w:t>
      </w:r>
    </w:p>
    <w:p w14:paraId="5ECF48F5">
      <w:pPr>
        <w:numPr>
          <w:ilvl w:val="0"/>
          <w:numId w:val="9"/>
        </w:numPr>
        <w:spacing w:before="120" w:after="120" w:line="288" w:lineRule="auto"/>
        <w:ind w:left="453"/>
        <w:jc w:val="left"/>
      </w:pPr>
      <w:r>
        <w:rPr>
          <w:rFonts w:ascii="Arial" w:hAnsi="Arial" w:eastAsia="等线" w:cs="Arial"/>
          <w:sz w:val="22"/>
        </w:rPr>
        <w:t>证券协会的注册。</w:t>
      </w:r>
    </w:p>
    <w:p w14:paraId="7DFA3847">
      <w:pPr>
        <w:numPr>
          <w:ilvl w:val="0"/>
          <w:numId w:val="10"/>
        </w:numPr>
        <w:spacing w:before="120" w:after="120" w:line="288" w:lineRule="auto"/>
        <w:ind w:left="453"/>
        <w:jc w:val="left"/>
      </w:pPr>
      <w:r>
        <w:rPr>
          <w:rFonts w:ascii="Arial" w:hAnsi="Arial" w:eastAsia="等线" w:cs="Arial"/>
          <w:sz w:val="22"/>
        </w:rPr>
        <w:t>内部人员的交易。</w:t>
      </w:r>
    </w:p>
    <w:p w14:paraId="12420429">
      <w:pPr>
        <w:numPr>
          <w:ilvl w:val="0"/>
          <w:numId w:val="11"/>
        </w:numPr>
        <w:spacing w:before="120" w:after="120" w:line="288" w:lineRule="auto"/>
        <w:ind w:left="453"/>
        <w:jc w:val="left"/>
      </w:pPr>
      <w:r>
        <w:rPr>
          <w:rFonts w:ascii="Arial" w:hAnsi="Arial" w:eastAsia="等线" w:cs="Arial"/>
          <w:sz w:val="22"/>
        </w:rPr>
        <w:t>客户账户。</w:t>
      </w:r>
    </w:p>
    <w:p w14:paraId="6186E036">
      <w:pPr>
        <w:numPr>
          <w:ilvl w:val="0"/>
          <w:numId w:val="12"/>
        </w:numPr>
        <w:spacing w:before="120" w:after="120" w:line="288" w:lineRule="auto"/>
        <w:ind w:left="453"/>
        <w:jc w:val="left"/>
      </w:pPr>
      <w:r>
        <w:rPr>
          <w:rFonts w:ascii="Arial" w:hAnsi="Arial" w:eastAsia="等线" w:cs="Arial"/>
          <w:sz w:val="22"/>
        </w:rPr>
        <w:t>交易活动。</w:t>
      </w:r>
    </w:p>
    <w:p w14:paraId="26C236D3">
      <w:pPr>
        <w:spacing w:before="120" w:after="120" w:line="288" w:lineRule="auto"/>
        <w:ind w:left="0"/>
        <w:jc w:val="left"/>
      </w:pPr>
    </w:p>
    <w:p w14:paraId="6FFAAE72">
      <w:pPr>
        <w:numPr>
          <w:ilvl w:val="0"/>
          <w:numId w:val="13"/>
        </w:numPr>
        <w:spacing w:before="120" w:after="120" w:line="288" w:lineRule="auto"/>
        <w:ind w:left="0"/>
        <w:jc w:val="left"/>
      </w:pPr>
      <w:r>
        <w:rPr>
          <w:rFonts w:ascii="Arial" w:hAnsi="Arial" w:eastAsia="等线" w:cs="Arial"/>
          <w:sz w:val="22"/>
        </w:rPr>
        <w:t>《信托契约法》（TIA，The Trust Indenture Act）</w:t>
      </w:r>
    </w:p>
    <w:p w14:paraId="6781B1BE">
      <w:pPr>
        <w:spacing w:before="120" w:after="120" w:line="288" w:lineRule="auto"/>
        <w:ind w:left="0"/>
        <w:jc w:val="left"/>
      </w:pPr>
      <w:r>
        <w:rPr>
          <w:rFonts w:ascii="Arial" w:hAnsi="Arial" w:eastAsia="等线" w:cs="Arial"/>
          <w:sz w:val="22"/>
        </w:rPr>
        <w:t>该法案前身为《1939年信托契约法》，禁止向投资者发行价值超过$50 million (originally $5百万美元的债券而不附带契约。信托契约是一份书面协议，通过披露发行的具体细节（票面利率、到期日、任何支持债券的抵押品等）来保护投资者。根据《信托契约法》，所有公司都必须聘请一名受托人，负责保护债券持有人的权利。</w:t>
      </w:r>
    </w:p>
    <w:p w14:paraId="78BE5CBA">
      <w:pPr>
        <w:spacing w:before="120" w:after="120" w:line="288" w:lineRule="auto"/>
        <w:ind w:left="0"/>
        <w:jc w:val="left"/>
      </w:pPr>
    </w:p>
    <w:p w14:paraId="08CDBFFB">
      <w:pPr>
        <w:numPr>
          <w:ilvl w:val="0"/>
          <w:numId w:val="14"/>
        </w:numPr>
        <w:spacing w:before="120" w:after="120" w:line="288" w:lineRule="auto"/>
        <w:ind w:left="0"/>
        <w:jc w:val="left"/>
      </w:pPr>
      <w:r>
        <w:rPr>
          <w:rFonts w:ascii="Arial" w:hAnsi="Arial" w:eastAsia="等线" w:cs="Arial"/>
          <w:sz w:val="22"/>
        </w:rPr>
        <w:t>《1940年投资公司法》（The Investment Company Act of 1940）</w:t>
      </w:r>
    </w:p>
    <w:p w14:paraId="1A25FDB9">
      <w:pPr>
        <w:spacing w:before="120" w:after="120" w:line="288" w:lineRule="auto"/>
        <w:ind w:left="0"/>
        <w:jc w:val="left"/>
      </w:pPr>
      <w:r>
        <w:rPr>
          <w:rFonts w:ascii="Arial" w:hAnsi="Arial" w:eastAsia="等线" w:cs="Arial"/>
          <w:sz w:val="22"/>
        </w:rPr>
        <w:t>该法案对投资公司的注册要求和活动进行监管。</w:t>
      </w:r>
    </w:p>
    <w:p w14:paraId="3CA3E90F">
      <w:pPr>
        <w:spacing w:before="120" w:after="120" w:line="288" w:lineRule="auto"/>
        <w:ind w:left="0"/>
        <w:jc w:val="left"/>
      </w:pPr>
    </w:p>
    <w:p w14:paraId="79148A98">
      <w:pPr>
        <w:numPr>
          <w:ilvl w:val="0"/>
          <w:numId w:val="15"/>
        </w:numPr>
        <w:spacing w:before="120" w:after="120" w:line="288" w:lineRule="auto"/>
        <w:ind w:left="0"/>
        <w:jc w:val="left"/>
      </w:pPr>
      <w:r>
        <w:rPr>
          <w:rFonts w:ascii="Arial" w:hAnsi="Arial" w:eastAsia="等线" w:cs="Arial"/>
          <w:sz w:val="22"/>
        </w:rPr>
        <w:t>《1940年投资顾问法》（The Investment Advisers Act of 1940）</w:t>
      </w:r>
    </w:p>
    <w:p w14:paraId="26F0A87E">
      <w:pPr>
        <w:spacing w:before="120" w:after="120" w:line="288" w:lineRule="auto"/>
        <w:ind w:left="0"/>
        <w:jc w:val="left"/>
      </w:pPr>
      <w:r>
        <w:rPr>
          <w:rFonts w:ascii="Arial" w:hAnsi="Arial" w:eastAsia="等线" w:cs="Arial"/>
          <w:sz w:val="22"/>
        </w:rPr>
        <w:t>该法案要求某些投资顾问向 SEC 注册。</w:t>
      </w:r>
    </w:p>
    <w:p w14:paraId="3ECC5F81">
      <w:pPr>
        <w:spacing w:before="120" w:after="120" w:line="288" w:lineRule="auto"/>
        <w:ind w:left="453"/>
        <w:jc w:val="left"/>
      </w:pPr>
    </w:p>
    <w:p w14:paraId="6B623B20">
      <w:pPr>
        <w:spacing w:before="120" w:after="120" w:line="288" w:lineRule="auto"/>
        <w:ind w:left="0"/>
        <w:jc w:val="left"/>
      </w:pPr>
      <w:r>
        <w:rPr>
          <w:rFonts w:ascii="Arial" w:hAnsi="Arial" w:eastAsia="等线" w:cs="Arial"/>
          <w:sz w:val="22"/>
        </w:rPr>
        <w:t>投资顾问是指通过提供投资建议获得费用（fee）的个人。任何管理的资产达到2500万美元的投资顾问，或者为投资公司提供咨询的任何人，都必须向SEC注册。所有其他投资顾问则必须在州一级注册（register on the state level）。</w:t>
      </w:r>
    </w:p>
    <w:p w14:paraId="538FEEE7">
      <w:pPr>
        <w:spacing w:before="120" w:after="120" w:line="288" w:lineRule="auto"/>
        <w:ind w:left="0"/>
        <w:jc w:val="left"/>
      </w:pPr>
    </w:p>
    <w:p w14:paraId="5D90C4BB">
      <w:pPr>
        <w:spacing w:before="120" w:after="120" w:line="288" w:lineRule="auto"/>
        <w:ind w:left="0"/>
        <w:jc w:val="left"/>
      </w:pPr>
      <w:r>
        <w:rPr>
          <w:rFonts w:ascii="Arial" w:hAnsi="Arial" w:eastAsia="等线" w:cs="Arial"/>
          <w:sz w:val="22"/>
        </w:rPr>
        <w:t>《1940年投资顾问法》对如下内容进行监管：</w:t>
      </w:r>
    </w:p>
    <w:p w14:paraId="22AB8004">
      <w:pPr>
        <w:numPr>
          <w:ilvl w:val="0"/>
          <w:numId w:val="16"/>
        </w:numPr>
        <w:spacing w:before="120" w:after="120" w:line="288" w:lineRule="auto"/>
        <w:ind w:left="453"/>
        <w:jc w:val="left"/>
      </w:pPr>
      <w:r>
        <w:rPr>
          <w:rFonts w:ascii="Arial" w:hAnsi="Arial" w:eastAsia="等线" w:cs="Arial"/>
          <w:sz w:val="22"/>
        </w:rPr>
        <w:t>记录保存责任（Record-keeping responsibilities）</w:t>
      </w:r>
    </w:p>
    <w:p w14:paraId="697ACFF5">
      <w:pPr>
        <w:numPr>
          <w:ilvl w:val="0"/>
          <w:numId w:val="17"/>
        </w:numPr>
        <w:spacing w:before="120" w:after="120" w:line="288" w:lineRule="auto"/>
        <w:ind w:left="453"/>
        <w:jc w:val="left"/>
      </w:pPr>
      <w:r>
        <w:rPr>
          <w:rFonts w:ascii="Arial" w:hAnsi="Arial" w:eastAsia="等线" w:cs="Arial"/>
          <w:sz w:val="22"/>
        </w:rPr>
        <w:t>咨询合同（咨询合同）</w:t>
      </w:r>
    </w:p>
    <w:p w14:paraId="46DB6A29">
      <w:pPr>
        <w:numPr>
          <w:ilvl w:val="0"/>
          <w:numId w:val="18"/>
        </w:numPr>
        <w:spacing w:before="120" w:after="120" w:line="288" w:lineRule="auto"/>
        <w:ind w:left="453"/>
        <w:jc w:val="left"/>
      </w:pPr>
      <w:r>
        <w:rPr>
          <w:rFonts w:ascii="Arial" w:hAnsi="Arial" w:eastAsia="等线" w:cs="Arial"/>
          <w:sz w:val="22"/>
        </w:rPr>
        <w:t>广告规则（Advertising rules）</w:t>
      </w:r>
    </w:p>
    <w:p w14:paraId="11139EDC">
      <w:pPr>
        <w:numPr>
          <w:ilvl w:val="0"/>
          <w:numId w:val="19"/>
        </w:numPr>
        <w:spacing w:before="120" w:after="120" w:line="288" w:lineRule="auto"/>
        <w:ind w:left="453"/>
        <w:jc w:val="left"/>
      </w:pPr>
      <w:r>
        <w:rPr>
          <w:rFonts w:ascii="Arial" w:hAnsi="Arial" w:eastAsia="等线" w:cs="Arial"/>
          <w:sz w:val="22"/>
        </w:rPr>
        <w:t>客户资产和资金的托管（Custody of customers’ assets and funds）</w:t>
      </w:r>
    </w:p>
    <w:p w14:paraId="00A26681">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自律组织</w:t>
      </w:r>
      <w:bookmarkEnd w:id="4"/>
    </w:p>
    <w:p w14:paraId="024B58CC">
      <w:pPr>
        <w:spacing w:before="120" w:after="120" w:line="288" w:lineRule="auto"/>
        <w:ind w:left="0"/>
        <w:jc w:val="left"/>
      </w:pPr>
      <w:r>
        <w:rPr>
          <w:rFonts w:ascii="Arial" w:hAnsi="Arial" w:eastAsia="等线" w:cs="Arial"/>
          <w:sz w:val="22"/>
        </w:rPr>
        <w:t>自律组织（Self-regulatory organizations，SROs）是受政府监管机构（如美国SEC）授权和监督，但由其自身成员（券商、交易所等）来管理和执行行业规则的组织。</w:t>
      </w:r>
    </w:p>
    <w:p w14:paraId="2D74F36F">
      <w:pPr>
        <w:spacing w:before="120" w:after="120" w:line="288" w:lineRule="auto"/>
        <w:ind w:left="0"/>
        <w:jc w:val="left"/>
      </w:pPr>
    </w:p>
    <w:p w14:paraId="6A855BE3">
      <w:pPr>
        <w:spacing w:before="120" w:after="120" w:line="288" w:lineRule="auto"/>
        <w:ind w:left="0"/>
        <w:jc w:val="left"/>
      </w:pPr>
      <w:r>
        <w:rPr>
          <w:rFonts w:ascii="Arial" w:hAnsi="Arial" w:eastAsia="等线" w:cs="Arial"/>
          <w:sz w:val="22"/>
        </w:rPr>
        <w:t>虽然会员资格并非强制性的，但大多数经纪交易商都是一个或多个自律组织的成员。自律组织的规定通常比 SEC 的更为严格。</w:t>
      </w:r>
    </w:p>
    <w:p w14:paraId="4E3FC942">
      <w:pPr>
        <w:spacing w:before="120" w:after="120" w:line="288" w:lineRule="auto"/>
        <w:ind w:left="0"/>
        <w:jc w:val="left"/>
      </w:pPr>
    </w:p>
    <w:p w14:paraId="00D94C5C">
      <w:pPr>
        <w:numPr>
          <w:ilvl w:val="0"/>
          <w:numId w:val="20"/>
        </w:numPr>
        <w:spacing w:before="120" w:after="120" w:line="288" w:lineRule="auto"/>
        <w:ind w:left="0"/>
        <w:jc w:val="left"/>
      </w:pPr>
      <w:r>
        <w:rPr>
          <w:rFonts w:ascii="Arial" w:hAnsi="Arial" w:eastAsia="等线" w:cs="Arial"/>
          <w:sz w:val="22"/>
        </w:rPr>
        <w:t>金融业监管局（FINRA，Financial Industry Regulatory Authority）</w:t>
      </w:r>
    </w:p>
    <w:p w14:paraId="6F8523CB">
      <w:pPr>
        <w:spacing w:before="120" w:after="120" w:line="288" w:lineRule="auto"/>
        <w:ind w:left="0"/>
        <w:jc w:val="left"/>
      </w:pPr>
      <w:r>
        <w:rPr>
          <w:rFonts w:ascii="Arial" w:hAnsi="Arial" w:eastAsia="等线" w:cs="Arial"/>
          <w:sz w:val="22"/>
        </w:rPr>
        <w:t>FINRA 是负责场外交易市场、投资银行（证券承销）、纽约证券交易所交易、投资公司、有限合伙企业等的运营和监管的自律监管组织。FINRA成立于2007年，由全国证券交易商协会（NASD）以及纽约证券交易所的监管和执法部门合并而成。FINRA负责确保其成员不仅遵守FINRA的规则，还遵守美国证券交易委员会（SEC）制定的规则。此外，FINRA负责处理针对成员公司的投诉，并在必要时采取纪律处分。FINRA还负责管理证券考试，如SIE考试、Series 7等执照考试。FINRA有着严格的规定（我猜想其他自律监管组织也是如此），涉及提交有关会员资格、公司注册以及会员关联方注册的误导性、不完整或不准确的信息。</w:t>
      </w:r>
    </w:p>
    <w:p w14:paraId="0C1B3D65">
      <w:pPr>
        <w:spacing w:before="120" w:after="120" w:line="288" w:lineRule="auto"/>
        <w:ind w:left="0"/>
        <w:jc w:val="left"/>
      </w:pPr>
    </w:p>
    <w:p w14:paraId="5CE699E5">
      <w:pPr>
        <w:numPr>
          <w:ilvl w:val="0"/>
          <w:numId w:val="21"/>
        </w:numPr>
        <w:spacing w:before="120" w:after="120" w:line="288" w:lineRule="auto"/>
        <w:ind w:left="0"/>
        <w:jc w:val="left"/>
      </w:pPr>
      <w:r>
        <w:rPr>
          <w:rFonts w:ascii="Arial" w:hAnsi="Arial" w:eastAsia="等线" w:cs="Arial"/>
          <w:sz w:val="22"/>
        </w:rPr>
        <w:t>市政证券规则制定委员会（MSRB，Municipal Securities Rulemaking Board）</w:t>
      </w:r>
    </w:p>
    <w:p w14:paraId="7C131E56">
      <w:pPr>
        <w:spacing w:before="120" w:after="120" w:line="288" w:lineRule="auto"/>
        <w:ind w:left="0"/>
        <w:jc w:val="left"/>
      </w:pPr>
      <w:r>
        <w:rPr>
          <w:rFonts w:ascii="Arial" w:hAnsi="Arial" w:eastAsia="等线" w:cs="Arial"/>
          <w:sz w:val="22"/>
        </w:rPr>
        <w:t>MSRB 的成立是为了制定银行和证券公司在承销、销售、购买和推荐市政证券时必须遵守的规则。（有关市政债券的信息，请参阅第8章。）MSRB 受美国证券交易委员会（SEC）的监管，但不执行SEC的规则。</w:t>
      </w:r>
    </w:p>
    <w:p w14:paraId="25BB3EB2">
      <w:pPr>
        <w:spacing w:before="120" w:after="120" w:line="288" w:lineRule="auto"/>
        <w:ind w:left="0"/>
        <w:jc w:val="left"/>
      </w:pPr>
    </w:p>
    <w:p w14:paraId="017621C6">
      <w:pPr>
        <w:spacing w:before="120" w:after="120" w:line="288" w:lineRule="auto"/>
        <w:ind w:left="0"/>
        <w:jc w:val="left"/>
      </w:pPr>
      <w:r>
        <w:rPr>
          <w:rFonts w:ascii="Arial" w:hAnsi="Arial" w:eastAsia="等线" w:cs="Arial"/>
          <w:sz w:val="22"/>
        </w:rPr>
        <w:t>MSRB 为销售市政债券的公司（及代表）制定规则，但不负责执行这些规则；它将执行权交给了 FINRA。</w:t>
      </w:r>
    </w:p>
    <w:p w14:paraId="2E8FC719">
      <w:pPr>
        <w:spacing w:before="120" w:after="120" w:line="288" w:lineRule="auto"/>
        <w:ind w:left="0"/>
        <w:jc w:val="left"/>
      </w:pPr>
    </w:p>
    <w:p w14:paraId="6AC2E341">
      <w:pPr>
        <w:numPr>
          <w:ilvl w:val="0"/>
          <w:numId w:val="22"/>
        </w:numPr>
        <w:spacing w:before="120" w:after="120" w:line="288" w:lineRule="auto"/>
        <w:ind w:left="0"/>
        <w:jc w:val="left"/>
      </w:pPr>
      <w:r>
        <w:rPr>
          <w:rFonts w:ascii="Arial" w:hAnsi="Arial" w:eastAsia="等线" w:cs="Arial"/>
          <w:sz w:val="22"/>
        </w:rPr>
        <w:t xml:space="preserve">纽约证券交易所（NYSE，New York Stock </w:t>
      </w:r>
      <w:r>
        <w:rPr>
          <w:rFonts w:ascii="Arial" w:hAnsi="Arial" w:eastAsia="等线" w:cs="Arial"/>
          <w:color w:val="245BDB"/>
          <w:sz w:val="22"/>
        </w:rPr>
        <w:t>Exchange</w:t>
      </w:r>
      <w:r>
        <w:rPr>
          <w:rFonts w:ascii="Arial" w:hAnsi="Arial" w:eastAsia="等线" w:cs="Arial"/>
          <w:sz w:val="22"/>
        </w:rPr>
        <w:t>）</w:t>
      </w:r>
    </w:p>
    <w:p w14:paraId="3F420975">
      <w:pPr>
        <w:spacing w:before="120" w:after="120" w:line="288" w:lineRule="auto"/>
        <w:ind w:left="0"/>
        <w:jc w:val="left"/>
      </w:pPr>
      <w:r>
        <w:rPr>
          <w:rFonts w:ascii="Arial" w:hAnsi="Arial" w:eastAsia="等线" w:cs="Arial"/>
          <w:sz w:val="22"/>
        </w:rPr>
        <w:t>纽约证券交易所是美国历史最悠久、规模最大的证券交易所。它负责证券上市、制定交易所政策，并监督交易所及会员公司。纽约证券交易所有权对会员公司采取纪律处分。</w:t>
      </w:r>
    </w:p>
    <w:p w14:paraId="4E336623">
      <w:pPr>
        <w:spacing w:before="120" w:after="120" w:line="288" w:lineRule="auto"/>
        <w:ind w:left="0"/>
        <w:jc w:val="left"/>
      </w:pPr>
    </w:p>
    <w:p w14:paraId="5CC6E393">
      <w:pPr>
        <w:numPr>
          <w:ilvl w:val="0"/>
          <w:numId w:val="23"/>
        </w:numPr>
        <w:spacing w:before="120" w:after="120" w:line="288" w:lineRule="auto"/>
        <w:ind w:left="0"/>
        <w:jc w:val="left"/>
      </w:pPr>
      <w:r>
        <w:rPr>
          <w:rFonts w:ascii="Arial" w:hAnsi="Arial" w:eastAsia="等线" w:cs="Arial"/>
          <w:sz w:val="22"/>
        </w:rPr>
        <w:t>芝加哥期权交易所（CBOE，Chicago Board Options Exchange）</w:t>
      </w:r>
    </w:p>
    <w:p w14:paraId="530C77DE">
      <w:pPr>
        <w:spacing w:before="120" w:after="120" w:line="288" w:lineRule="auto"/>
        <w:ind w:left="0"/>
        <w:jc w:val="left"/>
      </w:pPr>
      <w:r>
        <w:rPr>
          <w:rFonts w:ascii="Arial" w:hAnsi="Arial" w:eastAsia="等线" w:cs="Arial"/>
          <w:sz w:val="22"/>
        </w:rPr>
        <w:t>CBOE 是一家制定并执行期权交易规则的交易所。</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8F95E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B54897D">
            <w:pPr>
              <w:spacing w:before="120" w:after="120" w:line="288" w:lineRule="auto"/>
              <w:ind w:left="0"/>
              <w:jc w:val="left"/>
            </w:pPr>
            <w:r>
              <w:rPr>
                <w:rFonts w:ascii="Arial" w:hAnsi="Arial" w:eastAsia="等线" w:cs="Arial"/>
                <w:sz w:val="22"/>
              </w:rPr>
              <w:t>尽管 SRO 可能是独立的，但它们共同创建和执行规则。美国金融业监管局和纽约证券交易所可以对会员进行罚款、停职、谴责（训斥）和开除；然而，美国金融业监管局和纽约证券交易所不能监禁违反规章制度的会员。</w:t>
            </w:r>
          </w:p>
        </w:tc>
      </w:tr>
    </w:tbl>
    <w:p w14:paraId="2F8DEDF4">
      <w:pPr>
        <w:spacing w:before="120" w:after="120" w:line="288" w:lineRule="auto"/>
        <w:ind w:left="0"/>
        <w:jc w:val="left"/>
      </w:pPr>
      <w:r>
        <w:rPr>
          <w:rFonts w:ascii="Arial" w:hAnsi="Arial" w:eastAsia="等线" w:cs="Arial"/>
          <w:sz w:val="22"/>
        </w:rPr>
        <w:t>仔细查看涉及“保证”（guarantee）或“批准”（approve）一词的 SIE 问题。FINRA、SEC、NYSE 等机构并不批准或保证证券。任何声称它们会这么做的说法都是虚假的。此外，一家公司在自律组织（SRO）注册（或其注册未被自律组织撤销），并不意味着该自律组织认可这家公司、其财务状况、业务、行为等。因此，会员公司及其关联方不得声称自己已获得 SEC 或任何自律组织的批准。</w:t>
      </w:r>
    </w:p>
    <w:p w14:paraId="3850D9B9">
      <w:pPr>
        <w:spacing w:before="120" w:after="120" w:line="288" w:lineRule="auto"/>
        <w:ind w:left="0"/>
        <w:jc w:val="left"/>
      </w:pPr>
    </w:p>
    <w:p w14:paraId="28DFA1E0">
      <w:pPr>
        <w:spacing w:before="300" w:after="120" w:line="288" w:lineRule="auto"/>
        <w:ind w:left="0"/>
        <w:jc w:val="left"/>
        <w:outlineLvl w:val="2"/>
      </w:pPr>
      <w:bookmarkStart w:id="5" w:name="heading_5"/>
      <w:r>
        <w:rPr>
          <w:rFonts w:ascii="Arial" w:hAnsi="Arial" w:eastAsia="等线" w:cs="Arial"/>
          <w:color w:val="3370FF"/>
          <w:sz w:val="30"/>
        </w:rPr>
        <w:t xml:space="preserve">2.1.3 </w:t>
      </w:r>
      <w:r>
        <w:rPr>
          <w:rFonts w:ascii="Arial" w:hAnsi="Arial" w:eastAsia="等线" w:cs="Arial"/>
          <w:b/>
          <w:sz w:val="30"/>
        </w:rPr>
        <w:t>州监管机构（State regulators）</w:t>
      </w:r>
      <w:bookmarkEnd w:id="5"/>
    </w:p>
    <w:p w14:paraId="51A5E3EA">
      <w:pPr>
        <w:spacing w:before="120" w:after="120" w:line="288" w:lineRule="auto"/>
        <w:ind w:left="0"/>
        <w:jc w:val="left"/>
      </w:pPr>
      <w:r>
        <w:rPr>
          <w:rFonts w:ascii="Arial" w:hAnsi="Arial" w:eastAsia="等线" w:cs="Arial"/>
          <w:sz w:val="22"/>
        </w:rPr>
        <w:t>北美证券管理员协会（NASAA，The North American Securities Administrators Association）是一个由67名监管机构（regulators）组成的自愿协会（voluntary association），致力于（devoted to）保护投资者。</w:t>
      </w:r>
    </w:p>
    <w:p w14:paraId="23C0925F">
      <w:pPr>
        <w:spacing w:before="120" w:after="120" w:line="288" w:lineRule="auto"/>
        <w:ind w:left="0"/>
        <w:jc w:val="left"/>
      </w:pPr>
    </w:p>
    <w:p w14:paraId="03C5BE81">
      <w:pPr>
        <w:spacing w:before="120" w:after="120" w:line="288" w:lineRule="auto"/>
        <w:ind w:left="0"/>
        <w:jc w:val="left"/>
      </w:pPr>
      <w:r>
        <w:rPr>
          <w:rFonts w:ascii="Arial" w:hAnsi="Arial" w:eastAsia="等线" w:cs="Arial"/>
          <w:sz w:val="22"/>
        </w:rPr>
        <w:t>NASAA 甚至早于 SEC 的成立。其主要职责包括：</w:t>
      </w:r>
    </w:p>
    <w:p w14:paraId="47267DBC">
      <w:pPr>
        <w:numPr>
          <w:ilvl w:val="0"/>
          <w:numId w:val="24"/>
        </w:numPr>
        <w:spacing w:before="120" w:after="120" w:line="288" w:lineRule="auto"/>
        <w:ind w:left="0"/>
        <w:jc w:val="left"/>
      </w:pPr>
      <w:r>
        <w:rPr>
          <w:rFonts w:ascii="Arial" w:hAnsi="Arial" w:eastAsia="等线" w:cs="Arial"/>
          <w:sz w:val="22"/>
        </w:rPr>
        <w:t>为股票经纪人、小型投资顾问公司（管理资产少于1亿美元的公司）以及在该州开展业务的证券公司颁发执照。</w:t>
      </w:r>
    </w:p>
    <w:p w14:paraId="6B168360">
      <w:pPr>
        <w:numPr>
          <w:ilvl w:val="0"/>
          <w:numId w:val="25"/>
        </w:numPr>
        <w:spacing w:before="120" w:after="120" w:line="288" w:lineRule="auto"/>
        <w:ind w:left="0"/>
        <w:jc w:val="left"/>
      </w:pPr>
      <w:r>
        <w:rPr>
          <w:rFonts w:ascii="Arial" w:hAnsi="Arial" w:eastAsia="等线" w:cs="Arial"/>
          <w:sz w:val="22"/>
        </w:rPr>
        <w:t>在州层面注册证券。</w:t>
      </w:r>
    </w:p>
    <w:p w14:paraId="3225C0C1">
      <w:pPr>
        <w:numPr>
          <w:ilvl w:val="0"/>
          <w:numId w:val="26"/>
        </w:numPr>
        <w:spacing w:before="120" w:after="120" w:line="288" w:lineRule="auto"/>
        <w:ind w:left="0"/>
        <w:jc w:val="left"/>
      </w:pPr>
      <w:r>
        <w:rPr>
          <w:rFonts w:ascii="Arial" w:hAnsi="Arial" w:eastAsia="等线" w:cs="Arial"/>
          <w:sz w:val="22"/>
        </w:rPr>
        <w:t>调查客户投诉和可能的投资欺诈案件。</w:t>
      </w:r>
    </w:p>
    <w:p w14:paraId="331EF219">
      <w:pPr>
        <w:numPr>
          <w:ilvl w:val="0"/>
          <w:numId w:val="27"/>
        </w:numPr>
        <w:spacing w:before="120" w:after="120" w:line="288" w:lineRule="auto"/>
        <w:ind w:left="0"/>
        <w:jc w:val="left"/>
      </w:pPr>
      <w:r>
        <w:rPr>
          <w:rFonts w:ascii="Arial" w:hAnsi="Arial" w:eastAsia="等线" w:cs="Arial"/>
          <w:sz w:val="22"/>
        </w:rPr>
        <w:t>执行州证券法（Enforcing state securities laws）。因此，NASAA 可以处以罚款、进行处罚、向投资者提供赔偿、协助起诉与投资相关的罪犯，并在问题出现时实施新的行为法来纠正问题。</w:t>
      </w:r>
    </w:p>
    <w:p w14:paraId="4E58B768">
      <w:pPr>
        <w:numPr>
          <w:ilvl w:val="0"/>
          <w:numId w:val="28"/>
        </w:numPr>
        <w:spacing w:before="120" w:after="120" w:line="288" w:lineRule="auto"/>
        <w:ind w:left="0"/>
        <w:jc w:val="left"/>
      </w:pPr>
      <w:r>
        <w:rPr>
          <w:rFonts w:ascii="Arial" w:hAnsi="Arial" w:eastAsia="等线" w:cs="Arial"/>
          <w:sz w:val="22"/>
        </w:rPr>
        <w:t>审查投资顾问公司和经纪交易商，以确保其遵守证券法，并确保它们保存准确的客户记录。</w:t>
      </w:r>
    </w:p>
    <w:p w14:paraId="0B589FE3">
      <w:pPr>
        <w:numPr>
          <w:ilvl w:val="0"/>
          <w:numId w:val="29"/>
        </w:numPr>
        <w:spacing w:before="120" w:after="120" w:line="288" w:lineRule="auto"/>
        <w:ind w:left="0"/>
        <w:jc w:val="left"/>
      </w:pPr>
      <w:r>
        <w:rPr>
          <w:rFonts w:ascii="Arial" w:hAnsi="Arial" w:eastAsia="等线" w:cs="Arial"/>
          <w:sz w:val="22"/>
        </w:rPr>
        <w:t>审查不受州法律豁免的产品。</w:t>
      </w:r>
    </w:p>
    <w:p w14:paraId="47A09A3C">
      <w:pPr>
        <w:numPr>
          <w:ilvl w:val="0"/>
          <w:numId w:val="30"/>
        </w:numPr>
        <w:spacing w:before="120" w:after="120" w:line="288" w:lineRule="auto"/>
        <w:ind w:left="0"/>
        <w:jc w:val="left"/>
      </w:pPr>
      <w:r>
        <w:rPr>
          <w:rFonts w:ascii="Arial" w:hAnsi="Arial" w:eastAsia="等线" w:cs="Arial"/>
          <w:sz w:val="22"/>
        </w:rPr>
        <w:t>向投资者提供有关其权利的教育，并提供信息，以便他们能做出更明智的财务决策。</w:t>
      </w:r>
    </w:p>
    <w:p w14:paraId="1AC361E9">
      <w:pPr>
        <w:numPr>
          <w:ilvl w:val="0"/>
          <w:numId w:val="31"/>
        </w:numPr>
        <w:spacing w:before="120" w:after="120" w:line="288" w:lineRule="auto"/>
        <w:ind w:left="0"/>
        <w:jc w:val="left"/>
      </w:pPr>
      <w:r>
        <w:rPr>
          <w:rFonts w:ascii="Arial" w:hAnsi="Arial" w:eastAsia="等线" w:cs="Arial"/>
          <w:sz w:val="22"/>
        </w:rPr>
        <w:t>倡导通过州证券法。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0C339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2B7625F">
            <w:pPr>
              <w:spacing w:before="120" w:after="120" w:line="288" w:lineRule="auto"/>
              <w:ind w:left="0"/>
              <w:jc w:val="left"/>
            </w:pPr>
            <w:r>
              <w:rPr>
                <w:rFonts w:ascii="Arial" w:hAnsi="Arial" w:eastAsia="等线" w:cs="Arial"/>
                <w:sz w:val="22"/>
              </w:rPr>
              <w:t>说到SIE考试，不要拼命去记住关于NASAA的每一个细微细节；在参加63系列、65系列或66系列考试时，你才需要了解更多。大致了解他们的职能就行，这样你就能在题目中认出他们了。</w:t>
            </w:r>
          </w:p>
        </w:tc>
      </w:tr>
    </w:tbl>
    <w:p w14:paraId="62EF854B">
      <w:pPr>
        <w:spacing w:before="300" w:after="120" w:line="288" w:lineRule="auto"/>
        <w:ind w:left="0"/>
        <w:jc w:val="left"/>
        <w:outlineLvl w:val="2"/>
      </w:pPr>
      <w:bookmarkStart w:id="6" w:name="heading_6"/>
      <w:r>
        <w:rPr>
          <w:rFonts w:ascii="Arial" w:hAnsi="Arial" w:eastAsia="等线" w:cs="Arial"/>
          <w:color w:val="3370FF"/>
          <w:sz w:val="30"/>
        </w:rPr>
        <w:t xml:space="preserve">2.1.4 </w:t>
      </w:r>
      <w:r>
        <w:rPr>
          <w:rFonts w:ascii="Arial" w:hAnsi="Arial" w:eastAsia="等线" w:cs="Arial"/>
          <w:b/>
          <w:sz w:val="30"/>
        </w:rPr>
        <w:t>财政部/国税局（Department of the Treasury/IRS）</w:t>
      </w:r>
      <w:bookmarkEnd w:id="6"/>
    </w:p>
    <w:p w14:paraId="316F818A">
      <w:pPr>
        <w:spacing w:before="120" w:after="120" w:line="288" w:lineRule="auto"/>
        <w:ind w:left="0"/>
        <w:jc w:val="left"/>
      </w:pPr>
      <w:r>
        <w:rPr>
          <w:rFonts w:ascii="Arial" w:hAnsi="Arial" w:eastAsia="等线" w:cs="Arial"/>
          <w:sz w:val="22"/>
        </w:rPr>
        <w:t>美国财政部（U.S. Department of the Treasury (USDT) ）的成立旨在管理美国政府的收入。</w:t>
      </w:r>
    </w:p>
    <w:p w14:paraId="4B67620A">
      <w:pPr>
        <w:spacing w:before="120" w:after="120" w:line="288" w:lineRule="auto"/>
        <w:ind w:left="0"/>
        <w:jc w:val="left"/>
      </w:pPr>
    </w:p>
    <w:p w14:paraId="4AB3F72B">
      <w:pPr>
        <w:spacing w:before="120" w:after="120" w:line="288" w:lineRule="auto"/>
        <w:ind w:left="0"/>
        <w:jc w:val="left"/>
      </w:pPr>
      <w:r>
        <w:rPr>
          <w:rFonts w:ascii="Arial" w:hAnsi="Arial" w:eastAsia="等线" w:cs="Arial"/>
          <w:sz w:val="22"/>
        </w:rPr>
        <w:t>因此，美国财政部负责所有纸币的印刷和所有硬币的铸造。此外，它还通过美国国税局（IRS）负责征税；负责管理美国政府债务证券（长期国库券、中期国库券、短期国库券等）；为银行颁发执照；并协助向美国政府各部门提供有关财政政策的建议。</w:t>
      </w:r>
    </w:p>
    <w:p w14:paraId="229F330F">
      <w:pPr>
        <w:spacing w:before="120" w:after="120" w:line="288" w:lineRule="auto"/>
        <w:ind w:left="0"/>
        <w:jc w:val="left"/>
      </w:pPr>
    </w:p>
    <w:p w14:paraId="711AE44C">
      <w:pPr>
        <w:spacing w:before="300" w:after="120" w:line="288" w:lineRule="auto"/>
        <w:ind w:left="0"/>
        <w:jc w:val="left"/>
        <w:outlineLvl w:val="2"/>
      </w:pPr>
      <w:bookmarkStart w:id="7" w:name="heading_7"/>
      <w:r>
        <w:rPr>
          <w:rFonts w:ascii="Arial" w:hAnsi="Arial" w:eastAsia="等线" w:cs="Arial"/>
          <w:color w:val="3370FF"/>
          <w:sz w:val="30"/>
        </w:rPr>
        <w:t xml:space="preserve">2.1.5 </w:t>
      </w:r>
      <w:r>
        <w:rPr>
          <w:rFonts w:ascii="Arial" w:hAnsi="Arial" w:eastAsia="等线" w:cs="Arial"/>
          <w:b/>
          <w:sz w:val="30"/>
        </w:rPr>
        <w:t>监管组织运作框架</w:t>
      </w:r>
      <w:bookmarkEnd w:id="7"/>
    </w:p>
    <w:p w14:paraId="7718A398">
      <w:pPr>
        <w:spacing w:before="120" w:after="120" w:line="288" w:lineRule="auto"/>
        <w:ind w:left="0"/>
        <w:jc w:val="left"/>
      </w:pPr>
      <w:r>
        <w:rPr>
          <w:rFonts w:ascii="Arial" w:hAnsi="Arial" w:eastAsia="等线" w:cs="Arial"/>
          <w:sz w:val="22"/>
        </w:rPr>
        <w:t>政府监管（最高层） -&gt; SRO（中间层） -&gt; 会员公司（被监管层）。</w:t>
      </w:r>
    </w:p>
    <w:p w14:paraId="47128F1B">
      <w:pPr>
        <w:numPr>
          <w:ilvl w:val="0"/>
          <w:numId w:val="32"/>
        </w:numPr>
        <w:spacing w:before="120" w:after="120" w:line="288" w:lineRule="auto"/>
        <w:ind w:left="0"/>
        <w:jc w:val="left"/>
      </w:pPr>
      <w:r>
        <w:rPr>
          <w:rFonts w:ascii="Arial" w:hAnsi="Arial" w:eastAsia="等线" w:cs="Arial"/>
          <w:sz w:val="22"/>
        </w:rPr>
        <w:t>美国证券交易委员会 (SEC) 作为联邦机构，对市场拥有最高监管权。</w:t>
      </w:r>
    </w:p>
    <w:p w14:paraId="56F99C5A">
      <w:pPr>
        <w:numPr>
          <w:ilvl w:val="0"/>
          <w:numId w:val="33"/>
        </w:numPr>
        <w:spacing w:before="120" w:after="120" w:line="288" w:lineRule="auto"/>
        <w:ind w:left="0"/>
        <w:jc w:val="left"/>
      </w:pPr>
      <w:r>
        <w:rPr>
          <w:rFonts w:ascii="Arial" w:hAnsi="Arial" w:eastAsia="等线" w:cs="Arial"/>
          <w:sz w:val="22"/>
        </w:rPr>
        <w:t>SEC授权FINRA等SROs代表其监管券商和注册代表。</w:t>
      </w:r>
    </w:p>
    <w:p w14:paraId="2451E8BE">
      <w:pPr>
        <w:numPr>
          <w:ilvl w:val="0"/>
          <w:numId w:val="34"/>
        </w:numPr>
        <w:spacing w:before="120" w:after="120" w:line="288" w:lineRule="auto"/>
        <w:ind w:left="0"/>
        <w:jc w:val="left"/>
      </w:pPr>
      <w:r>
        <w:rPr>
          <w:rFonts w:ascii="Arial" w:hAnsi="Arial" w:eastAsia="等线" w:cs="Arial"/>
          <w:sz w:val="22"/>
        </w:rPr>
        <w:t>FINRA 等 SROs 制定详细的规则来管理其会员（券商）。</w:t>
      </w:r>
    </w:p>
    <w:p w14:paraId="4F64E2EA">
      <w:pPr>
        <w:numPr>
          <w:ilvl w:val="0"/>
          <w:numId w:val="35"/>
        </w:numPr>
        <w:spacing w:before="120" w:after="120" w:line="288" w:lineRule="auto"/>
        <w:ind w:left="0"/>
        <w:jc w:val="left"/>
      </w:pPr>
      <w:r>
        <w:rPr>
          <w:rFonts w:ascii="Arial" w:hAnsi="Arial" w:eastAsia="等线" w:cs="Arial"/>
          <w:sz w:val="22"/>
        </w:rPr>
        <w:t>券商必须加入SRO（如FINRA）并遵守其规则，才能开展业务。</w:t>
      </w:r>
    </w:p>
    <w:p w14:paraId="7204E8C6">
      <w:pPr>
        <w:numPr>
          <w:ilvl w:val="0"/>
          <w:numId w:val="36"/>
        </w:numPr>
        <w:spacing w:before="120" w:after="120" w:line="288" w:lineRule="auto"/>
        <w:ind w:left="0"/>
        <w:jc w:val="left"/>
      </w:pPr>
      <w:r>
        <w:rPr>
          <w:rFonts w:ascii="Arial" w:hAnsi="Arial" w:eastAsia="等线" w:cs="Arial"/>
          <w:sz w:val="22"/>
        </w:rPr>
        <w:t>SROs 对其会员进行监督和处罚，同时自己也接受SEC的监督。</w:t>
      </w:r>
    </w:p>
    <w:p w14:paraId="6D4B1294">
      <w:pPr>
        <w:spacing w:before="320" w:after="120" w:line="288" w:lineRule="auto"/>
        <w:ind w:left="0"/>
        <w:jc w:val="left"/>
        <w:outlineLvl w:val="1"/>
      </w:pPr>
      <w:bookmarkStart w:id="8" w:name="heading_8"/>
      <w:r>
        <w:rPr>
          <w:rFonts w:ascii="Arial" w:hAnsi="Arial" w:eastAsia="等线" w:cs="Arial"/>
          <w:color w:val="3370FF"/>
          <w:sz w:val="32"/>
        </w:rPr>
        <w:t xml:space="preserve">2.2 </w:t>
      </w:r>
      <w:r>
        <w:rPr>
          <w:rFonts w:ascii="Arial" w:hAnsi="Arial" w:eastAsia="等线" w:cs="Arial"/>
          <w:b/>
          <w:sz w:val="32"/>
        </w:rPr>
        <w:t>FINRA 注册与报告要求</w:t>
      </w:r>
      <w:bookmarkEnd w:id="8"/>
    </w:p>
    <w:p w14:paraId="17DF251C">
      <w:pPr>
        <w:spacing w:before="120" w:after="120" w:line="288" w:lineRule="auto"/>
        <w:ind w:left="0"/>
        <w:jc w:val="left"/>
      </w:pPr>
      <w:r>
        <w:rPr>
          <w:rFonts w:ascii="Arial" w:hAnsi="Arial" w:eastAsia="等线" w:cs="Arial"/>
          <w:sz w:val="22"/>
        </w:rPr>
        <w:t>除非个人豁免于注册要求，否则所有经纪公司的员工都必须遵守注册和报告要求（Registration and Reporting Requirements）。</w:t>
      </w:r>
    </w:p>
    <w:p w14:paraId="015B6D37">
      <w:pPr>
        <w:spacing w:before="120" w:after="120" w:line="288" w:lineRule="auto"/>
        <w:ind w:left="0"/>
        <w:jc w:val="left"/>
      </w:pPr>
    </w:p>
    <w:p w14:paraId="67406EFA">
      <w:pPr>
        <w:spacing w:before="120" w:after="120" w:line="288" w:lineRule="auto"/>
        <w:ind w:left="0"/>
        <w:jc w:val="left"/>
      </w:pPr>
      <w:r>
        <w:rPr>
          <w:rFonts w:ascii="Arial" w:hAnsi="Arial" w:eastAsia="等线" w:cs="Arial"/>
          <w:sz w:val="22"/>
        </w:rPr>
        <w:t>金融专业人士必须填写 U4 表格、进行指纹采集、通过必要的考试、参加继续教育等等。</w:t>
      </w:r>
    </w:p>
    <w:p w14:paraId="4514E3FB">
      <w:pPr>
        <w:spacing w:before="120" w:after="120" w:line="288" w:lineRule="auto"/>
        <w:ind w:left="0"/>
        <w:jc w:val="left"/>
      </w:pPr>
    </w:p>
    <w:p w14:paraId="52F7FBA1">
      <w:pPr>
        <w:spacing w:before="300" w:after="120" w:line="288" w:lineRule="auto"/>
        <w:ind w:left="0"/>
        <w:jc w:val="left"/>
        <w:outlineLvl w:val="2"/>
      </w:pPr>
      <w:bookmarkStart w:id="9" w:name="heading_9"/>
      <w:r>
        <w:rPr>
          <w:rFonts w:ascii="Arial" w:hAnsi="Arial" w:eastAsia="等线" w:cs="Arial"/>
          <w:color w:val="3370FF"/>
          <w:sz w:val="30"/>
        </w:rPr>
        <w:t xml:space="preserve">2.2.1 </w:t>
      </w:r>
      <w:r>
        <w:rPr>
          <w:rFonts w:ascii="Arial" w:hAnsi="Arial" w:eastAsia="等线" w:cs="Arial"/>
          <w:b/>
          <w:sz w:val="30"/>
        </w:rPr>
        <w:t>填写 Form U4</w:t>
      </w:r>
      <w:bookmarkEnd w:id="9"/>
    </w:p>
    <w:p w14:paraId="7D493371">
      <w:pPr>
        <w:spacing w:before="120" w:after="120" w:line="288" w:lineRule="auto"/>
        <w:ind w:left="0"/>
        <w:jc w:val="left"/>
      </w:pPr>
      <w:r>
        <w:rPr>
          <w:rFonts w:ascii="Arial" w:hAnsi="Arial" w:eastAsia="等线" w:cs="Arial"/>
          <w:sz w:val="22"/>
        </w:rPr>
        <w:t>想要在 FINRA 注册成为金融专业人士必须提交 U4 表格。该申请包括十年就业历史和五年居住历史等内容；如果你已在另一家公司注册，还需说明你的注册类型（证券交易员、财务与运营负责人、一般证券代表等等）；你希望注册的州；诸如此类。此外，申请人还必须提交指纹（Fingerprint）。</w:t>
      </w:r>
    </w:p>
    <w:p w14:paraId="27783596">
      <w:pPr>
        <w:spacing w:before="120" w:after="120" w:line="288" w:lineRule="auto"/>
        <w:ind w:left="0"/>
        <w:jc w:val="left"/>
      </w:pPr>
    </w:p>
    <w:p w14:paraId="625D4C68">
      <w:pPr>
        <w:spacing w:before="120" w:after="120" w:line="288" w:lineRule="auto"/>
        <w:ind w:left="0"/>
        <w:jc w:val="left"/>
      </w:pPr>
      <w:r>
        <w:rPr>
          <w:rFonts w:ascii="Arial" w:hAnsi="Arial" w:eastAsia="等线" w:cs="Arial"/>
          <w:sz w:val="22"/>
        </w:rPr>
        <w:t>U4 表格还包含一项仲裁披露，其中规定申请人与会员公司之间的争议将通过仲裁解决（本质上，你不能将该公司告上法庭）。</w:t>
      </w:r>
    </w:p>
    <w:p w14:paraId="40B89C27">
      <w:pPr>
        <w:spacing w:before="120" w:after="120" w:line="288" w:lineRule="auto"/>
        <w:ind w:left="0"/>
        <w:jc w:val="left"/>
      </w:pPr>
    </w:p>
    <w:p w14:paraId="65A303F7">
      <w:pPr>
        <w:spacing w:before="120" w:after="120" w:line="288" w:lineRule="auto"/>
        <w:ind w:left="0"/>
        <w:jc w:val="left"/>
      </w:pPr>
      <w:r>
        <w:rPr>
          <w:rFonts w:ascii="Arial" w:hAnsi="Arial" w:eastAsia="等线" w:cs="Arial"/>
          <w:sz w:val="22"/>
        </w:rPr>
        <w:t>虽然这里列出的很多信息都可能导致一个人失去资格，但大多数信息都遵循一个共同的主题——这是有道理的；换句话说，你不必把所有信息都记住。不过，我建议你留意十年 disqualification 规则，即如果一个人被判定犯有重罪或某些轻罪（而非被指控或控告）。此外，如果注册人提供误导性信息或遗漏信息，其注册申请将被拒绝。</w:t>
      </w:r>
    </w:p>
    <w:p w14:paraId="6128755C">
      <w:pPr>
        <w:spacing w:before="120" w:after="120" w:line="288" w:lineRule="auto"/>
        <w:ind w:left="0"/>
        <w:jc w:val="left"/>
      </w:pPr>
    </w:p>
    <w:p w14:paraId="3EF3D1AB">
      <w:pPr>
        <w:spacing w:before="300" w:after="120" w:line="288" w:lineRule="auto"/>
        <w:ind w:left="0"/>
        <w:jc w:val="left"/>
        <w:outlineLvl w:val="2"/>
      </w:pPr>
      <w:bookmarkStart w:id="10" w:name="heading_10"/>
      <w:r>
        <w:rPr>
          <w:rFonts w:ascii="Arial" w:hAnsi="Arial" w:eastAsia="等线" w:cs="Arial"/>
          <w:color w:val="3370FF"/>
          <w:sz w:val="30"/>
        </w:rPr>
        <w:t xml:space="preserve">2.2.2 </w:t>
      </w:r>
      <w:r>
        <w:rPr>
          <w:rFonts w:ascii="Arial" w:hAnsi="Arial" w:eastAsia="等线" w:cs="Arial"/>
          <w:b/>
          <w:sz w:val="30"/>
        </w:rPr>
        <w:t>取消资格的理由（Grounds for Disqualification）</w:t>
      </w:r>
      <w:bookmarkEnd w:id="10"/>
    </w:p>
    <w:p w14:paraId="26C596ED">
      <w:pPr>
        <w:spacing w:before="120" w:after="120" w:line="288" w:lineRule="auto"/>
        <w:ind w:left="0"/>
        <w:jc w:val="left"/>
      </w:pPr>
      <w:r>
        <w:rPr>
          <w:rFonts w:ascii="Arial" w:hAnsi="Arial" w:eastAsia="等线" w:cs="Arial"/>
          <w:sz w:val="22"/>
        </w:rPr>
        <w:t>以下任一情况将导致</w:t>
      </w:r>
      <w:r>
        <w:rPr>
          <w:rFonts w:ascii="Arial" w:hAnsi="Arial" w:eastAsia="等线" w:cs="Arial"/>
          <w:b/>
          <w:sz w:val="22"/>
        </w:rPr>
        <w:t>法定取消资格（statutory disqualification），</w:t>
      </w:r>
      <w:r>
        <w:rPr>
          <w:rFonts w:ascii="Arial" w:hAnsi="Arial" w:eastAsia="等线" w:cs="Arial"/>
          <w:sz w:val="22"/>
        </w:rPr>
        <w:t>个人无法注册为证券从业人员、或现有注册被暂停/撤销</w:t>
      </w:r>
      <w:r>
        <w:rPr>
          <w:rFonts w:ascii="Arial" w:hAnsi="Arial" w:eastAsia="等线" w:cs="Arial"/>
          <w:b/>
          <w:sz w:val="22"/>
        </w:rPr>
        <w:t>。</w:t>
      </w:r>
    </w:p>
    <w:p w14:paraId="630B3E1E">
      <w:pPr>
        <w:numPr>
          <w:ilvl w:val="0"/>
          <w:numId w:val="37"/>
        </w:numPr>
        <w:spacing w:before="120" w:after="120" w:line="288" w:lineRule="auto"/>
        <w:ind w:left="0"/>
        <w:jc w:val="left"/>
      </w:pPr>
      <w:r>
        <w:rPr>
          <w:rFonts w:ascii="Arial" w:hAnsi="Arial" w:eastAsia="等线" w:cs="Arial"/>
          <w:sz w:val="22"/>
        </w:rPr>
        <w:t>在过去 10 年内有重罪刑事定罪（felony criminal conviction）或与证券有关的轻罪（securities related misdemeanor conviction）；</w:t>
      </w:r>
    </w:p>
    <w:p w14:paraId="756477EC">
      <w:pPr>
        <w:numPr>
          <w:ilvl w:val="0"/>
          <w:numId w:val="38"/>
        </w:numPr>
        <w:spacing w:before="120" w:after="120" w:line="288" w:lineRule="auto"/>
        <w:ind w:left="0"/>
        <w:jc w:val="left"/>
      </w:pPr>
      <w:r>
        <w:rPr>
          <w:rFonts w:ascii="Arial" w:hAnsi="Arial" w:eastAsia="等线" w:cs="Arial"/>
          <w:sz w:val="22"/>
        </w:rPr>
        <w:t>被法院下达了临时或永久禁令（无论禁令的时效如何），涉及一长串非法投资活动。</w:t>
      </w:r>
    </w:p>
    <w:p w14:paraId="57AA78C2">
      <w:pPr>
        <w:numPr>
          <w:ilvl w:val="0"/>
          <w:numId w:val="39"/>
        </w:numPr>
        <w:spacing w:before="120" w:after="120" w:line="288" w:lineRule="auto"/>
        <w:ind w:left="0"/>
        <w:jc w:val="left"/>
      </w:pPr>
      <w:r>
        <w:rPr>
          <w:rFonts w:ascii="Arial" w:hAnsi="Arial" w:eastAsia="等线" w:cs="Arial"/>
          <w:sz w:val="22"/>
        </w:rPr>
        <w:t>已被另一自律组织（SRO）开除、禁止加入或目前处于暂停会员资格或参与权的状态。即使该人在被禁止加入的同时仍有权重新申请，这一点也同样适用。</w:t>
      </w:r>
    </w:p>
    <w:p w14:paraId="7EE9F3AF">
      <w:pPr>
        <w:numPr>
          <w:ilvl w:val="0"/>
          <w:numId w:val="40"/>
        </w:numPr>
        <w:spacing w:before="120" w:after="120" w:line="288" w:lineRule="auto"/>
        <w:ind w:left="0"/>
        <w:jc w:val="left"/>
      </w:pPr>
      <w:r>
        <w:rPr>
          <w:rFonts w:ascii="Arial" w:hAnsi="Arial" w:eastAsia="等线" w:cs="Arial"/>
          <w:sz w:val="22"/>
        </w:rPr>
        <w:t>如果已被 SEC、CFTC 或任何其他相应主管部门或监管机构禁止，或当前有来自这些机构的暂停令。与前述规则一样，即使该人在被禁止从业的同时拥有重新申请的权利，本规则仍然适用；</w:t>
      </w:r>
    </w:p>
    <w:p w14:paraId="042B6252">
      <w:pPr>
        <w:numPr>
          <w:ilvl w:val="0"/>
          <w:numId w:val="41"/>
        </w:numPr>
        <w:spacing w:before="120" w:after="120" w:line="288" w:lineRule="auto"/>
        <w:ind w:left="0"/>
        <w:jc w:val="left"/>
      </w:pPr>
      <w:r>
        <w:rPr>
          <w:rFonts w:ascii="Arial" w:hAnsi="Arial" w:eastAsia="等线" w:cs="Arial"/>
          <w:sz w:val="22"/>
        </w:rPr>
        <w:t>如果他们被 SEC、CFTC 或任何其他相应主管部门或监管机构拒绝注册或撤销注册；</w:t>
      </w:r>
    </w:p>
    <w:p w14:paraId="244EFADD">
      <w:pPr>
        <w:numPr>
          <w:ilvl w:val="0"/>
          <w:numId w:val="42"/>
        </w:numPr>
        <w:spacing w:before="120" w:after="120" w:line="288" w:lineRule="auto"/>
        <w:ind w:left="0"/>
        <w:jc w:val="left"/>
      </w:pPr>
      <w:r>
        <w:rPr>
          <w:rFonts w:ascii="Arial" w:hAnsi="Arial" w:eastAsia="等线" w:cs="Arial"/>
          <w:sz w:val="22"/>
        </w:rPr>
        <w:t>若发现某会员或个人在其向美国证券交易委员会、自律监管组织或任何其他适当的监管机构提交的申请、报告或在其程序中作出了某些虚假陈述。</w:t>
      </w:r>
    </w:p>
    <w:p w14:paraId="4D24E1B5">
      <w:pPr>
        <w:numPr>
          <w:ilvl w:val="0"/>
          <w:numId w:val="43"/>
        </w:numPr>
        <w:spacing w:before="120" w:after="120" w:line="288" w:lineRule="auto"/>
        <w:ind w:left="0"/>
        <w:jc w:val="left"/>
      </w:pPr>
      <w:r>
        <w:rPr>
          <w:rFonts w:ascii="Arial" w:hAnsi="Arial" w:eastAsia="等线" w:cs="Arial"/>
          <w:sz w:val="22"/>
        </w:rPr>
        <w:t>若有来自州证券委员会（或履行类似职能的任何机构或州官员）、储蓄协会、信用合作社、任何负责审查或监管银行的州主管部门、州保险委员会（或履行类似职能的任何办公室或机构）、相应的联邦银行机构或全国信用社管理局的任何最终命令。</w:t>
      </w:r>
    </w:p>
    <w:p w14:paraId="000C6837">
      <w:pPr>
        <w:numPr>
          <w:ilvl w:val="0"/>
          <w:numId w:val="44"/>
        </w:numPr>
        <w:spacing w:before="120" w:after="120" w:line="288" w:lineRule="auto"/>
        <w:ind w:left="453"/>
        <w:jc w:val="left"/>
      </w:pPr>
      <w:r>
        <w:rPr>
          <w:rFonts w:ascii="Arial" w:hAnsi="Arial" w:eastAsia="等线" w:cs="Arial"/>
          <w:sz w:val="22"/>
        </w:rPr>
        <w:t>法律禁止此人与受该委员会、机构、当局或官员监管的实体（如经纪交易商、投资咨询公司等）有关联，或从事银行业、保险业、证券业、储蓄协会活动或信用合作社活动。</w:t>
      </w:r>
    </w:p>
    <w:p w14:paraId="5394B2D7">
      <w:pPr>
        <w:numPr>
          <w:ilvl w:val="0"/>
          <w:numId w:val="45"/>
        </w:numPr>
        <w:spacing w:before="120" w:after="120" w:line="288" w:lineRule="auto"/>
        <w:ind w:left="453"/>
        <w:jc w:val="left"/>
      </w:pPr>
      <w:r>
        <w:rPr>
          <w:rFonts w:ascii="Arial" w:hAnsi="Arial" w:eastAsia="等线" w:cs="Arial"/>
          <w:sz w:val="22"/>
        </w:rPr>
        <w:t>构成违反任何禁止操纵（manipulative）、欺诈（fraudulent）或欺骗行为（deceptive conduct）的法规或法律的最终命令。</w:t>
      </w:r>
    </w:p>
    <w:p w14:paraId="4D8065F4">
      <w:pPr>
        <w:numPr>
          <w:ilvl w:val="0"/>
          <w:numId w:val="46"/>
        </w:numPr>
        <w:spacing w:before="120" w:after="120" w:line="288" w:lineRule="auto"/>
        <w:ind w:left="0"/>
        <w:jc w:val="left"/>
      </w:pPr>
      <w:r>
        <w:rPr>
          <w:rFonts w:ascii="Arial" w:hAnsi="Arial" w:eastAsia="等线" w:cs="Arial"/>
          <w:sz w:val="22"/>
        </w:rPr>
        <w:t>如果 SEC、CFTC 或任何自律监管组织（SRO）发现某人：</w:t>
      </w:r>
    </w:p>
    <w:p w14:paraId="3BAF805B">
      <w:pPr>
        <w:numPr>
          <w:ilvl w:val="0"/>
          <w:numId w:val="47"/>
        </w:numPr>
        <w:spacing w:before="120" w:after="120" w:line="288" w:lineRule="auto"/>
        <w:ind w:left="453"/>
        <w:jc w:val="left"/>
      </w:pPr>
      <w:r>
        <w:rPr>
          <w:rFonts w:ascii="Arial" w:hAnsi="Arial" w:eastAsia="等线" w:cs="Arial"/>
          <w:sz w:val="22"/>
        </w:rPr>
        <w:t>故意违反联邦证券法、违反商品法或违反 MSRB 规则；</w:t>
      </w:r>
    </w:p>
    <w:p w14:paraId="255284EA">
      <w:pPr>
        <w:numPr>
          <w:ilvl w:val="0"/>
          <w:numId w:val="48"/>
        </w:numPr>
        <w:spacing w:before="120" w:after="120" w:line="288" w:lineRule="auto"/>
        <w:ind w:left="453"/>
        <w:jc w:val="left"/>
      </w:pPr>
      <w:r>
        <w:rPr>
          <w:rFonts w:ascii="Arial" w:hAnsi="Arial" w:eastAsia="等线" w:cs="Arial"/>
          <w:sz w:val="22"/>
        </w:rPr>
        <w:t>故意协助、命令、引诱、教唆、建议或促成前条所述的违法行为；</w:t>
      </w:r>
    </w:p>
    <w:p w14:paraId="7ECA6AB8">
      <w:pPr>
        <w:numPr>
          <w:ilvl w:val="0"/>
          <w:numId w:val="49"/>
        </w:numPr>
        <w:spacing w:before="120" w:after="120" w:line="288" w:lineRule="auto"/>
        <w:ind w:left="453"/>
        <w:jc w:val="left"/>
      </w:pPr>
      <w:r>
        <w:rPr>
          <w:rFonts w:ascii="Arial" w:hAnsi="Arial" w:eastAsia="等线" w:cs="Arial"/>
          <w:sz w:val="22"/>
        </w:rPr>
        <w:t>未能对另一项犯有第一条规则所述违规行为的人进行监督。</w:t>
      </w:r>
    </w:p>
    <w:p w14:paraId="1F113199">
      <w:pPr>
        <w:spacing w:before="300" w:after="120" w:line="288" w:lineRule="auto"/>
        <w:ind w:left="0"/>
        <w:jc w:val="left"/>
        <w:outlineLvl w:val="2"/>
      </w:pPr>
      <w:bookmarkStart w:id="11" w:name="heading_11"/>
      <w:r>
        <w:rPr>
          <w:rFonts w:ascii="Arial" w:hAnsi="Arial" w:eastAsia="等线" w:cs="Arial"/>
          <w:color w:val="3370FF"/>
          <w:sz w:val="30"/>
        </w:rPr>
        <w:t xml:space="preserve">2.2.3 </w:t>
      </w:r>
      <w:r>
        <w:rPr>
          <w:rFonts w:ascii="Arial" w:hAnsi="Arial" w:eastAsia="等线" w:cs="Arial"/>
          <w:b/>
          <w:sz w:val="30"/>
        </w:rPr>
        <w:t>提交你的指纹（Handing over your fingerprints）</w:t>
      </w:r>
      <w:bookmarkEnd w:id="11"/>
    </w:p>
    <w:p w14:paraId="4AE01E47">
      <w:pPr>
        <w:spacing w:before="120" w:after="120" w:line="288" w:lineRule="auto"/>
        <w:ind w:left="0"/>
        <w:jc w:val="left"/>
      </w:pPr>
      <w:r>
        <w:rPr>
          <w:rFonts w:ascii="Arial" w:hAnsi="Arial" w:eastAsia="等线" w:cs="Arial"/>
          <w:sz w:val="22"/>
        </w:rPr>
        <w:t>根据 SEC 第 17f-2 条规则（你不必记住这个规则编号），经纪公司的所有员工如果参与以下任何活动，都必须进行指纹采集：</w:t>
      </w:r>
    </w:p>
    <w:p w14:paraId="5B75371B">
      <w:pPr>
        <w:numPr>
          <w:ilvl w:val="0"/>
          <w:numId w:val="50"/>
        </w:numPr>
        <w:spacing w:before="120" w:after="120" w:line="288" w:lineRule="auto"/>
        <w:ind w:left="0"/>
        <w:jc w:val="left"/>
      </w:pPr>
      <w:r>
        <w:rPr>
          <w:rFonts w:ascii="Arial" w:hAnsi="Arial" w:eastAsia="等线" w:cs="Arial"/>
          <w:sz w:val="22"/>
        </w:rPr>
        <w:t>进行销售</w:t>
      </w:r>
    </w:p>
    <w:p w14:paraId="63BF6904">
      <w:pPr>
        <w:numPr>
          <w:ilvl w:val="0"/>
          <w:numId w:val="51"/>
        </w:numPr>
        <w:spacing w:before="120" w:after="120" w:line="288" w:lineRule="auto"/>
        <w:ind w:left="0"/>
        <w:jc w:val="left"/>
      </w:pPr>
      <w:r>
        <w:rPr>
          <w:rFonts w:ascii="Arial" w:hAnsi="Arial" w:eastAsia="等线" w:cs="Arial"/>
          <w:sz w:val="22"/>
        </w:rPr>
        <w:t>处理资产（现金和/或凭证）</w:t>
      </w:r>
    </w:p>
    <w:p w14:paraId="783B4D59">
      <w:pPr>
        <w:numPr>
          <w:ilvl w:val="0"/>
          <w:numId w:val="52"/>
        </w:numPr>
        <w:spacing w:before="120" w:after="120" w:line="288" w:lineRule="auto"/>
        <w:ind w:left="0"/>
        <w:jc w:val="left"/>
      </w:pPr>
      <w:r>
        <w:rPr>
          <w:rFonts w:ascii="Arial" w:hAnsi="Arial" w:eastAsia="等线" w:cs="Arial"/>
          <w:sz w:val="22"/>
        </w:rPr>
        <w:t>获取原始账簿和记录</w:t>
      </w:r>
    </w:p>
    <w:p w14:paraId="7BC55069">
      <w:pPr>
        <w:numPr>
          <w:ilvl w:val="0"/>
          <w:numId w:val="53"/>
        </w:numPr>
        <w:spacing w:before="120" w:after="120" w:line="288" w:lineRule="auto"/>
        <w:ind w:left="0"/>
        <w:jc w:val="left"/>
      </w:pPr>
      <w:r>
        <w:rPr>
          <w:rFonts w:ascii="Arial" w:hAnsi="Arial" w:eastAsia="等线" w:cs="Arial"/>
          <w:sz w:val="22"/>
        </w:rPr>
        <w:t>监督上述任何活动</w:t>
      </w:r>
    </w:p>
    <w:p w14:paraId="0D9C89C6">
      <w:pPr>
        <w:spacing w:before="120" w:after="120" w:line="288" w:lineRule="auto"/>
        <w:ind w:left="0"/>
        <w:jc w:val="left"/>
      </w:pPr>
    </w:p>
    <w:p w14:paraId="28C41746">
      <w:pPr>
        <w:spacing w:before="120" w:after="120" w:line="288" w:lineRule="auto"/>
        <w:ind w:left="0"/>
        <w:jc w:val="left"/>
      </w:pPr>
      <w:r>
        <w:rPr>
          <w:rFonts w:ascii="Arial" w:hAnsi="Arial" w:eastAsia="等线" w:cs="Arial"/>
          <w:sz w:val="22"/>
        </w:rPr>
        <w:t>指纹和 U4 表格都必须提交。如果 FINRA 在 U4 提交后30天内未收到指纹，申请人的注册将被视为无效。</w:t>
      </w:r>
    </w:p>
    <w:p w14:paraId="0CD07A4C">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1F2D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6CA19454">
            <w:pPr>
              <w:spacing w:before="120" w:after="120" w:line="288" w:lineRule="auto"/>
              <w:ind w:left="0"/>
              <w:jc w:val="left"/>
            </w:pPr>
            <w:r>
              <w:rPr>
                <w:rFonts w:ascii="Arial" w:hAnsi="Arial" w:eastAsia="等线" w:cs="Arial"/>
                <w:sz w:val="22"/>
              </w:rPr>
              <w:t>你提供的信息以及你的投资从业经历并非处于封闭状态。中央注册存管处（CRD）的BrokerCheck（https://brokercheck.finra.org/）让投资者能够获取重要信息，这些信息可能有助于他们挑选合适的公司以及像你这样合适的专业人士。不必担心，它不会披露你的地址、社会保障号码之类的信息。不过，它会披露针对你和你雇主的投诉、你和你雇主的注册地点、你通过的考试、你从事该行业的年限、你是否曾被定罪或认罪、你或你的经纪人是否被自律监管组织开除等等。如果会员有网站，该网站必须提供指向BrokerCheck 的链接。</w:t>
            </w:r>
          </w:p>
        </w:tc>
      </w:tr>
    </w:tbl>
    <w:p w14:paraId="3DFDF401">
      <w:pPr>
        <w:spacing w:before="300" w:after="120" w:line="288" w:lineRule="auto"/>
        <w:ind w:left="0"/>
        <w:jc w:val="left"/>
        <w:outlineLvl w:val="2"/>
      </w:pPr>
      <w:bookmarkStart w:id="12" w:name="heading_12"/>
      <w:r>
        <w:rPr>
          <w:rFonts w:ascii="Arial" w:hAnsi="Arial" w:eastAsia="等线" w:cs="Arial"/>
          <w:color w:val="3370FF"/>
          <w:sz w:val="30"/>
        </w:rPr>
        <w:t xml:space="preserve">2.2.4 </w:t>
      </w:r>
      <w:r>
        <w:rPr>
          <w:rFonts w:ascii="Arial" w:hAnsi="Arial" w:eastAsia="等线" w:cs="Arial"/>
          <w:b/>
          <w:sz w:val="30"/>
        </w:rPr>
        <w:t>继续教育（Continuing education）</w:t>
      </w:r>
      <w:bookmarkEnd w:id="12"/>
    </w:p>
    <w:p w14:paraId="4A7992B8">
      <w:pPr>
        <w:spacing w:before="120" w:after="120" w:line="288" w:lineRule="auto"/>
        <w:ind w:left="0"/>
        <w:jc w:val="left"/>
      </w:pPr>
      <w:r>
        <w:rPr>
          <w:rFonts w:ascii="Arial" w:hAnsi="Arial" w:eastAsia="等线" w:cs="Arial"/>
          <w:sz w:val="22"/>
        </w:rPr>
        <w:t>即便你已经通过了像 SIE 这样的证券考试，你还需要参加美国金融业监管局（FINRA）要求的继续教育课程。这些课程是为了确保你了解所有新出台的法律，并牢记现行法律。继续教育有两个组成部分是必须完成的：公司部分和监管部分。</w:t>
      </w:r>
    </w:p>
    <w:p w14:paraId="05A282B2">
      <w:pPr>
        <w:spacing w:before="260" w:after="120" w:line="288" w:lineRule="auto"/>
        <w:ind w:left="0"/>
        <w:jc w:val="left"/>
        <w:outlineLvl w:val="3"/>
      </w:pPr>
      <w:bookmarkStart w:id="13" w:name="heading_13"/>
      <w:r>
        <w:rPr>
          <w:rFonts w:ascii="Arial" w:hAnsi="Arial" w:eastAsia="等线" w:cs="Arial"/>
          <w:color w:val="3370FF"/>
          <w:sz w:val="28"/>
        </w:rPr>
        <w:t xml:space="preserve">2.2.4.1 </w:t>
      </w:r>
      <w:r>
        <w:rPr>
          <w:rFonts w:ascii="Arial" w:hAnsi="Arial" w:eastAsia="等线" w:cs="Arial"/>
          <w:b/>
          <w:sz w:val="28"/>
        </w:rPr>
        <w:t>公司要素（Firm element）</w:t>
      </w:r>
      <w:bookmarkEnd w:id="13"/>
    </w:p>
    <w:p w14:paraId="7A2FB17D">
      <w:pPr>
        <w:spacing w:before="120" w:after="120" w:line="288" w:lineRule="auto"/>
        <w:ind w:left="0"/>
        <w:jc w:val="left"/>
      </w:pPr>
      <w:r>
        <w:rPr>
          <w:rFonts w:ascii="Arial" w:hAnsi="Arial" w:eastAsia="等线" w:cs="Arial"/>
          <w:sz w:val="22"/>
        </w:rPr>
        <w:t>会员公司必须召开年度会议（annual meetings），内容涵盖公司提供的服务和策略。</w:t>
      </w:r>
    </w:p>
    <w:p w14:paraId="4B1494C7">
      <w:pPr>
        <w:spacing w:before="120" w:after="120" w:line="288" w:lineRule="auto"/>
        <w:ind w:left="0"/>
        <w:jc w:val="left"/>
      </w:pPr>
    </w:p>
    <w:p w14:paraId="176244DB">
      <w:pPr>
        <w:spacing w:before="120" w:after="120" w:line="288" w:lineRule="auto"/>
        <w:ind w:left="0"/>
        <w:jc w:val="left"/>
      </w:pPr>
      <w:r>
        <w:rPr>
          <w:rFonts w:ascii="Arial" w:hAnsi="Arial" w:eastAsia="等线" w:cs="Arial"/>
          <w:sz w:val="22"/>
        </w:rPr>
        <w:t>此外，会议还必须涵盖任何近期的监管动态（如有）。这些会议必须是互动式的，允许人们提问。所有与公众有直接接触的注册人员都必须参加会议。所有公司都必须为其相关员工提供持续且与时俱进的教育计划。</w:t>
      </w:r>
    </w:p>
    <w:p w14:paraId="316EB438">
      <w:pPr>
        <w:spacing w:before="120" w:after="120" w:line="288" w:lineRule="auto"/>
        <w:ind w:left="0"/>
        <w:jc w:val="left"/>
      </w:pPr>
    </w:p>
    <w:p w14:paraId="6F881B5B">
      <w:pPr>
        <w:spacing w:before="260" w:after="120" w:line="288" w:lineRule="auto"/>
        <w:ind w:left="0"/>
        <w:jc w:val="left"/>
        <w:outlineLvl w:val="3"/>
      </w:pPr>
      <w:bookmarkStart w:id="14" w:name="heading_14"/>
      <w:r>
        <w:rPr>
          <w:rFonts w:ascii="Arial" w:hAnsi="Arial" w:eastAsia="等线" w:cs="Arial"/>
          <w:color w:val="3370FF"/>
          <w:sz w:val="28"/>
        </w:rPr>
        <w:t xml:space="preserve">2.2.4.2 </w:t>
      </w:r>
      <w:r>
        <w:rPr>
          <w:rFonts w:ascii="Arial" w:hAnsi="Arial" w:eastAsia="等线" w:cs="Arial"/>
          <w:b/>
          <w:sz w:val="28"/>
        </w:rPr>
        <w:t>监管要素（Regulatory element）</w:t>
      </w:r>
      <w:bookmarkEnd w:id="14"/>
    </w:p>
    <w:p w14:paraId="398CD4D6">
      <w:pPr>
        <w:spacing w:before="120" w:after="120" w:line="288" w:lineRule="auto"/>
        <w:ind w:left="0"/>
        <w:jc w:val="left"/>
      </w:pPr>
      <w:r>
        <w:rPr>
          <w:rFonts w:ascii="Arial" w:hAnsi="Arial" w:eastAsia="等线" w:cs="Arial"/>
          <w:sz w:val="22"/>
        </w:rPr>
        <w:t>监管要素（Regulatory Element）是</w:t>
      </w:r>
      <w:r>
        <w:rPr>
          <w:rFonts w:ascii="Arial" w:hAnsi="Arial" w:eastAsia="等线" w:cs="Arial"/>
          <w:b/>
          <w:sz w:val="22"/>
        </w:rPr>
        <w:t>证券、金融等受严格监管行业中，针对从业者的强制性继续教育模块</w:t>
      </w:r>
      <w:r>
        <w:rPr>
          <w:rFonts w:ascii="Arial" w:hAnsi="Arial" w:eastAsia="等线" w:cs="Arial"/>
          <w:sz w:val="22"/>
        </w:rPr>
        <w:t>，核心是确保从业者持续掌握最新的监管规则、合规要求和行业风险，避免因知识滞后导致违规操作或损害客户利益。</w:t>
      </w:r>
    </w:p>
    <w:p w14:paraId="4771E105">
      <w:pPr>
        <w:spacing w:before="120" w:after="120" w:line="288" w:lineRule="auto"/>
        <w:ind w:left="0"/>
        <w:jc w:val="left"/>
      </w:pPr>
    </w:p>
    <w:p w14:paraId="0BDF7C28">
      <w:pPr>
        <w:spacing w:before="120" w:after="120" w:line="288" w:lineRule="auto"/>
        <w:ind w:left="0"/>
        <w:jc w:val="left"/>
      </w:pPr>
      <w:r>
        <w:rPr>
          <w:rFonts w:ascii="Arial" w:hAnsi="Arial" w:eastAsia="等线" w:cs="Arial"/>
          <w:sz w:val="22"/>
        </w:rPr>
        <w:t>所有注册人员都必须在每年12月31日前参加一个涵盖 FINRA 法规的计算机化培训课程。如果未在规定期限内参加培训，该人员的证券执照将被停用，直至完成培训。如果注册人员的执照被停用两年，该人员将被行政终止注册。若被行政终止注册，该人员必须重新申请注册。</w:t>
      </w:r>
    </w:p>
    <w:p w14:paraId="7538EF7E">
      <w:pPr>
        <w:spacing w:before="120" w:after="120" w:line="288" w:lineRule="auto"/>
        <w:ind w:left="0"/>
        <w:jc w:val="left"/>
      </w:pPr>
    </w:p>
    <w:p w14:paraId="3FEFE22F">
      <w:pPr>
        <w:spacing w:before="120" w:after="120" w:line="288" w:lineRule="auto"/>
        <w:ind w:left="0"/>
        <w:jc w:val="left"/>
      </w:pPr>
      <w:r>
        <w:rPr>
          <w:rFonts w:ascii="Arial" w:hAnsi="Arial" w:eastAsia="等线" w:cs="Arial"/>
          <w:sz w:val="22"/>
        </w:rPr>
        <w:t>继续教育的监管要素（Regulatory Element）需在何时完成？</w:t>
      </w:r>
    </w:p>
    <w:p w14:paraId="12350D05">
      <w:pPr>
        <w:spacing w:before="120" w:after="120" w:line="288" w:lineRule="auto"/>
        <w:ind w:left="0"/>
        <w:jc w:val="left"/>
      </w:pPr>
    </w:p>
    <w:p w14:paraId="60A8698D">
      <w:pPr>
        <w:spacing w:before="120" w:after="120" w:line="288" w:lineRule="auto"/>
        <w:ind w:left="0"/>
        <w:jc w:val="left"/>
      </w:pPr>
      <w:r>
        <w:rPr>
          <w:rFonts w:ascii="Arial" w:hAnsi="Arial" w:eastAsia="等线" w:cs="Arial"/>
          <w:sz w:val="22"/>
        </w:rPr>
        <w:t>必须在首次注册后的第二个周年完成，此后每三年完成一次。</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A7B64C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54D46A6">
            <w:pPr>
              <w:spacing w:before="120" w:after="120" w:line="288" w:lineRule="auto"/>
              <w:ind w:left="0"/>
              <w:jc w:val="left"/>
            </w:pPr>
            <w:r>
              <w:rPr>
                <w:rFonts w:ascii="Arial" w:hAnsi="Arial" w:eastAsia="等线" w:cs="Arial"/>
                <w:color w:val="646A73"/>
                <w:sz w:val="22"/>
              </w:rPr>
              <w:t>The regulatory element of continuing education must be completed on the second anniversary of initial registration, and every third year thereafter.</w:t>
            </w:r>
          </w:p>
        </w:tc>
      </w:tr>
    </w:tbl>
    <w:p w14:paraId="72BAF41B">
      <w:pPr>
        <w:spacing w:before="120" w:after="120" w:line="288" w:lineRule="auto"/>
        <w:ind w:left="0"/>
        <w:jc w:val="left"/>
      </w:pPr>
    </w:p>
    <w:p w14:paraId="766617CD">
      <w:pPr>
        <w:spacing w:before="300" w:after="120" w:line="288" w:lineRule="auto"/>
        <w:ind w:left="0"/>
        <w:jc w:val="left"/>
        <w:outlineLvl w:val="2"/>
      </w:pPr>
      <w:bookmarkStart w:id="15" w:name="heading_15"/>
      <w:r>
        <w:rPr>
          <w:rFonts w:ascii="Arial" w:hAnsi="Arial" w:eastAsia="等线" w:cs="Arial"/>
          <w:color w:val="3370FF"/>
          <w:sz w:val="30"/>
        </w:rPr>
        <w:t xml:space="preserve">2.2.5 </w:t>
      </w:r>
      <w:r>
        <w:rPr>
          <w:rFonts w:ascii="Arial" w:hAnsi="Arial" w:eastAsia="等线" w:cs="Arial"/>
          <w:b/>
          <w:sz w:val="30"/>
        </w:rPr>
        <w:t>当代理人辞职或被解雇时会发生什么</w:t>
      </w:r>
      <w:bookmarkEnd w:id="15"/>
    </w:p>
    <w:p w14:paraId="39129542">
      <w:pPr>
        <w:spacing w:before="120" w:after="120" w:line="288" w:lineRule="auto"/>
        <w:ind w:left="0"/>
        <w:jc w:val="left"/>
      </w:pPr>
      <w:r>
        <w:rPr>
          <w:rFonts w:ascii="Arial" w:hAnsi="Arial" w:eastAsia="等线" w:cs="Arial"/>
          <w:sz w:val="22"/>
        </w:rPr>
        <w:t>无论你因何种原因离开公司，你所任职的会员公司必须在你辞职或被解雇之日起30天内，向中央注册存管机构（CRD）提交U5表格。你也会收到一份副本供自己存档。</w:t>
      </w:r>
    </w:p>
    <w:p w14:paraId="7078DFDC">
      <w:pPr>
        <w:spacing w:before="120" w:after="120" w:line="288" w:lineRule="auto"/>
        <w:ind w:left="0"/>
        <w:jc w:val="left"/>
      </w:pPr>
    </w:p>
    <w:p w14:paraId="40814D3E">
      <w:pPr>
        <w:spacing w:before="120" w:after="120" w:line="288" w:lineRule="auto"/>
        <w:ind w:left="0"/>
        <w:jc w:val="left"/>
      </w:pPr>
      <w:r>
        <w:rPr>
          <w:rFonts w:ascii="Arial" w:hAnsi="Arial" w:eastAsia="等线" w:cs="Arial"/>
          <w:sz w:val="22"/>
        </w:rPr>
        <w:t>U5表格要求会员公司说明你离职或被解雇的原因。如果你要转到一家新的会员公司，你的新雇主必须提交新的U4表格，并收到你前雇主提交的U5表格副本。</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127C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0EC134E">
            <w:pPr>
              <w:spacing w:before="120" w:after="120" w:line="288" w:lineRule="auto"/>
              <w:ind w:left="0"/>
              <w:jc w:val="left"/>
            </w:pPr>
            <w:r>
              <w:rPr>
                <w:rFonts w:ascii="Arial" w:hAnsi="Arial" w:eastAsia="等线" w:cs="Arial"/>
                <w:sz w:val="22"/>
              </w:rPr>
              <w:t>无论你因何种原因离开公司，你所任职的会员公司必须在你辞职或被解雇之日起30天内，向中央注册存管机构（CRD）提交U5表格。你也会收到一份副本供自己存档。U5表格要求会员公司说明你离职或被解雇的原因。如果你要转到一家新的会员公司，你的新雇主必须提交新的U4表格，并收到你前雇主提交的U5表格副本。</w:t>
            </w:r>
          </w:p>
        </w:tc>
      </w:tr>
    </w:tbl>
    <w:p w14:paraId="6CE11BED">
      <w:pPr>
        <w:spacing w:before="120" w:after="120" w:line="288" w:lineRule="auto"/>
        <w:ind w:left="0"/>
        <w:jc w:val="left"/>
      </w:pPr>
      <w:r>
        <w:rPr>
          <w:rFonts w:ascii="Arial" w:hAnsi="Arial" w:eastAsia="等线" w:cs="Arial"/>
          <w:sz w:val="22"/>
        </w:rPr>
        <w:t>不要在换公司这件事上拖延太久。在代表你提交U5表格后，你有最多两年的时间在另一家公司注册，否则你就得重新参加所有的证券考试。</w:t>
      </w:r>
    </w:p>
    <w:p w14:paraId="784E6EE2">
      <w:pPr>
        <w:spacing w:before="120" w:after="120" w:line="288" w:lineRule="auto"/>
        <w:ind w:left="0"/>
        <w:jc w:val="left"/>
      </w:pPr>
    </w:p>
    <w:p w14:paraId="0FB56712">
      <w:pPr>
        <w:spacing w:before="300" w:after="120" w:line="288" w:lineRule="auto"/>
        <w:ind w:left="0"/>
        <w:jc w:val="left"/>
        <w:outlineLvl w:val="2"/>
      </w:pPr>
      <w:bookmarkStart w:id="16" w:name="heading_16"/>
      <w:r>
        <w:rPr>
          <w:rFonts w:ascii="Arial" w:hAnsi="Arial" w:eastAsia="等线" w:cs="Arial"/>
          <w:color w:val="3370FF"/>
          <w:sz w:val="30"/>
        </w:rPr>
        <w:t xml:space="preserve">2.2.6 </w:t>
      </w:r>
      <w:r>
        <w:rPr>
          <w:rFonts w:ascii="Arial" w:hAnsi="Arial" w:eastAsia="等线" w:cs="Arial"/>
          <w:b/>
          <w:sz w:val="30"/>
        </w:rPr>
        <w:t>谁可豁免FINRA注册</w:t>
      </w:r>
      <w:bookmarkEnd w:id="16"/>
    </w:p>
    <w:p w14:paraId="55D39D88">
      <w:pPr>
        <w:spacing w:before="120" w:after="120" w:line="288" w:lineRule="auto"/>
        <w:ind w:left="0"/>
        <w:jc w:val="left"/>
      </w:pPr>
      <w:r>
        <w:rPr>
          <w:rFonts w:ascii="Arial" w:hAnsi="Arial" w:eastAsia="等线" w:cs="Arial"/>
          <w:sz w:val="22"/>
        </w:rPr>
        <w:t>某些在会员公司工作的个人可豁免FINRA注册。这些人包括</w:t>
      </w:r>
    </w:p>
    <w:p w14:paraId="521C8223">
      <w:pPr>
        <w:numPr>
          <w:ilvl w:val="0"/>
          <w:numId w:val="54"/>
        </w:numPr>
        <w:spacing w:before="120" w:after="120" w:line="288" w:lineRule="auto"/>
        <w:ind w:left="0"/>
        <w:jc w:val="left"/>
      </w:pPr>
      <w:r>
        <w:rPr>
          <w:rFonts w:ascii="Arial" w:hAnsi="Arial" w:eastAsia="等线" w:cs="Arial"/>
          <w:sz w:val="22"/>
        </w:rPr>
        <w:t>仅承担文书或行政职能的人员；</w:t>
      </w:r>
    </w:p>
    <w:p w14:paraId="4BCB822B">
      <w:pPr>
        <w:numPr>
          <w:ilvl w:val="0"/>
          <w:numId w:val="55"/>
        </w:numPr>
        <w:spacing w:before="120" w:after="120" w:line="288" w:lineRule="auto"/>
        <w:ind w:left="0"/>
        <w:jc w:val="left"/>
      </w:pPr>
      <w:r>
        <w:rPr>
          <w:rFonts w:ascii="Arial" w:hAnsi="Arial" w:eastAsia="等线" w:cs="Arial"/>
          <w:sz w:val="22"/>
        </w:rPr>
        <w:t>仅影响全国性证券交易所场内交易且在该交易所注册的人员；</w:t>
      </w:r>
    </w:p>
    <w:p w14:paraId="55D73AD4">
      <w:pPr>
        <w:numPr>
          <w:ilvl w:val="0"/>
          <w:numId w:val="56"/>
        </w:numPr>
        <w:spacing w:before="120" w:after="120" w:line="288" w:lineRule="auto"/>
        <w:ind w:left="0"/>
        <w:jc w:val="left"/>
      </w:pPr>
      <w:r>
        <w:rPr>
          <w:rFonts w:ascii="Arial" w:hAnsi="Arial" w:eastAsia="等线" w:cs="Arial"/>
          <w:sz w:val="22"/>
        </w:rPr>
        <w:t>其职能仅完全涉及市政证券交易的人员；</w:t>
      </w:r>
    </w:p>
    <w:p w14:paraId="2163D1A6">
      <w:pPr>
        <w:numPr>
          <w:ilvl w:val="0"/>
          <w:numId w:val="57"/>
        </w:numPr>
        <w:spacing w:before="120" w:after="120" w:line="288" w:lineRule="auto"/>
        <w:ind w:left="0"/>
        <w:jc w:val="left"/>
      </w:pPr>
      <w:r>
        <w:rPr>
          <w:rFonts w:ascii="Arial" w:hAnsi="Arial" w:eastAsia="等线" w:cs="Arial"/>
          <w:sz w:val="22"/>
        </w:rPr>
        <w:t>其职能仅且完全涉及商品交易的人员；</w:t>
      </w:r>
    </w:p>
    <w:p w14:paraId="2DEB22C1">
      <w:pPr>
        <w:numPr>
          <w:ilvl w:val="0"/>
          <w:numId w:val="58"/>
        </w:numPr>
        <w:spacing w:before="120" w:after="120" w:line="288" w:lineRule="auto"/>
        <w:ind w:left="0"/>
        <w:jc w:val="left"/>
      </w:pPr>
      <w:r>
        <w:rPr>
          <w:rFonts w:ascii="Arial" w:hAnsi="Arial" w:eastAsia="等线" w:cs="Arial"/>
          <w:sz w:val="22"/>
        </w:rPr>
        <w:t>其职能完全且专门涉及证券期货交易的人员，只要该人员在注册期货协会注册过。</w:t>
      </w:r>
    </w:p>
    <w:p w14:paraId="7059B943">
      <w:pPr>
        <w:spacing w:before="300" w:after="120" w:line="288" w:lineRule="auto"/>
        <w:ind w:left="0"/>
        <w:jc w:val="left"/>
        <w:outlineLvl w:val="2"/>
      </w:pPr>
      <w:bookmarkStart w:id="17" w:name="heading_17"/>
      <w:r>
        <w:rPr>
          <w:rFonts w:ascii="Arial" w:hAnsi="Arial" w:eastAsia="等线" w:cs="Arial"/>
          <w:color w:val="3370FF"/>
          <w:sz w:val="30"/>
        </w:rPr>
        <w:t xml:space="preserve">2.2.7 </w:t>
      </w:r>
      <w:r>
        <w:rPr>
          <w:rFonts w:ascii="Arial" w:hAnsi="Arial" w:eastAsia="等线" w:cs="Arial"/>
          <w:b/>
          <w:sz w:val="30"/>
        </w:rPr>
        <w:t>遵守报告要求（Adhering to reporting requirements）</w:t>
      </w:r>
      <w:bookmarkEnd w:id="17"/>
    </w:p>
    <w:p w14:paraId="1BC8ED64">
      <w:pPr>
        <w:spacing w:before="120" w:after="120" w:line="288" w:lineRule="auto"/>
        <w:ind w:left="0"/>
        <w:jc w:val="left"/>
      </w:pPr>
      <w:r>
        <w:rPr>
          <w:rFonts w:ascii="Arial" w:hAnsi="Arial" w:eastAsia="等线" w:cs="Arial"/>
          <w:sz w:val="22"/>
        </w:rPr>
        <w:t>根据美国金融业监管局（FINRA）第4530条规则，会员公司必须及时报告特定事件（不迟于会员知晓或应当知晓该事件后的30天），包括有关客户投诉的季度统计和汇总信息，以及某些民事和刑事诉讼的副本。</w:t>
      </w:r>
    </w:p>
    <w:p w14:paraId="36C4C0F5">
      <w:pPr>
        <w:numPr>
          <w:ilvl w:val="0"/>
          <w:numId w:val="59"/>
        </w:numPr>
        <w:spacing w:before="120" w:after="120" w:line="288" w:lineRule="auto"/>
        <w:ind w:left="0"/>
        <w:jc w:val="left"/>
      </w:pPr>
      <w:r>
        <w:rPr>
          <w:rFonts w:ascii="Arial" w:hAnsi="Arial" w:eastAsia="等线" w:cs="Arial"/>
          <w:sz w:val="22"/>
        </w:rPr>
        <w:t>被美国或外国监管机构发现违反了任何与证券相关或非证券相关的投资法律或行为标准。</w:t>
      </w:r>
    </w:p>
    <w:p w14:paraId="756D7DA4">
      <w:pPr>
        <w:numPr>
          <w:ilvl w:val="0"/>
          <w:numId w:val="60"/>
        </w:numPr>
        <w:spacing w:before="120" w:after="120" w:line="288" w:lineRule="auto"/>
        <w:ind w:left="0"/>
        <w:jc w:val="left"/>
      </w:pPr>
      <w:r>
        <w:rPr>
          <w:rFonts w:ascii="Arial" w:hAnsi="Arial" w:eastAsia="等线" w:cs="Arial"/>
          <w:sz w:val="22"/>
        </w:rPr>
        <w:t>涉及盗窃或挪用资金或证券指控的书面客户投诉的对象。</w:t>
      </w:r>
    </w:p>
    <w:p w14:paraId="4C597CA1">
      <w:pPr>
        <w:numPr>
          <w:ilvl w:val="0"/>
          <w:numId w:val="61"/>
        </w:numPr>
        <w:spacing w:before="120" w:after="120" w:line="288" w:lineRule="auto"/>
        <w:ind w:left="0"/>
        <w:jc w:val="left"/>
      </w:pPr>
      <w:r>
        <w:rPr>
          <w:rFonts w:ascii="Arial" w:hAnsi="Arial" w:eastAsia="等线" w:cs="Arial"/>
          <w:sz w:val="22"/>
        </w:rPr>
        <w:t>涉及伪造指控的书面客户投诉的对象。</w:t>
      </w:r>
    </w:p>
    <w:p w14:paraId="780D807F">
      <w:pPr>
        <w:numPr>
          <w:ilvl w:val="0"/>
          <w:numId w:val="62"/>
        </w:numPr>
        <w:spacing w:before="120" w:after="120" w:line="288" w:lineRule="auto"/>
        <w:ind w:left="0"/>
        <w:jc w:val="left"/>
      </w:pPr>
      <w:r>
        <w:rPr>
          <w:rFonts w:ascii="Arial" w:hAnsi="Arial" w:eastAsia="等线" w:cs="Arial"/>
          <w:sz w:val="22"/>
        </w:rPr>
        <w:t>曾在由美国或外国监管机构提起的、指控其违反规定的诉讼中被列为被告或被申请人。</w:t>
      </w:r>
    </w:p>
    <w:p w14:paraId="2ED28B4E">
      <w:pPr>
        <w:numPr>
          <w:ilvl w:val="0"/>
          <w:numId w:val="63"/>
        </w:numPr>
        <w:spacing w:before="120" w:after="120" w:line="288" w:lineRule="auto"/>
        <w:ind w:left="0"/>
        <w:jc w:val="left"/>
      </w:pPr>
      <w:r>
        <w:rPr>
          <w:rFonts w:ascii="Arial" w:hAnsi="Arial" w:eastAsia="等线" w:cs="Arial"/>
          <w:sz w:val="22"/>
        </w:rPr>
        <w:t>被美国或外国监管机构拒绝注册、暂停资格、开除或处罚。</w:t>
      </w:r>
    </w:p>
    <w:p w14:paraId="5CDC4CDE">
      <w:pPr>
        <w:numPr>
          <w:ilvl w:val="0"/>
          <w:numId w:val="64"/>
        </w:numPr>
        <w:spacing w:before="120" w:after="120" w:line="288" w:lineRule="auto"/>
        <w:ind w:left="0"/>
        <w:jc w:val="left"/>
      </w:pPr>
      <w:r>
        <w:rPr>
          <w:rFonts w:ascii="Arial" w:hAnsi="Arial" w:eastAsia="等线" w:cs="Arial"/>
          <w:sz w:val="22"/>
        </w:rPr>
        <w:t>在美国境内或境外被起诉、定罪或承认犯有任何重罪或特定轻罪。</w:t>
      </w:r>
    </w:p>
    <w:p w14:paraId="7026E370">
      <w:pPr>
        <w:spacing w:before="120" w:after="120" w:line="288" w:lineRule="auto"/>
        <w:ind w:left="0"/>
        <w:jc w:val="left"/>
      </w:pPr>
    </w:p>
    <w:p w14:paraId="632348C4">
      <w:pPr>
        <w:spacing w:before="120" w:after="120" w:line="288" w:lineRule="auto"/>
        <w:ind w:left="0"/>
        <w:jc w:val="left"/>
      </w:pPr>
      <w:r>
        <w:rPr>
          <w:rFonts w:ascii="Arial" w:hAnsi="Arial" w:eastAsia="等线" w:cs="Arial"/>
          <w:sz w:val="22"/>
        </w:rPr>
        <w:t>上述清单包含根据规则4530规定的公司报告要求，但公司也需要报告某些其他事件。其中包括：</w:t>
      </w:r>
    </w:p>
    <w:p w14:paraId="61FC3EFA">
      <w:pPr>
        <w:numPr>
          <w:ilvl w:val="0"/>
          <w:numId w:val="65"/>
        </w:numPr>
        <w:spacing w:before="120" w:after="120" w:line="288" w:lineRule="auto"/>
        <w:ind w:left="0"/>
        <w:jc w:val="left"/>
      </w:pPr>
      <w:r>
        <w:rPr>
          <w:rFonts w:ascii="Arial" w:hAnsi="Arial" w:eastAsia="等线" w:cs="Arial"/>
          <w:sz w:val="22"/>
        </w:rPr>
        <w:t>外部业务活动（详见下一节）。</w:t>
      </w:r>
    </w:p>
    <w:p w14:paraId="3EBF6F30">
      <w:pPr>
        <w:numPr>
          <w:ilvl w:val="0"/>
          <w:numId w:val="66"/>
        </w:numPr>
        <w:spacing w:before="120" w:after="120" w:line="288" w:lineRule="auto"/>
        <w:ind w:left="0"/>
        <w:jc w:val="left"/>
      </w:pPr>
      <w:r>
        <w:rPr>
          <w:rFonts w:ascii="Arial" w:hAnsi="Arial" w:eastAsia="等线" w:cs="Arial"/>
          <w:sz w:val="22"/>
        </w:rPr>
        <w:t>私人证券交易——换句话说，就是经纪交易商正常业务之外的交易。为方便讨论，假设某公司的一名员工有一个客户想进行期权交易，但该员工所在的公司由于没有期权负责人而不从事期权交易。在这种情况下，经其公司允许，该员工可以接受客户的订单，并通过另一家公司进行交易。</w:t>
      </w:r>
    </w:p>
    <w:p w14:paraId="21A09BA3">
      <w:pPr>
        <w:numPr>
          <w:ilvl w:val="0"/>
          <w:numId w:val="67"/>
        </w:numPr>
        <w:spacing w:before="120" w:after="120" w:line="288" w:lineRule="auto"/>
        <w:ind w:left="0"/>
        <w:jc w:val="left"/>
      </w:pPr>
      <w:r>
        <w:rPr>
          <w:rFonts w:ascii="Arial" w:hAnsi="Arial" w:eastAsia="等线" w:cs="Arial"/>
          <w:sz w:val="22"/>
        </w:rPr>
        <w:t>政治献金以及超过美元献金限额的后果（参见本章后面的“避免违规”部分）。</w:t>
      </w:r>
    </w:p>
    <w:p w14:paraId="4E996028">
      <w:pPr>
        <w:numPr>
          <w:ilvl w:val="0"/>
          <w:numId w:val="68"/>
        </w:numPr>
        <w:spacing w:before="120" w:after="120" w:line="288" w:lineRule="auto"/>
        <w:ind w:left="0"/>
        <w:jc w:val="left"/>
      </w:pPr>
      <w:r>
        <w:rPr>
          <w:rFonts w:ascii="Arial" w:hAnsi="Arial" w:eastAsia="等线" w:cs="Arial"/>
          <w:sz w:val="22"/>
        </w:rPr>
        <w:t>重罪、与金融相关的轻罪、留置权、破产。</w:t>
      </w:r>
    </w:p>
    <w:p w14:paraId="0E533E9A">
      <w:pPr>
        <w:spacing w:before="120" w:after="120" w:line="288" w:lineRule="auto"/>
        <w:ind w:left="0"/>
        <w:jc w:val="left"/>
      </w:pPr>
    </w:p>
    <w:p w14:paraId="2CA2D9ED">
      <w:pPr>
        <w:spacing w:before="260" w:after="120" w:line="288" w:lineRule="auto"/>
        <w:ind w:left="0"/>
        <w:jc w:val="left"/>
        <w:outlineLvl w:val="3"/>
      </w:pPr>
      <w:bookmarkStart w:id="18" w:name="heading_18"/>
      <w:r>
        <w:rPr>
          <w:rFonts w:ascii="Arial" w:hAnsi="Arial" w:eastAsia="等线" w:cs="Arial"/>
          <w:color w:val="3370FF"/>
          <w:sz w:val="28"/>
        </w:rPr>
        <w:t xml:space="preserve">2.2.7.1 </w:t>
      </w:r>
      <w:r>
        <w:rPr>
          <w:rFonts w:ascii="Arial" w:hAnsi="Arial" w:eastAsia="等线" w:cs="Arial"/>
          <w:b/>
          <w:sz w:val="28"/>
        </w:rPr>
        <w:t>外部业务活动（Outside business activities）</w:t>
      </w:r>
      <w:bookmarkEnd w:id="18"/>
    </w:p>
    <w:p w14:paraId="01DAFE9B">
      <w:pPr>
        <w:spacing w:before="120" w:after="120" w:line="288" w:lineRule="auto"/>
        <w:ind w:left="0"/>
        <w:jc w:val="left"/>
      </w:pPr>
      <w:r>
        <w:rPr>
          <w:rFonts w:ascii="Arial" w:hAnsi="Arial" w:eastAsia="等线" w:cs="Arial"/>
          <w:sz w:val="22"/>
        </w:rPr>
        <w:t>在你创业和获取新客户的过程中，你可能会觉得有必要再找一份工作来多赚点钱。如果是这样，你必须以书面形式通知你的经纪公司。不过，你不需要获得这份额外工作的书面许可。如果你的会员公司认为存在利益冲突，它可能会拒绝或限制你的外部工作。（志愿服务不需要书面通知。）</w:t>
      </w:r>
    </w:p>
    <w:p w14:paraId="003AC435">
      <w:pPr>
        <w:spacing w:before="260" w:after="120" w:line="288" w:lineRule="auto"/>
        <w:ind w:left="0"/>
        <w:jc w:val="left"/>
        <w:outlineLvl w:val="3"/>
      </w:pPr>
      <w:bookmarkStart w:id="19" w:name="heading_19"/>
      <w:r>
        <w:rPr>
          <w:rFonts w:ascii="Arial" w:hAnsi="Arial" w:eastAsia="等线" w:cs="Arial"/>
          <w:color w:val="3370FF"/>
          <w:sz w:val="28"/>
        </w:rPr>
        <w:t xml:space="preserve">2.2.7.2 </w:t>
      </w:r>
      <w:r>
        <w:rPr>
          <w:rFonts w:ascii="Arial" w:hAnsi="Arial" w:eastAsia="等线" w:cs="Arial"/>
          <w:b/>
          <w:sz w:val="28"/>
        </w:rPr>
        <w:t>在其他经纪交易商和金融机构的账户</w:t>
      </w:r>
      <w:bookmarkEnd w:id="19"/>
    </w:p>
    <w:p w14:paraId="734C8F5A">
      <w:pPr>
        <w:spacing w:before="120" w:after="120" w:line="288" w:lineRule="auto"/>
        <w:ind w:left="0"/>
        <w:jc w:val="left"/>
      </w:pPr>
      <w:r>
        <w:rPr>
          <w:rFonts w:ascii="Arial" w:hAnsi="Arial" w:eastAsia="等线" w:cs="Arial"/>
          <w:sz w:val="22"/>
        </w:rPr>
        <w:t>虽然你可能不会这么做，但与会员公司有关联的人员可以在获得雇主公司的事先书面许可后，在另一家会员公司（执行公司）开立账户。该关联人员还必须让执行公司知道他们正在为另一家会员公司工作。如果有要求，必须向雇主公司发送确认书和对账单的副本。</w:t>
      </w:r>
    </w:p>
    <w:p w14:paraId="45352469">
      <w:pPr>
        <w:spacing w:before="120" w:after="120" w:line="288" w:lineRule="auto"/>
        <w:ind w:left="0"/>
        <w:jc w:val="left"/>
      </w:pPr>
    </w:p>
    <w:p w14:paraId="2EF2BF4C">
      <w:pPr>
        <w:spacing w:before="260" w:after="120" w:line="288" w:lineRule="auto"/>
        <w:ind w:left="0"/>
        <w:jc w:val="left"/>
        <w:outlineLvl w:val="3"/>
      </w:pPr>
      <w:bookmarkStart w:id="20" w:name="heading_20"/>
      <w:r>
        <w:rPr>
          <w:rFonts w:ascii="Arial" w:hAnsi="Arial" w:eastAsia="等线" w:cs="Arial"/>
          <w:color w:val="3370FF"/>
          <w:sz w:val="28"/>
        </w:rPr>
        <w:t xml:space="preserve">2.2.7.3 </w:t>
      </w:r>
      <w:r>
        <w:rPr>
          <w:rFonts w:ascii="Arial" w:hAnsi="Arial" w:eastAsia="等线" w:cs="Arial"/>
          <w:b/>
          <w:sz w:val="28"/>
        </w:rPr>
        <w:t>私人证券交易</w:t>
      </w:r>
      <w:bookmarkEnd w:id="20"/>
    </w:p>
    <w:p w14:paraId="23E46466">
      <w:pPr>
        <w:spacing w:before="120" w:after="120" w:line="288" w:lineRule="auto"/>
        <w:ind w:left="0"/>
        <w:jc w:val="left"/>
      </w:pPr>
      <w:r>
        <w:rPr>
          <w:rFonts w:ascii="Arial" w:hAnsi="Arial" w:eastAsia="等线" w:cs="Arial"/>
          <w:sz w:val="22"/>
        </w:rPr>
        <w:t>当参与私人证券交易（Private securities transactions）时，关联人员必须向其雇主公司提供书面通知。当关联人员参与超出其正常业务范围且不在其雇主会员公司范围内的证券交易时，就会发生这种情况。</w:t>
      </w:r>
    </w:p>
    <w:p w14:paraId="22B8950C">
      <w:pPr>
        <w:spacing w:before="120" w:after="120" w:line="288" w:lineRule="auto"/>
        <w:ind w:left="0"/>
        <w:jc w:val="left"/>
      </w:pPr>
    </w:p>
    <w:p w14:paraId="0C50C153">
      <w:pPr>
        <w:spacing w:before="120" w:after="120" w:line="288" w:lineRule="auto"/>
        <w:ind w:left="0"/>
        <w:jc w:val="left"/>
      </w:pPr>
      <w:r>
        <w:rPr>
          <w:rFonts w:ascii="Arial" w:hAnsi="Arial" w:eastAsia="等线" w:cs="Arial"/>
          <w:sz w:val="22"/>
        </w:rPr>
        <w:t>如果关联人员想参与私下证券交易，他们必须：</w:t>
      </w:r>
    </w:p>
    <w:p w14:paraId="33932865">
      <w:pPr>
        <w:numPr>
          <w:ilvl w:val="0"/>
          <w:numId w:val="69"/>
        </w:numPr>
        <w:spacing w:before="120" w:after="120" w:line="288" w:lineRule="auto"/>
        <w:ind w:left="0"/>
        <w:jc w:val="left"/>
      </w:pPr>
      <w:r>
        <w:rPr>
          <w:rFonts w:ascii="Arial" w:hAnsi="Arial" w:eastAsia="等线" w:cs="Arial"/>
          <w:sz w:val="22"/>
        </w:rPr>
        <w:t>向雇主提供书面通知；</w:t>
      </w:r>
    </w:p>
    <w:p w14:paraId="1C166AB1">
      <w:pPr>
        <w:numPr>
          <w:ilvl w:val="0"/>
          <w:numId w:val="70"/>
        </w:numPr>
        <w:spacing w:before="120" w:after="120" w:line="288" w:lineRule="auto"/>
        <w:ind w:left="0"/>
        <w:jc w:val="left"/>
      </w:pPr>
      <w:r>
        <w:rPr>
          <w:rFonts w:ascii="Arial" w:hAnsi="Arial" w:eastAsia="等线" w:cs="Arial"/>
          <w:sz w:val="22"/>
        </w:rPr>
        <w:t>说明他们在可能发生的交易中所扮演的角色；</w:t>
      </w:r>
    </w:p>
    <w:p w14:paraId="3EFAE9E3">
      <w:pPr>
        <w:numPr>
          <w:ilvl w:val="0"/>
          <w:numId w:val="71"/>
        </w:numPr>
        <w:spacing w:before="120" w:after="120" w:line="288" w:lineRule="auto"/>
        <w:ind w:left="0"/>
        <w:jc w:val="left"/>
      </w:pPr>
      <w:r>
        <w:rPr>
          <w:rFonts w:ascii="Arial" w:hAnsi="Arial" w:eastAsia="等线" w:cs="Arial"/>
          <w:sz w:val="22"/>
        </w:rPr>
        <w:t>描述可能交易的完整细节；</w:t>
      </w:r>
    </w:p>
    <w:p w14:paraId="0B523D9E">
      <w:pPr>
        <w:numPr>
          <w:ilvl w:val="0"/>
          <w:numId w:val="72"/>
        </w:numPr>
        <w:spacing w:before="120" w:after="120" w:line="288" w:lineRule="auto"/>
        <w:ind w:left="0"/>
        <w:jc w:val="left"/>
      </w:pPr>
      <w:r>
        <w:rPr>
          <w:rFonts w:ascii="Arial" w:hAnsi="Arial" w:eastAsia="等线" w:cs="Arial"/>
          <w:sz w:val="22"/>
        </w:rPr>
        <w:t>披露他们是否会从该交易中获得报酬（报酬类型和/或金额）。</w:t>
      </w:r>
    </w:p>
    <w:p w14:paraId="0A2016CA">
      <w:pPr>
        <w:spacing w:before="120" w:after="120" w:line="288" w:lineRule="auto"/>
        <w:ind w:left="0"/>
        <w:jc w:val="left"/>
      </w:pPr>
    </w:p>
    <w:p w14:paraId="06B6F890">
      <w:pPr>
        <w:spacing w:before="120" w:after="120" w:line="288" w:lineRule="auto"/>
        <w:ind w:left="0"/>
        <w:jc w:val="left"/>
      </w:pPr>
      <w:r>
        <w:rPr>
          <w:rFonts w:ascii="Arial" w:hAnsi="Arial" w:eastAsia="等线" w:cs="Arial"/>
          <w:sz w:val="22"/>
        </w:rPr>
        <w:t>无论相关人员是否获得报酬，雇佣公司都必须予以批准。相关人员未获得报酬的直系亲属交易不被视为私人证券交易。</w:t>
      </w:r>
    </w:p>
    <w:p w14:paraId="667569E0">
      <w:pPr>
        <w:spacing w:before="120" w:after="120" w:line="288" w:lineRule="auto"/>
        <w:ind w:left="0"/>
        <w:jc w:val="left"/>
      </w:pPr>
    </w:p>
    <w:p w14:paraId="6B4AECA2">
      <w:pPr>
        <w:spacing w:before="320" w:after="120" w:line="288" w:lineRule="auto"/>
        <w:ind w:left="0"/>
        <w:jc w:val="left"/>
        <w:outlineLvl w:val="1"/>
      </w:pPr>
      <w:bookmarkStart w:id="21" w:name="heading_21"/>
      <w:r>
        <w:rPr>
          <w:rFonts w:ascii="Arial" w:hAnsi="Arial" w:eastAsia="等线" w:cs="Arial"/>
          <w:color w:val="3370FF"/>
          <w:sz w:val="32"/>
        </w:rPr>
        <w:t xml:space="preserve">2.3 </w:t>
      </w:r>
      <w:r>
        <w:rPr>
          <w:rFonts w:ascii="Arial" w:hAnsi="Arial" w:eastAsia="等线" w:cs="Arial"/>
          <w:b/>
          <w:sz w:val="32"/>
        </w:rPr>
        <w:t>账户开立后按规则交易</w:t>
      </w:r>
      <w:bookmarkEnd w:id="21"/>
    </w:p>
    <w:p w14:paraId="6702036A">
      <w:pPr>
        <w:spacing w:before="120" w:after="120" w:line="288" w:lineRule="auto"/>
        <w:ind w:left="0"/>
        <w:jc w:val="left"/>
      </w:pPr>
      <w:r>
        <w:rPr>
          <w:rFonts w:ascii="Arial" w:hAnsi="Arial" w:eastAsia="等线" w:cs="Arial"/>
          <w:sz w:val="22"/>
        </w:rPr>
        <w:t>开设新账户后，你必须遵守额外的规章制度才能继续从事这项业务。你需要知道如何接收交易指令、如何填写订单票据，以及不同证券的结算和付款日期。</w:t>
      </w:r>
    </w:p>
    <w:p w14:paraId="692DEC6B">
      <w:pPr>
        <w:spacing w:before="300" w:after="120" w:line="288" w:lineRule="auto"/>
        <w:ind w:left="0"/>
        <w:jc w:val="left"/>
        <w:outlineLvl w:val="2"/>
      </w:pPr>
      <w:bookmarkStart w:id="22" w:name="heading_22"/>
      <w:r>
        <w:rPr>
          <w:rFonts w:ascii="Arial" w:hAnsi="Arial" w:eastAsia="等线" w:cs="Arial"/>
          <w:color w:val="3370FF"/>
          <w:sz w:val="30"/>
        </w:rPr>
        <w:t xml:space="preserve">2.3.1 </w:t>
      </w:r>
      <w:r>
        <w:rPr>
          <w:rFonts w:ascii="Arial" w:hAnsi="Arial" w:eastAsia="等线" w:cs="Arial"/>
          <w:b/>
          <w:sz w:val="30"/>
        </w:rPr>
        <w:t>填写订单凭证（Filling out an order ticket）</w:t>
      </w:r>
      <w:bookmarkEnd w:id="22"/>
    </w:p>
    <w:p w14:paraId="1C1839BD">
      <w:pPr>
        <w:spacing w:before="260" w:after="120" w:line="288" w:lineRule="auto"/>
        <w:ind w:left="0"/>
        <w:jc w:val="left"/>
        <w:outlineLvl w:val="3"/>
      </w:pPr>
      <w:bookmarkStart w:id="23" w:name="heading_23"/>
      <w:r>
        <w:rPr>
          <w:rFonts w:ascii="Arial" w:hAnsi="Arial" w:eastAsia="等线" w:cs="Arial"/>
          <w:color w:val="3370FF"/>
          <w:sz w:val="28"/>
        </w:rPr>
        <w:t xml:space="preserve">2.3.1.1 </w:t>
      </w:r>
      <w:r>
        <w:rPr>
          <w:rFonts w:ascii="Arial" w:hAnsi="Arial" w:eastAsia="等线" w:cs="Arial"/>
          <w:b/>
          <w:sz w:val="28"/>
        </w:rPr>
        <w:t>将详细信息记录下来</w:t>
      </w:r>
      <w:bookmarkEnd w:id="23"/>
    </w:p>
    <w:p w14:paraId="58544514">
      <w:pPr>
        <w:spacing w:before="120" w:after="120" w:line="288" w:lineRule="auto"/>
        <w:ind w:left="0"/>
        <w:jc w:val="left"/>
      </w:pPr>
      <w:r>
        <w:rPr>
          <w:rFonts w:ascii="Arial" w:hAnsi="Arial" w:eastAsia="等线" w:cs="Arial"/>
          <w:sz w:val="22"/>
        </w:rPr>
        <w:t>当客户下单时，你需要填写一份订单凭证。订单凭证可以是纸质的，也可以电子录入。</w:t>
      </w:r>
    </w:p>
    <w:p w14:paraId="71A9CBE0">
      <w:pPr>
        <w:spacing w:before="120" w:after="120" w:line="288" w:lineRule="auto"/>
        <w:ind w:left="0"/>
        <w:jc w:val="left"/>
      </w:pPr>
    </w:p>
    <w:p w14:paraId="6685882B">
      <w:pPr>
        <w:spacing w:before="120" w:after="120" w:line="288" w:lineRule="auto"/>
        <w:ind w:left="0"/>
        <w:jc w:val="left"/>
      </w:pPr>
      <w:r>
        <w:rPr>
          <w:rFonts w:ascii="Arial" w:hAnsi="Arial" w:eastAsia="等线" w:cs="Arial"/>
          <w:sz w:val="22"/>
        </w:rPr>
        <w:t>订单凭证包含以下信息：</w:t>
      </w:r>
    </w:p>
    <w:p w14:paraId="2B53C6F0">
      <w:pPr>
        <w:numPr>
          <w:ilvl w:val="0"/>
          <w:numId w:val="73"/>
        </w:numPr>
        <w:spacing w:before="120" w:after="120" w:line="288" w:lineRule="auto"/>
        <w:ind w:left="0"/>
        <w:jc w:val="left"/>
      </w:pPr>
      <w:r>
        <w:rPr>
          <w:rFonts w:ascii="Arial" w:hAnsi="Arial" w:eastAsia="等线" w:cs="Arial"/>
          <w:sz w:val="22"/>
        </w:rPr>
        <w:t>注册代表的识别号码；</w:t>
      </w:r>
    </w:p>
    <w:p w14:paraId="25CBA140">
      <w:pPr>
        <w:numPr>
          <w:ilvl w:val="0"/>
          <w:numId w:val="74"/>
        </w:numPr>
        <w:spacing w:before="120" w:after="120" w:line="288" w:lineRule="auto"/>
        <w:ind w:left="0"/>
        <w:jc w:val="left"/>
      </w:pPr>
      <w:r>
        <w:rPr>
          <w:rFonts w:ascii="Arial" w:hAnsi="Arial" w:eastAsia="等线" w:cs="Arial"/>
          <w:sz w:val="22"/>
        </w:rPr>
        <w:t>客户的账户号码；</w:t>
      </w:r>
    </w:p>
    <w:p w14:paraId="2DAD9C22">
      <w:pPr>
        <w:numPr>
          <w:ilvl w:val="0"/>
          <w:numId w:val="75"/>
        </w:numPr>
        <w:spacing w:before="120" w:after="120" w:line="288" w:lineRule="auto"/>
        <w:ind w:left="0"/>
        <w:jc w:val="left"/>
      </w:pPr>
      <w:r>
        <w:rPr>
          <w:rFonts w:ascii="Arial" w:hAnsi="Arial" w:eastAsia="等线" w:cs="Arial"/>
          <w:sz w:val="22"/>
        </w:rPr>
        <w:t>证券的描述（股票、债券、代码等）；</w:t>
      </w:r>
    </w:p>
    <w:p w14:paraId="0D262625">
      <w:pPr>
        <w:numPr>
          <w:ilvl w:val="0"/>
          <w:numId w:val="76"/>
        </w:numPr>
        <w:spacing w:before="120" w:after="120" w:line="288" w:lineRule="auto"/>
        <w:ind w:left="0"/>
        <w:jc w:val="left"/>
      </w:pPr>
      <w:r>
        <w:rPr>
          <w:rFonts w:ascii="Arial" w:hAnsi="Arial" w:eastAsia="等线" w:cs="Arial"/>
          <w:sz w:val="22"/>
        </w:rPr>
        <w:t>正在买入或卖出的股票或债券数量；</w:t>
      </w:r>
    </w:p>
    <w:p w14:paraId="1F8A99ED">
      <w:pPr>
        <w:numPr>
          <w:ilvl w:val="0"/>
          <w:numId w:val="77"/>
        </w:numPr>
        <w:spacing w:before="120" w:after="120" w:line="288" w:lineRule="auto"/>
        <w:ind w:left="0"/>
        <w:jc w:val="left"/>
      </w:pPr>
      <w:r>
        <w:rPr>
          <w:rFonts w:ascii="Arial" w:hAnsi="Arial" w:eastAsia="等线" w:cs="Arial"/>
          <w:sz w:val="22"/>
        </w:rPr>
        <w:t>注册代表是否对该账户拥有全权委托权；</w:t>
      </w:r>
    </w:p>
    <w:p w14:paraId="646DA29A">
      <w:pPr>
        <w:numPr>
          <w:ilvl w:val="0"/>
          <w:numId w:val="78"/>
        </w:numPr>
        <w:spacing w:before="120" w:after="120" w:line="288" w:lineRule="auto"/>
        <w:ind w:left="0"/>
        <w:jc w:val="left"/>
      </w:pPr>
      <w:r>
        <w:rPr>
          <w:rFonts w:ascii="Arial" w:hAnsi="Arial" w:eastAsia="等线" w:cs="Arial"/>
          <w:sz w:val="22"/>
        </w:rPr>
        <w:t>无论客户是买入、做多卖出（卖出持有的证券），还是做空卖出（卖出借入的证券；参见第12章）</w:t>
      </w:r>
    </w:p>
    <w:p w14:paraId="3A70166F">
      <w:pPr>
        <w:numPr>
          <w:ilvl w:val="0"/>
          <w:numId w:val="79"/>
        </w:numPr>
        <w:spacing w:before="120" w:after="120" w:line="288" w:lineRule="auto"/>
        <w:ind w:left="0"/>
        <w:jc w:val="left"/>
      </w:pPr>
      <w:r>
        <w:rPr>
          <w:rFonts w:ascii="Arial" w:hAnsi="Arial" w:eastAsia="等线" w:cs="Arial"/>
          <w:sz w:val="22"/>
        </w:rPr>
        <w:t>对于期权合约，无论客户是买入还是卖出、是有担保的还是无担保的、是开仓还是平仓（有关期权的信息请参见第11章）</w:t>
      </w:r>
    </w:p>
    <w:p w14:paraId="56CF29C7">
      <w:pPr>
        <w:numPr>
          <w:ilvl w:val="0"/>
          <w:numId w:val="80"/>
        </w:numPr>
        <w:spacing w:before="120" w:after="120" w:line="288" w:lineRule="auto"/>
        <w:ind w:left="0"/>
        <w:jc w:val="left"/>
      </w:pPr>
      <w:r>
        <w:rPr>
          <w:rFonts w:ascii="Arial" w:hAnsi="Arial" w:eastAsia="等线" w:cs="Arial"/>
          <w:sz w:val="22"/>
        </w:rPr>
        <w:t>无论是市价单、撤销前有效（GTC）单、当日单等等；</w:t>
      </w:r>
    </w:p>
    <w:p w14:paraId="3CA11AC9">
      <w:pPr>
        <w:numPr>
          <w:ilvl w:val="0"/>
          <w:numId w:val="81"/>
        </w:numPr>
        <w:spacing w:before="120" w:after="120" w:line="288" w:lineRule="auto"/>
        <w:ind w:left="0"/>
        <w:jc w:val="left"/>
      </w:pPr>
      <w:r>
        <w:rPr>
          <w:rFonts w:ascii="Arial" w:hAnsi="Arial" w:eastAsia="等线" w:cs="Arial"/>
          <w:sz w:val="22"/>
        </w:rPr>
        <w:t>交易是否以现金账户或保证金账户执行；</w:t>
      </w:r>
    </w:p>
    <w:p w14:paraId="5E77C7A7">
      <w:pPr>
        <w:numPr>
          <w:ilvl w:val="0"/>
          <w:numId w:val="82"/>
        </w:numPr>
        <w:spacing w:before="120" w:after="120" w:line="288" w:lineRule="auto"/>
        <w:ind w:left="0"/>
        <w:jc w:val="left"/>
      </w:pPr>
      <w:r>
        <w:rPr>
          <w:rFonts w:ascii="Arial" w:hAnsi="Arial" w:eastAsia="等线" w:cs="Arial"/>
          <w:sz w:val="22"/>
        </w:rPr>
        <w:t>该交易是应要求进行的还是主动进行的；</w:t>
      </w:r>
    </w:p>
    <w:p w14:paraId="44FDBCAE">
      <w:pPr>
        <w:numPr>
          <w:ilvl w:val="0"/>
          <w:numId w:val="83"/>
        </w:numPr>
        <w:spacing w:before="120" w:after="120" w:line="288" w:lineRule="auto"/>
        <w:ind w:left="0"/>
        <w:jc w:val="left"/>
      </w:pPr>
      <w:r>
        <w:rPr>
          <w:rFonts w:ascii="Arial" w:hAnsi="Arial" w:eastAsia="等线" w:cs="Arial"/>
          <w:sz w:val="22"/>
        </w:rPr>
        <w:t>订单时间。</w:t>
      </w:r>
    </w:p>
    <w:p w14:paraId="16FD1FFF">
      <w:pPr>
        <w:numPr>
          <w:ilvl w:val="0"/>
          <w:numId w:val="84"/>
        </w:numPr>
        <w:spacing w:before="120" w:after="120" w:line="288" w:lineRule="auto"/>
        <w:ind w:left="0"/>
        <w:jc w:val="left"/>
      </w:pPr>
      <w:r>
        <w:rPr>
          <w:rFonts w:ascii="Arial" w:hAnsi="Arial" w:eastAsia="等线" w:cs="Arial"/>
          <w:sz w:val="22"/>
        </w:rPr>
        <w:t>执行价格。</w:t>
      </w:r>
    </w:p>
    <w:p w14:paraId="39431824">
      <w:pPr>
        <w:spacing w:before="120" w:after="120" w:line="288" w:lineRule="auto"/>
        <w:ind w:left="0"/>
        <w:jc w:val="left"/>
      </w:pPr>
    </w:p>
    <w:p w14:paraId="68B18438">
      <w:pPr>
        <w:spacing w:before="260" w:after="120" w:line="288" w:lineRule="auto"/>
        <w:ind w:left="0"/>
        <w:jc w:val="left"/>
        <w:outlineLvl w:val="3"/>
      </w:pPr>
      <w:bookmarkStart w:id="24" w:name="heading_24"/>
      <w:r>
        <w:rPr>
          <w:rFonts w:ascii="Arial" w:hAnsi="Arial" w:eastAsia="等线" w:cs="Arial"/>
          <w:color w:val="3370FF"/>
          <w:sz w:val="28"/>
        </w:rPr>
        <w:t xml:space="preserve">2.3.1.2 </w:t>
      </w:r>
      <w:r>
        <w:rPr>
          <w:rFonts w:ascii="Arial" w:hAnsi="Arial" w:eastAsia="等线" w:cs="Arial"/>
          <w:b/>
          <w:sz w:val="28"/>
        </w:rPr>
        <w:t>指定非邀约交易（Designating unsolicited trades）</w:t>
      </w:r>
      <w:bookmarkEnd w:id="24"/>
    </w:p>
    <w:p w14:paraId="1CAF6A82">
      <w:pPr>
        <w:spacing w:before="120" w:after="120" w:line="288" w:lineRule="auto"/>
        <w:ind w:left="0"/>
        <w:jc w:val="left"/>
      </w:pPr>
      <w:r>
        <w:rPr>
          <w:rFonts w:ascii="Arial" w:hAnsi="Arial" w:eastAsia="等线" w:cs="Arial"/>
          <w:sz w:val="22"/>
        </w:rPr>
        <w:t>通常情况下，你推荐的证券应当符合客户的投资目标。然而，如果客户要求进行一笔你认为不合适的交易，你有责任告知他们这一点。你不必拒绝该订单。（客户有权按照自己认为合适的方式处理他们的资金，毕竟说到底，你的业务是为了赚取佣金。）如果客户仍想执行该交易，只需将订单标记为非邀约订单，这样责任就不在你身上了。</w:t>
      </w:r>
    </w:p>
    <w:p w14:paraId="4A53A960">
      <w:pPr>
        <w:spacing w:before="120" w:after="120" w:line="288" w:lineRule="auto"/>
        <w:ind w:left="0"/>
        <w:jc w:val="left"/>
      </w:pPr>
    </w:p>
    <w:p w14:paraId="68D55B02">
      <w:pPr>
        <w:spacing w:before="260" w:after="120" w:line="288" w:lineRule="auto"/>
        <w:ind w:left="0"/>
        <w:jc w:val="left"/>
        <w:outlineLvl w:val="3"/>
      </w:pPr>
      <w:bookmarkStart w:id="25" w:name="heading_25"/>
      <w:r>
        <w:rPr>
          <w:rFonts w:ascii="Arial" w:hAnsi="Arial" w:eastAsia="等线" w:cs="Arial"/>
          <w:color w:val="3370FF"/>
          <w:sz w:val="28"/>
        </w:rPr>
        <w:t xml:space="preserve">2.3.1.3 </w:t>
      </w:r>
      <w:r>
        <w:rPr>
          <w:rFonts w:ascii="Arial" w:hAnsi="Arial" w:eastAsia="等线" w:cs="Arial"/>
          <w:b/>
          <w:sz w:val="28"/>
        </w:rPr>
        <w:t>去负责人办公室：确保签名</w:t>
      </w:r>
      <w:bookmarkEnd w:id="25"/>
    </w:p>
    <w:p w14:paraId="3F392D30">
      <w:pPr>
        <w:spacing w:before="120" w:after="120" w:line="288" w:lineRule="auto"/>
        <w:ind w:left="0"/>
        <w:jc w:val="left"/>
      </w:pPr>
      <w:r>
        <w:rPr>
          <w:rFonts w:ascii="Arial" w:hAnsi="Arial" w:eastAsia="等线" w:cs="Arial"/>
          <w:sz w:val="22"/>
        </w:rPr>
        <w:t>负责人（Principals）是公司指定的管理人员。所有经纪公司必须至少有两名负责人（除非该公司是独资企业）。</w:t>
      </w:r>
    </w:p>
    <w:p w14:paraId="73322BED">
      <w:pPr>
        <w:spacing w:before="120" w:after="120" w:line="288" w:lineRule="auto"/>
        <w:ind w:left="0"/>
        <w:jc w:val="left"/>
      </w:pPr>
    </w:p>
    <w:p w14:paraId="0E1CD326">
      <w:pPr>
        <w:spacing w:before="120" w:after="120" w:line="288" w:lineRule="auto"/>
        <w:ind w:left="0"/>
        <w:jc w:val="left"/>
      </w:pPr>
      <w:r>
        <w:rPr>
          <w:rFonts w:ascii="Arial" w:hAnsi="Arial" w:eastAsia="等线" w:cs="Arial"/>
          <w:sz w:val="22"/>
        </w:rPr>
        <w:t>当你开立账户或进行交易时，你必须将新账户表格或订单凭证交给负责人签字。负责人需要批准所有新账户、账户中的所有交易以及所有广告和销售资料；他们还处理所有投诉（对你来说是个好消息！）、监督员工，并留意潜在的危险信号。（注：负责人无需批准招股说明书或你向客户提供的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03AD16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688EF7D">
            <w:pPr>
              <w:spacing w:before="120" w:after="120" w:line="288" w:lineRule="auto"/>
              <w:ind w:left="0"/>
              <w:jc w:val="left"/>
            </w:pPr>
            <w:r>
              <w:rPr>
                <w:rFonts w:ascii="Arial" w:hAnsi="Arial" w:eastAsia="等线" w:cs="Arial"/>
                <w:sz w:val="22"/>
              </w:rPr>
              <w:t>虽然通常情况下，你在接到订单后会立即将订单票据交给负责人，但负责人可以在当天晚些时候签署订单票据。如果你在SIE考试中被问到这个问题，你要回答的是，负责人需要在当天批准该交易，而不是在交易之前或交易后立即批准。</w:t>
            </w:r>
          </w:p>
        </w:tc>
      </w:tr>
    </w:tbl>
    <w:p w14:paraId="4ACDDEA1">
      <w:pPr>
        <w:spacing w:before="260" w:after="120" w:line="288" w:lineRule="auto"/>
        <w:ind w:left="0"/>
        <w:jc w:val="left"/>
        <w:outlineLvl w:val="3"/>
      </w:pPr>
      <w:bookmarkStart w:id="26" w:name="heading_26"/>
      <w:r>
        <w:rPr>
          <w:rFonts w:ascii="Arial" w:hAnsi="Arial" w:eastAsia="等线" w:cs="Arial"/>
          <w:color w:val="3370FF"/>
          <w:sz w:val="28"/>
        </w:rPr>
        <w:t xml:space="preserve">2.3.1.4 </w:t>
      </w:r>
      <w:r>
        <w:rPr>
          <w:rFonts w:ascii="Arial" w:hAnsi="Arial" w:eastAsia="等线" w:cs="Arial"/>
          <w:b/>
          <w:sz w:val="28"/>
        </w:rPr>
        <w:t>按比例分配</w:t>
      </w:r>
      <w:bookmarkEnd w:id="26"/>
    </w:p>
    <w:p w14:paraId="07B07941">
      <w:pPr>
        <w:spacing w:before="120" w:after="120" w:line="288" w:lineRule="auto"/>
        <w:ind w:left="0"/>
        <w:jc w:val="left"/>
      </w:pPr>
      <w:r>
        <w:rPr>
          <w:rFonts w:ascii="Arial" w:hAnsi="Arial" w:eastAsia="等线" w:cs="Arial"/>
          <w:sz w:val="22"/>
        </w:rPr>
        <w:t>会员或关联人员不得分享客户账户的利润或亏损。</w:t>
      </w:r>
    </w:p>
    <w:p w14:paraId="06383C6D">
      <w:pPr>
        <w:spacing w:before="120" w:after="120" w:line="288" w:lineRule="auto"/>
        <w:ind w:left="0"/>
        <w:jc w:val="left"/>
      </w:pPr>
    </w:p>
    <w:p w14:paraId="2C06DCB9">
      <w:pPr>
        <w:spacing w:before="120" w:after="120" w:line="288" w:lineRule="auto"/>
        <w:ind w:left="0"/>
        <w:jc w:val="left"/>
      </w:pPr>
      <w:r>
        <w:rPr>
          <w:rFonts w:ascii="Arial" w:hAnsi="Arial" w:eastAsia="等线" w:cs="Arial"/>
          <w:sz w:val="22"/>
        </w:rPr>
        <w:t>本规则的一个例外情况是，若该关联人员对该账户有出资。在这种情况下，该关联人员需要获得客户和负责人的书面授权，且利润和/或亏损由客户与关联会员根据出资比例进行分配。关联会员的直系亲属（父母、岳父母、配偶或子女）的账户不受按比例分配规则的限制。</w:t>
      </w:r>
    </w:p>
    <w:p w14:paraId="7B507940">
      <w:pPr>
        <w:spacing w:before="120" w:after="120" w:line="288" w:lineRule="auto"/>
        <w:ind w:left="0"/>
        <w:jc w:val="left"/>
      </w:pPr>
    </w:p>
    <w:p w14:paraId="4B46733D">
      <w:pPr>
        <w:spacing w:before="300" w:after="120" w:line="288" w:lineRule="auto"/>
        <w:ind w:left="0"/>
        <w:jc w:val="left"/>
        <w:outlineLvl w:val="2"/>
      </w:pPr>
      <w:bookmarkStart w:id="27" w:name="heading_27"/>
      <w:r>
        <w:rPr>
          <w:rFonts w:ascii="Arial" w:hAnsi="Arial" w:eastAsia="等线" w:cs="Arial"/>
          <w:color w:val="3370FF"/>
          <w:sz w:val="30"/>
        </w:rPr>
        <w:t xml:space="preserve">2.3.2 </w:t>
      </w:r>
      <w:r>
        <w:rPr>
          <w:rFonts w:ascii="Arial" w:hAnsi="Arial" w:eastAsia="等线" w:cs="Arial"/>
          <w:b/>
          <w:sz w:val="30"/>
        </w:rPr>
        <w:t>查看您的日历：付款和结算日期</w:t>
      </w:r>
      <w:bookmarkEnd w:id="27"/>
    </w:p>
    <w:p w14:paraId="6F7F24B0">
      <w:pPr>
        <w:spacing w:before="120" w:after="120" w:line="288" w:lineRule="auto"/>
        <w:ind w:left="0"/>
        <w:jc w:val="left"/>
      </w:pPr>
      <w:r>
        <w:rPr>
          <w:rFonts w:ascii="Arial" w:hAnsi="Arial" w:eastAsia="等线" w:cs="Arial"/>
          <w:sz w:val="22"/>
        </w:rPr>
        <w:t>投资者购买的证券有不同的支付和结算日期。</w:t>
      </w:r>
    </w:p>
    <w:p w14:paraId="32303218">
      <w:pPr>
        <w:numPr>
          <w:ilvl w:val="0"/>
          <w:numId w:val="85"/>
        </w:numPr>
        <w:spacing w:before="120" w:after="120" w:line="288" w:lineRule="auto"/>
        <w:ind w:left="0"/>
        <w:jc w:val="left"/>
      </w:pPr>
      <w:r>
        <w:rPr>
          <w:rFonts w:ascii="Arial" w:hAnsi="Arial" w:eastAsia="等线" w:cs="Arial"/>
          <w:sz w:val="22"/>
        </w:rPr>
        <w:t>交易日：交易执行的日期。购买证券的投资者在交易执行后立即拥有该证券，无论他们是否已为该交易付款。</w:t>
      </w:r>
    </w:p>
    <w:p w14:paraId="5F7A95A4">
      <w:pPr>
        <w:numPr>
          <w:ilvl w:val="0"/>
          <w:numId w:val="86"/>
        </w:numPr>
        <w:spacing w:before="120" w:after="120" w:line="288" w:lineRule="auto"/>
        <w:ind w:left="0"/>
        <w:jc w:val="left"/>
      </w:pPr>
      <w:r>
        <w:rPr>
          <w:rFonts w:ascii="Arial" w:hAnsi="Arial" w:eastAsia="等线" w:cs="Arial"/>
          <w:sz w:val="22"/>
        </w:rPr>
        <w:t>结算日：发行人更新其记录且证书交付至买方经纪公司的日期。</w:t>
      </w:r>
    </w:p>
    <w:p w14:paraId="5F07BAFA">
      <w:pPr>
        <w:numPr>
          <w:ilvl w:val="0"/>
          <w:numId w:val="87"/>
        </w:numPr>
        <w:spacing w:before="120" w:after="120" w:line="288" w:lineRule="auto"/>
        <w:ind w:left="0"/>
        <w:jc w:val="left"/>
      </w:pPr>
      <w:r>
        <w:rPr>
          <w:rFonts w:ascii="Arial" w:hAnsi="Arial" w:eastAsia="等线" w:cs="Arial"/>
          <w:sz w:val="22"/>
        </w:rPr>
        <w:t>付款日期：证券的买方必须为交易付款的日子。</w:t>
      </w:r>
    </w:p>
    <w:p w14:paraId="7BBC1C6D">
      <w:pPr>
        <w:spacing w:before="120" w:after="120" w:line="288" w:lineRule="auto"/>
        <w:ind w:left="0"/>
        <w:jc w:val="left"/>
      </w:pPr>
    </w:p>
    <w:p w14:paraId="496E1093">
      <w:pPr>
        <w:spacing w:before="120" w:after="120" w:line="288" w:lineRule="auto"/>
        <w:ind w:left="0"/>
        <w:jc w:val="left"/>
      </w:pPr>
      <w:r>
        <w:rPr>
          <w:rFonts w:ascii="Arial" w:hAnsi="Arial" w:eastAsia="等线" w:cs="Arial"/>
          <w:sz w:val="22"/>
        </w:rPr>
        <w:t>除非问题明确要求你遵循 FINRA 或 NYSE 的规则（我对此表示怀疑），否则请按下表中所示的美联储常规结算和付款日期来处理。FINRA 和 NYSE 的规则都要求证券付款不得迟于结算日，但美联储委员会规定，公司证券的付款日期为交易日后的四个工作日。</w:t>
      </w:r>
    </w:p>
    <w:p w14:paraId="0265BE9F">
      <w:pPr>
        <w:spacing w:before="120" w:after="120" w:line="288" w:lineRule="auto"/>
        <w:ind w:left="0"/>
        <w:jc w:val="left"/>
      </w:pPr>
    </w:p>
    <w:p w14:paraId="01019B60">
      <w:pPr>
        <w:spacing w:before="120" w:after="120" w:line="288" w:lineRule="auto"/>
        <w:ind w:left="0"/>
        <w:jc w:val="left"/>
      </w:pPr>
      <w:r>
        <w:rPr>
          <w:rFonts w:ascii="Arial" w:hAnsi="Arial" w:eastAsia="等线" w:cs="Arial"/>
          <w:sz w:val="22"/>
        </w:rPr>
        <w:t>常规结算和付款日期：</w:t>
      </w:r>
    </w:p>
    <w:p w14:paraId="20BFD85C">
      <w:pPr>
        <w:spacing w:before="120" w:after="120" w:line="288" w:lineRule="auto"/>
        <w:ind w:left="0"/>
        <w:jc w:val="center"/>
      </w:pPr>
      <w:r>
        <w:drawing>
          <wp:inline distT="0" distB="0" distL="0" distR="0">
            <wp:extent cx="5257800" cy="157162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571625"/>
                    </a:xfrm>
                    <a:prstGeom prst="rect">
                      <a:avLst/>
                    </a:prstGeom>
                  </pic:spPr>
                </pic:pic>
              </a:graphicData>
            </a:graphic>
          </wp:inline>
        </w:draw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57486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C32FF6F">
            <w:pPr>
              <w:spacing w:before="120" w:after="120" w:line="288" w:lineRule="auto"/>
              <w:ind w:left="0"/>
              <w:jc w:val="left"/>
            </w:pPr>
            <w:r>
              <w:rPr>
                <w:rFonts w:ascii="Arial" w:hAnsi="Arial" w:eastAsia="等线" w:cs="Arial"/>
                <w:sz w:val="22"/>
              </w:rPr>
              <w:t>现金交易（即当日结算）要求在交易日当天支付证券款项并交付证券。</w:t>
            </w:r>
          </w:p>
        </w:tc>
      </w:tr>
    </w:tbl>
    <w:p w14:paraId="7004B257">
      <w:pPr>
        <w:spacing w:before="120" w:after="120" w:line="288" w:lineRule="auto"/>
        <w:ind w:left="0"/>
        <w:jc w:val="left"/>
      </w:pPr>
      <w:r>
        <w:rPr>
          <w:rFonts w:ascii="Arial" w:hAnsi="Arial" w:eastAsia="等线" w:cs="Arial"/>
          <w:sz w:val="22"/>
        </w:rPr>
        <w:t>在某些情况下，证券可能无法按照前面的图表所示进行交付。在这些情况下，卖方可以说明将会延迟交付。买卖双方也可以在交易前或交易时共同商定一个延迟交付的日期。</w:t>
      </w:r>
    </w:p>
    <w:p w14:paraId="3D3C83A9">
      <w:pPr>
        <w:spacing w:before="120" w:after="120" w:line="288" w:lineRule="auto"/>
        <w:ind w:left="0"/>
        <w:jc w:val="left"/>
      </w:pPr>
    </w:p>
    <w:p w14:paraId="1371FCC0">
      <w:pPr>
        <w:spacing w:before="120" w:after="120" w:line="288" w:lineRule="auto"/>
        <w:ind w:left="0"/>
        <w:jc w:val="left"/>
      </w:pPr>
      <w:r>
        <w:rPr>
          <w:rFonts w:ascii="Arial" w:hAnsi="Arial" w:eastAsia="等线" w:cs="Arial"/>
          <w:sz w:val="22"/>
        </w:rPr>
        <w:t>“发行时、按发行条件及若发行”（发行时交易）交割方式适用于证券已获授权并向投资者售出，但证券凭证尚未准备好交割的情况。这种方式通常用于股票分割、市政债券的新发行以及国债（美国政府证券）。发行时证券的结算日可以是以下任意一种：</w:t>
      </w:r>
    </w:p>
    <w:p w14:paraId="5CCAD312">
      <w:pPr>
        <w:numPr>
          <w:ilvl w:val="0"/>
          <w:numId w:val="88"/>
        </w:numPr>
        <w:spacing w:before="120" w:after="120" w:line="288" w:lineRule="auto"/>
        <w:ind w:left="0"/>
        <w:jc w:val="left"/>
      </w:pPr>
      <w:r>
        <w:rPr>
          <w:rFonts w:ascii="Arial" w:hAnsi="Arial" w:eastAsia="等线" w:cs="Arial"/>
          <w:sz w:val="22"/>
        </w:rPr>
        <w:t>一个指定的日期（A date to be assigned）</w:t>
      </w:r>
    </w:p>
    <w:p w14:paraId="2862C5A3">
      <w:pPr>
        <w:numPr>
          <w:ilvl w:val="0"/>
          <w:numId w:val="89"/>
        </w:numPr>
        <w:spacing w:before="120" w:after="120" w:line="288" w:lineRule="auto"/>
        <w:ind w:left="0"/>
        <w:jc w:val="left"/>
      </w:pPr>
      <w:r>
        <w:rPr>
          <w:rFonts w:ascii="Arial" w:hAnsi="Arial" w:eastAsia="等线" w:cs="Arial"/>
          <w:sz w:val="22"/>
        </w:rPr>
        <w:t>证券准备好交付的后两个工作日（Two business days after the securities are ready for delivery）</w:t>
      </w:r>
    </w:p>
    <w:p w14:paraId="5E3B05A1">
      <w:pPr>
        <w:numPr>
          <w:ilvl w:val="0"/>
          <w:numId w:val="90"/>
        </w:numPr>
        <w:spacing w:before="120" w:after="120" w:line="288" w:lineRule="auto"/>
        <w:ind w:left="0"/>
        <w:jc w:val="left"/>
      </w:pPr>
      <w:r>
        <w:rPr>
          <w:rFonts w:ascii="Arial" w:hAnsi="Arial" w:eastAsia="等线" w:cs="Arial"/>
          <w:sz w:val="22"/>
        </w:rPr>
        <w:t>由美国金融业监管局确定的日期（On the date determined by FINRA）</w:t>
      </w:r>
    </w:p>
    <w:p w14:paraId="087F2AB4">
      <w:pPr>
        <w:spacing w:before="120" w:after="120" w:line="288" w:lineRule="auto"/>
        <w:ind w:left="0"/>
        <w:jc w:val="left"/>
      </w:pPr>
    </w:p>
    <w:p w14:paraId="1E84847D">
      <w:pPr>
        <w:spacing w:before="300" w:after="120" w:line="288" w:lineRule="auto"/>
        <w:ind w:left="0"/>
        <w:jc w:val="left"/>
        <w:outlineLvl w:val="2"/>
      </w:pPr>
      <w:bookmarkStart w:id="28" w:name="heading_28"/>
      <w:r>
        <w:rPr>
          <w:rFonts w:ascii="Arial" w:hAnsi="Arial" w:eastAsia="等线" w:cs="Arial"/>
          <w:color w:val="3370FF"/>
          <w:sz w:val="30"/>
        </w:rPr>
        <w:t xml:space="preserve">2.3.3 </w:t>
      </w:r>
      <w:r>
        <w:rPr>
          <w:rFonts w:ascii="Arial" w:hAnsi="Arial" w:eastAsia="等线" w:cs="Arial"/>
          <w:b/>
          <w:sz w:val="30"/>
        </w:rPr>
        <w:t>保护投资者信息：Regulation S-P</w:t>
      </w:r>
      <w:bookmarkEnd w:id="28"/>
    </w:p>
    <w:p w14:paraId="3D493040">
      <w:pPr>
        <w:spacing w:before="120" w:after="120" w:line="288" w:lineRule="auto"/>
        <w:ind w:left="0"/>
        <w:jc w:val="left"/>
      </w:pPr>
      <w:r>
        <w:rPr>
          <w:rFonts w:ascii="Arial" w:hAnsi="Arial" w:eastAsia="等线" w:cs="Arial"/>
          <w:sz w:val="22"/>
        </w:rPr>
        <w:t>S-P 条例也称为《消费者金融信息隐私规则》（Privacy of Consumer Financial Information），由 SEC 于 2000 年颁布。</w:t>
      </w:r>
    </w:p>
    <w:p w14:paraId="0B4651C3">
      <w:pPr>
        <w:spacing w:before="120" w:after="120" w:line="288" w:lineRule="auto"/>
        <w:ind w:left="0"/>
        <w:jc w:val="left"/>
      </w:pPr>
    </w:p>
    <w:p w14:paraId="6BC934DD">
      <w:pPr>
        <w:spacing w:before="120" w:after="120" w:line="288" w:lineRule="auto"/>
        <w:ind w:left="0"/>
        <w:jc w:val="left"/>
      </w:pPr>
      <w:r>
        <w:rPr>
          <w:rFonts w:ascii="Arial" w:hAnsi="Arial" w:eastAsia="等线" w:cs="Arial"/>
          <w:sz w:val="22"/>
        </w:rPr>
        <w:t>核心目的是要求经纪交易商、投资公司和注册投资顾问必须保护客户的非公开个人信息。</w:t>
      </w:r>
    </w:p>
    <w:p w14:paraId="10A0C456">
      <w:pPr>
        <w:spacing w:before="120" w:after="120" w:line="288" w:lineRule="auto"/>
        <w:ind w:left="0"/>
        <w:jc w:val="left"/>
      </w:pPr>
    </w:p>
    <w:p w14:paraId="67891C82">
      <w:pPr>
        <w:spacing w:before="120" w:after="120" w:line="288" w:lineRule="auto"/>
        <w:ind w:left="0"/>
        <w:jc w:val="left"/>
      </w:pPr>
      <w:r>
        <w:rPr>
          <w:rFonts w:ascii="Arial" w:hAnsi="Arial" w:eastAsia="等线" w:cs="Arial"/>
          <w:sz w:val="22"/>
        </w:rPr>
        <w:t>金融机构必须履行以下三项主要义务：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10"/>
        <w:gridCol w:w="6270"/>
      </w:tblGrid>
      <w:tr w14:paraId="297D93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080E249B">
            <w:pPr>
              <w:spacing w:before="120" w:after="120" w:line="288" w:lineRule="auto"/>
              <w:ind w:left="0"/>
              <w:jc w:val="left"/>
            </w:pPr>
            <w:r>
              <w:rPr>
                <w:rFonts w:ascii="Arial" w:hAnsi="Arial" w:eastAsia="等线" w:cs="Arial"/>
                <w:b/>
                <w:sz w:val="22"/>
              </w:rPr>
              <w:t>核心义务</w:t>
            </w:r>
          </w:p>
        </w:tc>
        <w:tc>
          <w:tcPr>
            <w:tcW w:w="6270" w:type="dxa"/>
            <w:tcMar>
              <w:top w:w="60" w:type="dxa"/>
              <w:left w:w="120" w:type="dxa"/>
              <w:bottom w:w="30" w:type="dxa"/>
              <w:right w:w="120" w:type="dxa"/>
            </w:tcMar>
          </w:tcPr>
          <w:p w14:paraId="67E62737">
            <w:pPr>
              <w:spacing w:before="120" w:after="120" w:line="288" w:lineRule="auto"/>
              <w:ind w:left="0"/>
              <w:jc w:val="left"/>
            </w:pPr>
            <w:r>
              <w:rPr>
                <w:rFonts w:ascii="Arial" w:hAnsi="Arial" w:eastAsia="等线" w:cs="Arial"/>
                <w:b/>
                <w:sz w:val="22"/>
              </w:rPr>
              <w:t>具体内容</w:t>
            </w:r>
          </w:p>
        </w:tc>
      </w:tr>
      <w:tr w14:paraId="63EF32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5AEFCEB8">
            <w:pPr>
              <w:spacing w:before="120" w:after="120" w:line="288" w:lineRule="auto"/>
              <w:ind w:left="0"/>
              <w:jc w:val="left"/>
            </w:pPr>
            <w:r>
              <w:rPr>
                <w:rFonts w:ascii="Arial" w:hAnsi="Arial" w:eastAsia="等线" w:cs="Arial"/>
                <w:sz w:val="22"/>
              </w:rPr>
              <w:t>隐私政策通知</w:t>
            </w:r>
          </w:p>
          <w:p w14:paraId="53C60B95">
            <w:pPr>
              <w:spacing w:before="120" w:after="120" w:line="288" w:lineRule="auto"/>
              <w:ind w:left="0"/>
              <w:jc w:val="left"/>
            </w:pPr>
            <w:r>
              <w:rPr>
                <w:rFonts w:ascii="Arial" w:hAnsi="Arial" w:eastAsia="等线" w:cs="Arial"/>
                <w:sz w:val="22"/>
              </w:rPr>
              <w:t>Privacy Policy Notice</w:t>
            </w:r>
          </w:p>
        </w:tc>
        <w:tc>
          <w:tcPr>
            <w:tcW w:w="6270" w:type="dxa"/>
            <w:tcMar>
              <w:top w:w="60" w:type="dxa"/>
              <w:left w:w="120" w:type="dxa"/>
              <w:bottom w:w="30" w:type="dxa"/>
              <w:right w:w="120" w:type="dxa"/>
            </w:tcMar>
          </w:tcPr>
          <w:p w14:paraId="5C9A6118">
            <w:pPr>
              <w:spacing w:before="120" w:after="120" w:line="288" w:lineRule="auto"/>
              <w:ind w:left="0"/>
              <w:jc w:val="left"/>
            </w:pPr>
            <w:r>
              <w:rPr>
                <w:rFonts w:ascii="Arial" w:hAnsi="Arial" w:eastAsia="等线" w:cs="Arial"/>
                <w:sz w:val="22"/>
              </w:rPr>
              <w:t>金融机构必须在与客户建立关系时，以及此后</w:t>
            </w:r>
            <w:r>
              <w:rPr>
                <w:rFonts w:ascii="Arial" w:hAnsi="Arial" w:eastAsia="等线" w:cs="Arial"/>
                <w:b/>
                <w:sz w:val="22"/>
              </w:rPr>
              <w:t>每年（annually）</w:t>
            </w:r>
            <w:r>
              <w:rPr>
                <w:rFonts w:ascii="Arial" w:hAnsi="Arial" w:eastAsia="等线" w:cs="Arial"/>
                <w:sz w:val="22"/>
              </w:rPr>
              <w:t>，向客户提交其隐私政策通知。这份通知需要清晰地说明机构收集了哪些客户信息、将如何与关联方及非关联第三方共享这些信息，以及其保护客户信息的措施和做法 。</w:t>
            </w:r>
          </w:p>
        </w:tc>
      </w:tr>
      <w:tr w14:paraId="1D1E65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6CB9375A">
            <w:pPr>
              <w:spacing w:before="120" w:after="120" w:line="288" w:lineRule="auto"/>
              <w:ind w:left="0"/>
              <w:jc w:val="left"/>
            </w:pPr>
            <w:r>
              <w:rPr>
                <w:rFonts w:ascii="Arial" w:hAnsi="Arial" w:eastAsia="等线" w:cs="Arial"/>
                <w:sz w:val="22"/>
              </w:rPr>
              <w:t>选择退出权利</w:t>
            </w:r>
          </w:p>
          <w:p w14:paraId="00333EF8">
            <w:pPr>
              <w:spacing w:before="120" w:after="120" w:line="288" w:lineRule="auto"/>
              <w:ind w:left="0"/>
              <w:jc w:val="left"/>
            </w:pPr>
            <w:r>
              <w:rPr>
                <w:rFonts w:ascii="Arial" w:hAnsi="Arial" w:eastAsia="等线" w:cs="Arial"/>
                <w:sz w:val="22"/>
              </w:rPr>
              <w:t>Opt out right</w:t>
            </w:r>
          </w:p>
        </w:tc>
        <w:tc>
          <w:tcPr>
            <w:tcW w:w="6270" w:type="dxa"/>
            <w:tcMar>
              <w:top w:w="60" w:type="dxa"/>
              <w:left w:w="120" w:type="dxa"/>
              <w:bottom w:w="30" w:type="dxa"/>
              <w:right w:w="120" w:type="dxa"/>
            </w:tcMar>
          </w:tcPr>
          <w:p w14:paraId="6173D954">
            <w:pPr>
              <w:spacing w:before="120" w:after="120" w:line="288" w:lineRule="auto"/>
              <w:ind w:left="0"/>
              <w:jc w:val="left"/>
            </w:pPr>
            <w:r>
              <w:rPr>
                <w:rFonts w:ascii="Arial" w:hAnsi="Arial" w:eastAsia="等线" w:cs="Arial"/>
                <w:sz w:val="22"/>
              </w:rPr>
              <w:t>客户拥有 “选择退出” 的权利。如果金融机构计划将客户的非公开个人信息透露给非关联的第三方，通常必须提前通知客户，并给予客户机会以选择禁止这种披露（即“选择退出”）。</w:t>
            </w:r>
          </w:p>
        </w:tc>
      </w:tr>
      <w:tr w14:paraId="03A026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10" w:type="dxa"/>
            <w:tcMar>
              <w:top w:w="60" w:type="dxa"/>
              <w:left w:w="120" w:type="dxa"/>
              <w:bottom w:w="30" w:type="dxa"/>
              <w:right w:w="120" w:type="dxa"/>
            </w:tcMar>
          </w:tcPr>
          <w:p w14:paraId="1447C241">
            <w:pPr>
              <w:spacing w:before="120" w:after="120" w:line="288" w:lineRule="auto"/>
              <w:ind w:left="0"/>
              <w:jc w:val="left"/>
            </w:pPr>
            <w:r>
              <w:rPr>
                <w:rFonts w:ascii="Arial" w:hAnsi="Arial" w:eastAsia="等线" w:cs="Arial"/>
                <w:sz w:val="22"/>
              </w:rPr>
              <w:t>保护与处置</w:t>
            </w:r>
          </w:p>
          <w:p w14:paraId="68B351EA">
            <w:pPr>
              <w:spacing w:before="120" w:after="120" w:line="288" w:lineRule="auto"/>
              <w:ind w:left="0"/>
              <w:jc w:val="left"/>
            </w:pPr>
            <w:r>
              <w:rPr>
                <w:rFonts w:ascii="Arial" w:hAnsi="Arial" w:eastAsia="等线" w:cs="Arial"/>
                <w:sz w:val="22"/>
              </w:rPr>
              <w:t>Protection and disposal</w:t>
            </w:r>
          </w:p>
          <w:p w14:paraId="249FD467">
            <w:pPr>
              <w:spacing w:before="120" w:after="120" w:line="288" w:lineRule="auto"/>
              <w:ind w:left="0"/>
              <w:jc w:val="left"/>
            </w:pPr>
          </w:p>
        </w:tc>
        <w:tc>
          <w:tcPr>
            <w:tcW w:w="6270" w:type="dxa"/>
            <w:tcMar>
              <w:top w:w="60" w:type="dxa"/>
              <w:left w:w="120" w:type="dxa"/>
              <w:bottom w:w="30" w:type="dxa"/>
              <w:right w:w="120" w:type="dxa"/>
            </w:tcMar>
          </w:tcPr>
          <w:p w14:paraId="414A2022">
            <w:pPr>
              <w:spacing w:before="120" w:after="120" w:line="288" w:lineRule="auto"/>
              <w:ind w:left="0"/>
              <w:jc w:val="left"/>
            </w:pPr>
            <w:r>
              <w:rPr>
                <w:rFonts w:ascii="Arial" w:hAnsi="Arial" w:eastAsia="等线" w:cs="Arial"/>
                <w:sz w:val="22"/>
              </w:rPr>
              <w:t>金融机构必须采纳书面政策与程序（written policies and procedures），以确保客户信息的安全与机密性。这些政策程序必须旨在保障客户记录和信息的安全，防止任何可能导致客户不便或损害的任何安全威胁。此外，规则还规定了对于客户信息的妥善处置要求，以防止未经授权的访问和使用。</w:t>
            </w:r>
          </w:p>
        </w:tc>
      </w:tr>
    </w:tbl>
    <w:p w14:paraId="4AB65C1A">
      <w:pPr>
        <w:spacing w:before="300" w:after="120" w:line="288" w:lineRule="auto"/>
        <w:ind w:left="0"/>
        <w:jc w:val="left"/>
        <w:outlineLvl w:val="2"/>
      </w:pPr>
      <w:bookmarkStart w:id="29" w:name="heading_29"/>
      <w:r>
        <w:rPr>
          <w:rFonts w:ascii="Arial" w:hAnsi="Arial" w:eastAsia="等线" w:cs="Arial"/>
          <w:color w:val="3370FF"/>
          <w:sz w:val="30"/>
        </w:rPr>
        <w:t xml:space="preserve">2.3.4 </w:t>
      </w:r>
      <w:r>
        <w:rPr>
          <w:rFonts w:ascii="Arial" w:hAnsi="Arial" w:eastAsia="等线" w:cs="Arial"/>
          <w:b/>
          <w:sz w:val="30"/>
        </w:rPr>
        <w:t>确认交易</w:t>
      </w:r>
      <w:bookmarkEnd w:id="29"/>
    </w:p>
    <w:p w14:paraId="020CB388">
      <w:pPr>
        <w:spacing w:before="120" w:after="120" w:line="288" w:lineRule="auto"/>
        <w:ind w:left="0"/>
        <w:jc w:val="left"/>
      </w:pPr>
      <w:r>
        <w:rPr>
          <w:rFonts w:ascii="Arial" w:hAnsi="Arial" w:eastAsia="等线" w:cs="Arial"/>
          <w:sz w:val="22"/>
        </w:rPr>
        <w:t>交易确认书（trade confirmation）也叫交易收据(receipt of trade)，是交易发生后发送给客户的文件。</w:t>
      </w:r>
    </w:p>
    <w:p w14:paraId="672522D5">
      <w:pPr>
        <w:spacing w:before="120" w:after="120" w:line="288" w:lineRule="auto"/>
        <w:ind w:left="0"/>
        <w:jc w:val="left"/>
      </w:pPr>
    </w:p>
    <w:p w14:paraId="5BFEB1A3">
      <w:pPr>
        <w:spacing w:before="120" w:after="120" w:line="288" w:lineRule="auto"/>
        <w:ind w:left="0"/>
        <w:jc w:val="left"/>
      </w:pPr>
      <w:r>
        <w:rPr>
          <w:rFonts w:ascii="Arial" w:hAnsi="Arial" w:eastAsia="等线" w:cs="Arial"/>
          <w:sz w:val="22"/>
        </w:rPr>
        <w:t>每笔交易完成后，你必须在交易完成时（结算日）或之前发出交易确认书。以下是确认书中包含的信息清单：</w:t>
      </w:r>
    </w:p>
    <w:p w14:paraId="52C8BFDF">
      <w:pPr>
        <w:numPr>
          <w:ilvl w:val="0"/>
          <w:numId w:val="91"/>
        </w:numPr>
        <w:spacing w:before="120" w:after="120" w:line="288" w:lineRule="auto"/>
        <w:ind w:left="0"/>
        <w:jc w:val="left"/>
      </w:pPr>
      <w:r>
        <w:rPr>
          <w:rFonts w:ascii="Arial" w:hAnsi="Arial" w:eastAsia="等线" w:cs="Arial"/>
          <w:sz w:val="22"/>
        </w:rPr>
        <w:t>客户的账户号码</w:t>
      </w:r>
    </w:p>
    <w:p w14:paraId="15846503">
      <w:pPr>
        <w:numPr>
          <w:ilvl w:val="0"/>
          <w:numId w:val="92"/>
        </w:numPr>
        <w:spacing w:before="120" w:after="120" w:line="288" w:lineRule="auto"/>
        <w:ind w:left="0"/>
        <w:jc w:val="left"/>
      </w:pPr>
      <w:r>
        <w:rPr>
          <w:rFonts w:ascii="Arial" w:hAnsi="Arial" w:eastAsia="等线" w:cs="Arial"/>
          <w:sz w:val="22"/>
        </w:rPr>
        <w:t>注册代表的身份证号码</w:t>
      </w:r>
    </w:p>
    <w:p w14:paraId="231AD499">
      <w:pPr>
        <w:numPr>
          <w:ilvl w:val="0"/>
          <w:numId w:val="93"/>
        </w:numPr>
        <w:spacing w:before="120" w:after="120" w:line="288" w:lineRule="auto"/>
        <w:ind w:left="0"/>
        <w:jc w:val="left"/>
      </w:pPr>
      <w:r>
        <w:rPr>
          <w:rFonts w:ascii="Arial" w:hAnsi="Arial" w:eastAsia="等线" w:cs="Arial"/>
          <w:sz w:val="22"/>
        </w:rPr>
        <w:t>交易日期</w:t>
      </w:r>
    </w:p>
    <w:p w14:paraId="2657326F">
      <w:pPr>
        <w:numPr>
          <w:ilvl w:val="0"/>
          <w:numId w:val="94"/>
        </w:numPr>
        <w:spacing w:before="120" w:after="120" w:line="288" w:lineRule="auto"/>
        <w:ind w:left="0"/>
        <w:jc w:val="left"/>
      </w:pPr>
      <w:r>
        <w:rPr>
          <w:rFonts w:ascii="Arial" w:hAnsi="Arial" w:eastAsia="等线" w:cs="Arial"/>
          <w:sz w:val="22"/>
        </w:rPr>
        <w:t>客户是买入（BOT）、卖出（SLD）还是卖空</w:t>
      </w:r>
    </w:p>
    <w:p w14:paraId="3B16298B">
      <w:pPr>
        <w:numPr>
          <w:ilvl w:val="0"/>
          <w:numId w:val="95"/>
        </w:numPr>
        <w:spacing w:before="120" w:after="120" w:line="288" w:lineRule="auto"/>
        <w:ind w:left="0"/>
        <w:jc w:val="left"/>
      </w:pPr>
      <w:r>
        <w:rPr>
          <w:rFonts w:ascii="Arial" w:hAnsi="Arial" w:eastAsia="等线" w:cs="Arial"/>
          <w:sz w:val="22"/>
        </w:rPr>
        <w:t>所购买或出售证券的描述</w:t>
      </w:r>
    </w:p>
    <w:p w14:paraId="5E0EB3E0">
      <w:pPr>
        <w:numPr>
          <w:ilvl w:val="0"/>
          <w:numId w:val="96"/>
        </w:numPr>
        <w:spacing w:before="120" w:after="120" w:line="288" w:lineRule="auto"/>
        <w:ind w:left="0"/>
        <w:jc w:val="left"/>
      </w:pPr>
      <w:r>
        <w:rPr>
          <w:rFonts w:ascii="Arial" w:hAnsi="Arial" w:eastAsia="等线" w:cs="Arial"/>
          <w:sz w:val="22"/>
        </w:rPr>
        <w:t>所购买或出售的股票数量或债券的票面价值</w:t>
      </w:r>
    </w:p>
    <w:p w14:paraId="2AE46364">
      <w:pPr>
        <w:numPr>
          <w:ilvl w:val="0"/>
          <w:numId w:val="97"/>
        </w:numPr>
        <w:spacing w:before="120" w:after="120" w:line="288" w:lineRule="auto"/>
        <w:ind w:left="0"/>
        <w:jc w:val="left"/>
      </w:pPr>
      <w:r>
        <w:rPr>
          <w:rFonts w:ascii="Arial" w:hAnsi="Arial" w:eastAsia="等线" w:cs="Arial"/>
          <w:sz w:val="22"/>
        </w:rPr>
        <w:t>收益率（若为债券）</w:t>
      </w:r>
    </w:p>
    <w:p w14:paraId="140E02C0">
      <w:pPr>
        <w:numPr>
          <w:ilvl w:val="0"/>
          <w:numId w:val="98"/>
        </w:numPr>
        <w:spacing w:before="120" w:after="120" w:line="288" w:lineRule="auto"/>
        <w:ind w:left="0"/>
        <w:jc w:val="left"/>
      </w:pPr>
      <w:r>
        <w:rPr>
          <w:rFonts w:ascii="Arial" w:hAnsi="Arial" w:eastAsia="等线" w:cs="Arial"/>
          <w:sz w:val="22"/>
        </w:rPr>
        <w:t>统一证券识别程序委员会（CUSIP）编号（换句话说，就是一个证券识别编号）</w:t>
      </w:r>
    </w:p>
    <w:p w14:paraId="7A2E55DD">
      <w:pPr>
        <w:numPr>
          <w:ilvl w:val="0"/>
          <w:numId w:val="99"/>
        </w:numPr>
        <w:spacing w:before="120" w:after="120" w:line="288" w:lineRule="auto"/>
        <w:ind w:left="0"/>
        <w:jc w:val="left"/>
      </w:pPr>
      <w:r>
        <w:rPr>
          <w:rFonts w:ascii="Arial" w:hAnsi="Arial" w:eastAsia="等线" w:cs="Arial"/>
          <w:sz w:val="22"/>
        </w:rPr>
        <w:t>证券的价格</w:t>
      </w:r>
    </w:p>
    <w:p w14:paraId="0DDE2B84">
      <w:pPr>
        <w:numPr>
          <w:ilvl w:val="0"/>
          <w:numId w:val="100"/>
        </w:numPr>
        <w:spacing w:before="120" w:after="120" w:line="288" w:lineRule="auto"/>
        <w:ind w:left="0"/>
        <w:jc w:val="left"/>
      </w:pPr>
      <w:r>
        <w:rPr>
          <w:rFonts w:ascii="Arial" w:hAnsi="Arial" w:eastAsia="等线" w:cs="Arial"/>
          <w:sz w:val="22"/>
        </w:rPr>
        <w:t>支付或收到的总金额，不包括佣金或任何费用</w:t>
      </w:r>
    </w:p>
    <w:p w14:paraId="0C81698D">
      <w:pPr>
        <w:numPr>
          <w:ilvl w:val="0"/>
          <w:numId w:val="101"/>
        </w:numPr>
        <w:spacing w:before="120" w:after="120" w:line="288" w:lineRule="auto"/>
        <w:ind w:left="0"/>
        <w:jc w:val="left"/>
      </w:pPr>
      <w:r>
        <w:rPr>
          <w:rFonts w:ascii="Arial" w:hAnsi="Arial" w:eastAsia="等线" w:cs="Arial"/>
          <w:sz w:val="22"/>
        </w:rPr>
        <w:t>这笔佣金在买入时计入，在卖出时扣除（如果经纪交易商是从自己的库存中买入或卖出，则无需披露降价或加价部分）</w:t>
      </w:r>
    </w:p>
    <w:p w14:paraId="145C912C">
      <w:pPr>
        <w:numPr>
          <w:ilvl w:val="0"/>
          <w:numId w:val="102"/>
        </w:numPr>
        <w:spacing w:before="120" w:after="120" w:line="288" w:lineRule="auto"/>
        <w:ind w:left="0"/>
        <w:jc w:val="left"/>
      </w:pPr>
      <w:r>
        <w:rPr>
          <w:rFonts w:ascii="Arial" w:hAnsi="Arial" w:eastAsia="等线" w:cs="Arial"/>
          <w:sz w:val="22"/>
        </w:rPr>
        <w:t>净额，即客户在加上或减去佣金后支付或收到的金额（如果投资者购买或出售债券，在此计算过程中会加上或减去应计利息）</w:t>
      </w:r>
    </w:p>
    <w:p w14:paraId="01F2E9FB">
      <w:pPr>
        <w:numPr>
          <w:ilvl w:val="0"/>
          <w:numId w:val="103"/>
        </w:numPr>
        <w:spacing w:before="120" w:after="120" w:line="288" w:lineRule="auto"/>
        <w:ind w:left="0"/>
        <w:jc w:val="left"/>
      </w:pPr>
      <w:r>
        <w:rPr>
          <w:rFonts w:ascii="Arial" w:hAnsi="Arial" w:eastAsia="等线" w:cs="Arial"/>
          <w:sz w:val="22"/>
        </w:rPr>
        <w:t>该交易是以本金还是代理方式执行的（交易身份）</w:t>
      </w:r>
    </w:p>
    <w:p w14:paraId="01EE4A56">
      <w:pPr>
        <w:spacing w:before="120" w:after="120" w:line="288" w:lineRule="auto"/>
        <w:ind w:left="0"/>
        <w:jc w:val="left"/>
      </w:pPr>
    </w:p>
    <w:p w14:paraId="265142DE">
      <w:pPr>
        <w:spacing w:before="120" w:after="120" w:line="288" w:lineRule="auto"/>
        <w:ind w:left="0"/>
        <w:jc w:val="left"/>
      </w:pPr>
      <w:r>
        <w:rPr>
          <w:rFonts w:ascii="Arial" w:hAnsi="Arial" w:eastAsia="等线" w:cs="Arial"/>
          <w:sz w:val="22"/>
        </w:rPr>
        <w:t>你应该能认出前面列表中列出的项目，这些是包括市政债券在内的大多数证券交易所需的。然而，市政证券规则制定委员会（MSRB）往往更为严格，还要求提供以下信息：</w:t>
      </w:r>
    </w:p>
    <w:p w14:paraId="0DFB501B">
      <w:pPr>
        <w:numPr>
          <w:ilvl w:val="0"/>
          <w:numId w:val="104"/>
        </w:numPr>
        <w:spacing w:before="120" w:after="120" w:line="288" w:lineRule="auto"/>
        <w:ind w:left="0"/>
        <w:jc w:val="left"/>
      </w:pPr>
      <w:r>
        <w:rPr>
          <w:rFonts w:ascii="Arial" w:hAnsi="Arial" w:eastAsia="等线" w:cs="Arial"/>
          <w:sz w:val="22"/>
        </w:rPr>
        <w:t>该成员是否在同一交易中同时担任客户和另一人的代理人</w:t>
      </w:r>
    </w:p>
    <w:p w14:paraId="4BB04A8C">
      <w:pPr>
        <w:numPr>
          <w:ilvl w:val="0"/>
          <w:numId w:val="105"/>
        </w:numPr>
        <w:spacing w:before="120" w:after="120" w:line="288" w:lineRule="auto"/>
        <w:ind w:left="0"/>
        <w:jc w:val="left"/>
      </w:pPr>
      <w:r>
        <w:rPr>
          <w:rFonts w:ascii="Arial" w:hAnsi="Arial" w:eastAsia="等线" w:cs="Arial"/>
          <w:sz w:val="22"/>
        </w:rPr>
        <w:t>机构账户的执行时间或市政基金证券的交易执行时间</w:t>
      </w:r>
    </w:p>
    <w:p w14:paraId="2DAE2F50">
      <w:pPr>
        <w:numPr>
          <w:ilvl w:val="0"/>
          <w:numId w:val="106"/>
        </w:numPr>
        <w:spacing w:before="120" w:after="120" w:line="288" w:lineRule="auto"/>
        <w:ind w:left="0"/>
        <w:jc w:val="left"/>
      </w:pPr>
      <w:r>
        <w:rPr>
          <w:rFonts w:ascii="Arial" w:hAnsi="Arial" w:eastAsia="等线" w:cs="Arial"/>
          <w:sz w:val="22"/>
        </w:rPr>
        <w:t>结算日期</w:t>
      </w:r>
    </w:p>
    <w:p w14:paraId="69235143">
      <w:pPr>
        <w:numPr>
          <w:ilvl w:val="0"/>
          <w:numId w:val="107"/>
        </w:numPr>
        <w:spacing w:before="120" w:after="120" w:line="288" w:lineRule="auto"/>
        <w:ind w:left="0"/>
        <w:jc w:val="left"/>
      </w:pPr>
      <w:r>
        <w:rPr>
          <w:rFonts w:ascii="Arial" w:hAnsi="Arial" w:eastAsia="等线" w:cs="Arial"/>
          <w:sz w:val="22"/>
        </w:rPr>
        <w:t>到期收益率或赎回收益率，以较低者为准</w:t>
      </w:r>
    </w:p>
    <w:p w14:paraId="0CA4C3EA">
      <w:pPr>
        <w:numPr>
          <w:ilvl w:val="0"/>
          <w:numId w:val="108"/>
        </w:numPr>
        <w:spacing w:before="120" w:after="120" w:line="288" w:lineRule="auto"/>
        <w:ind w:left="0"/>
        <w:jc w:val="left"/>
      </w:pPr>
      <w:r>
        <w:rPr>
          <w:rFonts w:ascii="Arial" w:hAnsi="Arial" w:eastAsia="等线" w:cs="Arial"/>
          <w:sz w:val="22"/>
        </w:rPr>
        <w:t>最终款项，包括交易的总美元金额以及（如适用）应计利息</w:t>
      </w:r>
    </w:p>
    <w:p w14:paraId="58D6517F">
      <w:pPr>
        <w:numPr>
          <w:ilvl w:val="0"/>
          <w:numId w:val="109"/>
        </w:numPr>
        <w:spacing w:before="120" w:after="120" w:line="288" w:lineRule="auto"/>
        <w:ind w:left="0"/>
        <w:jc w:val="left"/>
      </w:pPr>
      <w:r>
        <w:rPr>
          <w:rFonts w:ascii="Arial" w:hAnsi="Arial" w:eastAsia="等线" w:cs="Arial"/>
          <w:sz w:val="22"/>
        </w:rPr>
        <w:t>证券是否有任何信用支持（对于收益债券而言，是收入来源；或者债券是否有保险支持）</w:t>
      </w:r>
    </w:p>
    <w:p w14:paraId="54B216A8">
      <w:pPr>
        <w:numPr>
          <w:ilvl w:val="0"/>
          <w:numId w:val="110"/>
        </w:numPr>
        <w:spacing w:before="120" w:after="120" w:line="288" w:lineRule="auto"/>
        <w:ind w:left="0"/>
        <w:jc w:val="left"/>
      </w:pPr>
      <w:r>
        <w:rPr>
          <w:rFonts w:ascii="Arial" w:hAnsi="Arial" w:eastAsia="等线" w:cs="Arial"/>
          <w:sz w:val="22"/>
        </w:rPr>
        <w:t>债券的任何特殊特征（可赎回、可回售、阶梯式票面利率、仅记账式等）</w:t>
      </w:r>
    </w:p>
    <w:p w14:paraId="171CE40A">
      <w:pPr>
        <w:numPr>
          <w:ilvl w:val="0"/>
          <w:numId w:val="111"/>
        </w:numPr>
        <w:spacing w:before="120" w:after="120" w:line="288" w:lineRule="auto"/>
        <w:ind w:left="0"/>
        <w:jc w:val="left"/>
      </w:pPr>
      <w:r>
        <w:rPr>
          <w:rFonts w:ascii="Arial" w:hAnsi="Arial" w:eastAsia="等线" w:cs="Arial"/>
          <w:sz w:val="22"/>
        </w:rPr>
        <w:t>证券状态信息（提前赎回、赎回通知、托管至到期、违约证券等）</w:t>
      </w:r>
    </w:p>
    <w:p w14:paraId="0BBF55E3">
      <w:pPr>
        <w:numPr>
          <w:ilvl w:val="0"/>
          <w:numId w:val="112"/>
        </w:numPr>
        <w:spacing w:before="120" w:after="120" w:line="288" w:lineRule="auto"/>
        <w:ind w:left="0"/>
        <w:jc w:val="left"/>
      </w:pPr>
      <w:r>
        <w:rPr>
          <w:rFonts w:ascii="Arial" w:hAnsi="Arial" w:eastAsia="等线" w:cs="Arial"/>
          <w:sz w:val="22"/>
        </w:rPr>
        <w:t>税务信息（应税、非应税、需缴纳替代性最低税、原始发行折扣）</w:t>
      </w:r>
    </w:p>
    <w:p w14:paraId="2B699DC6">
      <w:pPr>
        <w:spacing w:before="120" w:after="120" w:line="288" w:lineRule="auto"/>
        <w:ind w:left="0"/>
        <w:jc w:val="left"/>
      </w:pPr>
    </w:p>
    <w:p w14:paraId="0C64060A">
      <w:pPr>
        <w:spacing w:before="300" w:after="120" w:line="288" w:lineRule="auto"/>
        <w:ind w:left="0"/>
        <w:jc w:val="left"/>
        <w:outlineLvl w:val="2"/>
      </w:pPr>
      <w:bookmarkStart w:id="30" w:name="heading_30"/>
      <w:r>
        <w:rPr>
          <w:rFonts w:ascii="Arial" w:hAnsi="Arial" w:eastAsia="等线" w:cs="Arial"/>
          <w:color w:val="3370FF"/>
          <w:sz w:val="30"/>
        </w:rPr>
        <w:t xml:space="preserve">2.3.5 </w:t>
      </w:r>
      <w:r>
        <w:rPr>
          <w:rFonts w:ascii="Arial" w:hAnsi="Arial" w:eastAsia="等线" w:cs="Arial"/>
          <w:b/>
          <w:sz w:val="30"/>
        </w:rPr>
        <w:t>实物形式与账面记录</w:t>
      </w:r>
      <w:bookmarkEnd w:id="30"/>
    </w:p>
    <w:p w14:paraId="3CC7F76E">
      <w:pPr>
        <w:spacing w:before="120" w:after="120" w:line="288" w:lineRule="auto"/>
        <w:ind w:left="0"/>
        <w:jc w:val="left"/>
      </w:pPr>
      <w:r>
        <w:rPr>
          <w:rFonts w:ascii="Arial" w:hAnsi="Arial" w:eastAsia="等线" w:cs="Arial"/>
          <w:sz w:val="22"/>
        </w:rPr>
        <w:t>虽然许多年前，几乎所有股票凭证和债务证券（债券）的交付都是实物形式（这意味着你实际上会收到凭证），但现在大多数交付和结算都是记账形式。</w:t>
      </w:r>
    </w:p>
    <w:p w14:paraId="3571F923">
      <w:pPr>
        <w:spacing w:before="120" w:after="120" w:line="288" w:lineRule="auto"/>
        <w:ind w:left="0"/>
        <w:jc w:val="left"/>
      </w:pPr>
    </w:p>
    <w:p w14:paraId="1AAFFD35">
      <w:pPr>
        <w:spacing w:before="120" w:after="120" w:line="288" w:lineRule="auto"/>
        <w:ind w:left="0"/>
        <w:jc w:val="left"/>
      </w:pPr>
      <w:r>
        <w:rPr>
          <w:rFonts w:ascii="Arial" w:hAnsi="Arial" w:eastAsia="等线" w:cs="Arial"/>
          <w:sz w:val="22"/>
        </w:rPr>
        <w:t>尽管你无法实际持有那些常常设计精美的凭证，但记账形式有助于节省资金，并使交易变得更加容易。通过记账形式购买证券时，你会收到一份交易收据，表明你拥有这些证券，但不会收到实际的凭证。你的交易活动记录会保存在金融机构的账簿中。当需要出售证券时，无需进行任何实物转移，只需在机构的账簿上进行变更，你会收到交易的确认（收据）。</w:t>
      </w:r>
    </w:p>
    <w:p w14:paraId="42ED349C">
      <w:pPr>
        <w:spacing w:before="120" w:after="120" w:line="288" w:lineRule="auto"/>
        <w:ind w:left="0"/>
        <w:jc w:val="left"/>
      </w:pPr>
    </w:p>
    <w:p w14:paraId="12A6D97B">
      <w:pPr>
        <w:spacing w:before="300" w:after="120" w:line="288" w:lineRule="auto"/>
        <w:ind w:left="0"/>
        <w:jc w:val="left"/>
        <w:outlineLvl w:val="2"/>
      </w:pPr>
      <w:bookmarkStart w:id="31" w:name="heading_31"/>
      <w:r>
        <w:rPr>
          <w:rFonts w:ascii="Arial" w:hAnsi="Arial" w:eastAsia="等线" w:cs="Arial"/>
          <w:color w:val="3370FF"/>
          <w:sz w:val="30"/>
        </w:rPr>
        <w:t xml:space="preserve">2.3.6 </w:t>
      </w:r>
      <w:r>
        <w:rPr>
          <w:rFonts w:ascii="Arial" w:hAnsi="Arial" w:eastAsia="等线" w:cs="Arial"/>
          <w:b/>
          <w:sz w:val="30"/>
        </w:rPr>
        <w:t>以客户的最大利益行事</w:t>
      </w:r>
      <w:bookmarkEnd w:id="31"/>
    </w:p>
    <w:p w14:paraId="5159FB00">
      <w:pPr>
        <w:spacing w:before="120" w:after="120" w:line="288" w:lineRule="auto"/>
        <w:ind w:left="0"/>
        <w:jc w:val="left"/>
      </w:pPr>
      <w:r>
        <w:rPr>
          <w:rFonts w:ascii="Arial" w:hAnsi="Arial" w:eastAsia="等线" w:cs="Arial"/>
          <w:sz w:val="22"/>
        </w:rPr>
        <w:t>作为工作的一部分，你必须将客户的利益置于自身利益之上。因此，除了了解客户的需求外，你还需要遵守并理解监管规则。</w:t>
      </w:r>
    </w:p>
    <w:p w14:paraId="13782FF4">
      <w:pPr>
        <w:spacing w:before="120" w:after="120" w:line="288" w:lineRule="auto"/>
        <w:ind w:left="0"/>
        <w:jc w:val="left"/>
      </w:pPr>
    </w:p>
    <w:p w14:paraId="419AE88B">
      <w:pPr>
        <w:spacing w:before="260" w:after="120" w:line="288" w:lineRule="auto"/>
        <w:ind w:left="0"/>
        <w:jc w:val="left"/>
        <w:outlineLvl w:val="3"/>
      </w:pPr>
      <w:bookmarkStart w:id="32" w:name="heading_32"/>
      <w:r>
        <w:rPr>
          <w:rFonts w:ascii="Arial" w:hAnsi="Arial" w:eastAsia="等线" w:cs="Arial"/>
          <w:color w:val="3370FF"/>
          <w:sz w:val="28"/>
        </w:rPr>
        <w:t xml:space="preserve">2.3.6.1 </w:t>
      </w:r>
      <w:r>
        <w:rPr>
          <w:rFonts w:ascii="Arial" w:hAnsi="Arial" w:eastAsia="等线" w:cs="Arial"/>
          <w:b/>
          <w:sz w:val="28"/>
        </w:rPr>
        <w:t>SEC Regulation BI (Best Interest) - Rule 15i-1</w:t>
      </w:r>
      <w:bookmarkEnd w:id="32"/>
    </w:p>
    <w:p w14:paraId="55AD6EED">
      <w:pPr>
        <w:spacing w:before="120" w:after="120" w:line="288" w:lineRule="auto"/>
        <w:ind w:left="0"/>
        <w:jc w:val="left"/>
      </w:pPr>
      <w:r>
        <w:rPr>
          <w:rFonts w:ascii="Arial" w:hAnsi="Arial" w:eastAsia="等线" w:cs="Arial"/>
          <w:sz w:val="22"/>
        </w:rPr>
        <w:t>随着人们寿命的延长和老年人数量的增加，美国金融业监管局（FINRA）最近制定了相关规定，以帮助遏制或处理特定成年人（老年人——65岁及以上的自然人（在世的人）以及18岁及以上因精神或身体受损而无法保护自身利益的自然人）遭受金融剥削的案件。对于特定成年人，金融机构必须获取一位可信赖联系人的信息，以便在账户出现异常交易活动时能够联系该联系人。</w:t>
      </w:r>
    </w:p>
    <w:p w14:paraId="3959639C">
      <w:pPr>
        <w:spacing w:before="120" w:after="120" w:line="288" w:lineRule="auto"/>
        <w:ind w:left="0"/>
        <w:jc w:val="left"/>
      </w:pPr>
    </w:p>
    <w:p w14:paraId="12253223">
      <w:pPr>
        <w:spacing w:before="120" w:after="120" w:line="288" w:lineRule="auto"/>
        <w:ind w:left="0"/>
        <w:jc w:val="left"/>
      </w:pPr>
      <w:r>
        <w:rPr>
          <w:rFonts w:ascii="Arial" w:hAnsi="Arial" w:eastAsia="等线" w:cs="Arial"/>
          <w:sz w:val="22"/>
        </w:rPr>
        <w:t>美国金融业监管局（FINRA）将金融剥削定义为：</w:t>
      </w:r>
    </w:p>
    <w:p w14:paraId="7E760C2E">
      <w:pPr>
        <w:numPr>
          <w:ilvl w:val="0"/>
          <w:numId w:val="113"/>
        </w:numPr>
        <w:spacing w:before="120" w:after="120" w:line="288" w:lineRule="auto"/>
        <w:ind w:left="0"/>
        <w:jc w:val="left"/>
      </w:pPr>
      <w:r>
        <w:rPr>
          <w:rFonts w:ascii="Arial" w:hAnsi="Arial" w:eastAsia="等线" w:cs="Arial"/>
          <w:sz w:val="22"/>
        </w:rPr>
        <w:t>对特定成年人的资金或证券进行非法或未经授权的获取、扣留、侵占或使用”；</w:t>
      </w:r>
    </w:p>
    <w:p w14:paraId="69C5E37C">
      <w:pPr>
        <w:numPr>
          <w:ilvl w:val="0"/>
          <w:numId w:val="114"/>
        </w:numPr>
        <w:spacing w:before="120" w:after="120" w:line="288" w:lineRule="auto"/>
        <w:ind w:left="0"/>
        <w:jc w:val="left"/>
      </w:pPr>
      <w:r>
        <w:rPr>
          <w:rFonts w:ascii="Arial" w:hAnsi="Arial" w:eastAsia="等线" w:cs="Arial"/>
          <w:sz w:val="22"/>
        </w:rPr>
        <w:t>任何人的任何作为或不作为，包括通过使用委托书、监护权或任何其他与特定成年人相关的权力来实施的行为或不作为：</w:t>
      </w:r>
    </w:p>
    <w:p w14:paraId="314824B4">
      <w:pPr>
        <w:numPr>
          <w:ilvl w:val="0"/>
          <w:numId w:val="115"/>
        </w:numPr>
        <w:spacing w:before="120" w:after="120" w:line="288" w:lineRule="auto"/>
        <w:ind w:left="453"/>
        <w:jc w:val="left"/>
      </w:pPr>
      <w:r>
        <w:rPr>
          <w:rFonts w:ascii="Arial" w:hAnsi="Arial" w:eastAsia="等线" w:cs="Arial"/>
          <w:sz w:val="22"/>
        </w:rPr>
        <w:t>通过欺骗、恐吓或不当影响获得对特定成年人的金钱、资产或财产的控制权”。</w:t>
      </w:r>
    </w:p>
    <w:p w14:paraId="1A7CACE6">
      <w:pPr>
        <w:numPr>
          <w:ilvl w:val="0"/>
          <w:numId w:val="116"/>
        </w:numPr>
        <w:spacing w:before="120" w:after="120" w:line="288" w:lineRule="auto"/>
        <w:ind w:left="453"/>
        <w:jc w:val="left"/>
      </w:pPr>
      <w:r>
        <w:rPr>
          <w:rFonts w:ascii="Arial" w:hAnsi="Arial" w:eastAsia="等线" w:cs="Arial"/>
          <w:sz w:val="22"/>
        </w:rPr>
        <w:t>转换特定成年人的资金、资产或财产。</w:t>
      </w:r>
    </w:p>
    <w:p w14:paraId="4DED81D9">
      <w:pPr>
        <w:spacing w:before="120" w:after="120" w:line="288" w:lineRule="auto"/>
        <w:ind w:left="0"/>
        <w:jc w:val="left"/>
      </w:pPr>
      <w:r>
        <w:rPr>
          <w:rFonts w:ascii="Arial" w:hAnsi="Arial" w:eastAsia="等线" w:cs="Arial"/>
          <w:sz w:val="22"/>
        </w:rPr>
        <w:t>如果会员认为特定成年人的财务正遭受或可能遭受剥削，第2165条规则允许该会员暂时暂停支付特定成年人的资金或证券。如果实施了临时暂停措施，会员最多有两个工作日的时间联系交易中的所有相关方以及信任的联系人（除非会员认为他们参与了剥削行为），以说明临时暂停的原因。该暂停措施通常最长持续15个工作日，在审核期间可能会延长。</w:t>
      </w:r>
    </w:p>
    <w:p w14:paraId="6621AE80">
      <w:pPr>
        <w:spacing w:before="120" w:after="120" w:line="288" w:lineRule="auto"/>
        <w:ind w:left="0"/>
        <w:jc w:val="left"/>
      </w:pPr>
    </w:p>
    <w:p w14:paraId="612B6AC0">
      <w:pPr>
        <w:spacing w:before="120" w:after="120" w:line="288" w:lineRule="auto"/>
        <w:ind w:left="0"/>
        <w:jc w:val="left"/>
      </w:pPr>
      <w:r>
        <w:rPr>
          <w:rFonts w:ascii="Arial" w:hAnsi="Arial" w:eastAsia="等线" w:cs="Arial"/>
          <w:sz w:val="22"/>
        </w:rPr>
        <w:t>SIE和其他FINRA考试涵盖与保护老年人相关的主题，包括：</w:t>
      </w:r>
    </w:p>
    <w:p w14:paraId="152DD422">
      <w:pPr>
        <w:numPr>
          <w:ilvl w:val="0"/>
          <w:numId w:val="117"/>
        </w:numPr>
        <w:spacing w:before="120" w:after="120" w:line="288" w:lineRule="auto"/>
        <w:ind w:left="0"/>
        <w:jc w:val="left"/>
      </w:pPr>
      <w:r>
        <w:rPr>
          <w:rFonts w:ascii="Arial" w:hAnsi="Arial" w:eastAsia="等线" w:cs="Arial"/>
          <w:sz w:val="22"/>
        </w:rPr>
        <w:t>公司针对65岁及以上投资者的营销和沟通。</w:t>
      </w:r>
    </w:p>
    <w:p w14:paraId="014C9E65">
      <w:pPr>
        <w:numPr>
          <w:ilvl w:val="0"/>
          <w:numId w:val="118"/>
        </w:numPr>
        <w:spacing w:before="120" w:after="120" w:line="288" w:lineRule="auto"/>
        <w:ind w:left="0"/>
        <w:jc w:val="left"/>
      </w:pPr>
      <w:r>
        <w:rPr>
          <w:rFonts w:ascii="Arial" w:hAnsi="Arial" w:eastAsia="等线" w:cs="Arial"/>
          <w:sz w:val="22"/>
        </w:rPr>
        <w:t>开设老年人账户时所需的信息。</w:t>
      </w:r>
    </w:p>
    <w:p w14:paraId="4616B8BD">
      <w:pPr>
        <w:numPr>
          <w:ilvl w:val="0"/>
          <w:numId w:val="119"/>
        </w:numPr>
        <w:spacing w:before="120" w:after="120" w:line="288" w:lineRule="auto"/>
        <w:ind w:left="0"/>
        <w:jc w:val="left"/>
      </w:pPr>
      <w:r>
        <w:rPr>
          <w:rFonts w:ascii="Arial" w:hAnsi="Arial" w:eastAsia="等线" w:cs="Arial"/>
          <w:sz w:val="22"/>
        </w:rPr>
        <w:t>向高级投资者披露的任何信息。</w:t>
      </w:r>
    </w:p>
    <w:p w14:paraId="4E7EDBBC">
      <w:pPr>
        <w:numPr>
          <w:ilvl w:val="0"/>
          <w:numId w:val="120"/>
        </w:numPr>
        <w:spacing w:before="120" w:after="120" w:line="288" w:lineRule="auto"/>
        <w:ind w:left="0"/>
        <w:jc w:val="left"/>
      </w:pPr>
      <w:r>
        <w:rPr>
          <w:rFonts w:ascii="Arial" w:hAnsi="Arial" w:eastAsia="等线" w:cs="Arial"/>
          <w:sz w:val="22"/>
        </w:rPr>
        <w:t>由老年投资者提出的投诉以及公司处理这些投诉的方式。</w:t>
      </w:r>
    </w:p>
    <w:p w14:paraId="3D7B5BBC">
      <w:pPr>
        <w:numPr>
          <w:ilvl w:val="0"/>
          <w:numId w:val="121"/>
        </w:numPr>
        <w:spacing w:before="120" w:after="120" w:line="288" w:lineRule="auto"/>
        <w:ind w:left="0"/>
        <w:jc w:val="left"/>
      </w:pPr>
      <w:r>
        <w:rPr>
          <w:rFonts w:ascii="Arial" w:hAnsi="Arial" w:eastAsia="等线" w:cs="Arial"/>
          <w:sz w:val="22"/>
        </w:rPr>
        <w:t>对注册代表与老年投资者沟通的监督。</w:t>
      </w:r>
    </w:p>
    <w:p w14:paraId="04C88376">
      <w:pPr>
        <w:numPr>
          <w:ilvl w:val="0"/>
          <w:numId w:val="122"/>
        </w:numPr>
        <w:spacing w:before="120" w:after="120" w:line="288" w:lineRule="auto"/>
        <w:ind w:left="0"/>
        <w:jc w:val="left"/>
      </w:pPr>
      <w:r>
        <w:rPr>
          <w:rFonts w:ascii="Arial" w:hAnsi="Arial" w:eastAsia="等线" w:cs="Arial"/>
          <w:sz w:val="22"/>
        </w:rPr>
        <w:t>向高级投资者推销和销售的证券的适用性和类型。</w:t>
      </w:r>
    </w:p>
    <w:p w14:paraId="07182BB6">
      <w:pPr>
        <w:numPr>
          <w:ilvl w:val="0"/>
          <w:numId w:val="123"/>
        </w:numPr>
        <w:spacing w:before="120" w:after="120" w:line="288" w:lineRule="auto"/>
        <w:ind w:left="0"/>
        <w:jc w:val="left"/>
      </w:pPr>
      <w:r>
        <w:rPr>
          <w:rFonts w:ascii="Arial" w:hAnsi="Arial" w:eastAsia="等线" w:cs="Arial"/>
          <w:sz w:val="22"/>
        </w:rPr>
        <w:t>对公司代表进行培训，指导他们如何处理特定成年人的账户。</w:t>
      </w:r>
    </w:p>
    <w:p w14:paraId="2AC56F62">
      <w:pPr>
        <w:spacing w:before="120" w:after="120" w:line="288" w:lineRule="auto"/>
        <w:ind w:left="0"/>
        <w:jc w:val="left"/>
      </w:pPr>
    </w:p>
    <w:p w14:paraId="793EFBDE">
      <w:pPr>
        <w:spacing w:before="300" w:after="120" w:line="288" w:lineRule="auto"/>
        <w:ind w:left="0"/>
        <w:jc w:val="left"/>
        <w:outlineLvl w:val="2"/>
      </w:pPr>
      <w:bookmarkStart w:id="33" w:name="heading_33"/>
      <w:r>
        <w:rPr>
          <w:rFonts w:ascii="Arial" w:hAnsi="Arial" w:eastAsia="等线" w:cs="Arial"/>
          <w:color w:val="3370FF"/>
          <w:sz w:val="30"/>
        </w:rPr>
        <w:t xml:space="preserve">2.3.7 </w:t>
      </w:r>
      <w:r>
        <w:rPr>
          <w:rFonts w:ascii="Arial" w:hAnsi="Arial" w:eastAsia="等线" w:cs="Arial"/>
          <w:b/>
          <w:sz w:val="30"/>
        </w:rPr>
        <w:t>向客户借款或贷款</w:t>
      </w:r>
      <w:bookmarkEnd w:id="33"/>
    </w:p>
    <w:p w14:paraId="5453F39E">
      <w:pPr>
        <w:spacing w:before="120" w:after="120" w:line="288" w:lineRule="auto"/>
        <w:ind w:left="0"/>
        <w:jc w:val="left"/>
      </w:pPr>
      <w:r>
        <w:rPr>
          <w:rFonts w:ascii="Arial" w:hAnsi="Arial" w:eastAsia="等线" w:cs="Arial"/>
          <w:sz w:val="22"/>
        </w:rPr>
        <w:t>与会员公司相关联的注册人员不得向客户借款或贷款，除非该会员公司有书面程序允许注册人员与客户之间进行借贷，且符合以下情形之一：</w:t>
      </w:r>
    </w:p>
    <w:p w14:paraId="160110D0">
      <w:pPr>
        <w:numPr>
          <w:ilvl w:val="0"/>
          <w:numId w:val="124"/>
        </w:numPr>
        <w:spacing w:before="120" w:after="120" w:line="288" w:lineRule="auto"/>
        <w:ind w:left="0"/>
        <w:jc w:val="left"/>
      </w:pPr>
      <w:r>
        <w:rPr>
          <w:rFonts w:ascii="Arial" w:hAnsi="Arial" w:eastAsia="等线" w:cs="Arial"/>
          <w:sz w:val="22"/>
        </w:rPr>
        <w:t>客户是注册人直系亲属（配偶、母亲、父亲、岳母、岳父、子女）的成员。</w:t>
      </w:r>
    </w:p>
    <w:p w14:paraId="4F9E4DD5">
      <w:pPr>
        <w:numPr>
          <w:ilvl w:val="0"/>
          <w:numId w:val="125"/>
        </w:numPr>
        <w:spacing w:before="120" w:after="120" w:line="288" w:lineRule="auto"/>
        <w:ind w:left="0"/>
        <w:jc w:val="left"/>
      </w:pPr>
      <w:r>
        <w:rPr>
          <w:rFonts w:ascii="Arial" w:hAnsi="Arial" w:eastAsia="等线" w:cs="Arial"/>
          <w:sz w:val="22"/>
        </w:rPr>
        <w:t>客户是银行等金融机构，其业务是提供信贷、融资或贷款。</w:t>
      </w:r>
    </w:p>
    <w:p w14:paraId="37606A0E">
      <w:pPr>
        <w:numPr>
          <w:ilvl w:val="0"/>
          <w:numId w:val="126"/>
        </w:numPr>
        <w:spacing w:before="120" w:after="120" w:line="288" w:lineRule="auto"/>
        <w:ind w:left="0"/>
        <w:jc w:val="left"/>
      </w:pPr>
      <w:r>
        <w:rPr>
          <w:rFonts w:ascii="Arial" w:hAnsi="Arial" w:eastAsia="等线" w:cs="Arial"/>
          <w:sz w:val="22"/>
        </w:rPr>
        <w:t>客户和注册人员均在同一会员公司注册。</w:t>
      </w:r>
    </w:p>
    <w:p w14:paraId="311955A0">
      <w:pPr>
        <w:numPr>
          <w:ilvl w:val="0"/>
          <w:numId w:val="127"/>
        </w:numPr>
        <w:spacing w:before="120" w:after="120" w:line="288" w:lineRule="auto"/>
        <w:ind w:left="0"/>
        <w:jc w:val="left"/>
      </w:pPr>
      <w:r>
        <w:rPr>
          <w:rFonts w:ascii="Arial" w:hAnsi="Arial" w:eastAsia="等线" w:cs="Arial"/>
          <w:sz w:val="22"/>
        </w:rPr>
        <w:t>客户与注册人员在经纪商 - 客户关系之外存在私人关系。</w:t>
      </w:r>
    </w:p>
    <w:p w14:paraId="406CD9EF">
      <w:pPr>
        <w:numPr>
          <w:ilvl w:val="0"/>
          <w:numId w:val="128"/>
        </w:numPr>
        <w:spacing w:before="120" w:after="120" w:line="288" w:lineRule="auto"/>
        <w:ind w:left="0"/>
        <w:jc w:val="left"/>
      </w:pPr>
      <w:r>
        <w:rPr>
          <w:rFonts w:ascii="Arial" w:hAnsi="Arial" w:eastAsia="等线" w:cs="Arial"/>
          <w:sz w:val="22"/>
        </w:rPr>
        <w:t>客户与注册人在经纪商与客户关系之外存在业务关系。</w:t>
      </w:r>
    </w:p>
    <w:p w14:paraId="758797BC">
      <w:pPr>
        <w:spacing w:before="120" w:after="120" w:line="288" w:lineRule="auto"/>
        <w:ind w:left="0"/>
        <w:jc w:val="left"/>
      </w:pPr>
    </w:p>
    <w:p w14:paraId="5B78E8F9">
      <w:pPr>
        <w:spacing w:before="120" w:after="120" w:line="288" w:lineRule="auto"/>
        <w:ind w:left="0"/>
        <w:jc w:val="left"/>
      </w:pPr>
      <w:r>
        <w:rPr>
          <w:rFonts w:ascii="Arial" w:hAnsi="Arial" w:eastAsia="等线" w:cs="Arial"/>
          <w:sz w:val="22"/>
        </w:rPr>
        <w:t>这只有在会员公司允许向客户借入或借出资金的情况下才有效。注册会员在达成买入或借出安排之前，必须通知其公司并获得书面批准，除非公司的书面规定中不要求这样做。</w:t>
      </w:r>
    </w:p>
    <w:p w14:paraId="035BADCD">
      <w:pPr>
        <w:spacing w:before="120" w:after="120" w:line="288" w:lineRule="auto"/>
        <w:ind w:left="0"/>
        <w:jc w:val="left"/>
      </w:pPr>
    </w:p>
    <w:p w14:paraId="400E6289">
      <w:pPr>
        <w:spacing w:before="300" w:after="120" w:line="288" w:lineRule="auto"/>
        <w:ind w:left="0"/>
        <w:jc w:val="left"/>
        <w:outlineLvl w:val="2"/>
      </w:pPr>
      <w:bookmarkStart w:id="34" w:name="heading_34"/>
      <w:r>
        <w:rPr>
          <w:rFonts w:ascii="Arial" w:hAnsi="Arial" w:eastAsia="等线" w:cs="Arial"/>
          <w:color w:val="3370FF"/>
          <w:sz w:val="30"/>
        </w:rPr>
        <w:t xml:space="preserve">2.3.8 </w:t>
      </w:r>
      <w:r>
        <w:rPr>
          <w:rFonts w:ascii="Arial" w:hAnsi="Arial" w:eastAsia="等线" w:cs="Arial"/>
          <w:b/>
          <w:sz w:val="30"/>
        </w:rPr>
        <w:t>账户对账单</w:t>
      </w:r>
      <w:bookmarkEnd w:id="34"/>
    </w:p>
    <w:p w14:paraId="221AFE85">
      <w:pPr>
        <w:spacing w:before="120" w:after="120" w:line="288" w:lineRule="auto"/>
        <w:ind w:left="0"/>
        <w:jc w:val="left"/>
      </w:pPr>
      <w:r>
        <w:rPr>
          <w:rFonts w:ascii="Arial" w:hAnsi="Arial" w:eastAsia="等线" w:cs="Arial"/>
          <w:sz w:val="22"/>
        </w:rPr>
        <w:t>账户对账单（Account Statements）会向客户提供其账户持仓信息以及对账单出具时的市值。</w:t>
      </w:r>
    </w:p>
    <w:p w14:paraId="19D53E2D">
      <w:pPr>
        <w:spacing w:before="120" w:after="120" w:line="288" w:lineRule="auto"/>
        <w:ind w:left="0"/>
        <w:jc w:val="left"/>
      </w:pPr>
    </w:p>
    <w:p w14:paraId="3C083265">
      <w:pPr>
        <w:spacing w:before="120" w:after="120" w:line="288" w:lineRule="auto"/>
        <w:ind w:left="0"/>
        <w:jc w:val="left"/>
      </w:pPr>
      <w:r>
        <w:rPr>
          <w:rFonts w:ascii="Arial" w:hAnsi="Arial" w:eastAsia="等线" w:cs="Arial"/>
          <w:sz w:val="22"/>
        </w:rPr>
        <w:t>FINRA 第2231条规定，客户必须每季度（Quarterly）收到账户对账单。账户对账单需要包含自客户收到上一份账户对账单以来这段时间内的所有账户活动、证券持仓和资金余额。对于共同基金，无论交易多少，客户都需要每半年（Semiannually）收到一份账户对账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E56C93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00142C98">
            <w:pPr>
              <w:spacing w:before="120" w:after="120" w:line="288" w:lineRule="auto"/>
              <w:ind w:left="0"/>
              <w:jc w:val="left"/>
            </w:pPr>
            <w:r>
              <w:rPr>
                <w:rFonts w:ascii="Arial" w:hAnsi="Arial" w:eastAsia="等线" w:cs="Arial"/>
                <w:sz w:val="22"/>
              </w:rPr>
              <w:t>客户可能想知道他们的账户情况如何，也可能想了解与他们合作的公司的状况。因此，应客户要求，会员公司必须通过提供其最新的资产负债表（而非损益表）来披露其财务状况。如果客户同意电子交付，资产负债表可以以纸质形式或电子形式（电子邮件）交付。</w:t>
            </w:r>
          </w:p>
        </w:tc>
      </w:tr>
    </w:tbl>
    <w:p w14:paraId="11A5D0A9">
      <w:pPr>
        <w:spacing w:before="120" w:after="120" w:line="288" w:lineRule="auto"/>
        <w:ind w:left="0"/>
        <w:jc w:val="left"/>
      </w:pPr>
      <w:r>
        <w:rPr>
          <w:rFonts w:ascii="Arial" w:hAnsi="Arial" w:eastAsia="等线" w:cs="Arial"/>
          <w:b/>
          <w:sz w:val="22"/>
        </w:rPr>
        <w:t>注意：</w:t>
      </w:r>
      <w:r>
        <w:rPr>
          <w:rFonts w:ascii="Arial" w:hAnsi="Arial" w:eastAsia="等线" w:cs="Arial"/>
          <w:sz w:val="22"/>
        </w:rPr>
        <w:t>当客户提出</w:t>
      </w:r>
      <w:r>
        <w:rPr>
          <w:rFonts w:ascii="Arial" w:hAnsi="Arial" w:eastAsia="等线" w:cs="Arial"/>
          <w:b/>
          <w:sz w:val="22"/>
        </w:rPr>
        <w:t>书面请求（requests in writing）</w:t>
      </w:r>
      <w:r>
        <w:rPr>
          <w:rFonts w:ascii="Arial" w:hAnsi="Arial" w:eastAsia="等线" w:cs="Arial"/>
          <w:sz w:val="22"/>
        </w:rPr>
        <w:t>，要求公司暂时保管（即</w:t>
      </w:r>
      <w:r>
        <w:rPr>
          <w:rFonts w:ascii="Arial" w:hAnsi="Arial" w:eastAsia="等线" w:cs="Arial"/>
          <w:b/>
          <w:sz w:val="22"/>
        </w:rPr>
        <w:t>暂停寄送</w:t>
      </w:r>
      <w:r>
        <w:rPr>
          <w:rFonts w:ascii="Arial" w:hAnsi="Arial" w:eastAsia="等线" w:cs="Arial"/>
          <w:sz w:val="22"/>
        </w:rPr>
        <w:t>）账户对账单时，公司可以批准这一请求，但此权限受到严格的时间限制，</w:t>
      </w:r>
      <w:r>
        <w:rPr>
          <w:rFonts w:ascii="Arial" w:hAnsi="Arial" w:eastAsia="等线" w:cs="Arial"/>
          <w:b/>
          <w:sz w:val="22"/>
        </w:rPr>
        <w:t>不得超过三个月</w:t>
      </w:r>
      <w:r>
        <w:rPr>
          <w:rFonts w:ascii="Arial" w:hAnsi="Arial" w:eastAsia="等线" w:cs="Arial"/>
          <w:sz w:val="22"/>
        </w:rPr>
        <w:t>。</w:t>
      </w:r>
    </w:p>
    <w:p w14:paraId="6E9939A3">
      <w:pPr>
        <w:spacing w:before="300" w:after="120" w:line="288" w:lineRule="auto"/>
        <w:ind w:left="0"/>
        <w:jc w:val="left"/>
        <w:outlineLvl w:val="2"/>
      </w:pPr>
      <w:bookmarkStart w:id="35" w:name="heading_35"/>
      <w:r>
        <w:rPr>
          <w:rFonts w:ascii="Arial" w:hAnsi="Arial" w:eastAsia="等线" w:cs="Arial"/>
          <w:color w:val="3370FF"/>
          <w:sz w:val="30"/>
        </w:rPr>
        <w:t xml:space="preserve">2.3.9 </w:t>
      </w:r>
      <w:r>
        <w:rPr>
          <w:rFonts w:ascii="Arial" w:hAnsi="Arial" w:eastAsia="等线" w:cs="Arial"/>
          <w:b/>
          <w:sz w:val="30"/>
        </w:rPr>
        <w:t>理清你的股息日期</w:t>
      </w:r>
      <w:bookmarkEnd w:id="35"/>
    </w:p>
    <w:p w14:paraId="3C58EDC9">
      <w:pPr>
        <w:spacing w:before="120" w:after="120" w:line="288" w:lineRule="auto"/>
        <w:ind w:left="0"/>
        <w:jc w:val="left"/>
      </w:pPr>
      <w:r>
        <w:rPr>
          <w:rFonts w:ascii="Arial" w:hAnsi="Arial" w:eastAsia="等线" w:cs="Arial"/>
          <w:sz w:val="22"/>
        </w:rPr>
        <w:t>当客户购买一家正在宣布或支付股息公司的证券时，你需要能够告知这些客户他们是否有权获得股息。由于股票交易在两个工作日内结算，因此如果客户在股权登记日至少三天前购买证券，他们就有权获得股息。</w:t>
      </w:r>
    </w:p>
    <w:p w14:paraId="36B519C4">
      <w:pPr>
        <w:spacing w:before="120" w:after="120" w:line="288" w:lineRule="auto"/>
        <w:ind w:left="0"/>
        <w:jc w:val="left"/>
      </w:pPr>
    </w:p>
    <w:p w14:paraId="3975EA8F">
      <w:pPr>
        <w:spacing w:before="120" w:after="120" w:line="288" w:lineRule="auto"/>
        <w:ind w:left="0"/>
        <w:jc w:val="left"/>
      </w:pPr>
      <w:r>
        <w:rPr>
          <w:rFonts w:ascii="Arial" w:hAnsi="Arial" w:eastAsia="等线" w:cs="Arial"/>
          <w:sz w:val="22"/>
        </w:rPr>
        <w:t>以下是 SIE 考试中需要了解的四个日期清单：</w:t>
      </w:r>
    </w:p>
    <w:p w14:paraId="51C5E4BB">
      <w:pPr>
        <w:numPr>
          <w:ilvl w:val="0"/>
          <w:numId w:val="129"/>
        </w:numPr>
        <w:spacing w:before="120" w:after="120" w:line="288" w:lineRule="auto"/>
        <w:ind w:left="0"/>
        <w:jc w:val="left"/>
      </w:pPr>
      <w:r>
        <w:rPr>
          <w:rFonts w:ascii="Arial" w:hAnsi="Arial" w:eastAsia="等线" w:cs="Arial"/>
          <w:sz w:val="22"/>
        </w:rPr>
        <w:t>宣布日（Declaration date）：公司正式宣布将向股东支付股息的日子。在宣告日，股息金额、登记日和支付日都会被公布。</w:t>
      </w:r>
    </w:p>
    <w:p w14:paraId="5559BA54">
      <w:pPr>
        <w:numPr>
          <w:ilvl w:val="0"/>
          <w:numId w:val="130"/>
        </w:numPr>
        <w:spacing w:before="120" w:after="120" w:line="288" w:lineRule="auto"/>
        <w:ind w:left="0"/>
        <w:jc w:val="left"/>
      </w:pPr>
      <w:r>
        <w:rPr>
          <w:rFonts w:ascii="Arial" w:hAnsi="Arial" w:eastAsia="等线" w:cs="Arial"/>
          <w:sz w:val="22"/>
        </w:rPr>
        <w:t>除息日（Ex-dividend date）：股票不带股息进行交易的第一天。在除息日购买股票的投资者无权获得股息；因为股票交易需要两个工作日结算，所以除息日自动定为登记日的前一个工作日。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F2100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2169868">
            <w:pPr>
              <w:spacing w:before="120" w:after="120" w:line="288" w:lineRule="auto"/>
              <w:ind w:left="0"/>
              <w:jc w:val="left"/>
            </w:pPr>
            <w:r>
              <w:rPr>
                <w:rFonts w:ascii="Arial" w:hAnsi="Arial" w:eastAsia="等线" w:cs="Arial"/>
                <w:color w:val="646A73"/>
                <w:sz w:val="22"/>
              </w:rPr>
              <w:t>除息日是股票价格因股息金额而降低的日子。（第6章会详细介绍股息及相关计算。）当股票在除息日当天或之后以除息方式购买时，股息归卖方所有，而非买方。由于股息可能要在一个月甚至更长时间后才会支付，买方需要签署一份到期票据，表明股息属于卖方。就现金股息而言，到期票据以到期票据支票的形式存在，在发行人支付股息之日到期兑付。此外，如果投资者及时买入股票以获取股息，但由于某些原因未能按时（在登记日之前）收到股票凭证，卖方必须向买方发送一份到期票据。到期票据表明，即使买方尚未收到股票凭证，也享有所有权相关权利。</w:t>
            </w:r>
          </w:p>
        </w:tc>
      </w:tr>
    </w:tbl>
    <w:p w14:paraId="294CE537">
      <w:pPr>
        <w:numPr>
          <w:ilvl w:val="0"/>
          <w:numId w:val="131"/>
        </w:numPr>
        <w:spacing w:before="120" w:after="120" w:line="288" w:lineRule="auto"/>
        <w:ind w:left="0"/>
        <w:jc w:val="left"/>
      </w:pPr>
      <w:r>
        <w:rPr>
          <w:rFonts w:ascii="Arial" w:hAnsi="Arial" w:eastAsia="等线" w:cs="Arial"/>
          <w:sz w:val="22"/>
        </w:rPr>
        <w:t>登记日（Record Date）：公司检查其记录以确定谁有资格获得股息的日子。要获得股息，投资者必须在公司记录中被列为股东。</w:t>
      </w:r>
    </w:p>
    <w:p w14:paraId="02B82FFD">
      <w:pPr>
        <w:numPr>
          <w:ilvl w:val="0"/>
          <w:numId w:val="132"/>
        </w:numPr>
        <w:spacing w:before="120" w:after="120" w:line="288" w:lineRule="auto"/>
        <w:ind w:left="0"/>
        <w:jc w:val="left"/>
      </w:pPr>
      <w:r>
        <w:rPr>
          <w:rFonts w:ascii="Arial" w:hAnsi="Arial" w:eastAsia="等线" w:cs="Arial"/>
          <w:sz w:val="22"/>
        </w:rPr>
        <w:t>支付（应付）日（Payment (payable) date）：公司向符合条件的股东支付股息的日期。</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671FD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1C33044">
            <w:pPr>
              <w:spacing w:before="120" w:after="120" w:line="288" w:lineRule="auto"/>
              <w:ind w:left="0"/>
              <w:jc w:val="left"/>
            </w:pPr>
            <w:r>
              <w:rPr>
                <w:rFonts w:ascii="Arial" w:hAnsi="Arial" w:eastAsia="等线" w:cs="Arial"/>
                <w:sz w:val="22"/>
              </w:rPr>
              <w:t>董事会必须公布三个日期：宣布日、登记日和支付日。除息日无需公布，因为它自动为股权登记日的前一个交易日。然而，共同基金必须公布所有四个日期，因为它们可以在任何时间设定除息日（甚至在登记日当天）。</w:t>
            </w:r>
          </w:p>
        </w:tc>
      </w:tr>
    </w:tbl>
    <w:p w14:paraId="6C783F82">
      <w:pPr>
        <w:spacing w:before="300" w:after="120" w:line="288" w:lineRule="auto"/>
        <w:ind w:left="0"/>
        <w:jc w:val="left"/>
        <w:outlineLvl w:val="2"/>
      </w:pPr>
      <w:bookmarkStart w:id="36" w:name="heading_36"/>
      <w:r>
        <w:rPr>
          <w:rFonts w:ascii="Arial" w:hAnsi="Arial" w:eastAsia="等线" w:cs="Arial"/>
          <w:color w:val="3370FF"/>
          <w:sz w:val="30"/>
        </w:rPr>
        <w:t xml:space="preserve">2.3.10 </w:t>
      </w:r>
      <w:r>
        <w:rPr>
          <w:rFonts w:ascii="Arial" w:hAnsi="Arial" w:eastAsia="等线" w:cs="Arial"/>
          <w:b/>
          <w:sz w:val="30"/>
        </w:rPr>
        <w:t>处理投诉</w:t>
      </w:r>
      <w:bookmarkEnd w:id="36"/>
    </w:p>
    <w:p w14:paraId="11CF2A7B">
      <w:pPr>
        <w:spacing w:before="120" w:after="120" w:line="288" w:lineRule="auto"/>
        <w:ind w:left="0"/>
        <w:jc w:val="left"/>
      </w:pPr>
      <w:r>
        <w:rPr>
          <w:rFonts w:ascii="Arial" w:hAnsi="Arial" w:eastAsia="等线" w:cs="Arial"/>
          <w:sz w:val="22"/>
        </w:rPr>
        <w:t>投诉只有以书面形式提出才会被视为正式投诉。如有必要，美国金融业监管局（FINRA）希望你能遵循正确的投诉处理流程。</w:t>
      </w:r>
    </w:p>
    <w:p w14:paraId="5E64112E">
      <w:pPr>
        <w:spacing w:before="120" w:after="120" w:line="288" w:lineRule="auto"/>
        <w:ind w:left="0"/>
        <w:jc w:val="left"/>
      </w:pPr>
    </w:p>
    <w:p w14:paraId="154BA12E">
      <w:pPr>
        <w:spacing w:before="120" w:after="120" w:line="288" w:lineRule="auto"/>
        <w:ind w:left="0"/>
        <w:jc w:val="left"/>
      </w:pPr>
      <w:r>
        <w:rPr>
          <w:rFonts w:ascii="Arial" w:hAnsi="Arial" w:eastAsia="等线" w:cs="Arial"/>
          <w:sz w:val="22"/>
        </w:rPr>
        <w:t>以下部分将介绍正式程序和非正式程序。</w:t>
      </w:r>
    </w:p>
    <w:p w14:paraId="713442F8">
      <w:pPr>
        <w:spacing w:before="120" w:after="120" w:line="288" w:lineRule="auto"/>
        <w:ind w:left="0"/>
        <w:jc w:val="left"/>
      </w:pPr>
    </w:p>
    <w:p w14:paraId="67987CA9">
      <w:pPr>
        <w:spacing w:before="260" w:after="120" w:line="288" w:lineRule="auto"/>
        <w:ind w:left="0"/>
        <w:jc w:val="left"/>
        <w:outlineLvl w:val="3"/>
      </w:pPr>
      <w:bookmarkStart w:id="37" w:name="heading_37"/>
      <w:r>
        <w:rPr>
          <w:rFonts w:ascii="Arial" w:hAnsi="Arial" w:eastAsia="等线" w:cs="Arial"/>
          <w:color w:val="3370FF"/>
          <w:sz w:val="28"/>
        </w:rPr>
        <w:t xml:space="preserve">2.3.10.1 </w:t>
      </w:r>
      <w:r>
        <w:rPr>
          <w:rFonts w:ascii="Arial" w:hAnsi="Arial" w:eastAsia="等线" w:cs="Arial"/>
          <w:b/>
          <w:sz w:val="28"/>
        </w:rPr>
        <w:t>程序规则 (Code of procedure，COP)</w:t>
      </w:r>
      <w:bookmarkEnd w:id="37"/>
    </w:p>
    <w:p w14:paraId="031F0EA2">
      <w:pPr>
        <w:spacing w:before="120" w:after="120" w:line="288" w:lineRule="auto"/>
        <w:ind w:left="0"/>
        <w:jc w:val="left"/>
      </w:pPr>
      <w:r>
        <w:rPr>
          <w:rFonts w:ascii="Arial" w:hAnsi="Arial" w:eastAsia="等线" w:cs="Arial"/>
          <w:sz w:val="22"/>
        </w:rPr>
        <w:t>程序规则是 FINRA 处理公众客户与证券行业成员（经纪交易商、注册代表、清算公司等）之间证券相关投诉的正式程序。</w:t>
      </w:r>
    </w:p>
    <w:p w14:paraId="1ED407C3">
      <w:pPr>
        <w:spacing w:before="120" w:after="120" w:line="288" w:lineRule="auto"/>
        <w:ind w:left="0"/>
        <w:jc w:val="left"/>
      </w:pPr>
    </w:p>
    <w:p w14:paraId="37ED9CD0">
      <w:pPr>
        <w:spacing w:before="120" w:after="120" w:line="288" w:lineRule="auto"/>
        <w:ind w:left="0"/>
        <w:jc w:val="left"/>
      </w:pPr>
      <w:r>
        <w:rPr>
          <w:rFonts w:ascii="Arial" w:hAnsi="Arial" w:eastAsia="等线" w:cs="Arial"/>
          <w:sz w:val="22"/>
        </w:rPr>
        <w:t>公众客户可以选择通过正式程序规则或非正式的仲裁规则来解决投诉。所有通过程序规则处理的投诉，公司必须在收到客户投诉后的25天内做出回应。</w:t>
      </w:r>
    </w:p>
    <w:p w14:paraId="0AB10BF7">
      <w:pPr>
        <w:spacing w:before="120" w:after="120" w:line="288" w:lineRule="auto"/>
        <w:ind w:left="0"/>
        <w:jc w:val="left"/>
      </w:pPr>
    </w:p>
    <w:p w14:paraId="2AD582AB">
      <w:pPr>
        <w:spacing w:before="120" w:after="120" w:line="288" w:lineRule="auto"/>
        <w:ind w:left="0"/>
        <w:jc w:val="left"/>
      </w:pPr>
      <w:r>
        <w:rPr>
          <w:rFonts w:ascii="Arial" w:hAnsi="Arial" w:eastAsia="等线" w:cs="Arial"/>
          <w:sz w:val="22"/>
        </w:rPr>
        <w:t>在程序规则中，FINRA 的执法部门（DOE）负责调查涉嫌的违规行为。如果调查发现执法部门认为存在违规行为，执法部门将举行听证会。如果客户或会员对结果不满意，他们可以向 FINRA 董事会上诉。相关决定甚至可以一直上诉至联邦上诉法院。</w:t>
      </w:r>
    </w:p>
    <w:p w14:paraId="07F912CF">
      <w:pPr>
        <w:spacing w:before="260" w:after="120" w:line="288" w:lineRule="auto"/>
        <w:ind w:left="0"/>
        <w:jc w:val="left"/>
        <w:outlineLvl w:val="3"/>
      </w:pPr>
      <w:bookmarkStart w:id="38" w:name="heading_38"/>
      <w:r>
        <w:rPr>
          <w:rFonts w:ascii="Arial" w:hAnsi="Arial" w:eastAsia="等线" w:cs="Arial"/>
          <w:color w:val="3370FF"/>
          <w:sz w:val="28"/>
        </w:rPr>
        <w:t xml:space="preserve">2.3.10.2 </w:t>
      </w:r>
      <w:r>
        <w:rPr>
          <w:rFonts w:ascii="Arial" w:hAnsi="Arial" w:eastAsia="等线" w:cs="Arial"/>
          <w:b/>
          <w:sz w:val="28"/>
        </w:rPr>
        <w:t>仲裁规则（Code of Arbitration）</w:t>
      </w:r>
      <w:bookmarkEnd w:id="38"/>
    </w:p>
    <w:p w14:paraId="36E13076">
      <w:pPr>
        <w:spacing w:before="120" w:after="120" w:line="288" w:lineRule="auto"/>
        <w:ind w:left="0"/>
        <w:jc w:val="left"/>
      </w:pPr>
      <w:r>
        <w:rPr>
          <w:rFonts w:ascii="Arial" w:hAnsi="Arial" w:eastAsia="等线" w:cs="Arial"/>
          <w:sz w:val="22"/>
        </w:rPr>
        <w:t>仲裁规则是一种非正式听证会（由中立的仲裁员或仲裁员小组主持），主要用于解决 FINRA 成员之间的纠纷。成员不仅包括经纪交易商，还包括在成员公司工作的个人。</w:t>
      </w:r>
    </w:p>
    <w:p w14:paraId="56AA5530">
      <w:pPr>
        <w:spacing w:before="120" w:after="120" w:line="288" w:lineRule="auto"/>
        <w:ind w:left="0"/>
        <w:jc w:val="left"/>
      </w:pPr>
    </w:p>
    <w:p w14:paraId="76DB1FEC">
      <w:pPr>
        <w:spacing w:before="120" w:after="120" w:line="288" w:lineRule="auto"/>
        <w:ind w:left="0"/>
        <w:jc w:val="left"/>
      </w:pPr>
      <w:r>
        <w:rPr>
          <w:rFonts w:ascii="Arial" w:hAnsi="Arial" w:eastAsia="等线" w:cs="Arial"/>
          <w:sz w:val="22"/>
        </w:rPr>
        <w:t>如果你（一名注册代表）与你所任职的经纪交易商存在纠纷，你可以将该经纪交易商告上仲裁庭。如果客户对经纪交易商或注册代表有投诉，客户可以选择通过程序规则（参见前一节）或仲裁规则来解决，除非客户已事先书面同意（通常通过新账户表格）表明他们仅通过仲裁解决纠纷。</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9CC80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493B600">
            <w:pPr>
              <w:spacing w:before="120" w:after="120" w:line="288" w:lineRule="auto"/>
              <w:ind w:left="0"/>
              <w:jc w:val="left"/>
            </w:pPr>
            <w:r>
              <w:rPr>
                <w:rFonts w:ascii="Arial" w:hAnsi="Arial" w:eastAsia="等线" w:cs="Arial"/>
                <w:sz w:val="22"/>
              </w:rPr>
              <w:t>仲裁裁决具有约束力且不可上诉，因此其成本低于诉讼。如果会员公司或与该会员公司相关联的人员在收到通知后15天内未能遵守仲裁条款（在败诉的情况下），FINRA 保留暂停或取消该公司或个人会员资格的权利。</w:t>
            </w:r>
          </w:p>
        </w:tc>
      </w:tr>
    </w:tbl>
    <w:p w14:paraId="3054C674">
      <w:pPr>
        <w:spacing w:before="260" w:after="120" w:line="288" w:lineRule="auto"/>
        <w:ind w:left="0"/>
        <w:jc w:val="left"/>
        <w:outlineLvl w:val="3"/>
      </w:pPr>
      <w:bookmarkStart w:id="39" w:name="heading_39"/>
      <w:r>
        <w:rPr>
          <w:rFonts w:ascii="Arial" w:hAnsi="Arial" w:eastAsia="等线" w:cs="Arial"/>
          <w:color w:val="3370FF"/>
          <w:sz w:val="28"/>
        </w:rPr>
        <w:t xml:space="preserve">2.3.10.3 </w:t>
      </w:r>
      <w:r>
        <w:rPr>
          <w:rFonts w:ascii="Arial" w:hAnsi="Arial" w:eastAsia="等线" w:cs="Arial"/>
          <w:b/>
          <w:sz w:val="28"/>
        </w:rPr>
        <w:t>调解（Mediation）</w:t>
      </w:r>
      <w:bookmarkEnd w:id="39"/>
    </w:p>
    <w:p w14:paraId="509B7F92">
      <w:pPr>
        <w:spacing w:before="120" w:after="120" w:line="288" w:lineRule="auto"/>
        <w:ind w:left="0"/>
        <w:jc w:val="left"/>
      </w:pPr>
      <w:r>
        <w:rPr>
          <w:rFonts w:ascii="Arial" w:hAnsi="Arial" w:eastAsia="等线" w:cs="Arial"/>
          <w:sz w:val="22"/>
        </w:rPr>
        <w:t>如果投资者和/或经纪交易商希望以一种更非正式的方式解决纠纷，他们可以选择进行调解。通过调解解决的纠纷由独立的第三方受理。与仲裁不同，调解不具有约束力。</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1B403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61183AF7">
            <w:pPr>
              <w:spacing w:before="120" w:after="120" w:line="288" w:lineRule="auto"/>
              <w:ind w:left="0"/>
              <w:jc w:val="left"/>
            </w:pPr>
            <w:r>
              <w:rPr>
                <w:rFonts w:ascii="Arial" w:hAnsi="Arial" w:eastAsia="等线" w:cs="Arial"/>
                <w:sz w:val="22"/>
              </w:rPr>
              <w:t>并非所有投诉最终都会进入仲裁、调解程序或遵循既定流程。有时，投诉是沟通不畅的结果，例如客户犯了错误、客户认为自己被收取了过高的佣金等等。许多此类投诉可以在内部解决，无需进一步升级处理。然而，所有投诉都需要连同所采取的任何行动一起存档。</w:t>
            </w:r>
          </w:p>
        </w:tc>
      </w:tr>
    </w:tbl>
    <w:p w14:paraId="5333C8A4">
      <w:pPr>
        <w:spacing w:before="300" w:after="120" w:line="288" w:lineRule="auto"/>
        <w:ind w:left="0"/>
        <w:jc w:val="left"/>
        <w:outlineLvl w:val="2"/>
      </w:pPr>
      <w:bookmarkStart w:id="40" w:name="heading_40"/>
      <w:r>
        <w:rPr>
          <w:rFonts w:ascii="Arial" w:hAnsi="Arial" w:eastAsia="等线" w:cs="Arial"/>
          <w:color w:val="3370FF"/>
          <w:sz w:val="30"/>
        </w:rPr>
        <w:t xml:space="preserve">2.3.11 </w:t>
      </w:r>
      <w:r>
        <w:rPr>
          <w:rFonts w:ascii="Arial" w:hAnsi="Arial" w:eastAsia="等线" w:cs="Arial"/>
          <w:b/>
          <w:sz w:val="30"/>
        </w:rPr>
        <w:t>传播信息：适当的沟通</w:t>
      </w:r>
      <w:bookmarkEnd w:id="40"/>
    </w:p>
    <w:p w14:paraId="1B30CA9A">
      <w:pPr>
        <w:spacing w:before="120" w:after="120" w:line="288" w:lineRule="auto"/>
        <w:ind w:left="0"/>
        <w:jc w:val="left"/>
      </w:pPr>
      <w:r>
        <w:rPr>
          <w:rFonts w:ascii="Arial" w:hAnsi="Arial" w:eastAsia="等线" w:cs="Arial"/>
          <w:sz w:val="22"/>
        </w:rPr>
        <w:t>为了促进业务发展并让客户了解最新情况，会员公司会不断发送销售资料、刊登广告、播放商业广告、发送研究报告、举办有脚本的研讨会等等。可想而知，这类广告不能遗漏重要事实、不能夸大其词、不能欺诈或误导，还必须同时说明潜在风险和潜在收益。</w:t>
      </w:r>
    </w:p>
    <w:p w14:paraId="3147A7D6">
      <w:pPr>
        <w:spacing w:before="120" w:after="120" w:line="288" w:lineRule="auto"/>
        <w:ind w:left="0"/>
        <w:jc w:val="left"/>
      </w:pPr>
    </w:p>
    <w:p w14:paraId="409A58AB">
      <w:pPr>
        <w:spacing w:before="120" w:after="120" w:line="288" w:lineRule="auto"/>
        <w:ind w:left="0"/>
        <w:jc w:val="left"/>
      </w:pPr>
      <w:r>
        <w:rPr>
          <w:rFonts w:ascii="Arial" w:hAnsi="Arial" w:eastAsia="等线" w:cs="Arial"/>
          <w:sz w:val="22"/>
        </w:rPr>
        <w:t>你可能在广播广告中听到过这样的免责声明：“过往业绩不代表未来表现”以及“人们可能并且确实会亏损”。相信我，除非迫不得已，他们是不会加入这些内容的。</w:t>
      </w:r>
    </w:p>
    <w:p w14:paraId="0F748CFF">
      <w:pPr>
        <w:spacing w:before="120" w:after="120" w:line="288" w:lineRule="auto"/>
        <w:ind w:left="0"/>
        <w:jc w:val="left"/>
      </w:pPr>
    </w:p>
    <w:p w14:paraId="6D7A8F2D">
      <w:pPr>
        <w:spacing w:before="120" w:after="120" w:line="288" w:lineRule="auto"/>
        <w:ind w:left="0"/>
        <w:jc w:val="left"/>
      </w:pPr>
      <w:r>
        <w:rPr>
          <w:rFonts w:ascii="Arial" w:hAnsi="Arial" w:eastAsia="等线" w:cs="Arial"/>
          <w:sz w:val="22"/>
        </w:rPr>
        <w:t>FINRA 将沟通分为三类：</w:t>
      </w:r>
    </w:p>
    <w:p w14:paraId="70750C99">
      <w:pPr>
        <w:numPr>
          <w:ilvl w:val="0"/>
          <w:numId w:val="133"/>
        </w:numPr>
        <w:spacing w:before="120" w:after="120" w:line="288" w:lineRule="auto"/>
        <w:ind w:left="0"/>
        <w:jc w:val="left"/>
      </w:pPr>
      <w:r>
        <w:rPr>
          <w:rFonts w:ascii="Arial" w:hAnsi="Arial" w:eastAsia="等线" w:cs="Arial"/>
          <w:sz w:val="22"/>
        </w:rPr>
        <w:t>通信：在30个日历日内，向25名或fewer的零售投资者（非机构投资者）分发或提供的任何书面通信（包括电子通信）。</w:t>
      </w:r>
    </w:p>
    <w:p w14:paraId="52780B0A">
      <w:pPr>
        <w:numPr>
          <w:ilvl w:val="0"/>
          <w:numId w:val="134"/>
        </w:numPr>
        <w:spacing w:before="120" w:after="120" w:line="288" w:lineRule="auto"/>
        <w:ind w:left="0"/>
        <w:jc w:val="left"/>
      </w:pPr>
      <w:r>
        <w:rPr>
          <w:rFonts w:ascii="Arial" w:hAnsi="Arial" w:eastAsia="等线" w:cs="Arial"/>
          <w:sz w:val="22"/>
        </w:rPr>
        <w:t>零售宣传材料：与信函类似（见前一项），但在30个日历日内可供超过25名零售投资者获取。</w:t>
      </w:r>
    </w:p>
    <w:p w14:paraId="27FEE71D">
      <w:pPr>
        <w:numPr>
          <w:ilvl w:val="0"/>
          <w:numId w:val="135"/>
        </w:numPr>
        <w:spacing w:before="120" w:after="120" w:line="288" w:lineRule="auto"/>
        <w:ind w:left="0"/>
        <w:jc w:val="left"/>
      </w:pPr>
      <w:r>
        <w:rPr>
          <w:rFonts w:ascii="Arial" w:hAnsi="Arial" w:eastAsia="等线" w:cs="Arial"/>
          <w:sz w:val="22"/>
        </w:rPr>
        <w:t>机构通讯：仅向机构投资者分发或提供的任何书面通讯（包括电子通讯），但不包括会员的内部通讯。机构投资者包括政府实体、会员公司及注册人员、员工福利计划、仅代表任何此类机构投资者行事的人员等。</w:t>
      </w:r>
    </w:p>
    <w:p w14:paraId="3696FF53">
      <w:pPr>
        <w:spacing w:before="120" w:after="120" w:line="288" w:lineRule="auto"/>
        <w:ind w:left="0"/>
        <w:jc w:val="left"/>
      </w:pPr>
    </w:p>
    <w:p w14:paraId="72B9BE66">
      <w:pPr>
        <w:spacing w:before="120" w:after="120" w:line="288" w:lineRule="auto"/>
        <w:ind w:left="0"/>
        <w:jc w:val="left"/>
      </w:pPr>
      <w:r>
        <w:rPr>
          <w:rFonts w:ascii="Arial" w:hAnsi="Arial" w:eastAsia="等线" w:cs="Arial"/>
          <w:sz w:val="22"/>
        </w:rPr>
        <w:t>与经纪公司发生的几乎所有事情一样，零售宣传材料必须经过公司合格负责人的批准。关于特定证券的研究报告必须由在特定产品方面具有专业知识的监督分析师批准。推荐语（如有）必须由具备相关知识和经验、能够提出有效意见的人作出。</w:t>
      </w:r>
    </w:p>
    <w:p w14:paraId="6EA95605">
      <w:pPr>
        <w:spacing w:before="120" w:after="120" w:line="288" w:lineRule="auto"/>
        <w:ind w:left="0"/>
        <w:jc w:val="left"/>
      </w:pPr>
    </w:p>
    <w:p w14:paraId="47C2AE70">
      <w:pPr>
        <w:spacing w:before="120" w:after="120" w:line="288" w:lineRule="auto"/>
        <w:ind w:left="0"/>
        <w:jc w:val="left"/>
      </w:pPr>
      <w:r>
        <w:rPr>
          <w:rFonts w:ascii="Arial" w:hAnsi="Arial" w:eastAsia="等线" w:cs="Arial"/>
          <w:sz w:val="22"/>
        </w:rPr>
        <w:t>在许多情况下，会员公司必须在首次使用零售宣传材料前十个工作日向 FINRA 提交这些材料。会员公司必须将这些宣传材料至少保存三年。</w:t>
      </w:r>
    </w:p>
    <w:p w14:paraId="5DCC6BD9">
      <w:pPr>
        <w:spacing w:before="120" w:after="120" w:line="288" w:lineRule="auto"/>
        <w:ind w:left="0"/>
        <w:jc w:val="left"/>
      </w:pPr>
    </w:p>
    <w:p w14:paraId="442CE070">
      <w:pPr>
        <w:spacing w:before="300" w:after="120" w:line="288" w:lineRule="auto"/>
        <w:ind w:left="0"/>
        <w:jc w:val="left"/>
        <w:outlineLvl w:val="2"/>
      </w:pPr>
      <w:bookmarkStart w:id="41" w:name="heading_41"/>
      <w:r>
        <w:rPr>
          <w:rFonts w:ascii="Arial" w:hAnsi="Arial" w:eastAsia="等线" w:cs="Arial"/>
          <w:color w:val="3370FF"/>
          <w:sz w:val="30"/>
        </w:rPr>
        <w:t xml:space="preserve">2.3.12 </w:t>
      </w:r>
      <w:r>
        <w:rPr>
          <w:rFonts w:ascii="Arial" w:hAnsi="Arial" w:eastAsia="等线" w:cs="Arial"/>
          <w:b/>
          <w:sz w:val="30"/>
        </w:rPr>
        <w:t>保持清晰的记录</w:t>
      </w:r>
      <w:bookmarkEnd w:id="41"/>
    </w:p>
    <w:p w14:paraId="31A69035">
      <w:pPr>
        <w:spacing w:before="120" w:after="120" w:line="288" w:lineRule="auto"/>
        <w:ind w:left="0"/>
        <w:jc w:val="left"/>
      </w:pPr>
      <w:r>
        <w:rPr>
          <w:rFonts w:ascii="Arial" w:hAnsi="Arial" w:eastAsia="等线" w:cs="Arial"/>
          <w:sz w:val="22"/>
        </w:rPr>
        <w:t>可以想象，会员公司必须将某些记录存档。</w:t>
      </w:r>
    </w:p>
    <w:p w14:paraId="5B8F8EF9">
      <w:pPr>
        <w:spacing w:before="120" w:after="120" w:line="288" w:lineRule="auto"/>
        <w:ind w:left="0"/>
        <w:jc w:val="left"/>
      </w:pPr>
    </w:p>
    <w:p w14:paraId="43B3A312">
      <w:pPr>
        <w:spacing w:before="120" w:after="120" w:line="288" w:lineRule="auto"/>
        <w:ind w:left="0"/>
        <w:jc w:val="left"/>
      </w:pPr>
      <w:r>
        <w:rPr>
          <w:rFonts w:ascii="Arial" w:hAnsi="Arial" w:eastAsia="等线" w:cs="Arial"/>
          <w:sz w:val="22"/>
        </w:rPr>
        <w:t>根据记录的类型不同，SEC 有特定的保存要求。这些记录不一定需要以打印形式保存；只要是以不可擦除的格式，它们也可以以数字形式保存。</w:t>
      </w:r>
    </w:p>
    <w:p w14:paraId="08CDCBC8">
      <w:pPr>
        <w:spacing w:before="120" w:after="120" w:line="288" w:lineRule="auto"/>
        <w:ind w:left="0"/>
        <w:jc w:val="left"/>
      </w:pPr>
    </w:p>
    <w:p w14:paraId="237002C8">
      <w:pPr>
        <w:spacing w:before="120" w:after="120" w:line="288" w:lineRule="auto"/>
        <w:ind w:left="0"/>
        <w:jc w:val="left"/>
      </w:pPr>
      <w:r>
        <w:rPr>
          <w:rFonts w:ascii="Arial" w:hAnsi="Arial" w:eastAsia="等线" w:cs="Arial"/>
          <w:sz w:val="22"/>
        </w:rPr>
        <w:t>会员公司的公司文件或合伙文件必须在公司存续期间妥善保存。这些文件必须包含公司管理人员、合伙人及/或董事的名单。此外，所有在职员工的U4表格必须在公司经营期间一直保存。</w:t>
      </w:r>
    </w:p>
    <w:p w14:paraId="10EF340E">
      <w:pPr>
        <w:spacing w:before="120" w:after="120" w:line="288" w:lineRule="auto"/>
        <w:ind w:left="0"/>
        <w:jc w:val="left"/>
      </w:pPr>
    </w:p>
    <w:p w14:paraId="76E8F391">
      <w:pPr>
        <w:spacing w:before="120" w:after="120" w:line="288" w:lineRule="auto"/>
        <w:ind w:left="0"/>
        <w:jc w:val="left"/>
      </w:pPr>
      <w:r>
        <w:rPr>
          <w:rFonts w:ascii="Arial" w:hAnsi="Arial" w:eastAsia="等线" w:cs="Arial"/>
          <w:sz w:val="22"/>
        </w:rPr>
        <w:t>以下记录必须</w:t>
      </w:r>
      <w:r>
        <w:rPr>
          <w:rFonts w:ascii="Arial" w:hAnsi="Arial" w:eastAsia="等线" w:cs="Arial"/>
          <w:b/>
          <w:sz w:val="22"/>
        </w:rPr>
        <w:t>保存至少6年（six years）</w:t>
      </w:r>
      <w:r>
        <w:rPr>
          <w:rFonts w:ascii="Arial" w:hAnsi="Arial" w:eastAsia="等线" w:cs="Arial"/>
          <w:sz w:val="22"/>
        </w:rPr>
        <w:t>：</w:t>
      </w:r>
    </w:p>
    <w:p w14:paraId="307D685B">
      <w:pPr>
        <w:numPr>
          <w:ilvl w:val="0"/>
          <w:numId w:val="136"/>
        </w:numPr>
        <w:spacing w:before="120" w:after="120" w:line="288" w:lineRule="auto"/>
        <w:ind w:left="0"/>
        <w:jc w:val="left"/>
      </w:pPr>
      <w:r>
        <w:rPr>
          <w:rFonts w:ascii="Arial" w:hAnsi="Arial" w:eastAsia="等线" w:cs="Arial"/>
          <w:sz w:val="22"/>
        </w:rPr>
        <w:t>流水帐（blotters）：流水帐是与证券买卖、证券收付以及现金收付相关的原始分录记录。</w:t>
      </w:r>
    </w:p>
    <w:p w14:paraId="57DCAE99">
      <w:pPr>
        <w:numPr>
          <w:ilvl w:val="0"/>
          <w:numId w:val="137"/>
        </w:numPr>
        <w:spacing w:before="120" w:after="120" w:line="288" w:lineRule="auto"/>
        <w:ind w:left="0"/>
        <w:jc w:val="left"/>
      </w:pPr>
      <w:r>
        <w:rPr>
          <w:rFonts w:ascii="Arial" w:hAnsi="Arial" w:eastAsia="等线" w:cs="Arial"/>
          <w:sz w:val="22"/>
        </w:rPr>
        <w:t>分类账（ Ledgers）：客户账户对账单，其中包括交易结算日期。</w:t>
      </w:r>
    </w:p>
    <w:p w14:paraId="48DA8509">
      <w:pPr>
        <w:numPr>
          <w:ilvl w:val="0"/>
          <w:numId w:val="138"/>
        </w:numPr>
        <w:spacing w:before="120" w:after="120" w:line="288" w:lineRule="auto"/>
        <w:ind w:left="0"/>
        <w:jc w:val="left"/>
      </w:pPr>
      <w:r>
        <w:rPr>
          <w:rFonts w:ascii="Arial" w:hAnsi="Arial" w:eastAsia="等线" w:cs="Arial"/>
          <w:sz w:val="22"/>
        </w:rPr>
        <w:t>总分类账（General Ledgers）：公司的财务报表，必须每月更新。总分类账包括公司的资产、负债和净值。</w:t>
      </w:r>
    </w:p>
    <w:p w14:paraId="1595E8FA">
      <w:pPr>
        <w:numPr>
          <w:ilvl w:val="0"/>
          <w:numId w:val="139"/>
        </w:numPr>
        <w:spacing w:before="120" w:after="120" w:line="288" w:lineRule="auto"/>
        <w:ind w:left="0"/>
        <w:jc w:val="left"/>
      </w:pPr>
      <w:r>
        <w:rPr>
          <w:rFonts w:ascii="Arial" w:hAnsi="Arial" w:eastAsia="等线" w:cs="Arial"/>
          <w:sz w:val="22"/>
        </w:rPr>
        <w:t>持仓记录（Position record）：公司所持有的所有证券及其位置的记录。</w:t>
      </w:r>
    </w:p>
    <w:p w14:paraId="795610E2">
      <w:pPr>
        <w:numPr>
          <w:ilvl w:val="0"/>
          <w:numId w:val="140"/>
        </w:numPr>
        <w:spacing w:before="120" w:after="120" w:line="288" w:lineRule="auto"/>
        <w:ind w:left="0"/>
        <w:jc w:val="left"/>
      </w:pPr>
      <w:r>
        <w:rPr>
          <w:rFonts w:ascii="Arial" w:hAnsi="Arial" w:eastAsia="等线" w:cs="Arial"/>
          <w:sz w:val="22"/>
        </w:rPr>
        <w:t>账户记录（Account Record）：保证金账户和现金账户的条款和条件。</w:t>
      </w:r>
    </w:p>
    <w:p w14:paraId="2DBCE168">
      <w:pPr>
        <w:numPr>
          <w:ilvl w:val="0"/>
          <w:numId w:val="141"/>
        </w:numPr>
        <w:spacing w:before="120" w:after="120" w:line="288" w:lineRule="auto"/>
        <w:ind w:left="0"/>
        <w:jc w:val="left"/>
      </w:pPr>
      <w:r>
        <w:rPr>
          <w:rFonts w:ascii="Arial" w:hAnsi="Arial" w:eastAsia="等线" w:cs="Arial"/>
          <w:sz w:val="22"/>
        </w:rPr>
        <w:t>已关闭账户（Closed Accounts）：已关闭账户的客户记录。</w:t>
      </w:r>
    </w:p>
    <w:p w14:paraId="3D26AC3F">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ED984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64EFD27F">
            <w:pPr>
              <w:spacing w:before="120" w:after="120" w:line="288" w:lineRule="auto"/>
              <w:ind w:left="0"/>
              <w:jc w:val="left"/>
            </w:pPr>
            <w:r>
              <w:rPr>
                <w:rFonts w:ascii="Arial" w:hAnsi="Arial" w:eastAsia="等线" w:cs="Arial"/>
                <w:sz w:val="22"/>
              </w:rPr>
              <w:t>与 FINRA 规则一样，MSRB 的规则要求记录本（blotters）、分类账（ledgers）、已关闭账户（closed accounts）和持仓记录（position records）保存6年。然而，MSRB 还要求有关市政证券承销的记录、投诉（FINRA，四年）、监管记录和捐赠记录保存六年。</w:t>
            </w:r>
          </w:p>
        </w:tc>
      </w:tr>
    </w:tbl>
    <w:p w14:paraId="07F48931">
      <w:pPr>
        <w:spacing w:before="120" w:after="120" w:line="288" w:lineRule="auto"/>
        <w:ind w:left="0"/>
        <w:jc w:val="left"/>
      </w:pPr>
    </w:p>
    <w:p w14:paraId="4DFB40A1">
      <w:pPr>
        <w:spacing w:before="120" w:after="120" w:line="288" w:lineRule="auto"/>
        <w:ind w:left="0"/>
        <w:jc w:val="left"/>
      </w:pPr>
      <w:r>
        <w:rPr>
          <w:rFonts w:ascii="Arial" w:hAnsi="Arial" w:eastAsia="等线" w:cs="Arial"/>
          <w:sz w:val="22"/>
        </w:rPr>
        <w:t>以下记录必须</w:t>
      </w:r>
      <w:r>
        <w:rPr>
          <w:rFonts w:ascii="Arial" w:hAnsi="Arial" w:eastAsia="等线" w:cs="Arial"/>
          <w:b/>
          <w:sz w:val="22"/>
        </w:rPr>
        <w:t>保存至少3年（three years）</w:t>
      </w:r>
      <w:r>
        <w:rPr>
          <w:rFonts w:ascii="Arial" w:hAnsi="Arial" w:eastAsia="等线" w:cs="Arial"/>
          <w:sz w:val="22"/>
        </w:rPr>
        <w:t>：</w:t>
      </w:r>
    </w:p>
    <w:p w14:paraId="46072492">
      <w:pPr>
        <w:numPr>
          <w:ilvl w:val="0"/>
          <w:numId w:val="142"/>
        </w:numPr>
        <w:spacing w:before="120" w:after="120" w:line="288" w:lineRule="auto"/>
        <w:ind w:left="0"/>
        <w:jc w:val="left"/>
      </w:pPr>
      <w:r>
        <w:rPr>
          <w:rFonts w:ascii="Arial" w:hAnsi="Arial" w:eastAsia="等线" w:cs="Arial"/>
          <w:sz w:val="22"/>
        </w:rPr>
        <w:t>U4表格、U5表格以及前员工的指纹记录</w:t>
      </w:r>
    </w:p>
    <w:p w14:paraId="4BAAD576">
      <w:pPr>
        <w:numPr>
          <w:ilvl w:val="0"/>
          <w:numId w:val="143"/>
        </w:numPr>
        <w:spacing w:before="120" w:after="120" w:line="288" w:lineRule="auto"/>
        <w:ind w:left="0"/>
        <w:jc w:val="left"/>
      </w:pPr>
      <w:r>
        <w:rPr>
          <w:rFonts w:ascii="Arial" w:hAnsi="Arial" w:eastAsia="等线" w:cs="Arial"/>
          <w:sz w:val="22"/>
        </w:rPr>
        <w:t>交易确认书（trade confirmations）</w:t>
      </w:r>
    </w:p>
    <w:p w14:paraId="6939B786">
      <w:pPr>
        <w:numPr>
          <w:ilvl w:val="0"/>
          <w:numId w:val="144"/>
        </w:numPr>
        <w:spacing w:before="120" w:after="120" w:line="288" w:lineRule="auto"/>
        <w:ind w:left="0"/>
        <w:jc w:val="left"/>
      </w:pPr>
      <w:r>
        <w:rPr>
          <w:rFonts w:ascii="Arial" w:hAnsi="Arial" w:eastAsia="等线" w:cs="Arial"/>
          <w:sz w:val="22"/>
        </w:rPr>
        <w:t>订单票据（order tickets）</w:t>
      </w:r>
    </w:p>
    <w:p w14:paraId="54669BCD">
      <w:pPr>
        <w:numPr>
          <w:ilvl w:val="0"/>
          <w:numId w:val="145"/>
        </w:numPr>
        <w:spacing w:before="120" w:after="120" w:line="288" w:lineRule="auto"/>
        <w:ind w:left="0"/>
        <w:jc w:val="left"/>
      </w:pPr>
      <w:r>
        <w:rPr>
          <w:rFonts w:ascii="Arial" w:hAnsi="Arial" w:eastAsia="等线" w:cs="Arial"/>
          <w:sz w:val="22"/>
        </w:rPr>
        <w:t>广告（advertisements）</w:t>
      </w:r>
    </w:p>
    <w:p w14:paraId="49D8D547">
      <w:pPr>
        <w:numPr>
          <w:ilvl w:val="0"/>
          <w:numId w:val="146"/>
        </w:numPr>
        <w:spacing w:before="120" w:after="120" w:line="288" w:lineRule="auto"/>
        <w:ind w:left="0"/>
        <w:jc w:val="left"/>
      </w:pPr>
      <w:r>
        <w:rPr>
          <w:rFonts w:ascii="Arial" w:hAnsi="Arial" w:eastAsia="等线" w:cs="Arial"/>
          <w:sz w:val="22"/>
        </w:rPr>
        <w:t>销售宣传资料（Sales literature）</w:t>
      </w:r>
    </w:p>
    <w:p w14:paraId="67893C81">
      <w:pPr>
        <w:numPr>
          <w:ilvl w:val="0"/>
          <w:numId w:val="147"/>
        </w:numPr>
        <w:spacing w:before="120" w:after="120" w:line="288" w:lineRule="auto"/>
        <w:ind w:left="0"/>
        <w:jc w:val="left"/>
      </w:pPr>
      <w:r>
        <w:rPr>
          <w:rFonts w:ascii="Arial" w:hAnsi="Arial" w:eastAsia="等线" w:cs="Arial"/>
          <w:sz w:val="22"/>
        </w:rPr>
        <w:t>每个账户收到的股息和利息</w:t>
      </w:r>
    </w:p>
    <w:p w14:paraId="55801B0A">
      <w:pPr>
        <w:numPr>
          <w:ilvl w:val="0"/>
          <w:numId w:val="148"/>
        </w:numPr>
        <w:spacing w:before="120" w:after="120" w:line="288" w:lineRule="auto"/>
        <w:ind w:left="0"/>
        <w:jc w:val="left"/>
      </w:pPr>
      <w:r>
        <w:rPr>
          <w:rFonts w:ascii="Arial" w:hAnsi="Arial" w:eastAsia="等线" w:cs="Arial"/>
          <w:sz w:val="22"/>
        </w:rPr>
        <w:t>授权委托书</w:t>
      </w:r>
    </w:p>
    <w:p w14:paraId="43DB749C">
      <w:pPr>
        <w:numPr>
          <w:ilvl w:val="0"/>
          <w:numId w:val="149"/>
        </w:numPr>
        <w:spacing w:before="120" w:after="120" w:line="288" w:lineRule="auto"/>
        <w:ind w:left="0"/>
        <w:jc w:val="left"/>
      </w:pPr>
      <w:r>
        <w:rPr>
          <w:rFonts w:ascii="Arial" w:hAnsi="Arial" w:eastAsia="等线" w:cs="Arial"/>
          <w:sz w:val="22"/>
        </w:rPr>
        <w:t>演讲/公开露面</w:t>
      </w:r>
    </w:p>
    <w:p w14:paraId="3E829827">
      <w:pPr>
        <w:numPr>
          <w:ilvl w:val="0"/>
          <w:numId w:val="150"/>
        </w:numPr>
        <w:spacing w:before="120" w:after="120" w:line="288" w:lineRule="auto"/>
        <w:ind w:left="0"/>
        <w:jc w:val="left"/>
      </w:pPr>
      <w:r>
        <w:rPr>
          <w:rFonts w:ascii="Arial" w:hAnsi="Arial" w:eastAsia="等线" w:cs="Arial"/>
          <w:sz w:val="22"/>
        </w:rPr>
        <w:t>合规程序手册</w:t>
      </w:r>
    </w:p>
    <w:p w14:paraId="1CBB3A55">
      <w:pPr>
        <w:numPr>
          <w:ilvl w:val="0"/>
          <w:numId w:val="151"/>
        </w:numPr>
        <w:spacing w:before="120" w:after="120" w:line="288" w:lineRule="auto"/>
        <w:ind w:left="0"/>
        <w:jc w:val="left"/>
      </w:pPr>
      <w:r>
        <w:rPr>
          <w:rFonts w:ascii="Arial" w:hAnsi="Arial" w:eastAsia="等线" w:cs="Arial"/>
          <w:sz w:val="22"/>
        </w:rPr>
        <w:t>礼品</w:t>
      </w:r>
    </w:p>
    <w:p w14:paraId="4D9CCAEA">
      <w:pPr>
        <w:numPr>
          <w:ilvl w:val="0"/>
          <w:numId w:val="152"/>
        </w:numPr>
        <w:spacing w:before="120" w:after="120" w:line="288" w:lineRule="auto"/>
        <w:ind w:left="0"/>
        <w:jc w:val="left"/>
      </w:pPr>
      <w:r>
        <w:rPr>
          <w:rFonts w:ascii="Arial" w:hAnsi="Arial" w:eastAsia="等线" w:cs="Arial"/>
          <w:sz w:val="22"/>
        </w:rPr>
        <w:t>员工薪酬记录</w:t>
      </w:r>
    </w:p>
    <w:p w14:paraId="33ACD643">
      <w:pPr>
        <w:spacing w:before="120" w:after="120" w:line="288" w:lineRule="auto"/>
        <w:ind w:left="0"/>
        <w:jc w:val="left"/>
      </w:pPr>
    </w:p>
    <w:p w14:paraId="1C8C2E2E">
      <w:pPr>
        <w:spacing w:before="120" w:after="120" w:line="288" w:lineRule="auto"/>
        <w:ind w:left="0"/>
        <w:jc w:val="left"/>
      </w:pPr>
      <w:r>
        <w:rPr>
          <w:rFonts w:ascii="Arial" w:hAnsi="Arial" w:eastAsia="等线" w:cs="Arial"/>
          <w:sz w:val="22"/>
        </w:rPr>
        <w:t>注：MSRB 规则要求成员将某些记录保存四年。这些包括附属分类账、交易、确认、客户账户的条款和条件、支票簿和已注销支票、官方声明的交付、公共通信等等。</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E7243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61DF86A5">
            <w:pPr>
              <w:spacing w:before="120" w:after="120" w:line="288" w:lineRule="auto"/>
              <w:ind w:left="0"/>
              <w:jc w:val="left"/>
            </w:pPr>
            <w:r>
              <w:rPr>
                <w:rFonts w:ascii="Arial" w:hAnsi="Arial" w:eastAsia="等线" w:cs="Arial"/>
                <w:sz w:val="22"/>
              </w:rPr>
              <w:t>注：MSRB 规则要求成员将某些记录保存四年。这些包括附属分类账、交易、确认、客户账户的条款和条件、支票簿和已注销支票、官方声明的交付、公共通信等等。</w:t>
            </w:r>
          </w:p>
        </w:tc>
      </w:tr>
    </w:tbl>
    <w:p w14:paraId="29E8850E">
      <w:pPr>
        <w:spacing w:before="120" w:after="120" w:line="288" w:lineRule="auto"/>
        <w:ind w:left="0"/>
        <w:jc w:val="left"/>
      </w:pPr>
      <w:r>
        <w:rPr>
          <w:rFonts w:ascii="Arial" w:hAnsi="Arial" w:eastAsia="等线" w:cs="Arial"/>
          <w:sz w:val="22"/>
        </w:rPr>
        <w:t>可想而知，对于伪造、不当维护或不当保存记录的行为，会实施严厉处罚。FINRA 保留检查所有会员公司及其关联方的账簿、记录和账户的权利。会员公司应及时提供 FINRA 要求的特定账簿、记录或账户等所有监管请求所涉及的资料。</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B4CD299">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5CE18D89">
            <w:pPr>
              <w:spacing w:before="120" w:after="120" w:line="288" w:lineRule="auto"/>
              <w:ind w:left="0"/>
              <w:jc w:val="left"/>
            </w:pPr>
            <w:r>
              <w:rPr>
                <w:rFonts w:ascii="Arial" w:hAnsi="Arial" w:eastAsia="等线" w:cs="Arial"/>
                <w:sz w:val="22"/>
              </w:rPr>
              <w:t>成员公司的公司或合伙文件（Corporate or partnership documents）必须在公司存续期间（lifetime）保存。</w:t>
            </w:r>
          </w:p>
        </w:tc>
      </w:tr>
    </w:tbl>
    <w:p w14:paraId="0D19F55A">
      <w:pPr>
        <w:spacing w:before="320" w:after="120" w:line="288" w:lineRule="auto"/>
        <w:ind w:left="0"/>
        <w:jc w:val="left"/>
        <w:outlineLvl w:val="1"/>
      </w:pPr>
      <w:bookmarkStart w:id="42" w:name="heading_42"/>
      <w:r>
        <w:rPr>
          <w:rFonts w:ascii="Arial" w:hAnsi="Arial" w:eastAsia="等线" w:cs="Arial"/>
          <w:color w:val="3370FF"/>
          <w:sz w:val="32"/>
        </w:rPr>
        <w:t xml:space="preserve">2.4 </w:t>
      </w:r>
      <w:r>
        <w:rPr>
          <w:rFonts w:ascii="Arial" w:hAnsi="Arial" w:eastAsia="等线" w:cs="Arial"/>
          <w:b/>
          <w:sz w:val="32"/>
        </w:rPr>
        <w:t>牢记其他重要规则</w:t>
      </w:r>
      <w:bookmarkEnd w:id="42"/>
    </w:p>
    <w:p w14:paraId="667D3A98">
      <w:pPr>
        <w:spacing w:before="300" w:after="120" w:line="288" w:lineRule="auto"/>
        <w:ind w:left="0"/>
        <w:jc w:val="left"/>
        <w:outlineLvl w:val="2"/>
      </w:pPr>
      <w:bookmarkStart w:id="43" w:name="heading_43"/>
      <w:r>
        <w:rPr>
          <w:rFonts w:ascii="Arial" w:hAnsi="Arial" w:eastAsia="等线" w:cs="Arial"/>
          <w:color w:val="3370FF"/>
          <w:sz w:val="30"/>
        </w:rPr>
        <w:t xml:space="preserve">2.4.1 </w:t>
      </w:r>
      <w:r>
        <w:rPr>
          <w:rFonts w:ascii="Arial" w:hAnsi="Arial" w:eastAsia="等线" w:cs="Arial"/>
          <w:b/>
          <w:sz w:val="30"/>
        </w:rPr>
        <w:t>坚持5%加价政策</w:t>
      </w:r>
      <w:bookmarkEnd w:id="43"/>
    </w:p>
    <w:p w14:paraId="73C0A94F">
      <w:pPr>
        <w:spacing w:before="120" w:after="120" w:line="288" w:lineRule="auto"/>
        <w:ind w:left="0"/>
        <w:jc w:val="left"/>
      </w:pPr>
      <w:r>
        <w:rPr>
          <w:rFonts w:ascii="Arial" w:hAnsi="Arial" w:eastAsia="等线" w:cs="Arial"/>
          <w:sz w:val="22"/>
        </w:rPr>
        <w:t>FINRA 5% 加价政策更多是一项指导原则而非规则。</w:t>
      </w:r>
    </w:p>
    <w:p w14:paraId="430B8D6A">
      <w:pPr>
        <w:spacing w:before="120" w:after="120" w:line="288" w:lineRule="auto"/>
        <w:ind w:left="0"/>
        <w:jc w:val="left"/>
      </w:pPr>
    </w:p>
    <w:p w14:paraId="49DC35E8">
      <w:pPr>
        <w:spacing w:before="120" w:after="120" w:line="288" w:lineRule="auto"/>
        <w:ind w:left="0"/>
        <w:jc w:val="left"/>
      </w:pPr>
      <w:r>
        <w:rPr>
          <w:rFonts w:ascii="Arial" w:hAnsi="Arial" w:eastAsia="等线" w:cs="Arial"/>
          <w:sz w:val="22"/>
        </w:rPr>
        <w:t>该政策的制定是为了确保投资者得到公平对待，且在场外交易市场中不会被收取过高的经纪交易商服务费用。该指导原则规定，经纪公司对标准交易收取的佣金、加价或减价不应超过5%。</w:t>
      </w:r>
    </w:p>
    <w:p w14:paraId="0F10CC63">
      <w:pPr>
        <w:spacing w:before="120" w:after="120" w:line="288" w:lineRule="auto"/>
        <w:ind w:left="0"/>
        <w:jc w:val="left"/>
      </w:pPr>
    </w:p>
    <w:p w14:paraId="54C116AB">
      <w:pPr>
        <w:spacing w:before="120" w:after="120" w:line="288" w:lineRule="auto"/>
        <w:ind w:left="0"/>
        <w:jc w:val="left"/>
      </w:pPr>
      <w:r>
        <w:rPr>
          <w:rFonts w:ascii="Arial" w:hAnsi="Arial" w:eastAsia="等线" w:cs="Arial"/>
          <w:sz w:val="22"/>
        </w:rPr>
        <w:t>以下交易受5%加价政策约束：</w:t>
      </w:r>
    </w:p>
    <w:p w14:paraId="259219E9">
      <w:pPr>
        <w:numPr>
          <w:ilvl w:val="0"/>
          <w:numId w:val="153"/>
        </w:numPr>
        <w:spacing w:before="120" w:after="120" w:line="288" w:lineRule="auto"/>
        <w:ind w:left="0"/>
        <w:jc w:val="left"/>
      </w:pPr>
      <w:r>
        <w:rPr>
          <w:rFonts w:ascii="Arial" w:hAnsi="Arial" w:eastAsia="等线" w:cs="Arial"/>
          <w:sz w:val="22"/>
        </w:rPr>
        <w:t>主要（交易商）交易：公司从自有库存中买入（或卖出）证券，并收取减价或加价费用。</w:t>
      </w:r>
    </w:p>
    <w:p w14:paraId="0C87E769">
      <w:pPr>
        <w:numPr>
          <w:ilvl w:val="0"/>
          <w:numId w:val="154"/>
        </w:numPr>
        <w:spacing w:before="120" w:after="120" w:line="288" w:lineRule="auto"/>
        <w:ind w:left="0"/>
        <w:jc w:val="left"/>
      </w:pPr>
      <w:r>
        <w:rPr>
          <w:rFonts w:ascii="Arial" w:hAnsi="Arial" w:eastAsia="等线" w:cs="Arial"/>
          <w:sz w:val="22"/>
        </w:rPr>
        <w:t>代理（经纪）交易：公司充当中间人（经纪人）并收取佣金。</w:t>
      </w:r>
    </w:p>
    <w:p w14:paraId="2507A94F">
      <w:pPr>
        <w:numPr>
          <w:ilvl w:val="0"/>
          <w:numId w:val="155"/>
        </w:numPr>
        <w:spacing w:before="120" w:after="120" w:line="288" w:lineRule="auto"/>
        <w:ind w:left="0"/>
        <w:jc w:val="left"/>
      </w:pPr>
      <w:r>
        <w:rPr>
          <w:rFonts w:ascii="Arial" w:hAnsi="Arial" w:eastAsia="等线" w:cs="Arial"/>
          <w:sz w:val="22"/>
        </w:rPr>
        <w:t>无风险（同时发生的）交易：公司为自身库存购买证券，以便立即转售给客户（对公司而言无风险）。</w:t>
      </w:r>
    </w:p>
    <w:p w14:paraId="1D4F4CC8">
      <w:pPr>
        <w:numPr>
          <w:ilvl w:val="0"/>
          <w:numId w:val="156"/>
        </w:numPr>
        <w:spacing w:before="120" w:after="120" w:line="288" w:lineRule="auto"/>
        <w:ind w:left="0"/>
        <w:jc w:val="left"/>
      </w:pPr>
      <w:r>
        <w:rPr>
          <w:rFonts w:ascii="Arial" w:hAnsi="Arial" w:eastAsia="等线" w:cs="Arial"/>
          <w:sz w:val="22"/>
        </w:rPr>
        <w:t>收益交易：公司出售一项证券，并立即用所得资金购买另一项证券。你必须将此交易视为一笔交易。（你不能在卖出和买入时都收费。）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CAB494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5384B33B">
            <w:pPr>
              <w:spacing w:before="120" w:after="120" w:line="288" w:lineRule="auto"/>
              <w:ind w:left="0"/>
              <w:jc w:val="left"/>
            </w:pPr>
            <w:r>
              <w:rPr>
                <w:rFonts w:ascii="Arial" w:hAnsi="Arial" w:eastAsia="等线" w:cs="Arial"/>
                <w:sz w:val="22"/>
              </w:rPr>
              <w:t>5%加价政策适用于向公众客户进行的已发行非豁免证券的场外交易。如果证券豁免于美国证券交易委员会（SEC）的注册，或者是需要招股说明书的新证券，则不受5%政策的限制。此外，如果交易商每股支付20美元一股买入的库存证券（交易商成本），市场价格是8美元，那么为了避免亏损，交易商不能向客户收取每股20美元。</w:t>
            </w:r>
          </w:p>
        </w:tc>
      </w:tr>
    </w:tbl>
    <w:p w14:paraId="68696E89">
      <w:pPr>
        <w:spacing w:before="120" w:after="120" w:line="288" w:lineRule="auto"/>
        <w:ind w:left="0"/>
        <w:jc w:val="left"/>
      </w:pPr>
      <w:r>
        <w:rPr>
          <w:rFonts w:ascii="Arial" w:hAnsi="Arial" w:eastAsia="等线" w:cs="Arial"/>
          <w:sz w:val="22"/>
        </w:rPr>
        <w:t>在情有可原的情况下，经纪公司可能会收取更高的费用。收取高于（或低于）5%费用的正当理由包括：</w:t>
      </w:r>
    </w:p>
    <w:p w14:paraId="08CA6EBB">
      <w:pPr>
        <w:numPr>
          <w:ilvl w:val="0"/>
          <w:numId w:val="157"/>
        </w:numPr>
        <w:spacing w:before="120" w:after="120" w:line="288" w:lineRule="auto"/>
        <w:ind w:left="0"/>
        <w:jc w:val="left"/>
      </w:pPr>
      <w:r>
        <w:rPr>
          <w:rFonts w:ascii="Arial" w:hAnsi="Arial" w:eastAsia="等线" w:cs="Arial"/>
          <w:sz w:val="22"/>
        </w:rPr>
        <w:t>由于市场价格过高或过低，在买卖该证券时遇到困难。</w:t>
      </w:r>
    </w:p>
    <w:p w14:paraId="5F809ADD">
      <w:pPr>
        <w:numPr>
          <w:ilvl w:val="0"/>
          <w:numId w:val="158"/>
        </w:numPr>
        <w:spacing w:before="120" w:after="120" w:line="288" w:lineRule="auto"/>
        <w:ind w:left="0"/>
        <w:jc w:val="left"/>
      </w:pPr>
      <w:r>
        <w:rPr>
          <w:rFonts w:ascii="Arial" w:hAnsi="Arial" w:eastAsia="等线" w:cs="Arial"/>
          <w:sz w:val="22"/>
        </w:rPr>
        <w:t>处理一笔小额交易。如果客户要订购值100美元的证券，如果你只收5%（5美元），你就会输得精光。在这种情况下，你收取 100% 的费用也不为过。同样地，如果客户要购买价值100万美元的证券，你收取5%($50,000)，那该费用就会被认为是过高的。</w:t>
      </w:r>
    </w:p>
    <w:p w14:paraId="17611745">
      <w:pPr>
        <w:numPr>
          <w:ilvl w:val="0"/>
          <w:numId w:val="159"/>
        </w:numPr>
        <w:spacing w:before="120" w:after="120" w:line="288" w:lineRule="auto"/>
        <w:ind w:left="0"/>
        <w:jc w:val="left"/>
      </w:pPr>
      <w:r>
        <w:rPr>
          <w:rFonts w:ascii="Arial" w:hAnsi="Arial" w:eastAsia="等线" w:cs="Arial"/>
          <w:sz w:val="22"/>
        </w:rPr>
        <w:t>难以找到并购买特定的证券。</w:t>
      </w:r>
    </w:p>
    <w:p w14:paraId="276FF93D">
      <w:pPr>
        <w:numPr>
          <w:ilvl w:val="0"/>
          <w:numId w:val="160"/>
        </w:numPr>
        <w:spacing w:before="120" w:after="120" w:line="288" w:lineRule="auto"/>
        <w:ind w:left="0"/>
        <w:jc w:val="left"/>
      </w:pPr>
      <w:r>
        <w:rPr>
          <w:rFonts w:ascii="Arial" w:hAnsi="Arial" w:eastAsia="等线" w:cs="Arial"/>
          <w:sz w:val="22"/>
        </w:rPr>
        <w:t>交易非流动性证券。</w:t>
      </w:r>
    </w:p>
    <w:p w14:paraId="1654698E">
      <w:pPr>
        <w:numPr>
          <w:ilvl w:val="0"/>
          <w:numId w:val="161"/>
        </w:numPr>
        <w:spacing w:before="120" w:after="120" w:line="288" w:lineRule="auto"/>
        <w:ind w:left="0"/>
        <w:jc w:val="left"/>
      </w:pPr>
      <w:r>
        <w:rPr>
          <w:rFonts w:ascii="Arial" w:hAnsi="Arial" w:eastAsia="等线" w:cs="Arial"/>
          <w:sz w:val="22"/>
        </w:rPr>
        <w:t>在国外市场执行交易。</w:t>
      </w:r>
    </w:p>
    <w:p w14:paraId="33751395">
      <w:pPr>
        <w:spacing w:before="120" w:after="120" w:line="288" w:lineRule="auto"/>
        <w:ind w:left="0"/>
        <w:jc w:val="left"/>
      </w:pPr>
    </w:p>
    <w:p w14:paraId="2947BB9F">
      <w:pPr>
        <w:spacing w:before="120" w:after="120" w:line="288" w:lineRule="auto"/>
        <w:ind w:left="0"/>
        <w:jc w:val="left"/>
      </w:pPr>
      <w:r>
        <w:rPr>
          <w:rFonts w:ascii="Arial" w:hAnsi="Arial" w:eastAsia="等线" w:cs="Arial"/>
          <w:sz w:val="22"/>
        </w:rPr>
        <w:t>注：5%的加价政策是会员公司进行交易时应遵循的指导原则。然而，公司也可以就除证券交易外的其他服务向客户收费。这些服务包括代收本金、利息或股息的应付款项。它们还可以对证券的兑换或转让，或客户证券的保管收取费用。你需要记住的主要一点是，这些收费应当合理，且不得有不公平的歧视性。</w:t>
      </w:r>
    </w:p>
    <w:p w14:paraId="722F1CFF">
      <w:pPr>
        <w:spacing w:before="120" w:after="120" w:line="288" w:lineRule="auto"/>
        <w:ind w:left="0"/>
        <w:jc w:val="left"/>
      </w:pPr>
    </w:p>
    <w:p w14:paraId="73FCAC44">
      <w:pPr>
        <w:spacing w:before="300" w:after="120" w:line="288" w:lineRule="auto"/>
        <w:ind w:left="0"/>
        <w:jc w:val="left"/>
        <w:outlineLvl w:val="2"/>
      </w:pPr>
      <w:bookmarkStart w:id="44" w:name="heading_44"/>
      <w:r>
        <w:rPr>
          <w:rFonts w:ascii="Arial" w:hAnsi="Arial" w:eastAsia="等线" w:cs="Arial"/>
          <w:color w:val="3370FF"/>
          <w:sz w:val="30"/>
        </w:rPr>
        <w:t xml:space="preserve">2.4.2 </w:t>
      </w:r>
      <w:r>
        <w:rPr>
          <w:rFonts w:ascii="Arial" w:hAnsi="Arial" w:eastAsia="等线" w:cs="Arial"/>
          <w:b/>
          <w:sz w:val="30"/>
        </w:rPr>
        <w:t>避免违规（Avoiding violations）</w:t>
      </w:r>
      <w:bookmarkEnd w:id="44"/>
    </w:p>
    <w:p w14:paraId="2EE640B6">
      <w:pPr>
        <w:spacing w:before="120" w:after="120" w:line="288" w:lineRule="auto"/>
        <w:ind w:left="0"/>
        <w:jc w:val="left"/>
      </w:pPr>
      <w:r>
        <w:rPr>
          <w:rFonts w:ascii="Arial" w:hAnsi="Arial" w:eastAsia="等线" w:cs="Arial"/>
          <w:sz w:val="22"/>
        </w:rPr>
        <w:t>你不仅需要了解一些违规行为以应对SIE考试，还需要这样做以避免陷入麻烦。当然，整本书以及本章都充斥着各种规则和违规行为的相关内容。不过，有些违规行为可以用一两句话（或三句话）来概括，这正是本节的目的所在。其中一些违规行为与经纪交易商的关联更为密切，一些与注册代表相关，还有一些则涉及投资顾问。违规者可能会受到诸如罚款、谴责、暂停资格、开除等处罚。</w:t>
      </w:r>
    </w:p>
    <w:p w14:paraId="7AB9D672">
      <w:pPr>
        <w:spacing w:before="120" w:after="120" w:line="288" w:lineRule="auto"/>
        <w:ind w:left="0"/>
        <w:jc w:val="left"/>
      </w:pPr>
    </w:p>
    <w:p w14:paraId="13CC6F02">
      <w:pPr>
        <w:numPr>
          <w:ilvl w:val="0"/>
          <w:numId w:val="162"/>
        </w:numPr>
        <w:spacing w:before="120" w:after="120" w:line="288" w:lineRule="auto"/>
        <w:ind w:left="0"/>
        <w:jc w:val="left"/>
      </w:pPr>
      <w:r>
        <w:rPr>
          <w:rFonts w:ascii="Arial" w:hAnsi="Arial" w:eastAsia="等线" w:cs="Arial"/>
          <w:sz w:val="22"/>
        </w:rPr>
        <w:t>资金混合（Commingling of funds）：将客户的全额支付证券与保证金证券合并，或将公司证券与客户证券合并</w:t>
      </w:r>
    </w:p>
    <w:p w14:paraId="79AB5C39">
      <w:pPr>
        <w:numPr>
          <w:ilvl w:val="0"/>
          <w:numId w:val="163"/>
        </w:numPr>
        <w:spacing w:before="120" w:after="120" w:line="288" w:lineRule="auto"/>
        <w:ind w:left="0"/>
        <w:jc w:val="left"/>
      </w:pPr>
      <w:r>
        <w:rPr>
          <w:rFonts w:ascii="Arial" w:hAnsi="Arial" w:eastAsia="等线" w:cs="Arial"/>
          <w:sz w:val="22"/>
        </w:rPr>
        <w:t>介入交易（Interpositioning）：让两名证券交易商在同一笔交易中担任代理人，以便在一笔交易中赚取两笔佣金</w:t>
      </w:r>
    </w:p>
    <w:p w14:paraId="007AADC7">
      <w:pPr>
        <w:numPr>
          <w:ilvl w:val="0"/>
          <w:numId w:val="164"/>
        </w:numPr>
        <w:spacing w:before="120" w:after="120" w:line="288" w:lineRule="auto"/>
        <w:ind w:left="0"/>
        <w:jc w:val="left"/>
      </w:pPr>
      <w:r>
        <w:rPr>
          <w:rFonts w:ascii="Arial" w:hAnsi="Arial" w:eastAsia="等线" w:cs="Arial"/>
          <w:sz w:val="22"/>
        </w:rPr>
        <w:t>赠送（或接收）礼物：每年向每位客户赠送或接收价值超过100美元的礼物。非现金业务支出（午餐、晚餐、酒店房间、差旅费、偶尔的体育赛事门票等）不受此规定限制。</w:t>
      </w:r>
    </w:p>
    <w:p w14:paraId="0FFE9BA0">
      <w:pPr>
        <w:numPr>
          <w:ilvl w:val="0"/>
          <w:numId w:val="165"/>
        </w:numPr>
        <w:spacing w:before="120" w:after="120" w:line="288" w:lineRule="auto"/>
        <w:ind w:left="0"/>
        <w:jc w:val="left"/>
      </w:pPr>
      <w:r>
        <w:rPr>
          <w:rFonts w:ascii="Arial" w:hAnsi="Arial" w:eastAsia="等线" w:cs="Arial"/>
          <w:sz w:val="22"/>
        </w:rPr>
        <w:t>进行政治献金（花钱参与）：根据1940年《投资顾问法》，投资顾问在进行献金后的两年内，不得向政府客户提供收费的投资咨询服务。该规定不仅适用于向某些民选官员进行献金的顾问、高管和员工，也适用于日后可能当选的候选人。此外，若投资顾问正在争取或提供政府业务，则禁止其为当选官员或候选人募集献金。</w:t>
      </w:r>
    </w:p>
    <w:p w14:paraId="33336313">
      <w:pPr>
        <w:numPr>
          <w:ilvl w:val="0"/>
          <w:numId w:val="166"/>
        </w:numPr>
        <w:spacing w:before="120" w:after="120" w:line="288" w:lineRule="auto"/>
        <w:ind w:left="0"/>
        <w:jc w:val="left"/>
      </w:pPr>
      <w:r>
        <w:rPr>
          <w:rFonts w:ascii="Arial" w:hAnsi="Arial" w:eastAsia="等线" w:cs="Arial"/>
          <w:sz w:val="22"/>
        </w:rPr>
        <w:t>伪造或隐瞒文件：公司不得编造信息，也不得向客户或任何自律监管组织隐瞒所需文件。</w:t>
      </w:r>
    </w:p>
    <w:p w14:paraId="7ECD9A34">
      <w:pPr>
        <w:numPr>
          <w:ilvl w:val="0"/>
          <w:numId w:val="167"/>
        </w:numPr>
        <w:spacing w:before="120" w:after="120" w:line="288" w:lineRule="auto"/>
        <w:ind w:left="0"/>
        <w:jc w:val="left"/>
      </w:pPr>
      <w:r>
        <w:rPr>
          <w:rFonts w:ascii="Arial" w:hAnsi="Arial" w:eastAsia="等线" w:cs="Arial"/>
          <w:sz w:val="22"/>
        </w:rPr>
        <w:t>方便签名（Signatures of convenience）：基本上，即使得到客户批准，伪造客户签名也是一种违规行为。</w:t>
      </w:r>
    </w:p>
    <w:p w14:paraId="08F7260B">
      <w:pPr>
        <w:numPr>
          <w:ilvl w:val="0"/>
          <w:numId w:val="168"/>
        </w:numPr>
        <w:spacing w:before="120" w:after="120" w:line="288" w:lineRule="auto"/>
        <w:ind w:left="0"/>
        <w:jc w:val="left"/>
      </w:pPr>
      <w:r>
        <w:rPr>
          <w:rFonts w:ascii="Arial" w:hAnsi="Arial" w:eastAsia="等线" w:cs="Arial"/>
          <w:sz w:val="22"/>
        </w:rPr>
        <w:t>保证：禁止会员及其关联方对客户的任何证券交易或任何证券账户的损失作出保证。</w:t>
      </w:r>
    </w:p>
    <w:p w14:paraId="2438DC42">
      <w:pPr>
        <w:numPr>
          <w:ilvl w:val="0"/>
          <w:numId w:val="169"/>
        </w:numPr>
        <w:spacing w:before="120" w:after="120" w:line="288" w:lineRule="auto"/>
        <w:ind w:left="0"/>
        <w:jc w:val="left"/>
      </w:pPr>
      <w:r>
        <w:rPr>
          <w:rFonts w:ascii="Arial" w:hAnsi="Arial" w:eastAsia="等线" w:cs="Arial"/>
          <w:sz w:val="22"/>
        </w:rPr>
        <w:t>不当使用：禁止会员及其关联方不当使用客户的证券或资金。</w:t>
      </w:r>
    </w:p>
    <w:p w14:paraId="7C41AAF4">
      <w:pPr>
        <w:numPr>
          <w:ilvl w:val="0"/>
          <w:numId w:val="170"/>
        </w:numPr>
        <w:spacing w:before="120" w:after="120" w:line="288" w:lineRule="auto"/>
        <w:ind w:left="0"/>
        <w:jc w:val="left"/>
      </w:pPr>
      <w:r>
        <w:rPr>
          <w:rFonts w:ascii="Arial" w:hAnsi="Arial" w:eastAsia="等线" w:cs="Arial"/>
          <w:sz w:val="22"/>
        </w:rPr>
        <w:t>自由交易：允许客户买入然后卖出相同的证券而无需支付购买款项。根据T条例，如果客户在现金账户中买入并卖出相同的证券却未支付该证券的款项，其账户将被限制90天。在这90天内，客户必须全额付款后才能购买证券。</w:t>
      </w:r>
    </w:p>
    <w:p w14:paraId="72C8BA64">
      <w:pPr>
        <w:numPr>
          <w:ilvl w:val="0"/>
          <w:numId w:val="171"/>
        </w:numPr>
        <w:spacing w:before="120" w:after="120" w:line="288" w:lineRule="auto"/>
        <w:ind w:left="0"/>
        <w:jc w:val="left"/>
      </w:pPr>
      <w:r>
        <w:rPr>
          <w:rFonts w:ascii="Arial" w:hAnsi="Arial" w:eastAsia="等线" w:cs="Arial"/>
          <w:sz w:val="22"/>
        </w:rPr>
        <w:t>违约退缩：证券交易商未能履行确定报价的行为。</w:t>
      </w:r>
    </w:p>
    <w:p w14:paraId="0199D77F">
      <w:pPr>
        <w:numPr>
          <w:ilvl w:val="0"/>
          <w:numId w:val="172"/>
        </w:numPr>
        <w:spacing w:before="120" w:after="120" w:line="288" w:lineRule="auto"/>
        <w:ind w:left="0"/>
        <w:jc w:val="left"/>
      </w:pPr>
      <w:r>
        <w:rPr>
          <w:rFonts w:ascii="Arial" w:hAnsi="Arial" w:eastAsia="等线" w:cs="Arial"/>
          <w:sz w:val="22"/>
        </w:rPr>
        <w:t>频繁交易（Churning）：一种违规行为，指注册代表为了单纯产生佣金而对客户账户进行过度交易。</w:t>
      </w:r>
    </w:p>
    <w:p w14:paraId="3C120F88">
      <w:pPr>
        <w:numPr>
          <w:ilvl w:val="0"/>
          <w:numId w:val="173"/>
        </w:numPr>
        <w:spacing w:before="120" w:after="120" w:line="288" w:lineRule="auto"/>
        <w:ind w:left="0"/>
        <w:jc w:val="left"/>
      </w:pPr>
      <w:r>
        <w:rPr>
          <w:rFonts w:ascii="Arial" w:hAnsi="Arial" w:eastAsia="等线" w:cs="Arial"/>
          <w:sz w:val="22"/>
        </w:rPr>
        <w:t>使用操纵、欺骗或其他欺诈手段：禁止会员通过操纵、欺骗或任何其他欺诈手段或计谋诱导他人买卖任何证券。</w:t>
      </w:r>
    </w:p>
    <w:p w14:paraId="17C77F26">
      <w:pPr>
        <w:numPr>
          <w:ilvl w:val="0"/>
          <w:numId w:val="174"/>
        </w:numPr>
        <w:spacing w:before="120" w:after="120" w:line="288" w:lineRule="auto"/>
        <w:ind w:left="0"/>
        <w:jc w:val="left"/>
      </w:pPr>
      <w:r>
        <w:rPr>
          <w:rFonts w:ascii="Arial" w:hAnsi="Arial" w:eastAsia="等线" w:cs="Arial"/>
          <w:sz w:val="22"/>
        </w:rPr>
        <w:t>提前根据研究报告进行交易：任何成员不得在研究报告公开发布前，依据从该研究报告中获取的信息对证券进行交易。</w:t>
      </w:r>
    </w:p>
    <w:p w14:paraId="3BFDF01E">
      <w:pPr>
        <w:numPr>
          <w:ilvl w:val="0"/>
          <w:numId w:val="175"/>
        </w:numPr>
        <w:spacing w:before="120" w:after="120" w:line="288" w:lineRule="auto"/>
        <w:ind w:left="0"/>
        <w:jc w:val="left"/>
      </w:pPr>
      <w:r>
        <w:rPr>
          <w:rFonts w:ascii="Arial" w:hAnsi="Arial" w:eastAsia="等线" w:cs="Arial"/>
          <w:sz w:val="22"/>
        </w:rPr>
        <w:t>抢在客户订单前交易：会员不得抢在客户订单之前下单。他们的职责是为客户争取最优价格，而抢在客户订单之前下单可能会导致客户获得更差的价格。</w:t>
      </w:r>
    </w:p>
    <w:p w14:paraId="06ADD1DA">
      <w:pPr>
        <w:numPr>
          <w:ilvl w:val="0"/>
          <w:numId w:val="176"/>
        </w:numPr>
        <w:spacing w:before="120" w:after="120" w:line="288" w:lineRule="auto"/>
        <w:ind w:left="0"/>
        <w:jc w:val="left"/>
      </w:pPr>
      <w:r>
        <w:rPr>
          <w:rFonts w:ascii="Arial" w:hAnsi="Arial" w:eastAsia="等线" w:cs="Arial"/>
          <w:sz w:val="22"/>
        </w:rPr>
        <w:t>不披露与发行人的财务关系：如果贵公司与发行人存在财务关系却不进行披露，即构成违规。此处的财务关系定义为受发行人控制、对发行人拥有控股权或与发行人受共同控制。若存在财务关系，必须在交易完成前向客户披露（告知或发送给客户）。</w:t>
      </w:r>
    </w:p>
    <w:p w14:paraId="2966C5D8">
      <w:pPr>
        <w:numPr>
          <w:ilvl w:val="0"/>
          <w:numId w:val="177"/>
        </w:numPr>
        <w:spacing w:before="120" w:after="120" w:line="288" w:lineRule="auto"/>
        <w:ind w:left="0"/>
        <w:jc w:val="left"/>
      </w:pPr>
      <w:r>
        <w:rPr>
          <w:rFonts w:ascii="Arial" w:hAnsi="Arial" w:eastAsia="等线" w:cs="Arial"/>
          <w:sz w:val="22"/>
        </w:rPr>
        <w:t>抢先交易：指注册代表在大宗交易（10,000股或更多）在行情牌上报告之前，利用对该交易的了解，为自己、其所在公司或全权委托账户执行交易。</w:t>
      </w:r>
    </w:p>
    <w:p w14:paraId="3F07AE9E">
      <w:pPr>
        <w:numPr>
          <w:ilvl w:val="0"/>
          <w:numId w:val="178"/>
        </w:numPr>
        <w:spacing w:before="120" w:after="120" w:line="288" w:lineRule="auto"/>
        <w:ind w:left="0"/>
        <w:jc w:val="left"/>
      </w:pPr>
      <w:r>
        <w:rPr>
          <w:rFonts w:ascii="Arial" w:hAnsi="Arial" w:eastAsia="等线" w:cs="Arial"/>
          <w:sz w:val="22"/>
        </w:rPr>
        <w:t>预先安排交易：指注册代表与客户之间达成的以固定价格回购证券的非法协议。</w:t>
      </w:r>
    </w:p>
    <w:p w14:paraId="21BD12DF">
      <w:pPr>
        <w:numPr>
          <w:ilvl w:val="0"/>
          <w:numId w:val="179"/>
        </w:numPr>
        <w:spacing w:before="120" w:after="120" w:line="288" w:lineRule="auto"/>
        <w:ind w:left="0"/>
        <w:jc w:val="left"/>
      </w:pPr>
      <w:r>
        <w:rPr>
          <w:rFonts w:ascii="Arial" w:hAnsi="Arial" w:eastAsia="等线" w:cs="Arial"/>
          <w:sz w:val="22"/>
        </w:rPr>
        <w:t>支付推荐费：会员或与会员相关的人员（例如，注册代表）不得向任何人支付现金或非现金报酬，除非对方是该会员公司或其他FINRA会员的注册人员。若向非会员支付用于寻找、介绍或推荐客户的报酬，则构成违规。</w:t>
      </w:r>
    </w:p>
    <w:p w14:paraId="3A0B4FAC">
      <w:pPr>
        <w:spacing w:before="120" w:after="120" w:line="288" w:lineRule="auto"/>
        <w:ind w:left="0"/>
        <w:jc w:val="left"/>
      </w:pPr>
    </w:p>
    <w:p w14:paraId="3ADFC89B">
      <w:pPr>
        <w:spacing w:before="120" w:after="120" w:line="288" w:lineRule="auto"/>
        <w:ind w:left="0"/>
        <w:jc w:val="left"/>
      </w:pPr>
      <w:r>
        <w:rPr>
          <w:rFonts w:ascii="Arial" w:hAnsi="Arial" w:eastAsia="等线" w:cs="Arial"/>
          <w:sz w:val="22"/>
        </w:rPr>
        <w:t>一些违规行为包括某种形式的市场操纵。其中包括：</w:t>
      </w:r>
    </w:p>
    <w:p w14:paraId="01A6B137">
      <w:pPr>
        <w:numPr>
          <w:ilvl w:val="0"/>
          <w:numId w:val="180"/>
        </w:numPr>
        <w:spacing w:before="120" w:after="120" w:line="288" w:lineRule="auto"/>
        <w:ind w:left="0"/>
        <w:jc w:val="left"/>
      </w:pPr>
      <w:r>
        <w:rPr>
          <w:rFonts w:ascii="Arial" w:hAnsi="Arial" w:eastAsia="等线" w:cs="Arial"/>
          <w:sz w:val="22"/>
        </w:rPr>
        <w:t>市场传言：禁止会员传播可能促使他人买卖证券的虚假市场传言。</w:t>
      </w:r>
    </w:p>
    <w:p w14:paraId="1BAE1E91">
      <w:pPr>
        <w:numPr>
          <w:ilvl w:val="0"/>
          <w:numId w:val="181"/>
        </w:numPr>
        <w:spacing w:before="120" w:after="120" w:line="288" w:lineRule="auto"/>
        <w:ind w:left="0"/>
        <w:jc w:val="left"/>
      </w:pPr>
      <w:r>
        <w:rPr>
          <w:rFonts w:ascii="Arial" w:hAnsi="Arial" w:eastAsia="等线" w:cs="Arial"/>
          <w:sz w:val="22"/>
        </w:rPr>
        <w:t>拉高出货：这是一种虚假信息，最常出现在低价股上。在这种情况下，操纵者会发送大量电子邮件或普通邮件，对某一特定证券进行天花乱坠的宣传，从而抬高其价格。由于这些正面报道，许多投资者会购买该证券，推动其价格上涨。此时，操纵者便会卖出（抛售）自己的股票，赚取丰厚利润。</w:t>
      </w:r>
    </w:p>
    <w:p w14:paraId="0D08E7C5">
      <w:pPr>
        <w:numPr>
          <w:ilvl w:val="0"/>
          <w:numId w:val="182"/>
        </w:numPr>
        <w:spacing w:before="120" w:after="120" w:line="288" w:lineRule="auto"/>
        <w:ind w:left="0"/>
        <w:jc w:val="left"/>
      </w:pPr>
      <w:r>
        <w:rPr>
          <w:rFonts w:ascii="Arial" w:hAnsi="Arial" w:eastAsia="等线" w:cs="Arial"/>
          <w:sz w:val="22"/>
        </w:rPr>
        <w:t>过度交易：一种违规行为，指交易员在同一时间前后对同一证券下达买入和卖出指令，从而使该证券看起来有大量交易活动。</w:t>
      </w:r>
    </w:p>
    <w:p w14:paraId="377073C7">
      <w:pPr>
        <w:numPr>
          <w:ilvl w:val="0"/>
          <w:numId w:val="183"/>
        </w:numPr>
        <w:spacing w:before="120" w:after="120" w:line="288" w:lineRule="auto"/>
        <w:ind w:left="0"/>
        <w:jc w:val="left"/>
      </w:pPr>
      <w:r>
        <w:rPr>
          <w:rFonts w:ascii="Arial" w:hAnsi="Arial" w:eastAsia="等线" w:cs="Arial"/>
          <w:sz w:val="22"/>
        </w:rPr>
        <w:t>开盘价操纵/收盘价操纵：在开盘或收盘前几分钟内执行一系列交易，以操纵证券价格。</w:t>
      </w:r>
    </w:p>
    <w:p w14:paraId="04B2709A">
      <w:pPr>
        <w:numPr>
          <w:ilvl w:val="0"/>
          <w:numId w:val="184"/>
        </w:numPr>
        <w:spacing w:before="120" w:after="120" w:line="288" w:lineRule="auto"/>
        <w:ind w:left="0"/>
        <w:jc w:val="left"/>
      </w:pPr>
      <w:r>
        <w:rPr>
          <w:rFonts w:ascii="Arial" w:hAnsi="Arial" w:eastAsia="等线" w:cs="Arial"/>
          <w:sz w:val="22"/>
        </w:rPr>
        <w:t>对敲订单：非法操纵证券价格，使交易量看起来大于实际交易量，例如两家券商协同操作，来回交易同一证券。</w:t>
      </w:r>
    </w:p>
    <w:p w14:paraId="455F198F">
      <w:pPr>
        <w:numPr>
          <w:ilvl w:val="0"/>
          <w:numId w:val="185"/>
        </w:numPr>
        <w:spacing w:before="120" w:after="120" w:line="288" w:lineRule="auto"/>
        <w:ind w:left="0"/>
        <w:jc w:val="left"/>
      </w:pPr>
      <w:r>
        <w:rPr>
          <w:rFonts w:ascii="Arial" w:hAnsi="Arial" w:eastAsia="等线" w:cs="Arial"/>
          <w:sz w:val="22"/>
        </w:rPr>
        <w:t>做市操纵：通过在综合行情中发布误导性报告来制造交易活跃的假象，例如将一笔10,000股的股票交易拆分为两笔各5,000股的交易进行申报。</w:t>
      </w:r>
    </w:p>
    <w:p w14:paraId="78386694">
      <w:pPr>
        <w:numPr>
          <w:ilvl w:val="0"/>
          <w:numId w:val="186"/>
        </w:numPr>
        <w:spacing w:before="120" w:after="120" w:line="288" w:lineRule="auto"/>
        <w:ind w:left="0"/>
        <w:jc w:val="left"/>
      </w:pPr>
      <w:r>
        <w:rPr>
          <w:rFonts w:ascii="Arial" w:hAnsi="Arial" w:eastAsia="等线" w:cs="Arial"/>
          <w:sz w:val="22"/>
        </w:rPr>
        <w:t>向媒体付费：指经纪公司或其关联人员向媒体（网站、报纸、杂志、广播、电视节目等）员工付费以影响证券价格的违规行为，例如付费给电视股票专家，让其推荐该公司库存中的证券。</w:t>
      </w:r>
    </w:p>
    <w:p w14:paraId="65472626">
      <w:pPr>
        <w:numPr>
          <w:ilvl w:val="0"/>
          <w:numId w:val="187"/>
        </w:numPr>
        <w:spacing w:before="120" w:after="120" w:line="288" w:lineRule="auto"/>
        <w:ind w:left="0"/>
        <w:jc w:val="left"/>
      </w:pPr>
      <w:r>
        <w:rPr>
          <w:rFonts w:ascii="Arial" w:hAnsi="Arial" w:eastAsia="等线" w:cs="Arial"/>
          <w:sz w:val="22"/>
        </w:rPr>
        <w:t>反胁迫/反协同：会员不得胁迫（威胁、骚扰、强迫等）其他会员改变其证券价格。此外，会员不得与其他会员协同调整证券价格。</w:t>
      </w:r>
    </w:p>
    <w:p w14:paraId="0F1D1948">
      <w:pPr>
        <w:spacing w:before="120" w:after="120" w:line="288" w:lineRule="auto"/>
        <w:ind w:left="0"/>
        <w:jc w:val="left"/>
      </w:pPr>
    </w:p>
    <w:p w14:paraId="38AB48BA">
      <w:pPr>
        <w:spacing w:before="120" w:after="120" w:line="288" w:lineRule="auto"/>
        <w:ind w:left="0"/>
        <w:jc w:val="left"/>
      </w:pPr>
      <w:r>
        <w:rPr>
          <w:rFonts w:ascii="Arial" w:hAnsi="Arial" w:eastAsia="等线" w:cs="Arial"/>
          <w:sz w:val="22"/>
        </w:rPr>
        <w:t>会员公司就证券的销售和分销向另一家会员公司的员工发放现金或非现金报酬，也被视为违规，除非符合以下所有条件：</w:t>
      </w:r>
    </w:p>
    <w:p w14:paraId="514B0672">
      <w:pPr>
        <w:numPr>
          <w:ilvl w:val="0"/>
          <w:numId w:val="188"/>
        </w:numPr>
        <w:spacing w:before="120" w:after="120" w:line="288" w:lineRule="auto"/>
        <w:ind w:left="0"/>
        <w:jc w:val="left"/>
      </w:pPr>
      <w:r>
        <w:rPr>
          <w:rFonts w:ascii="Arial" w:hAnsi="Arial" w:eastAsia="等线" w:cs="Arial"/>
          <w:sz w:val="22"/>
        </w:rPr>
        <w:t>报酬不以另一家公司的销售额为条件。</w:t>
      </w:r>
    </w:p>
    <w:p w14:paraId="42622B88">
      <w:pPr>
        <w:numPr>
          <w:ilvl w:val="0"/>
          <w:numId w:val="189"/>
        </w:numPr>
        <w:spacing w:before="120" w:after="120" w:line="288" w:lineRule="auto"/>
        <w:ind w:left="0"/>
        <w:jc w:val="left"/>
      </w:pPr>
      <w:r>
        <w:rPr>
          <w:rFonts w:ascii="Arial" w:hAnsi="Arial" w:eastAsia="等线" w:cs="Arial"/>
          <w:sz w:val="22"/>
        </w:rPr>
        <w:t>已获得另一家会员公司的事先批准。</w:t>
      </w:r>
    </w:p>
    <w:p w14:paraId="296939CE">
      <w:pPr>
        <w:numPr>
          <w:ilvl w:val="0"/>
          <w:numId w:val="190"/>
        </w:numPr>
        <w:spacing w:before="120" w:after="120" w:line="288" w:lineRule="auto"/>
        <w:ind w:left="0"/>
        <w:jc w:val="left"/>
      </w:pPr>
      <w:r>
        <w:rPr>
          <w:rFonts w:ascii="Arial" w:hAnsi="Arial" w:eastAsia="等线" w:cs="Arial"/>
          <w:sz w:val="22"/>
        </w:rPr>
        <w:t>报酬总额每年不超过100美元的限额。</w:t>
      </w:r>
    </w:p>
    <w:p w14:paraId="6C20F5CF">
      <w:pPr>
        <w:spacing w:before="120" w:after="120" w:line="288" w:lineRule="auto"/>
        <w:ind w:left="0"/>
        <w:jc w:val="left"/>
      </w:pPr>
    </w:p>
    <w:p w14:paraId="66F88237">
      <w:pPr>
        <w:spacing w:before="120" w:after="120" w:line="288" w:lineRule="auto"/>
        <w:ind w:left="0"/>
        <w:jc w:val="left"/>
      </w:pPr>
      <w:r>
        <w:rPr>
          <w:rFonts w:ascii="Arial" w:hAnsi="Arial" w:eastAsia="等线" w:cs="Arial"/>
          <w:sz w:val="22"/>
        </w:rPr>
        <w:t>非现金报酬可以是喷气机队的季票、送某人度假、礼品券等等。偶尔提供一顿饭、一张体育赛事门票等，只要不是太贵或太频繁，都被视为可接受的业务招待费用。某些非现金费用只要与业务相关也是可以的，比如支付商务晚餐费用、支付研讨会费用、提供机票等等。此外，你不必记录那些用于宣传的物品，比如印有你名字的钢笔、印有你照片的咖啡杯等等。</w:t>
      </w:r>
    </w:p>
    <w:p w14:paraId="72AA183D">
      <w:pPr>
        <w:spacing w:before="120" w:after="120" w:line="288" w:lineRule="auto"/>
        <w:ind w:left="0"/>
        <w:jc w:val="left"/>
      </w:pPr>
    </w:p>
    <w:p w14:paraId="5E3300EB">
      <w:pPr>
        <w:spacing w:before="120" w:after="120" w:line="288" w:lineRule="auto"/>
        <w:ind w:left="0"/>
        <w:jc w:val="left"/>
      </w:pPr>
      <w:r>
        <w:rPr>
          <w:rFonts w:ascii="Arial" w:hAnsi="Arial" w:eastAsia="等线" w:cs="Arial"/>
          <w:sz w:val="22"/>
        </w:rPr>
        <w:t>此外，FINRA 希望确保其成员及其关联方在提出建议时，是基于他们认为这些建议符合客户的投资策略，并且所推荐的产品是合适的。因此，为了遏制潜在的利益冲突，针对投资公司等计划赞助商，制定了类似的现金和非现金补偿规则。FINRA 只是希望确保这些建议的提出，不会基于其成员或其关联方欠他人人情这一事实。</w:t>
      </w:r>
    </w:p>
    <w:p w14:paraId="1FD7A2CB">
      <w:pPr>
        <w:spacing w:before="120" w:after="120" w:line="288" w:lineRule="auto"/>
        <w:ind w:left="0"/>
        <w:jc w:val="left"/>
      </w:pPr>
    </w:p>
    <w:p w14:paraId="2290CF4A">
      <w:pPr>
        <w:spacing w:before="300" w:after="120" w:line="288" w:lineRule="auto"/>
        <w:ind w:left="0"/>
        <w:jc w:val="left"/>
        <w:outlineLvl w:val="2"/>
      </w:pPr>
      <w:bookmarkStart w:id="45" w:name="heading_45"/>
      <w:r>
        <w:rPr>
          <w:rFonts w:ascii="Arial" w:hAnsi="Arial" w:eastAsia="等线" w:cs="Arial"/>
          <w:color w:val="3370FF"/>
          <w:sz w:val="30"/>
        </w:rPr>
        <w:t xml:space="preserve">2.4.3 </w:t>
      </w:r>
      <w:r>
        <w:rPr>
          <w:rFonts w:ascii="Arial" w:hAnsi="Arial" w:eastAsia="等线" w:cs="Arial"/>
          <w:b/>
          <w:sz w:val="30"/>
        </w:rPr>
        <w:t>追踪资金流向：反洗钱规则</w:t>
      </w:r>
      <w:bookmarkEnd w:id="45"/>
    </w:p>
    <w:p w14:paraId="2E5D53F5">
      <w:pPr>
        <w:spacing w:before="120" w:after="120" w:line="288" w:lineRule="auto"/>
        <w:ind w:left="0"/>
        <w:jc w:val="left"/>
      </w:pPr>
      <w:r>
        <w:rPr>
          <w:rFonts w:ascii="Arial" w:hAnsi="Arial" w:eastAsia="等线" w:cs="Arial"/>
          <w:sz w:val="22"/>
        </w:rPr>
        <w:t>《银行保密法》（The Bank Secrecy Act）规定美国财政部（U.S. Treasury Department）为反洗钱（AML，Anti-Money Laundering）计划的监管机构。</w:t>
      </w:r>
    </w:p>
    <w:p w14:paraId="67180AB1">
      <w:pPr>
        <w:spacing w:before="120" w:after="120" w:line="288" w:lineRule="auto"/>
        <w:ind w:left="0"/>
        <w:jc w:val="left"/>
      </w:pPr>
    </w:p>
    <w:p w14:paraId="3966D116">
      <w:pPr>
        <w:spacing w:before="120" w:after="120" w:line="288" w:lineRule="auto"/>
        <w:ind w:left="0"/>
        <w:jc w:val="left"/>
      </w:pPr>
      <w:r>
        <w:rPr>
          <w:rFonts w:ascii="Arial" w:hAnsi="Arial" w:eastAsia="等线" w:cs="Arial"/>
          <w:sz w:val="22"/>
        </w:rPr>
        <w:t>所有 Broker Dealer 都必须制定计划，检测可能的洗钱行为。此外，所有 Broker Dealer 都必须审查外国资产控制办公室（OFAC，Office of Foreign Assets Control）的特别指定国民（SDN，Specially Designated Nationals）名单，确保不与名单上的个人或组织开展业务。</w:t>
      </w:r>
    </w:p>
    <w:p w14:paraId="714A1E35">
      <w:pPr>
        <w:spacing w:before="120" w:after="120" w:line="288" w:lineRule="auto"/>
        <w:ind w:left="0"/>
        <w:jc w:val="left"/>
      </w:pPr>
    </w:p>
    <w:p w14:paraId="6F286BE9">
      <w:pPr>
        <w:spacing w:before="120" w:after="120" w:line="288" w:lineRule="auto"/>
        <w:ind w:left="0"/>
        <w:jc w:val="left"/>
      </w:pPr>
      <w:r>
        <w:rPr>
          <w:rFonts w:ascii="Arial" w:hAnsi="Arial" w:eastAsia="等线" w:cs="Arial"/>
          <w:sz w:val="22"/>
        </w:rPr>
        <w:t>反洗钱计划旨在帮助防止经过清洗的黑钱（使其看起来来自合法来源）被用于资助恐怖活动、非法武器销售、毒品贩运等。</w:t>
      </w:r>
    </w:p>
    <w:p w14:paraId="35A9E013">
      <w:pPr>
        <w:spacing w:before="120" w:after="120" w:line="288" w:lineRule="auto"/>
        <w:ind w:left="0"/>
        <w:jc w:val="left"/>
      </w:pPr>
    </w:p>
    <w:p w14:paraId="678E6077">
      <w:pPr>
        <w:spacing w:before="120" w:after="120" w:line="288" w:lineRule="auto"/>
        <w:ind w:left="0"/>
        <w:jc w:val="left"/>
      </w:pPr>
      <w:r>
        <w:rPr>
          <w:rFonts w:ascii="Arial" w:hAnsi="Arial" w:eastAsia="等线" w:cs="Arial"/>
          <w:sz w:val="22"/>
        </w:rPr>
        <w:t>以下是你在SIE考试中必须了解的三个洗钱阶段（请注意，不要在家中尝试）：</w:t>
      </w:r>
    </w:p>
    <w:p w14:paraId="6FB2C605">
      <w:pPr>
        <w:numPr>
          <w:ilvl w:val="0"/>
          <w:numId w:val="191"/>
        </w:numPr>
        <w:spacing w:before="120" w:after="120" w:line="288" w:lineRule="auto"/>
        <w:ind w:left="0"/>
        <w:jc w:val="left"/>
      </w:pPr>
      <w:r>
        <w:rPr>
          <w:rFonts w:ascii="Arial" w:hAnsi="Arial" w:eastAsia="等线" w:cs="Arial"/>
          <w:sz w:val="22"/>
        </w:rPr>
        <w:t>放置（Placement）</w:t>
      </w:r>
    </w:p>
    <w:p w14:paraId="17A7D013">
      <w:pPr>
        <w:spacing w:before="120" w:after="120" w:line="288" w:lineRule="auto"/>
        <w:ind w:left="0"/>
        <w:jc w:val="left"/>
      </w:pPr>
      <w:r>
        <w:rPr>
          <w:rFonts w:ascii="Arial" w:hAnsi="Arial" w:eastAsia="等线" w:cs="Arial"/>
          <w:sz w:val="22"/>
        </w:rPr>
        <w:t>在洗钱的这一初始阶段，来自犯罪活动的资金会被转移到金融系统中（通常通过银行和经纪交易商）。</w:t>
      </w:r>
    </w:p>
    <w:p w14:paraId="77E88293">
      <w:pPr>
        <w:numPr>
          <w:ilvl w:val="0"/>
          <w:numId w:val="192"/>
        </w:numPr>
        <w:spacing w:before="120" w:after="120" w:line="288" w:lineRule="auto"/>
        <w:ind w:left="0"/>
        <w:jc w:val="left"/>
      </w:pPr>
      <w:r>
        <w:rPr>
          <w:rFonts w:ascii="Arial" w:hAnsi="Arial" w:eastAsia="等线" w:cs="Arial"/>
          <w:sz w:val="22"/>
        </w:rPr>
        <w:t>分层（Layering）</w:t>
      </w:r>
    </w:p>
    <w:p w14:paraId="60EC1972">
      <w:pPr>
        <w:spacing w:before="120" w:after="120" w:line="288" w:lineRule="auto"/>
        <w:ind w:left="0"/>
        <w:jc w:val="left"/>
      </w:pPr>
      <w:r>
        <w:rPr>
          <w:rFonts w:ascii="Arial" w:hAnsi="Arial" w:eastAsia="等线" w:cs="Arial"/>
          <w:sz w:val="22"/>
        </w:rPr>
        <w:t>分层是洗钱者试图掩盖资金来源的行为，通常是通过一系列交易将资金从一个地方转移到另一个地方。</w:t>
      </w:r>
    </w:p>
    <w:p w14:paraId="1BF72F21">
      <w:pPr>
        <w:numPr>
          <w:ilvl w:val="0"/>
          <w:numId w:val="193"/>
        </w:numPr>
        <w:spacing w:before="120" w:after="120" w:line="288" w:lineRule="auto"/>
        <w:ind w:left="0"/>
        <w:jc w:val="left"/>
      </w:pPr>
      <w:r>
        <w:rPr>
          <w:rFonts w:ascii="Arial" w:hAnsi="Arial" w:eastAsia="等线" w:cs="Arial"/>
          <w:sz w:val="22"/>
        </w:rPr>
        <w:t>整合（Integration）</w:t>
      </w:r>
    </w:p>
    <w:p w14:paraId="67BEFFB6">
      <w:pPr>
        <w:spacing w:before="120" w:after="120" w:line="288" w:lineRule="auto"/>
        <w:ind w:left="0"/>
        <w:jc w:val="left"/>
      </w:pPr>
      <w:r>
        <w:rPr>
          <w:rFonts w:ascii="Arial" w:hAnsi="Arial" w:eastAsia="等线" w:cs="Arial"/>
          <w:sz w:val="22"/>
        </w:rPr>
        <w:t>整合是洗钱的最后阶段，此时非法资金与合法资金被混合（交织）在一起。洗钱者通常通过使用现金运营的企业、进出口公司等完成这一步骤。</w:t>
      </w:r>
    </w:p>
    <w:p w14:paraId="0457520F">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02E0D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7358AE01">
            <w:pPr>
              <w:spacing w:before="120" w:after="120" w:line="288" w:lineRule="auto"/>
              <w:ind w:left="0"/>
              <w:jc w:val="left"/>
            </w:pPr>
            <w:r>
              <w:rPr>
                <w:rFonts w:ascii="Arial" w:hAnsi="Arial" w:eastAsia="等线" w:cs="Arial"/>
                <w:sz w:val="22"/>
              </w:rPr>
              <w:t>经纪交易商和其他金融机构必须通过货币交易报告（CTR，Currency Transaction Report）向 FinCEN（U.S. Treasury Department Financial Crimes Enforcement Network 美国财政部金融犯罪执法网络）报告单日超过 10,000 美元的</w:t>
            </w:r>
            <w:r>
              <w:rPr>
                <w:rFonts w:ascii="Arial" w:hAnsi="Arial" w:eastAsia="等线" w:cs="Arial"/>
                <w:b/>
                <w:sz w:val="22"/>
              </w:rPr>
              <w:t>现金存款、取款或转账（cash deposits, withdrawals or transfers）</w:t>
            </w:r>
            <w:r>
              <w:rPr>
                <w:rFonts w:ascii="Arial" w:hAnsi="Arial" w:eastAsia="等线" w:cs="Arial"/>
                <w:sz w:val="22"/>
              </w:rPr>
              <w:t>。</w:t>
            </w:r>
          </w:p>
          <w:p w14:paraId="56BF45B9">
            <w:pPr>
              <w:spacing w:before="120" w:after="120" w:line="288" w:lineRule="auto"/>
              <w:ind w:left="0"/>
              <w:jc w:val="left"/>
            </w:pPr>
          </w:p>
          <w:p w14:paraId="1E2BD48E">
            <w:pPr>
              <w:spacing w:before="120" w:after="120" w:line="288" w:lineRule="auto"/>
              <w:ind w:left="0"/>
              <w:jc w:val="left"/>
            </w:pPr>
            <w:r>
              <w:rPr>
                <w:rFonts w:ascii="Arial" w:hAnsi="Arial" w:eastAsia="等线" w:cs="Arial"/>
                <w:sz w:val="22"/>
              </w:rPr>
              <w:t>任何机构必须提交可疑活动报告（SAR，Suspicious Activity Report）向 FinCEN 报告5,000美元或以上的可疑的任何类型交易活动。</w:t>
            </w:r>
          </w:p>
        </w:tc>
      </w:tr>
    </w:tbl>
    <w:p w14:paraId="2E302374">
      <w:pPr>
        <w:spacing w:before="120" w:after="120" w:line="288" w:lineRule="auto"/>
        <w:ind w:left="0"/>
        <w:jc w:val="left"/>
      </w:pPr>
    </w:p>
    <w:p w14:paraId="579D3E31">
      <w:pPr>
        <w:spacing w:before="120" w:after="120" w:line="288" w:lineRule="auto"/>
        <w:ind w:left="0"/>
        <w:jc w:val="left"/>
      </w:pPr>
      <w:r>
        <w:rPr>
          <w:rFonts w:ascii="Arial" w:hAnsi="Arial" w:eastAsia="等线" w:cs="Arial"/>
          <w:sz w:val="22"/>
        </w:rPr>
        <w:t>以下是开户时洗钱的一些迹象：</w:t>
      </w:r>
    </w:p>
    <w:p w14:paraId="22742A37">
      <w:pPr>
        <w:numPr>
          <w:ilvl w:val="0"/>
          <w:numId w:val="194"/>
        </w:numPr>
        <w:spacing w:before="120" w:after="120" w:line="288" w:lineRule="auto"/>
        <w:ind w:left="0"/>
        <w:jc w:val="left"/>
      </w:pPr>
      <w:r>
        <w:rPr>
          <w:rFonts w:ascii="Arial" w:hAnsi="Arial" w:eastAsia="等线" w:cs="Arial"/>
          <w:sz w:val="22"/>
        </w:rPr>
        <w:t>对美国政府报告要求的担忧</w:t>
      </w:r>
    </w:p>
    <w:p w14:paraId="553793B9">
      <w:pPr>
        <w:numPr>
          <w:ilvl w:val="0"/>
          <w:numId w:val="195"/>
        </w:numPr>
        <w:spacing w:before="120" w:after="120" w:line="288" w:lineRule="auto"/>
        <w:ind w:left="0"/>
        <w:jc w:val="left"/>
      </w:pPr>
      <w:r>
        <w:rPr>
          <w:rFonts w:ascii="Arial" w:hAnsi="Arial" w:eastAsia="等线" w:cs="Arial"/>
          <w:sz w:val="22"/>
        </w:rPr>
        <w:t>不愿透露有关商业活动的信息</w:t>
      </w:r>
    </w:p>
    <w:p w14:paraId="4378AB27">
      <w:pPr>
        <w:numPr>
          <w:ilvl w:val="0"/>
          <w:numId w:val="196"/>
        </w:numPr>
        <w:spacing w:before="120" w:after="120" w:line="288" w:lineRule="auto"/>
        <w:ind w:left="0"/>
        <w:jc w:val="left"/>
      </w:pPr>
      <w:r>
        <w:rPr>
          <w:rFonts w:ascii="Arial" w:hAnsi="Arial" w:eastAsia="等线" w:cs="Arial"/>
          <w:sz w:val="22"/>
        </w:rPr>
        <w:t>可疑的身份证件，例如看起来像是在某人地下室制作的驾照或护照</w:t>
      </w:r>
    </w:p>
    <w:p w14:paraId="260B41DB">
      <w:pPr>
        <w:numPr>
          <w:ilvl w:val="0"/>
          <w:numId w:val="197"/>
        </w:numPr>
        <w:spacing w:before="120" w:after="120" w:line="288" w:lineRule="auto"/>
        <w:ind w:left="0"/>
        <w:jc w:val="left"/>
      </w:pPr>
      <w:r>
        <w:rPr>
          <w:rFonts w:ascii="Arial" w:hAnsi="Arial" w:eastAsia="等线" w:cs="Arial"/>
          <w:sz w:val="22"/>
        </w:rPr>
        <w:t>与目标不一致的非理性交易</w:t>
      </w:r>
    </w:p>
    <w:p w14:paraId="1480C322">
      <w:pPr>
        <w:numPr>
          <w:ilvl w:val="0"/>
          <w:numId w:val="198"/>
        </w:numPr>
        <w:spacing w:before="120" w:after="120" w:line="288" w:lineRule="auto"/>
        <w:ind w:left="0"/>
        <w:jc w:val="left"/>
      </w:pPr>
      <w:r>
        <w:rPr>
          <w:rFonts w:ascii="Arial" w:hAnsi="Arial" w:eastAsia="等线" w:cs="Arial"/>
          <w:sz w:val="22"/>
        </w:rPr>
        <w:t>受托人（即可以合法地为另一投资者做决定的人）不愿意提供关于客户的信息</w:t>
      </w:r>
    </w:p>
    <w:p w14:paraId="03ECD3A1">
      <w:pPr>
        <w:numPr>
          <w:ilvl w:val="0"/>
          <w:numId w:val="199"/>
        </w:numPr>
        <w:spacing w:before="120" w:after="120" w:line="288" w:lineRule="auto"/>
        <w:ind w:left="0"/>
        <w:jc w:val="left"/>
      </w:pPr>
      <w:r>
        <w:rPr>
          <w:rFonts w:ascii="Arial" w:hAnsi="Arial" w:eastAsia="等线" w:cs="Arial"/>
          <w:sz w:val="22"/>
        </w:rPr>
        <w:t>个人对其所在行业缺乏一般知识。</w:t>
      </w:r>
    </w:p>
    <w:p w14:paraId="23E16612">
      <w:pPr>
        <w:spacing w:before="120" w:after="120" w:line="288" w:lineRule="auto"/>
        <w:ind w:left="0"/>
        <w:jc w:val="left"/>
      </w:pPr>
    </w:p>
    <w:p w14:paraId="38E79611">
      <w:pPr>
        <w:spacing w:before="120" w:after="120" w:line="288" w:lineRule="auto"/>
        <w:ind w:left="0"/>
        <w:jc w:val="left"/>
      </w:pPr>
      <w:r>
        <w:rPr>
          <w:rFonts w:ascii="Arial" w:hAnsi="Arial" w:eastAsia="等线" w:cs="Arial"/>
          <w:sz w:val="22"/>
        </w:rPr>
        <w:t>以下是账户开立后需要留意的一些可疑信号（shady signals）：</w:t>
      </w:r>
    </w:p>
    <w:p w14:paraId="4906E6A5">
      <w:pPr>
        <w:numPr>
          <w:ilvl w:val="0"/>
          <w:numId w:val="200"/>
        </w:numPr>
        <w:spacing w:before="120" w:after="120" w:line="288" w:lineRule="auto"/>
        <w:ind w:left="0"/>
        <w:jc w:val="left"/>
      </w:pPr>
      <w:r>
        <w:rPr>
          <w:rFonts w:ascii="Arial" w:hAnsi="Arial" w:eastAsia="等线" w:cs="Arial"/>
          <w:sz w:val="22"/>
        </w:rPr>
        <w:t>不定期存入大量现金或汇票</w:t>
      </w:r>
    </w:p>
    <w:p w14:paraId="772E192E">
      <w:pPr>
        <w:numPr>
          <w:ilvl w:val="0"/>
          <w:numId w:val="201"/>
        </w:numPr>
        <w:spacing w:before="120" w:after="120" w:line="288" w:lineRule="auto"/>
        <w:ind w:left="0"/>
        <w:jc w:val="left"/>
      </w:pPr>
      <w:r>
        <w:rPr>
          <w:rFonts w:ascii="Arial" w:hAnsi="Arial" w:eastAsia="等线" w:cs="Arial"/>
          <w:sz w:val="22"/>
        </w:rPr>
        <w:t>结构化操作（Structuring），存入略低于 10,000 美元的现金或现金等价物（如汇票），以避免这些存款被上报给美国政府；</w:t>
      </w:r>
    </w:p>
    <w:p w14:paraId="5F44B4A9">
      <w:pPr>
        <w:numPr>
          <w:ilvl w:val="0"/>
          <w:numId w:val="202"/>
        </w:numPr>
        <w:spacing w:before="120" w:after="120" w:line="288" w:lineRule="auto"/>
        <w:ind w:left="0"/>
        <w:jc w:val="left"/>
      </w:pPr>
      <w:r>
        <w:rPr>
          <w:rFonts w:ascii="Arial" w:hAnsi="Arial" w:eastAsia="等线" w:cs="Arial"/>
          <w:sz w:val="22"/>
        </w:rPr>
        <w:t>向不与美国合作打击洗钱的国家（伊朗、朝鲜、尼日利亚等）进行电汇</w:t>
      </w:r>
    </w:p>
    <w:p w14:paraId="29A97404">
      <w:pPr>
        <w:numPr>
          <w:ilvl w:val="0"/>
          <w:numId w:val="203"/>
        </w:numPr>
        <w:spacing w:before="120" w:after="120" w:line="288" w:lineRule="auto"/>
        <w:ind w:left="0"/>
        <w:jc w:val="left"/>
      </w:pPr>
      <w:r>
        <w:rPr>
          <w:rFonts w:ascii="Arial" w:hAnsi="Arial" w:eastAsia="等线" w:cs="Arial"/>
          <w:sz w:val="22"/>
        </w:rPr>
        <w:t>从事突然且无法解释的电汇活动</w:t>
      </w:r>
    </w:p>
    <w:p w14:paraId="361415A3">
      <w:pPr>
        <w:numPr>
          <w:ilvl w:val="0"/>
          <w:numId w:val="204"/>
        </w:numPr>
        <w:spacing w:before="120" w:after="120" w:line="288" w:lineRule="auto"/>
        <w:ind w:left="0"/>
        <w:jc w:val="left"/>
      </w:pPr>
      <w:r>
        <w:rPr>
          <w:rFonts w:ascii="Arial" w:hAnsi="Arial" w:eastAsia="等线" w:cs="Arial"/>
          <w:sz w:val="22"/>
        </w:rPr>
        <w:t>无任何商业目的的存款及向另一方转账</w:t>
      </w:r>
    </w:p>
    <w:p w14:paraId="2CF3E892">
      <w:pPr>
        <w:numPr>
          <w:ilvl w:val="0"/>
          <w:numId w:val="205"/>
        </w:numPr>
        <w:spacing w:before="120" w:after="120" w:line="288" w:lineRule="auto"/>
        <w:ind w:left="0"/>
        <w:jc w:val="left"/>
      </w:pPr>
      <w:r>
        <w:rPr>
          <w:rFonts w:ascii="Arial" w:hAnsi="Arial" w:eastAsia="等线" w:cs="Arial"/>
          <w:sz w:val="22"/>
        </w:rPr>
        <w:t>购买长期投资并在短期内变现</w:t>
      </w:r>
    </w:p>
    <w:p w14:paraId="6B3F1A62">
      <w:pPr>
        <w:numPr>
          <w:ilvl w:val="0"/>
          <w:numId w:val="206"/>
        </w:numPr>
        <w:spacing w:before="120" w:after="120" w:line="288" w:lineRule="auto"/>
        <w:ind w:left="0"/>
        <w:jc w:val="left"/>
      </w:pPr>
      <w:r>
        <w:rPr>
          <w:rFonts w:ascii="Arial" w:hAnsi="Arial" w:eastAsia="等线" w:cs="Arial"/>
          <w:sz w:val="22"/>
        </w:rPr>
        <w:t>在多个账户之间进行无明显原因的转账</w:t>
      </w:r>
    </w:p>
    <w:p w14:paraId="759723AB">
      <w:pPr>
        <w:numPr>
          <w:ilvl w:val="0"/>
          <w:numId w:val="207"/>
        </w:numPr>
        <w:spacing w:before="120" w:after="120" w:line="288" w:lineRule="auto"/>
        <w:ind w:left="0"/>
        <w:jc w:val="left"/>
      </w:pPr>
      <w:r>
        <w:rPr>
          <w:rFonts w:ascii="Arial" w:hAnsi="Arial" w:eastAsia="等线" w:cs="Arial"/>
          <w:sz w:val="22"/>
        </w:rPr>
        <w:t>存入不记名债券并立即要求兑付资金</w:t>
      </w:r>
    </w:p>
    <w:p w14:paraId="046BFBEA">
      <w:pPr>
        <w:numPr>
          <w:ilvl w:val="0"/>
          <w:numId w:val="208"/>
        </w:numPr>
        <w:spacing w:before="120" w:after="120" w:line="288" w:lineRule="auto"/>
        <w:ind w:left="0"/>
        <w:jc w:val="left"/>
      </w:pPr>
      <w:r>
        <w:rPr>
          <w:rFonts w:ascii="Arial" w:hAnsi="Arial" w:eastAsia="等线" w:cs="Arial"/>
          <w:sz w:val="22"/>
        </w:rPr>
        <w:t>完全不关心风险和佣金</w:t>
      </w:r>
    </w:p>
    <w:p w14:paraId="3A23D3A8">
      <w:pPr>
        <w:spacing w:before="120" w:after="120" w:line="288" w:lineRule="auto"/>
        <w:ind w:left="0"/>
        <w:jc w:val="left"/>
      </w:pPr>
    </w:p>
    <w:p w14:paraId="2A9ED7C4">
      <w:pPr>
        <w:spacing w:before="120" w:after="120" w:line="288" w:lineRule="auto"/>
        <w:ind w:left="0"/>
        <w:jc w:val="left"/>
      </w:pPr>
      <w:r>
        <w:rPr>
          <w:rFonts w:ascii="Arial" w:hAnsi="Arial" w:eastAsia="等线" w:cs="Arial"/>
          <w:sz w:val="22"/>
        </w:rPr>
        <w:t>洗钱的迹象往往是说得通的，所以在回答SIE考试中关于洗钱的问题时，你可以这样想：“如果某个东西看起来像鸭子，叫起来也像鸭子，那它很可能就是鸭子”——用金融术语来说就是，“如果某个行为看起来、感觉起来像洗钱，那它很可能就是洗钱。”</w:t>
      </w:r>
    </w:p>
    <w:p w14:paraId="3B8C2F88">
      <w:pPr>
        <w:spacing w:before="120" w:after="120" w:line="288" w:lineRule="auto"/>
        <w:ind w:left="0"/>
        <w:jc w:val="left"/>
      </w:pPr>
    </w:p>
    <w:p w14:paraId="649520B2">
      <w:pPr>
        <w:spacing w:before="300" w:after="120" w:line="288" w:lineRule="auto"/>
        <w:ind w:left="0"/>
        <w:jc w:val="left"/>
        <w:outlineLvl w:val="2"/>
      </w:pPr>
      <w:bookmarkStart w:id="46" w:name="heading_46"/>
      <w:r>
        <w:rPr>
          <w:rFonts w:ascii="Arial" w:hAnsi="Arial" w:eastAsia="等线" w:cs="Arial"/>
          <w:color w:val="3370FF"/>
          <w:sz w:val="30"/>
        </w:rPr>
        <w:t xml:space="preserve">2.4.4 </w:t>
      </w:r>
      <w:r>
        <w:rPr>
          <w:rFonts w:ascii="Arial" w:hAnsi="Arial" w:eastAsia="等线" w:cs="Arial"/>
          <w:b/>
          <w:sz w:val="30"/>
        </w:rPr>
        <w:t>遵守反洗钱规则（Complying with AML rules）</w:t>
      </w:r>
      <w:bookmarkEnd w:id="46"/>
    </w:p>
    <w:p w14:paraId="60A0A421">
      <w:pPr>
        <w:spacing w:before="120" w:after="120" w:line="288" w:lineRule="auto"/>
        <w:ind w:left="0"/>
        <w:jc w:val="left"/>
      </w:pPr>
      <w:r>
        <w:rPr>
          <w:rFonts w:ascii="Arial" w:hAnsi="Arial" w:eastAsia="等线" w:cs="Arial"/>
          <w:sz w:val="22"/>
        </w:rPr>
        <w:t>根据 FinCEN 执行的《银行保密法》（Bank Secrecy Act），包括经纪交易商在内的所有金融机构都必须制定并实施反洗钱（AML）计划。这些计划必须经过公司高级管理层的书面批准。</w:t>
      </w:r>
    </w:p>
    <w:p w14:paraId="237592BC">
      <w:pPr>
        <w:spacing w:before="120" w:after="120" w:line="288" w:lineRule="auto"/>
        <w:ind w:left="0"/>
        <w:jc w:val="left"/>
      </w:pPr>
    </w:p>
    <w:p w14:paraId="7D48F6CC">
      <w:pPr>
        <w:spacing w:before="120" w:after="120" w:line="288" w:lineRule="auto"/>
        <w:ind w:left="0"/>
        <w:jc w:val="left"/>
      </w:pPr>
      <w:r>
        <w:rPr>
          <w:rFonts w:ascii="Arial" w:hAnsi="Arial" w:eastAsia="等线" w:cs="Arial"/>
          <w:sz w:val="22"/>
        </w:rPr>
        <w:t>金融机构和经纪交易商必须做到以下几点：</w:t>
      </w:r>
    </w:p>
    <w:p w14:paraId="75996EF0">
      <w:pPr>
        <w:numPr>
          <w:ilvl w:val="0"/>
          <w:numId w:val="209"/>
        </w:numPr>
        <w:spacing w:before="120" w:after="120" w:line="288" w:lineRule="auto"/>
        <w:ind w:left="0"/>
        <w:jc w:val="left"/>
      </w:pPr>
      <w:r>
        <w:rPr>
          <w:rFonts w:ascii="Arial" w:hAnsi="Arial" w:eastAsia="等线" w:cs="Arial"/>
          <w:sz w:val="22"/>
        </w:rPr>
        <w:t>启动并执行旨在检测和报告可疑交易的政策与程序；</w:t>
      </w:r>
    </w:p>
    <w:p w14:paraId="73AEF8FB">
      <w:pPr>
        <w:numPr>
          <w:ilvl w:val="0"/>
          <w:numId w:val="210"/>
        </w:numPr>
        <w:spacing w:before="120" w:after="120" w:line="288" w:lineRule="auto"/>
        <w:ind w:left="0"/>
        <w:jc w:val="left"/>
      </w:pPr>
      <w:r>
        <w:rPr>
          <w:rFonts w:ascii="Arial" w:hAnsi="Arial" w:eastAsia="等线" w:cs="Arial"/>
          <w:sz w:val="22"/>
        </w:rPr>
        <w:t>制定并执行旨在遵守《银行保密法》规定的政策、程序和内部控制措施；</w:t>
      </w:r>
    </w:p>
    <w:p w14:paraId="6C798B1B">
      <w:pPr>
        <w:numPr>
          <w:ilvl w:val="0"/>
          <w:numId w:val="211"/>
        </w:numPr>
        <w:spacing w:before="120" w:after="120" w:line="288" w:lineRule="auto"/>
        <w:ind w:left="0"/>
        <w:jc w:val="left"/>
      </w:pPr>
      <w:r>
        <w:rPr>
          <w:rFonts w:ascii="Arial" w:hAnsi="Arial" w:eastAsia="等线" w:cs="Arial"/>
          <w:sz w:val="22"/>
        </w:rPr>
        <w:t>设立年度独立测试，以确保公司遵守《银行保密法》规定的反洗钱规则；</w:t>
      </w:r>
    </w:p>
    <w:p w14:paraId="38312ECD">
      <w:pPr>
        <w:numPr>
          <w:ilvl w:val="0"/>
          <w:numId w:val="212"/>
        </w:numPr>
        <w:spacing w:before="120" w:after="120" w:line="288" w:lineRule="auto"/>
        <w:ind w:left="0"/>
        <w:jc w:val="left"/>
      </w:pPr>
      <w:r>
        <w:rPr>
          <w:rFonts w:ascii="Arial" w:hAnsi="Arial" w:eastAsia="等线" w:cs="Arial"/>
          <w:sz w:val="22"/>
        </w:rPr>
        <w:t>指定并向 FINRA 说明负责实施和监督其反洗钱计划的合规官（Compliance Officer）或人员信息，包括姓名、头衔、电子邮件地址、电话号码等。</w:t>
      </w:r>
    </w:p>
    <w:p w14:paraId="2282E64B">
      <w:pPr>
        <w:spacing w:before="120" w:after="120" w:line="288" w:lineRule="auto"/>
        <w:ind w:left="0"/>
        <w:jc w:val="left"/>
      </w:pPr>
    </w:p>
    <w:p w14:paraId="64111E37">
      <w:pPr>
        <w:spacing w:before="300" w:after="120" w:line="288" w:lineRule="auto"/>
        <w:ind w:left="0"/>
        <w:jc w:val="left"/>
        <w:outlineLvl w:val="2"/>
      </w:pPr>
      <w:bookmarkStart w:id="47" w:name="heading_47"/>
      <w:r>
        <w:rPr>
          <w:rFonts w:ascii="Arial" w:hAnsi="Arial" w:eastAsia="等线" w:cs="Arial"/>
          <w:color w:val="3370FF"/>
          <w:sz w:val="30"/>
        </w:rPr>
        <w:t xml:space="preserve">2.4.5 </w:t>
      </w:r>
      <w:r>
        <w:rPr>
          <w:rFonts w:ascii="Arial" w:hAnsi="Arial" w:eastAsia="等线" w:cs="Arial"/>
          <w:b/>
          <w:sz w:val="30"/>
        </w:rPr>
        <w:t>遵守内幕交易规则（Following insider trading rules）</w:t>
      </w:r>
      <w:bookmarkEnd w:id="47"/>
    </w:p>
    <w:p w14:paraId="6176FC88">
      <w:pPr>
        <w:spacing w:before="120" w:after="120" w:line="288" w:lineRule="auto"/>
        <w:ind w:left="0"/>
        <w:jc w:val="left"/>
      </w:pPr>
      <w:r>
        <w:rPr>
          <w:rFonts w:ascii="Arial" w:hAnsi="Arial" w:eastAsia="等线" w:cs="Arial"/>
          <w:sz w:val="22"/>
        </w:rPr>
        <w:t>内幕交易是指个人基于尚未向公众披露（或未充分披露）的信息（即重大非公开信息），对某一特定公开交易的证券进行交易的违法行为。</w:t>
      </w:r>
    </w:p>
    <w:p w14:paraId="75C1C72F">
      <w:pPr>
        <w:spacing w:before="120" w:after="120" w:line="288" w:lineRule="auto"/>
        <w:ind w:left="0"/>
        <w:jc w:val="left"/>
      </w:pPr>
    </w:p>
    <w:p w14:paraId="21BE9CF0">
      <w:pPr>
        <w:spacing w:before="120" w:after="120" w:line="288" w:lineRule="auto"/>
        <w:ind w:left="0"/>
        <w:jc w:val="left"/>
      </w:pPr>
      <w:r>
        <w:rPr>
          <w:rFonts w:ascii="Arial" w:hAnsi="Arial" w:eastAsia="等线" w:cs="Arial"/>
          <w:sz w:val="22"/>
        </w:rPr>
        <w:t>根据1988年《内幕交易与证券欺诈执行法》，泄密者（泄露非公开信息的人）和受密者（根据泄密信息进行交易的人）均需承担责任。</w:t>
      </w:r>
    </w:p>
    <w:p w14:paraId="2789FBD8">
      <w:pPr>
        <w:spacing w:before="120" w:after="120" w:line="288" w:lineRule="auto"/>
        <w:ind w:left="0"/>
        <w:jc w:val="left"/>
      </w:pPr>
    </w:p>
    <w:p w14:paraId="7E35C02A">
      <w:pPr>
        <w:spacing w:before="120" w:after="120" w:line="288" w:lineRule="auto"/>
        <w:ind w:left="0"/>
        <w:jc w:val="left"/>
      </w:pPr>
      <w:r>
        <w:rPr>
          <w:rFonts w:ascii="Arial" w:hAnsi="Arial" w:eastAsia="等线" w:cs="Arial"/>
          <w:sz w:val="22"/>
        </w:rPr>
        <w:t>如果注册代表或公司的任何员工收到他们认为是内幕信息的内容，应立即向公司负责人报告（contact a principal immediately）。</w:t>
      </w:r>
    </w:p>
    <w:p w14:paraId="0631D355">
      <w:pPr>
        <w:spacing w:before="120" w:after="120" w:line="288" w:lineRule="auto"/>
        <w:ind w:left="0"/>
        <w:jc w:val="left"/>
      </w:pPr>
    </w:p>
    <w:p w14:paraId="01AA4D4A">
      <w:pPr>
        <w:spacing w:before="120" w:after="120" w:line="288" w:lineRule="auto"/>
        <w:ind w:left="0"/>
        <w:jc w:val="left"/>
      </w:pPr>
      <w:r>
        <w:rPr>
          <w:rFonts w:ascii="Arial" w:hAnsi="Arial" w:eastAsia="等线" w:cs="Arial"/>
          <w:sz w:val="22"/>
        </w:rPr>
        <w:t>重大非公开（Material Nonpublic）信息是指可能影响证券市场价值但尚未（或未充分）向公众披露的信息。</w:t>
      </w:r>
    </w:p>
    <w:p w14:paraId="5BA638BB">
      <w:pPr>
        <w:spacing w:before="120" w:after="120" w:line="288" w:lineRule="auto"/>
        <w:ind w:left="0"/>
        <w:jc w:val="left"/>
      </w:pPr>
    </w:p>
    <w:p w14:paraId="671033C8">
      <w:pPr>
        <w:spacing w:before="120" w:after="120" w:line="288" w:lineRule="auto"/>
        <w:ind w:left="0"/>
        <w:jc w:val="left"/>
      </w:pPr>
      <w:r>
        <w:rPr>
          <w:rFonts w:ascii="Arial" w:hAnsi="Arial" w:eastAsia="等线" w:cs="Arial"/>
          <w:sz w:val="22"/>
        </w:rPr>
        <w:t>已对内幕交易提起指控：</w:t>
      </w:r>
    </w:p>
    <w:p w14:paraId="59DA0AD8">
      <w:pPr>
        <w:numPr>
          <w:ilvl w:val="0"/>
          <w:numId w:val="213"/>
        </w:numPr>
        <w:spacing w:before="120" w:after="120" w:line="288" w:lineRule="auto"/>
        <w:ind w:left="0"/>
        <w:jc w:val="left"/>
      </w:pPr>
      <w:r>
        <w:rPr>
          <w:rFonts w:ascii="Arial" w:hAnsi="Arial" w:eastAsia="等线" w:cs="Arial"/>
          <w:sz w:val="22"/>
        </w:rPr>
        <w:t>公司的高管、董事和员工在获悉重要的、机密的公司发展情况后对公司证券进行交易的行为。</w:t>
      </w:r>
    </w:p>
    <w:p w14:paraId="65036E23">
      <w:pPr>
        <w:numPr>
          <w:ilvl w:val="0"/>
          <w:numId w:val="214"/>
        </w:numPr>
        <w:spacing w:before="120" w:after="120" w:line="288" w:lineRule="auto"/>
        <w:ind w:left="0"/>
        <w:jc w:val="left"/>
      </w:pPr>
      <w:r>
        <w:rPr>
          <w:rFonts w:ascii="Arial" w:hAnsi="Arial" w:eastAsia="等线" w:cs="Arial"/>
          <w:sz w:val="22"/>
        </w:rPr>
        <w:t>家庭成员、朋友、商业伙伴以及其他从基于所获机密信息交易公司证券的高管、董事和员工那里获取内幕消息的人（消息受领者）</w:t>
      </w:r>
    </w:p>
    <w:p w14:paraId="543E2AD5">
      <w:pPr>
        <w:numPr>
          <w:ilvl w:val="0"/>
          <w:numId w:val="215"/>
        </w:numPr>
        <w:spacing w:before="120" w:after="120" w:line="288" w:lineRule="auto"/>
        <w:ind w:left="0"/>
        <w:jc w:val="left"/>
      </w:pPr>
      <w:r>
        <w:rPr>
          <w:rFonts w:ascii="Arial" w:hAnsi="Arial" w:eastAsia="等线" w:cs="Arial"/>
          <w:sz w:val="22"/>
        </w:rPr>
        <w:t>因在政府任职而获取尚未向公众披露的机密信息，并据此进行交易的政府雇员</w:t>
      </w:r>
    </w:p>
    <w:p w14:paraId="029C14B9">
      <w:pPr>
        <w:numPr>
          <w:ilvl w:val="0"/>
          <w:numId w:val="216"/>
        </w:numPr>
        <w:spacing w:before="120" w:after="120" w:line="288" w:lineRule="auto"/>
        <w:ind w:left="0"/>
        <w:jc w:val="left"/>
      </w:pPr>
      <w:r>
        <w:rPr>
          <w:rFonts w:ascii="Arial" w:hAnsi="Arial" w:eastAsia="等线" w:cs="Arial"/>
          <w:sz w:val="22"/>
        </w:rPr>
        <w:t>经纪公司、银行、律师事务所和印刷公司的员工，他们根据在工作中获得的机密信息进行交易</w:t>
      </w:r>
    </w:p>
    <w:p w14:paraId="58066664">
      <w:pPr>
        <w:numPr>
          <w:ilvl w:val="0"/>
          <w:numId w:val="217"/>
        </w:numPr>
        <w:spacing w:before="120" w:after="120" w:line="288" w:lineRule="auto"/>
        <w:ind w:left="0"/>
        <w:jc w:val="left"/>
      </w:pPr>
      <w:r>
        <w:rPr>
          <w:rFonts w:ascii="Arial" w:hAnsi="Arial" w:eastAsia="等线" w:cs="Arial"/>
          <w:sz w:val="22"/>
        </w:rPr>
        <w:t>政治顾问，他们根据从政府雇员那里获得的重大非公开信息提供建议或进行交易</w:t>
      </w:r>
    </w:p>
    <w:p w14:paraId="50069BC4">
      <w:pPr>
        <w:numPr>
          <w:ilvl w:val="0"/>
          <w:numId w:val="218"/>
        </w:numPr>
        <w:spacing w:before="120" w:after="120" w:line="288" w:lineRule="auto"/>
        <w:ind w:left="0"/>
        <w:jc w:val="left"/>
      </w:pPr>
      <w:r>
        <w:rPr>
          <w:rFonts w:ascii="Arial" w:hAnsi="Arial" w:eastAsia="等线" w:cs="Arial"/>
          <w:sz w:val="22"/>
        </w:rPr>
        <w:t>其他利用或交易从雇主、朋友、家人及其他人那里获得的机密信息的人</w:t>
      </w:r>
    </w:p>
    <w:p w14:paraId="6A7487B6">
      <w:pPr>
        <w:spacing w:before="120" w:after="120" w:line="288" w:lineRule="auto"/>
        <w:ind w:left="0"/>
        <w:jc w:val="left"/>
      </w:pPr>
    </w:p>
    <w:p w14:paraId="3ECF25C0">
      <w:pPr>
        <w:spacing w:before="260" w:after="120" w:line="288" w:lineRule="auto"/>
        <w:ind w:left="0"/>
        <w:jc w:val="left"/>
        <w:outlineLvl w:val="3"/>
      </w:pPr>
      <w:bookmarkStart w:id="48" w:name="heading_48"/>
      <w:r>
        <w:rPr>
          <w:rFonts w:ascii="Arial" w:hAnsi="Arial" w:eastAsia="等线" w:cs="Arial"/>
          <w:color w:val="3370FF"/>
          <w:sz w:val="28"/>
        </w:rPr>
        <w:t xml:space="preserve">2.4.5.1 </w:t>
      </w:r>
      <w:r>
        <w:rPr>
          <w:rFonts w:ascii="Arial" w:hAnsi="Arial" w:eastAsia="等线" w:cs="Arial"/>
          <w:b/>
          <w:sz w:val="28"/>
        </w:rPr>
        <w:t>内幕交易的处罚（Penalties for insider trading）</w:t>
      </w:r>
      <w:bookmarkEnd w:id="48"/>
    </w:p>
    <w:p w14:paraId="66178825">
      <w:pPr>
        <w:numPr>
          <w:ilvl w:val="0"/>
          <w:numId w:val="219"/>
        </w:numPr>
        <w:spacing w:before="120" w:after="120" w:line="288" w:lineRule="auto"/>
        <w:ind w:left="0"/>
        <w:jc w:val="left"/>
      </w:pPr>
      <w:r>
        <w:rPr>
          <w:rFonts w:ascii="Arial" w:hAnsi="Arial" w:eastAsia="等线" w:cs="Arial"/>
          <w:sz w:val="22"/>
        </w:rPr>
        <w:t>每次违规最高刑事罚款个人为 $5 百万，企业 $25 百万。</w:t>
      </w:r>
    </w:p>
    <w:p w14:paraId="10CCC34F">
      <w:pPr>
        <w:numPr>
          <w:ilvl w:val="0"/>
          <w:numId w:val="220"/>
        </w:numPr>
        <w:spacing w:before="120" w:after="120" w:line="288" w:lineRule="auto"/>
        <w:ind w:left="0"/>
        <w:jc w:val="left"/>
      </w:pPr>
      <w:r>
        <w:rPr>
          <w:rFonts w:ascii="Arial" w:hAnsi="Arial" w:eastAsia="等线" w:cs="Arial"/>
          <w:sz w:val="22"/>
        </w:rPr>
        <w:t>每次违规的最高监禁刑期为20年。</w:t>
      </w:r>
    </w:p>
    <w:p w14:paraId="359D0FA1">
      <w:pPr>
        <w:numPr>
          <w:ilvl w:val="0"/>
          <w:numId w:val="221"/>
        </w:numPr>
        <w:spacing w:before="120" w:after="120" w:line="288" w:lineRule="auto"/>
        <w:ind w:left="0"/>
        <w:jc w:val="left"/>
      </w:pPr>
      <w:r>
        <w:rPr>
          <w:rFonts w:ascii="Arial" w:hAnsi="Arial" w:eastAsia="等线" w:cs="Arial"/>
          <w:sz w:val="22"/>
        </w:rPr>
        <w:t>最高民事制裁（civil sanction）为违法所得的三倍或避免损失的三倍，再加上利润追缴。</w:t>
      </w:r>
    </w:p>
    <w:p w14:paraId="20290F77">
      <w:pPr>
        <w:spacing w:before="120" w:after="120" w:line="288" w:lineRule="auto"/>
        <w:ind w:left="0"/>
        <w:jc w:val="left"/>
      </w:pPr>
    </w:p>
    <w:p w14:paraId="7B7DE49F">
      <w:pPr>
        <w:spacing w:before="260" w:after="120" w:line="288" w:lineRule="auto"/>
        <w:ind w:left="0"/>
        <w:jc w:val="left"/>
        <w:outlineLvl w:val="3"/>
      </w:pPr>
      <w:bookmarkStart w:id="49" w:name="heading_49"/>
      <w:r>
        <w:rPr>
          <w:rFonts w:ascii="Arial" w:hAnsi="Arial" w:eastAsia="等线" w:cs="Arial"/>
          <w:color w:val="3370FF"/>
          <w:sz w:val="28"/>
        </w:rPr>
        <w:t xml:space="preserve">2.4.5.2 </w:t>
      </w:r>
      <w:r>
        <w:rPr>
          <w:rFonts w:ascii="Arial" w:hAnsi="Arial" w:eastAsia="等线" w:cs="Arial"/>
          <w:b/>
          <w:sz w:val="28"/>
        </w:rPr>
        <w:t>同期交易者（Contemporaneous traders）</w:t>
      </w:r>
      <w:bookmarkEnd w:id="49"/>
    </w:p>
    <w:p w14:paraId="142C5CBE">
      <w:pPr>
        <w:spacing w:before="120" w:after="120" w:line="288" w:lineRule="auto"/>
        <w:ind w:left="0"/>
        <w:jc w:val="left"/>
      </w:pPr>
      <w:r>
        <w:rPr>
          <w:rFonts w:ascii="Arial" w:hAnsi="Arial" w:eastAsia="等线" w:cs="Arial"/>
          <w:sz w:val="22"/>
        </w:rPr>
        <w:t>与利用内幕信息进行交易的人在同一时间或大约同一时间在市场相反方向下单的人被称为同期交易者。</w:t>
      </w:r>
    </w:p>
    <w:p w14:paraId="6B7AE9AD">
      <w:pPr>
        <w:spacing w:before="120" w:after="120" w:line="288" w:lineRule="auto"/>
        <w:ind w:left="0"/>
        <w:jc w:val="left"/>
      </w:pPr>
    </w:p>
    <w:p w14:paraId="05584901">
      <w:pPr>
        <w:spacing w:before="120" w:after="120" w:line="288" w:lineRule="auto"/>
        <w:ind w:left="0"/>
        <w:jc w:val="left"/>
      </w:pPr>
      <w:r>
        <w:rPr>
          <w:rFonts w:ascii="Arial" w:hAnsi="Arial" w:eastAsia="等线" w:cs="Arial"/>
          <w:sz w:val="22"/>
        </w:rPr>
        <w:t>因此，为便于讨论，若掌握内幕信息的人因内幕信息卖出ABC公司普通股，那么同期交易者就是在同一时间或大约同一时间买入ABC公司普通股的人（反之亦然）。在这种情况下，同期交易者实际上可以起诉违反内幕交易规则的人。此类诉讼可在事件发生后五年内提起。</w:t>
      </w:r>
    </w:p>
    <w:p w14:paraId="0A1E87B9">
      <w:pPr>
        <w:spacing w:before="120" w:after="120" w:line="288" w:lineRule="auto"/>
        <w:ind w:left="0"/>
        <w:jc w:val="left"/>
      </w:pPr>
    </w:p>
    <w:p w14:paraId="23F10630">
      <w:pPr>
        <w:spacing w:before="320" w:after="120" w:line="288" w:lineRule="auto"/>
        <w:ind w:left="0"/>
        <w:jc w:val="left"/>
        <w:outlineLvl w:val="1"/>
      </w:pPr>
      <w:bookmarkStart w:id="50" w:name="heading_50"/>
      <w:r>
        <w:rPr>
          <w:rFonts w:ascii="Arial" w:hAnsi="Arial" w:eastAsia="等线" w:cs="Arial"/>
          <w:color w:val="3370FF"/>
          <w:sz w:val="32"/>
        </w:rPr>
        <w:t xml:space="preserve">2.5 </w:t>
      </w:r>
      <w:r>
        <w:rPr>
          <w:rFonts w:ascii="Arial" w:hAnsi="Arial" w:eastAsia="等线" w:cs="Arial"/>
          <w:b/>
          <w:sz w:val="32"/>
        </w:rPr>
        <w:t>投资者破产保护：FDIC和SIPC的覆盖范围</w:t>
      </w:r>
      <w:bookmarkEnd w:id="50"/>
    </w:p>
    <w:p w14:paraId="53B9894D">
      <w:pPr>
        <w:spacing w:before="120" w:after="120" w:line="288" w:lineRule="auto"/>
        <w:ind w:left="0"/>
        <w:jc w:val="left"/>
      </w:pPr>
      <w:r>
        <w:rPr>
          <w:rFonts w:ascii="Arial" w:hAnsi="Arial" w:eastAsia="等线" w:cs="Arial"/>
          <w:sz w:val="22"/>
        </w:rPr>
        <w:t>FDIC（Federal Deposit Insurance Corporation）美国联邦存款保险公司提供存款保险，为在银行有存款的人保证一定程度的资金安全。</w:t>
      </w:r>
    </w:p>
    <w:p w14:paraId="033802C7">
      <w:pPr>
        <w:spacing w:before="120" w:after="120" w:line="288" w:lineRule="auto"/>
        <w:ind w:left="0"/>
        <w:jc w:val="left"/>
      </w:pPr>
    </w:p>
    <w:p w14:paraId="47611524">
      <w:pPr>
        <w:spacing w:before="120" w:after="120" w:line="288" w:lineRule="auto"/>
        <w:ind w:left="0"/>
        <w:jc w:val="left"/>
      </w:pPr>
      <w:r>
        <w:rPr>
          <w:rFonts w:ascii="Arial" w:hAnsi="Arial" w:eastAsia="等线" w:cs="Arial"/>
          <w:sz w:val="22"/>
        </w:rPr>
        <w:t>FDIC 保护账户免受银行倒闭（破产）的影响。目前，每位存款人的</w:t>
      </w:r>
      <w:r>
        <w:rPr>
          <w:rFonts w:ascii="Arial" w:hAnsi="Arial" w:eastAsia="等线" w:cs="Arial"/>
          <w:b/>
          <w:sz w:val="22"/>
        </w:rPr>
        <w:t>受保金额最高为25万美元</w:t>
      </w:r>
      <w:r>
        <w:rPr>
          <w:rFonts w:ascii="Arial" w:hAnsi="Arial" w:eastAsia="等线" w:cs="Arial"/>
          <w:sz w:val="22"/>
        </w:rPr>
        <w:t>。</w:t>
      </w:r>
    </w:p>
    <w:p w14:paraId="7F525A4C">
      <w:pPr>
        <w:spacing w:before="120" w:after="120" w:line="288" w:lineRule="auto"/>
        <w:ind w:left="0"/>
        <w:jc w:val="left"/>
      </w:pPr>
    </w:p>
    <w:p w14:paraId="7AA84943">
      <w:pPr>
        <w:spacing w:before="120" w:after="120" w:line="288" w:lineRule="auto"/>
        <w:ind w:left="0"/>
        <w:jc w:val="left"/>
      </w:pPr>
      <w:r>
        <w:rPr>
          <w:rFonts w:ascii="Arial" w:hAnsi="Arial" w:eastAsia="等线" w:cs="Arial"/>
          <w:sz w:val="22"/>
        </w:rPr>
        <w:t>SIPC（Securities Investor Protection Corporation）证券投资者保护公司依据1970年《证券投资者保护法》成立，旨在保护客户免受经纪交易商破产（broker–dealer bankruptcy）的影响。尽管它</w:t>
      </w:r>
      <w:r>
        <w:rPr>
          <w:rFonts w:ascii="Arial" w:hAnsi="Arial" w:eastAsia="等线" w:cs="Arial"/>
          <w:b/>
          <w:sz w:val="22"/>
        </w:rPr>
        <w:t>并非政府机构</w:t>
      </w:r>
      <w:r>
        <w:rPr>
          <w:rFonts w:ascii="Arial" w:hAnsi="Arial" w:eastAsia="等线" w:cs="Arial"/>
          <w:sz w:val="22"/>
        </w:rPr>
        <w:t>，但这个私营非营利组织是由政府在1970年创立。</w:t>
      </w:r>
    </w:p>
    <w:p w14:paraId="08F2F6C0">
      <w:pPr>
        <w:spacing w:before="120" w:after="120" w:line="288" w:lineRule="auto"/>
        <w:ind w:left="0"/>
        <w:jc w:val="left"/>
      </w:pPr>
    </w:p>
    <w:p w14:paraId="2360B040">
      <w:pPr>
        <w:spacing w:before="120" w:after="120" w:line="288" w:lineRule="auto"/>
        <w:ind w:left="0"/>
        <w:jc w:val="left"/>
      </w:pPr>
      <w:r>
        <w:rPr>
          <w:rFonts w:ascii="Arial" w:hAnsi="Arial" w:eastAsia="等线" w:cs="Arial"/>
          <w:sz w:val="22"/>
        </w:rPr>
        <w:t>SIPC 为每个独立客户（separate customer）的资产（证券和现金）提供保护，上限不超过50万美元，其中现金赔偿不超过25万美元。</w:t>
      </w:r>
    </w:p>
    <w:p w14:paraId="238E4ED0">
      <w:pPr>
        <w:spacing w:before="120" w:after="120" w:line="288" w:lineRule="auto"/>
        <w:ind w:left="0"/>
        <w:jc w:val="left"/>
      </w:pPr>
    </w:p>
    <w:p w14:paraId="5283C68D">
      <w:pPr>
        <w:spacing w:before="120" w:after="120" w:line="288" w:lineRule="auto"/>
        <w:ind w:left="0"/>
        <w:jc w:val="left"/>
      </w:pPr>
      <w:r>
        <w:rPr>
          <w:rFonts w:ascii="Arial" w:hAnsi="Arial" w:eastAsia="等线" w:cs="Arial"/>
          <w:sz w:val="22"/>
        </w:rPr>
        <w:t>尽管经纪公司必须遵守净资本规则——具体来说是美国证券交易委员会（SEC）的15c3-1规则——这些规则旨在最大限度地降低经纪交易商破产的可能性并保护客户资产，但经纪交易商仍偶尔宣布破产。</w:t>
      </w:r>
    </w:p>
    <w:p w14:paraId="6D52888A">
      <w:pPr>
        <w:spacing w:before="120" w:after="120" w:line="288" w:lineRule="auto"/>
        <w:ind w:left="0"/>
        <w:jc w:val="left"/>
      </w:pPr>
    </w:p>
    <w:p w14:paraId="4D8657C5">
      <w:pPr>
        <w:spacing w:before="120" w:after="120" w:line="288" w:lineRule="auto"/>
        <w:ind w:left="0"/>
        <w:jc w:val="left"/>
      </w:pPr>
      <w:r>
        <w:rPr>
          <w:rFonts w:ascii="Arial" w:hAnsi="Arial" w:eastAsia="等线" w:cs="Arial"/>
          <w:sz w:val="22"/>
        </w:rPr>
        <w:t>所有会员必须在开户时向客户告知证券投资者保护公司（SIPC）的保护措施，并且必须提供SIPC手册以及联系SIPC的信息，包括SIPC的网址和电话号码。此外，客户每年至少必须以书面形式收到所有相同的信息。</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E3AA9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BE9E481">
            <w:pPr>
              <w:spacing w:before="120" w:after="120" w:line="288" w:lineRule="auto"/>
              <w:ind w:left="0"/>
              <w:jc w:val="left"/>
            </w:pPr>
            <w:r>
              <w:rPr>
                <w:rFonts w:ascii="Arial" w:hAnsi="Arial" w:eastAsia="等线" w:cs="Arial"/>
                <w:sz w:val="22"/>
              </w:rPr>
              <w:t>如果投资者未完全获得证券投资者保护公司（SIPC）的保障，那么破产的经纪交易商仍欠该投资者钱款；因此，该投资者就所欠余额而言成为该公司的普通债权人。</w:t>
            </w:r>
          </w:p>
        </w:tc>
      </w:tr>
    </w:tbl>
    <w:p w14:paraId="0D42AF30">
      <w:pPr>
        <w:spacing w:before="300" w:after="120" w:line="288" w:lineRule="auto"/>
        <w:ind w:left="0"/>
        <w:jc w:val="left"/>
        <w:outlineLvl w:val="2"/>
      </w:pPr>
      <w:bookmarkStart w:id="51" w:name="heading_51"/>
      <w:r>
        <w:rPr>
          <w:rFonts w:ascii="Arial" w:hAnsi="Arial" w:eastAsia="等线" w:cs="Arial"/>
          <w:color w:val="3370FF"/>
          <w:sz w:val="30"/>
        </w:rPr>
        <w:t xml:space="preserve">2.5.1 </w:t>
      </w:r>
      <w:r>
        <w:rPr>
          <w:rFonts w:ascii="Arial" w:hAnsi="Arial" w:eastAsia="等线" w:cs="Arial"/>
          <w:b/>
          <w:sz w:val="30"/>
        </w:rPr>
        <w:t>持有客户的邮件</w:t>
      </w:r>
      <w:bookmarkEnd w:id="51"/>
    </w:p>
    <w:p w14:paraId="392DA00E">
      <w:pPr>
        <w:spacing w:before="120" w:after="120" w:line="288" w:lineRule="auto"/>
        <w:ind w:left="0"/>
        <w:jc w:val="left"/>
      </w:pPr>
      <w:r>
        <w:rPr>
          <w:rFonts w:ascii="Arial" w:hAnsi="Arial" w:eastAsia="等线" w:cs="Arial"/>
          <w:sz w:val="22"/>
        </w:rPr>
        <w:t>如果您的某位客户因旅行、搬家或其他原因无法在其常用地址收到邮件，您的公司可以为其保管邮件一段特定时间，最长可达三个月（如果出于安全考虑，时间可以更长）。</w:t>
      </w:r>
    </w:p>
    <w:p w14:paraId="5DC1B306">
      <w:pPr>
        <w:spacing w:before="120" w:after="120" w:line="288" w:lineRule="auto"/>
        <w:ind w:left="0"/>
        <w:jc w:val="left"/>
      </w:pPr>
    </w:p>
    <w:p w14:paraId="124C2091">
      <w:pPr>
        <w:spacing w:before="120" w:after="120" w:line="288" w:lineRule="auto"/>
        <w:ind w:left="0"/>
        <w:jc w:val="left"/>
      </w:pPr>
      <w:r>
        <w:rPr>
          <w:rFonts w:ascii="Arial" w:hAnsi="Arial" w:eastAsia="等线" w:cs="Arial"/>
          <w:sz w:val="22"/>
        </w:rPr>
        <w:t>这通常涉及公司通常会邮寄的确认函和账户对账单。会员公司必须有办法及时联系客户（通过电话、电子邮件等），并且必须为客户提供接收其账户相关信息的途径（通常通过电子邮件或会员公司网站）。此外，会员公司必须在合理时间间隔内核实客户的指示是否仍然适用。</w:t>
      </w:r>
    </w:p>
    <w:p w14:paraId="78B5DE39">
      <w:pPr>
        <w:spacing w:before="120" w:after="120" w:line="288" w:lineRule="auto"/>
        <w:ind w:left="0"/>
        <w:jc w:val="left"/>
      </w:pPr>
    </w:p>
    <w:p w14:paraId="35CEA4FE">
      <w:pPr>
        <w:spacing w:before="300" w:after="120" w:line="288" w:lineRule="auto"/>
        <w:ind w:left="0"/>
        <w:jc w:val="left"/>
        <w:outlineLvl w:val="2"/>
      </w:pPr>
      <w:bookmarkStart w:id="52" w:name="heading_52"/>
      <w:r>
        <w:rPr>
          <w:rFonts w:ascii="Arial" w:hAnsi="Arial" w:eastAsia="等线" w:cs="Arial"/>
          <w:color w:val="3370FF"/>
          <w:sz w:val="30"/>
        </w:rPr>
        <w:t xml:space="preserve">2.5.2 </w:t>
      </w:r>
      <w:r>
        <w:rPr>
          <w:rFonts w:ascii="Arial" w:hAnsi="Arial" w:eastAsia="等线" w:cs="Arial"/>
          <w:b/>
          <w:sz w:val="30"/>
        </w:rPr>
        <w:t>业务连续性计划和紧急联系信息</w:t>
      </w:r>
      <w:bookmarkEnd w:id="52"/>
    </w:p>
    <w:p w14:paraId="43553A27">
      <w:pPr>
        <w:spacing w:before="120" w:after="120" w:line="288" w:lineRule="auto"/>
        <w:ind w:left="0"/>
        <w:jc w:val="left"/>
      </w:pPr>
      <w:r>
        <w:rPr>
          <w:rFonts w:ascii="Arial" w:hAnsi="Arial" w:eastAsia="等线" w:cs="Arial"/>
          <w:sz w:val="22"/>
        </w:rPr>
        <w:t>FINRA 要求所有会员公司必须制定并维持业务连续性计划（BCP，Business continuity plans），以应对可能出现的业务中断情况。其目的是确保客户在业务中断期间仍能联系到公司，并能获取其证券和资金。</w:t>
      </w:r>
    </w:p>
    <w:p w14:paraId="716361E9">
      <w:pPr>
        <w:spacing w:before="120" w:after="120" w:line="288" w:lineRule="auto"/>
        <w:ind w:left="0"/>
        <w:jc w:val="left"/>
      </w:pPr>
    </w:p>
    <w:p w14:paraId="76645DDC">
      <w:pPr>
        <w:spacing w:before="120" w:after="120" w:line="288" w:lineRule="auto"/>
        <w:ind w:left="0"/>
        <w:jc w:val="left"/>
      </w:pPr>
      <w:r>
        <w:rPr>
          <w:rFonts w:ascii="Arial" w:hAnsi="Arial" w:eastAsia="等线" w:cs="Arial"/>
          <w:sz w:val="22"/>
        </w:rPr>
        <w:t>紧急情况。尽管该计划会根据成员的业务情况而具有一定的灵活性，但计划应涵盖的部分内容包括以下几点：</w:t>
      </w:r>
    </w:p>
    <w:p w14:paraId="6A77ABDA">
      <w:pPr>
        <w:numPr>
          <w:ilvl w:val="0"/>
          <w:numId w:val="222"/>
        </w:numPr>
        <w:spacing w:before="120" w:after="120" w:line="288" w:lineRule="auto"/>
        <w:ind w:left="0"/>
        <w:jc w:val="left"/>
      </w:pPr>
      <w:r>
        <w:rPr>
          <w:rFonts w:ascii="Arial" w:hAnsi="Arial" w:eastAsia="等线" w:cs="Arial"/>
          <w:sz w:val="22"/>
        </w:rPr>
        <w:t>硬拷贝及电子数据的备份与恢复</w:t>
      </w:r>
    </w:p>
    <w:p w14:paraId="25F1AF84">
      <w:pPr>
        <w:numPr>
          <w:ilvl w:val="0"/>
          <w:numId w:val="223"/>
        </w:numPr>
        <w:spacing w:before="120" w:after="120" w:line="288" w:lineRule="auto"/>
        <w:ind w:left="0"/>
        <w:jc w:val="left"/>
      </w:pPr>
      <w:r>
        <w:rPr>
          <w:rFonts w:ascii="Arial" w:hAnsi="Arial" w:eastAsia="等线" w:cs="Arial"/>
          <w:sz w:val="22"/>
        </w:rPr>
        <w:t>客户与会员之间的其他沟通方式</w:t>
      </w:r>
    </w:p>
    <w:p w14:paraId="2130C0F6">
      <w:pPr>
        <w:numPr>
          <w:ilvl w:val="0"/>
          <w:numId w:val="224"/>
        </w:numPr>
        <w:spacing w:before="120" w:after="120" w:line="288" w:lineRule="auto"/>
        <w:ind w:left="0"/>
        <w:jc w:val="left"/>
      </w:pPr>
      <w:r>
        <w:rPr>
          <w:rFonts w:ascii="Arial" w:hAnsi="Arial" w:eastAsia="等线" w:cs="Arial"/>
          <w:sz w:val="22"/>
        </w:rPr>
        <w:t>会员与其员工之间的替代沟通方式</w:t>
      </w:r>
    </w:p>
    <w:p w14:paraId="2E9AF007">
      <w:pPr>
        <w:numPr>
          <w:ilvl w:val="0"/>
          <w:numId w:val="225"/>
        </w:numPr>
        <w:spacing w:before="120" w:after="120" w:line="288" w:lineRule="auto"/>
        <w:ind w:left="0"/>
        <w:jc w:val="left"/>
      </w:pPr>
      <w:r>
        <w:rPr>
          <w:rFonts w:ascii="Arial" w:hAnsi="Arial" w:eastAsia="等线" w:cs="Arial"/>
          <w:sz w:val="22"/>
        </w:rPr>
        <w:t>员工的其他实际工作地点</w:t>
      </w:r>
    </w:p>
    <w:p w14:paraId="13C7DFD3">
      <w:pPr>
        <w:numPr>
          <w:ilvl w:val="0"/>
          <w:numId w:val="226"/>
        </w:numPr>
        <w:spacing w:before="120" w:after="120" w:line="288" w:lineRule="auto"/>
        <w:ind w:left="0"/>
        <w:jc w:val="left"/>
      </w:pPr>
      <w:r>
        <w:rPr>
          <w:rFonts w:ascii="Arial" w:hAnsi="Arial" w:eastAsia="等线" w:cs="Arial"/>
          <w:sz w:val="22"/>
        </w:rPr>
        <w:t>监管报告</w:t>
      </w:r>
    </w:p>
    <w:p w14:paraId="42E326E9">
      <w:pPr>
        <w:numPr>
          <w:ilvl w:val="0"/>
          <w:numId w:val="227"/>
        </w:numPr>
        <w:spacing w:before="120" w:after="120" w:line="288" w:lineRule="auto"/>
        <w:ind w:left="0"/>
        <w:jc w:val="left"/>
      </w:pPr>
      <w:r>
        <w:rPr>
          <w:rFonts w:ascii="Arial" w:hAnsi="Arial" w:eastAsia="等线" w:cs="Arial"/>
          <w:sz w:val="22"/>
        </w:rPr>
        <w:t>与监管机构的沟通</w:t>
      </w:r>
    </w:p>
    <w:p w14:paraId="70476F5F">
      <w:pPr>
        <w:numPr>
          <w:ilvl w:val="0"/>
          <w:numId w:val="228"/>
        </w:numPr>
        <w:spacing w:before="120" w:after="120" w:line="288" w:lineRule="auto"/>
        <w:ind w:left="0"/>
        <w:jc w:val="left"/>
      </w:pPr>
      <w:r>
        <w:rPr>
          <w:rFonts w:ascii="Arial" w:hAnsi="Arial" w:eastAsia="等线" w:cs="Arial"/>
          <w:sz w:val="22"/>
        </w:rPr>
        <w:t>会员公司将如何确保，在其无法继续经营的情况下，客户能够迅速获取其证券和资金。</w:t>
      </w:r>
    </w:p>
    <w:p w14:paraId="30F48D34">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AD24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3AD59130">
            <w:pPr>
              <w:spacing w:before="120" w:after="120" w:line="288" w:lineRule="auto"/>
              <w:ind w:left="0"/>
              <w:jc w:val="left"/>
            </w:pPr>
            <w:r>
              <w:rPr>
                <w:rFonts w:ascii="Arial" w:hAnsi="Arial" w:eastAsia="等线" w:cs="Arial"/>
                <w:sz w:val="22"/>
              </w:rPr>
              <w:t>这份清单上还可以列出其他一些内容，例如“所有关键任务系统”（指他们处理客户订单等事务的方式）、“财务和运营评估”（指会员的运营方式会发生怎样的变化）等等。不过，前面列出的内容应该足以帮助你应对SIE考试中与公司业务连续性计划应包含哪些内容相关的问题。</w:t>
            </w:r>
          </w:p>
        </w:tc>
      </w:tr>
    </w:tbl>
    <w:p w14:paraId="476DB22B">
      <w:pPr>
        <w:spacing w:before="120" w:after="120" w:line="288" w:lineRule="auto"/>
        <w:ind w:left="0"/>
        <w:jc w:val="left"/>
      </w:pPr>
    </w:p>
    <w:p w14:paraId="66DBA676">
      <w:pPr>
        <w:spacing w:before="120" w:after="120" w:line="288" w:lineRule="auto"/>
        <w:ind w:left="0"/>
        <w:jc w:val="left"/>
      </w:pPr>
      <w:r>
        <w:rPr>
          <w:rFonts w:ascii="Arial" w:hAnsi="Arial" w:eastAsia="等线" w:cs="Arial"/>
          <w:sz w:val="22"/>
        </w:rPr>
        <w:t>成员须有一名高级管理人员（该人员必须是负责人）批准其业务连续性计划。该高级管理人员还负责进行年度审查。成员的计划必须在客户开户时以书面形式向客户披露，在公司网站（如有）上发布，并应客户要求邮寄给客户。</w:t>
      </w:r>
    </w:p>
    <w:p w14:paraId="5257EEAE">
      <w:pPr>
        <w:spacing w:before="120" w:after="120" w:line="288" w:lineRule="auto"/>
        <w:ind w:left="0"/>
        <w:jc w:val="left"/>
      </w:pPr>
    </w:p>
    <w:p w14:paraId="6581BD36">
      <w:pPr>
        <w:spacing w:before="120" w:after="120" w:line="288" w:lineRule="auto"/>
        <w:ind w:left="0"/>
        <w:jc w:val="left"/>
      </w:pPr>
      <w:r>
        <w:rPr>
          <w:rFonts w:ascii="Arial" w:hAnsi="Arial" w:eastAsia="等线" w:cs="Arial"/>
          <w:sz w:val="22"/>
        </w:rPr>
        <w:t>此外，除了向 FINRA 提供计划信息外，他们还必须向 FINRA 提供紧急联系信息（FINRA 必须收到</w:t>
      </w:r>
      <w:r>
        <w:rPr>
          <w:rFonts w:ascii="Arial" w:hAnsi="Arial" w:eastAsia="等线" w:cs="Arial"/>
          <w:b/>
          <w:sz w:val="22"/>
        </w:rPr>
        <w:t>两名负责人</w:t>
      </w:r>
      <w:r>
        <w:rPr>
          <w:rFonts w:ascii="Arial" w:hAnsi="Arial" w:eastAsia="等线" w:cs="Arial"/>
          <w:sz w:val="22"/>
        </w:rPr>
        <w:t>和高级管理人员的姓名，以便在紧急情况下联系；如果联系信息发生变更，必须在30天内更新）。如果业务连续性计划的任何信息发生变更，公司有责任向其客户、员工和 FINRA 更新相关信息。</w:t>
      </w:r>
    </w:p>
    <w:p w14:paraId="734F0A0A">
      <w:pPr>
        <w:spacing w:before="120" w:after="120" w:line="288" w:lineRule="auto"/>
        <w:ind w:left="0"/>
        <w:jc w:val="left"/>
      </w:pPr>
    </w:p>
    <w:p w14:paraId="78F2F11F">
      <w:pPr>
        <w:spacing w:before="380" w:after="140" w:line="288" w:lineRule="auto"/>
        <w:ind w:left="0"/>
        <w:jc w:val="left"/>
        <w:outlineLvl w:val="0"/>
      </w:pPr>
      <w:bookmarkStart w:id="53" w:name="heading_53"/>
      <w:r>
        <w:rPr>
          <w:rFonts w:ascii="Arial" w:hAnsi="Arial" w:eastAsia="等线" w:cs="Arial"/>
          <w:color w:val="3370FF"/>
          <w:sz w:val="36"/>
        </w:rPr>
        <w:t xml:space="preserve">3. </w:t>
      </w:r>
      <w:r>
        <w:rPr>
          <w:rFonts w:ascii="Arial" w:hAnsi="Arial" w:eastAsia="等线" w:cs="Arial"/>
          <w:b/>
          <w:sz w:val="36"/>
        </w:rPr>
        <w:t>核心考点</w:t>
      </w:r>
      <w:bookmarkEnd w:id="53"/>
    </w:p>
    <w:p w14:paraId="105A655F">
      <w:pPr>
        <w:numPr>
          <w:ilvl w:val="0"/>
          <w:numId w:val="229"/>
        </w:numPr>
        <w:spacing w:before="120" w:after="120" w:line="288" w:lineRule="auto"/>
        <w:ind w:left="0"/>
        <w:jc w:val="left"/>
      </w:pPr>
      <w:r>
        <w:rPr>
          <w:rFonts w:ascii="Arial" w:hAnsi="Arial" w:eastAsia="等线" w:cs="Arial"/>
          <w:sz w:val="22"/>
        </w:rPr>
        <w:t>记住核心法案： 知道《1933年证券法》和《1934年证券交易法》的核心区别。</w:t>
      </w:r>
    </w:p>
    <w:p w14:paraId="7D1A50E4">
      <w:pPr>
        <w:numPr>
          <w:ilvl w:val="0"/>
          <w:numId w:val="230"/>
        </w:numPr>
        <w:spacing w:before="120" w:after="120" w:line="288" w:lineRule="auto"/>
        <w:ind w:left="0"/>
        <w:jc w:val="left"/>
      </w:pPr>
      <w:r>
        <w:rPr>
          <w:rFonts w:ascii="Arial" w:hAnsi="Arial" w:eastAsia="等线" w:cs="Arial"/>
          <w:sz w:val="22"/>
        </w:rPr>
        <w:t>角色认知： 知道SEC、FINRA和州监管机构的不同角色。</w:t>
      </w:r>
    </w:p>
    <w:p w14:paraId="6B561F59">
      <w:pPr>
        <w:numPr>
          <w:ilvl w:val="0"/>
          <w:numId w:val="231"/>
        </w:numPr>
        <w:spacing w:before="120" w:after="120" w:line="288" w:lineRule="auto"/>
        <w:ind w:left="0"/>
        <w:jc w:val="left"/>
      </w:pPr>
      <w:r>
        <w:rPr>
          <w:rFonts w:ascii="Arial" w:hAnsi="Arial" w:eastAsia="等线" w:cs="Arial"/>
          <w:sz w:val="22"/>
        </w:rPr>
        <w:t>零容忍欺诈：内幕交易和任何形式的欺诈都是绝对禁止的。</w:t>
      </w:r>
    </w:p>
    <w:p w14:paraId="116AF35E">
      <w:pPr>
        <w:numPr>
          <w:ilvl w:val="0"/>
          <w:numId w:val="232"/>
        </w:numPr>
        <w:spacing w:before="120" w:after="120" w:line="288" w:lineRule="auto"/>
        <w:ind w:left="0"/>
        <w:jc w:val="left"/>
      </w:pPr>
      <w:r>
        <w:rPr>
          <w:rFonts w:ascii="Arial" w:hAnsi="Arial" w:eastAsia="等线" w:cs="Arial"/>
          <w:sz w:val="22"/>
        </w:rPr>
        <w:t>常识判断： 许多题目可以用常识判断——“什么行为最有利于保护投资者？” 通常就是正确答案。</w:t>
      </w:r>
    </w:p>
    <w:p w14:paraId="3D3133F4">
      <w:pPr>
        <w:spacing w:before="120" w:after="120" w:line="288" w:lineRule="auto"/>
        <w:ind w:left="0"/>
        <w:jc w:val="left"/>
      </w:pPr>
    </w:p>
    <w:p w14:paraId="71E4D497">
      <w:pPr>
        <w:spacing w:before="120" w:after="120" w:line="288" w:lineRule="auto"/>
        <w:ind w:left="0"/>
        <w:jc w:val="left"/>
      </w:pPr>
      <w:r>
        <w:rPr>
          <w:rFonts w:ascii="Arial" w:hAnsi="Arial" w:eastAsia="等线" w:cs="Arial"/>
          <w:sz w:val="22"/>
        </w:rPr>
        <w:t>掌握这些核心监管规则，不仅是通过 SIE 考试的关键，更是未来职业生涯中合规展业的基石。</w:t>
      </w:r>
    </w:p>
    <w:p w14:paraId="04D65495">
      <w:pPr>
        <w:spacing w:before="120" w:after="120" w:line="288" w:lineRule="auto"/>
        <w:ind w:left="0"/>
        <w:jc w:val="left"/>
      </w:pPr>
    </w:p>
    <w:p w14:paraId="15080A47">
      <w:pPr>
        <w:spacing w:before="380" w:after="140" w:line="288" w:lineRule="auto"/>
        <w:ind w:left="0"/>
        <w:jc w:val="left"/>
        <w:outlineLvl w:val="0"/>
      </w:pPr>
      <w:bookmarkStart w:id="54" w:name="heading_54"/>
      <w:r>
        <w:rPr>
          <w:rFonts w:ascii="Arial" w:hAnsi="Arial" w:eastAsia="等线" w:cs="Arial"/>
          <w:color w:val="3370FF"/>
          <w:sz w:val="36"/>
        </w:rPr>
        <w:t xml:space="preserve">4. </w:t>
      </w:r>
      <w:r>
        <w:rPr>
          <w:rFonts w:ascii="Arial" w:hAnsi="Arial" w:eastAsia="等线" w:cs="Arial"/>
          <w:b/>
          <w:sz w:val="36"/>
        </w:rPr>
        <w:t>核心词汇表</w:t>
      </w:r>
      <w:bookmarkEnd w:id="54"/>
    </w:p>
    <w:p w14:paraId="16CCE3AE">
      <w:pPr>
        <w:spacing w:before="320" w:after="120" w:line="288" w:lineRule="auto"/>
        <w:ind w:left="0"/>
        <w:jc w:val="left"/>
        <w:outlineLvl w:val="1"/>
      </w:pPr>
      <w:bookmarkStart w:id="55" w:name="heading_55"/>
      <w:r>
        <w:rPr>
          <w:rFonts w:ascii="Arial" w:hAnsi="Arial" w:eastAsia="等线" w:cs="Arial"/>
          <w:color w:val="3370FF"/>
          <w:sz w:val="32"/>
        </w:rPr>
        <w:t xml:space="preserve">4.1 </w:t>
      </w:r>
      <w:r>
        <w:rPr>
          <w:rFonts w:ascii="Arial" w:hAnsi="Arial" w:eastAsia="等线" w:cs="Arial"/>
          <w:b/>
          <w:sz w:val="32"/>
        </w:rPr>
        <w:t>监管机构与自律组织</w:t>
      </w:r>
      <w:bookmarkEnd w:id="5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650"/>
        <w:gridCol w:w="4875"/>
      </w:tblGrid>
      <w:tr w14:paraId="7B634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91F971C">
            <w:pPr>
              <w:spacing w:before="120" w:after="120" w:line="288" w:lineRule="auto"/>
              <w:ind w:left="0"/>
              <w:jc w:val="left"/>
            </w:pPr>
            <w:r>
              <w:rPr>
                <w:rFonts w:ascii="Arial" w:hAnsi="Arial" w:eastAsia="等线" w:cs="Arial"/>
                <w:b/>
                <w:sz w:val="22"/>
              </w:rPr>
              <w:t>英文</w:t>
            </w:r>
          </w:p>
        </w:tc>
        <w:tc>
          <w:tcPr>
            <w:tcW w:w="1650" w:type="dxa"/>
            <w:tcMar>
              <w:top w:w="60" w:type="dxa"/>
              <w:left w:w="120" w:type="dxa"/>
              <w:bottom w:w="30" w:type="dxa"/>
              <w:right w:w="120" w:type="dxa"/>
            </w:tcMar>
          </w:tcPr>
          <w:p w14:paraId="6146D7D7">
            <w:pPr>
              <w:spacing w:before="120" w:after="120" w:line="288" w:lineRule="auto"/>
              <w:ind w:left="0"/>
              <w:jc w:val="left"/>
            </w:pPr>
            <w:r>
              <w:rPr>
                <w:rFonts w:ascii="Arial" w:hAnsi="Arial" w:eastAsia="等线" w:cs="Arial"/>
                <w:b/>
                <w:sz w:val="22"/>
              </w:rPr>
              <w:t>中文</w:t>
            </w:r>
          </w:p>
        </w:tc>
        <w:tc>
          <w:tcPr>
            <w:tcW w:w="4875" w:type="dxa"/>
            <w:tcMar>
              <w:top w:w="60" w:type="dxa"/>
              <w:left w:w="120" w:type="dxa"/>
              <w:bottom w:w="30" w:type="dxa"/>
              <w:right w:w="120" w:type="dxa"/>
            </w:tcMar>
          </w:tcPr>
          <w:p w14:paraId="40598960">
            <w:pPr>
              <w:spacing w:before="120" w:after="120" w:line="288" w:lineRule="auto"/>
              <w:ind w:left="0"/>
              <w:jc w:val="left"/>
            </w:pPr>
            <w:r>
              <w:rPr>
                <w:rFonts w:ascii="Arial" w:hAnsi="Arial" w:eastAsia="等线" w:cs="Arial"/>
                <w:b/>
                <w:sz w:val="22"/>
              </w:rPr>
              <w:t>释义</w:t>
            </w:r>
          </w:p>
        </w:tc>
      </w:tr>
      <w:tr w14:paraId="040CB9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4A9E409B">
            <w:pPr>
              <w:spacing w:before="120" w:after="120" w:line="288" w:lineRule="auto"/>
              <w:ind w:left="0"/>
              <w:jc w:val="left"/>
            </w:pPr>
            <w:r>
              <w:rPr>
                <w:rFonts w:ascii="Arial" w:hAnsi="Arial" w:eastAsia="等线" w:cs="Arial"/>
                <w:sz w:val="22"/>
              </w:rPr>
              <w:t>Self-Regulatory Organization (SRO)</w:t>
            </w:r>
          </w:p>
        </w:tc>
        <w:tc>
          <w:tcPr>
            <w:tcW w:w="1650" w:type="dxa"/>
            <w:tcMar>
              <w:top w:w="60" w:type="dxa"/>
              <w:left w:w="120" w:type="dxa"/>
              <w:bottom w:w="30" w:type="dxa"/>
              <w:right w:w="120" w:type="dxa"/>
            </w:tcMar>
          </w:tcPr>
          <w:p w14:paraId="1F9926D4">
            <w:pPr>
              <w:spacing w:before="120" w:after="120" w:line="288" w:lineRule="auto"/>
              <w:ind w:left="0"/>
              <w:jc w:val="left"/>
            </w:pPr>
            <w:r>
              <w:rPr>
                <w:rFonts w:ascii="Arial" w:hAnsi="Arial" w:eastAsia="等线" w:cs="Arial"/>
                <w:sz w:val="22"/>
              </w:rPr>
              <w:t>自律组织</w:t>
            </w:r>
          </w:p>
        </w:tc>
        <w:tc>
          <w:tcPr>
            <w:tcW w:w="4875" w:type="dxa"/>
            <w:tcMar>
              <w:top w:w="60" w:type="dxa"/>
              <w:left w:w="120" w:type="dxa"/>
              <w:bottom w:w="30" w:type="dxa"/>
              <w:right w:w="120" w:type="dxa"/>
            </w:tcMar>
          </w:tcPr>
          <w:p w14:paraId="12CCCC8F">
            <w:pPr>
              <w:spacing w:before="120" w:after="120" w:line="288" w:lineRule="auto"/>
              <w:ind w:left="0"/>
              <w:jc w:val="left"/>
            </w:pPr>
            <w:r>
              <w:rPr>
                <w:rFonts w:ascii="Arial" w:hAnsi="Arial" w:eastAsia="等线" w:cs="Arial"/>
                <w:sz w:val="22"/>
              </w:rPr>
              <w:t>依据联邦证券法律成立，自行制定并执行行业规则的机构，受美国证券交易委员会（SEC）监督，核心职责是维护证券市场秩序、规范从业人员行为，常见的有美国金融业监管局（FINRA）、证券交易所等</w:t>
            </w:r>
          </w:p>
        </w:tc>
      </w:tr>
      <w:tr w14:paraId="19A85C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EF81EB8">
            <w:pPr>
              <w:spacing w:before="120" w:after="120" w:line="288" w:lineRule="auto"/>
              <w:ind w:left="0"/>
              <w:jc w:val="left"/>
            </w:pPr>
            <w:r>
              <w:rPr>
                <w:rFonts w:ascii="Arial" w:hAnsi="Arial" w:eastAsia="等线" w:cs="Arial"/>
                <w:sz w:val="22"/>
              </w:rPr>
              <w:t>Securities and Exchange Commission (SEC)</w:t>
            </w:r>
          </w:p>
        </w:tc>
        <w:tc>
          <w:tcPr>
            <w:tcW w:w="1650" w:type="dxa"/>
            <w:tcMar>
              <w:top w:w="60" w:type="dxa"/>
              <w:left w:w="120" w:type="dxa"/>
              <w:bottom w:w="30" w:type="dxa"/>
              <w:right w:w="120" w:type="dxa"/>
            </w:tcMar>
          </w:tcPr>
          <w:p w14:paraId="3D8BA10C">
            <w:pPr>
              <w:spacing w:before="120" w:after="120" w:line="288" w:lineRule="auto"/>
              <w:ind w:left="0"/>
              <w:jc w:val="left"/>
            </w:pPr>
            <w:r>
              <w:rPr>
                <w:rFonts w:ascii="Arial" w:hAnsi="Arial" w:eastAsia="等线" w:cs="Arial"/>
                <w:sz w:val="22"/>
              </w:rPr>
              <w:t>美国证券交易委员会</w:t>
            </w:r>
          </w:p>
        </w:tc>
        <w:tc>
          <w:tcPr>
            <w:tcW w:w="4875" w:type="dxa"/>
            <w:tcMar>
              <w:top w:w="60" w:type="dxa"/>
              <w:left w:w="120" w:type="dxa"/>
              <w:bottom w:w="30" w:type="dxa"/>
              <w:right w:w="120" w:type="dxa"/>
            </w:tcMar>
          </w:tcPr>
          <w:p w14:paraId="631C3528">
            <w:pPr>
              <w:spacing w:before="120" w:after="120" w:line="288" w:lineRule="auto"/>
              <w:ind w:left="0"/>
              <w:jc w:val="left"/>
            </w:pPr>
            <w:r>
              <w:rPr>
                <w:rFonts w:ascii="Arial" w:hAnsi="Arial" w:eastAsia="等线" w:cs="Arial"/>
                <w:sz w:val="22"/>
              </w:rPr>
              <w:t>美国联邦政府负责监管证券市场的核心机构，负责制定证券行业规则、执行联邦证券法律、保护投资者利益，对自律组织（如 FINRA）具有监督管理权</w:t>
            </w:r>
          </w:p>
        </w:tc>
      </w:tr>
      <w:tr w14:paraId="0920E8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B001466">
            <w:pPr>
              <w:spacing w:before="120" w:after="120" w:line="288" w:lineRule="auto"/>
              <w:ind w:left="0"/>
              <w:jc w:val="left"/>
            </w:pPr>
            <w:r>
              <w:rPr>
                <w:rFonts w:ascii="Arial" w:hAnsi="Arial" w:eastAsia="等线" w:cs="Arial"/>
                <w:sz w:val="22"/>
              </w:rPr>
              <w:t>North American Securities Administrators Association (NASAA)</w:t>
            </w:r>
          </w:p>
        </w:tc>
        <w:tc>
          <w:tcPr>
            <w:tcW w:w="1650" w:type="dxa"/>
            <w:tcMar>
              <w:top w:w="60" w:type="dxa"/>
              <w:left w:w="120" w:type="dxa"/>
              <w:bottom w:w="30" w:type="dxa"/>
              <w:right w:w="120" w:type="dxa"/>
            </w:tcMar>
          </w:tcPr>
          <w:p w14:paraId="50B8E211">
            <w:pPr>
              <w:spacing w:before="120" w:after="120" w:line="288" w:lineRule="auto"/>
              <w:ind w:left="0"/>
              <w:jc w:val="left"/>
            </w:pPr>
            <w:r>
              <w:rPr>
                <w:rFonts w:ascii="Arial" w:hAnsi="Arial" w:eastAsia="等线" w:cs="Arial"/>
                <w:sz w:val="22"/>
              </w:rPr>
              <w:t>北美证券管理员协会</w:t>
            </w:r>
          </w:p>
          <w:p w14:paraId="5BED6B5F">
            <w:pPr>
              <w:spacing w:before="120" w:after="120" w:line="288" w:lineRule="auto"/>
              <w:ind w:left="0"/>
              <w:jc w:val="left"/>
            </w:pPr>
          </w:p>
        </w:tc>
        <w:tc>
          <w:tcPr>
            <w:tcW w:w="4875" w:type="dxa"/>
            <w:tcMar>
              <w:top w:w="60" w:type="dxa"/>
              <w:left w:w="120" w:type="dxa"/>
              <w:bottom w:w="30" w:type="dxa"/>
              <w:right w:w="120" w:type="dxa"/>
            </w:tcMar>
          </w:tcPr>
          <w:p w14:paraId="68CADE51">
            <w:pPr>
              <w:spacing w:before="120" w:after="120" w:line="288" w:lineRule="auto"/>
              <w:ind w:left="0"/>
              <w:jc w:val="left"/>
            </w:pPr>
            <w:r>
              <w:rPr>
                <w:rFonts w:ascii="Arial" w:hAnsi="Arial" w:eastAsia="等线" w:cs="Arial"/>
                <w:sz w:val="22"/>
              </w:rPr>
              <w:t>由美国各州、加拿大各省及墨西哥证券监管机构组成的组织，主要负责制定州级证券监管规则（如 “蓝天法” 相关规则），并开发 Series 63、Series 66 等州法相关资格考试</w:t>
            </w:r>
          </w:p>
        </w:tc>
      </w:tr>
    </w:tbl>
    <w:p w14:paraId="6BFC38F6">
      <w:pPr>
        <w:spacing w:before="320" w:after="120" w:line="288" w:lineRule="auto"/>
        <w:ind w:left="0"/>
        <w:jc w:val="left"/>
        <w:outlineLvl w:val="1"/>
      </w:pPr>
      <w:bookmarkStart w:id="56" w:name="heading_56"/>
      <w:r>
        <w:rPr>
          <w:rFonts w:ascii="Arial" w:hAnsi="Arial" w:eastAsia="等线" w:cs="Arial"/>
          <w:color w:val="3370FF"/>
          <w:sz w:val="32"/>
        </w:rPr>
        <w:t xml:space="preserve">4.2 </w:t>
      </w:r>
      <w:r>
        <w:rPr>
          <w:rFonts w:ascii="Arial" w:hAnsi="Arial" w:eastAsia="等线" w:cs="Arial"/>
          <w:b/>
          <w:sz w:val="32"/>
        </w:rPr>
        <w:t>账户类型与交易规则</w:t>
      </w:r>
      <w:bookmarkEnd w:id="5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650"/>
        <w:gridCol w:w="4875"/>
      </w:tblGrid>
      <w:tr w14:paraId="579B18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42BCC65">
            <w:pPr>
              <w:spacing w:before="120" w:after="120" w:line="288" w:lineRule="auto"/>
              <w:ind w:left="0"/>
              <w:jc w:val="left"/>
            </w:pPr>
            <w:r>
              <w:rPr>
                <w:rFonts w:ascii="Arial" w:hAnsi="Arial" w:eastAsia="等线" w:cs="Arial"/>
                <w:b/>
                <w:sz w:val="22"/>
              </w:rPr>
              <w:t>英文</w:t>
            </w:r>
          </w:p>
        </w:tc>
        <w:tc>
          <w:tcPr>
            <w:tcW w:w="1650" w:type="dxa"/>
            <w:tcMar>
              <w:top w:w="60" w:type="dxa"/>
              <w:left w:w="120" w:type="dxa"/>
              <w:bottom w:w="30" w:type="dxa"/>
              <w:right w:w="120" w:type="dxa"/>
            </w:tcMar>
          </w:tcPr>
          <w:p w14:paraId="4E64E627">
            <w:pPr>
              <w:spacing w:before="120" w:after="120" w:line="288" w:lineRule="auto"/>
              <w:ind w:left="0"/>
              <w:jc w:val="left"/>
            </w:pPr>
            <w:r>
              <w:rPr>
                <w:rFonts w:ascii="Arial" w:hAnsi="Arial" w:eastAsia="等线" w:cs="Arial"/>
                <w:b/>
                <w:sz w:val="22"/>
              </w:rPr>
              <w:t>中文</w:t>
            </w:r>
          </w:p>
        </w:tc>
        <w:tc>
          <w:tcPr>
            <w:tcW w:w="4875" w:type="dxa"/>
            <w:tcMar>
              <w:top w:w="60" w:type="dxa"/>
              <w:left w:w="120" w:type="dxa"/>
              <w:bottom w:w="30" w:type="dxa"/>
              <w:right w:w="120" w:type="dxa"/>
            </w:tcMar>
          </w:tcPr>
          <w:p w14:paraId="23CC3769">
            <w:pPr>
              <w:spacing w:before="120" w:after="120" w:line="288" w:lineRule="auto"/>
              <w:ind w:left="0"/>
              <w:jc w:val="left"/>
            </w:pPr>
            <w:r>
              <w:rPr>
                <w:rFonts w:ascii="Arial" w:hAnsi="Arial" w:eastAsia="等线" w:cs="Arial"/>
                <w:b/>
                <w:sz w:val="22"/>
              </w:rPr>
              <w:t>释义</w:t>
            </w:r>
          </w:p>
        </w:tc>
      </w:tr>
      <w:tr w14:paraId="44AE45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E4C6262">
            <w:pPr>
              <w:spacing w:before="120" w:after="120" w:line="288" w:lineRule="auto"/>
              <w:ind w:left="0"/>
              <w:jc w:val="left"/>
            </w:pPr>
            <w:r>
              <w:rPr>
                <w:rFonts w:ascii="Arial" w:hAnsi="Arial" w:eastAsia="等线" w:cs="Arial"/>
                <w:sz w:val="22"/>
              </w:rPr>
              <w:t>Cash Account</w:t>
            </w:r>
          </w:p>
        </w:tc>
        <w:tc>
          <w:tcPr>
            <w:tcW w:w="1650" w:type="dxa"/>
            <w:tcMar>
              <w:top w:w="60" w:type="dxa"/>
              <w:left w:w="120" w:type="dxa"/>
              <w:bottom w:w="30" w:type="dxa"/>
              <w:right w:w="120" w:type="dxa"/>
            </w:tcMar>
          </w:tcPr>
          <w:p w14:paraId="1F83C7D1">
            <w:pPr>
              <w:spacing w:before="120" w:after="120" w:line="288" w:lineRule="auto"/>
              <w:ind w:left="0"/>
              <w:jc w:val="left"/>
            </w:pPr>
            <w:r>
              <w:rPr>
                <w:rFonts w:ascii="Arial" w:hAnsi="Arial" w:eastAsia="等线" w:cs="Arial"/>
                <w:sz w:val="22"/>
              </w:rPr>
              <w:t>现金账户</w:t>
            </w:r>
          </w:p>
        </w:tc>
        <w:tc>
          <w:tcPr>
            <w:tcW w:w="4875" w:type="dxa"/>
            <w:tcMar>
              <w:top w:w="60" w:type="dxa"/>
              <w:left w:w="120" w:type="dxa"/>
              <w:bottom w:w="30" w:type="dxa"/>
              <w:right w:w="120" w:type="dxa"/>
            </w:tcMar>
          </w:tcPr>
          <w:p w14:paraId="1C17D4D2">
            <w:pPr>
              <w:spacing w:before="120" w:after="120" w:line="288" w:lineRule="auto"/>
              <w:ind w:left="0"/>
              <w:jc w:val="left"/>
            </w:pPr>
            <w:r>
              <w:rPr>
                <w:rFonts w:ascii="Arial" w:hAnsi="Arial" w:eastAsia="等线" w:cs="Arial"/>
                <w:sz w:val="22"/>
              </w:rPr>
              <w:t>证券交易账户的一种，客户需使用自有资金全额支付证券购买款项，不得进行信用交易，若客户在该账户中买入证券后未付款便卖出，可能构成 “自由交易” 违规</w:t>
            </w:r>
          </w:p>
        </w:tc>
      </w:tr>
      <w:tr w14:paraId="035BE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863D978">
            <w:pPr>
              <w:spacing w:before="120" w:after="120" w:line="288" w:lineRule="auto"/>
              <w:ind w:left="0"/>
              <w:jc w:val="left"/>
            </w:pPr>
            <w:r>
              <w:rPr>
                <w:rFonts w:ascii="Arial" w:hAnsi="Arial" w:eastAsia="等线" w:cs="Arial"/>
                <w:sz w:val="22"/>
              </w:rPr>
              <w:t>Margin Account</w:t>
            </w:r>
          </w:p>
        </w:tc>
        <w:tc>
          <w:tcPr>
            <w:tcW w:w="1650" w:type="dxa"/>
            <w:tcMar>
              <w:top w:w="60" w:type="dxa"/>
              <w:left w:w="120" w:type="dxa"/>
              <w:bottom w:w="30" w:type="dxa"/>
              <w:right w:w="120" w:type="dxa"/>
            </w:tcMar>
          </w:tcPr>
          <w:p w14:paraId="0EC46116">
            <w:pPr>
              <w:spacing w:before="120" w:after="120" w:line="288" w:lineRule="auto"/>
              <w:ind w:left="0"/>
              <w:jc w:val="left"/>
            </w:pPr>
            <w:r>
              <w:rPr>
                <w:rFonts w:ascii="Arial" w:hAnsi="Arial" w:eastAsia="等线" w:cs="Arial"/>
                <w:sz w:val="22"/>
              </w:rPr>
              <w:t>保证金账户</w:t>
            </w:r>
          </w:p>
        </w:tc>
        <w:tc>
          <w:tcPr>
            <w:tcW w:w="4875" w:type="dxa"/>
            <w:tcMar>
              <w:top w:w="60" w:type="dxa"/>
              <w:left w:w="120" w:type="dxa"/>
              <w:bottom w:w="30" w:type="dxa"/>
              <w:right w:w="120" w:type="dxa"/>
            </w:tcMar>
          </w:tcPr>
          <w:p w14:paraId="7AB39A4C">
            <w:pPr>
              <w:spacing w:before="120" w:after="120" w:line="288" w:lineRule="auto"/>
              <w:ind w:left="0"/>
              <w:jc w:val="left"/>
            </w:pPr>
            <w:r>
              <w:rPr>
                <w:rFonts w:ascii="Arial" w:hAnsi="Arial" w:eastAsia="等线" w:cs="Arial"/>
                <w:sz w:val="22"/>
              </w:rPr>
              <w:t>客户可向经纪交易商借入资金或证券进行交易的账户，需遵守联邦储备委员会 T 条例（Regulation T）及 FINRA 相关规则，如初始保证金比例通常不低于 50%</w:t>
            </w:r>
          </w:p>
        </w:tc>
      </w:tr>
      <w:tr w14:paraId="2BC67A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06D88712">
            <w:pPr>
              <w:spacing w:before="120" w:after="120" w:line="288" w:lineRule="auto"/>
              <w:ind w:left="0"/>
              <w:jc w:val="left"/>
            </w:pPr>
            <w:r>
              <w:rPr>
                <w:rFonts w:ascii="Arial" w:hAnsi="Arial" w:eastAsia="等线" w:cs="Arial"/>
                <w:sz w:val="22"/>
              </w:rPr>
              <w:t>Regulation T (Reg T)</w:t>
            </w:r>
          </w:p>
        </w:tc>
        <w:tc>
          <w:tcPr>
            <w:tcW w:w="1650" w:type="dxa"/>
            <w:tcMar>
              <w:top w:w="60" w:type="dxa"/>
              <w:left w:w="120" w:type="dxa"/>
              <w:bottom w:w="30" w:type="dxa"/>
              <w:right w:w="120" w:type="dxa"/>
            </w:tcMar>
          </w:tcPr>
          <w:p w14:paraId="0E935A8F">
            <w:pPr>
              <w:spacing w:before="120" w:after="120" w:line="288" w:lineRule="auto"/>
              <w:ind w:left="0"/>
              <w:jc w:val="left"/>
            </w:pPr>
            <w:r>
              <w:rPr>
                <w:rFonts w:ascii="Arial" w:hAnsi="Arial" w:eastAsia="等线" w:cs="Arial"/>
                <w:sz w:val="22"/>
              </w:rPr>
              <w:t>联邦储备委员会 T 条例</w:t>
            </w:r>
          </w:p>
          <w:p w14:paraId="379AB78D">
            <w:pPr>
              <w:spacing w:before="120" w:after="120" w:line="288" w:lineRule="auto"/>
              <w:ind w:left="0"/>
              <w:jc w:val="left"/>
            </w:pPr>
          </w:p>
        </w:tc>
        <w:tc>
          <w:tcPr>
            <w:tcW w:w="4875" w:type="dxa"/>
            <w:tcMar>
              <w:top w:w="60" w:type="dxa"/>
              <w:left w:w="120" w:type="dxa"/>
              <w:bottom w:w="30" w:type="dxa"/>
              <w:right w:w="120" w:type="dxa"/>
            </w:tcMar>
          </w:tcPr>
          <w:p w14:paraId="55B2C0E9">
            <w:pPr>
              <w:spacing w:before="120" w:after="120" w:line="288" w:lineRule="auto"/>
              <w:ind w:left="0"/>
              <w:jc w:val="left"/>
            </w:pPr>
            <w:r>
              <w:rPr>
                <w:rFonts w:ascii="Arial" w:hAnsi="Arial" w:eastAsia="等线" w:cs="Arial"/>
                <w:sz w:val="22"/>
              </w:rPr>
              <w:t>由美国联邦储备委员会制定的信用交易核心规则，规定了保证金账户的初始保证金比例、证券交付与付款期限等，是规范信用交易风险的重要依据。</w:t>
            </w:r>
          </w:p>
        </w:tc>
      </w:tr>
      <w:tr w14:paraId="52DCF3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F73801C">
            <w:pPr>
              <w:spacing w:before="120" w:after="120" w:line="288" w:lineRule="auto"/>
              <w:ind w:left="0"/>
              <w:jc w:val="left"/>
            </w:pPr>
            <w:r>
              <w:rPr>
                <w:rFonts w:ascii="Arial" w:hAnsi="Arial" w:eastAsia="等线" w:cs="Arial"/>
                <w:sz w:val="22"/>
              </w:rPr>
              <w:t>Free-Riding</w:t>
            </w:r>
          </w:p>
        </w:tc>
        <w:tc>
          <w:tcPr>
            <w:tcW w:w="1650" w:type="dxa"/>
            <w:tcMar>
              <w:top w:w="60" w:type="dxa"/>
              <w:left w:w="120" w:type="dxa"/>
              <w:bottom w:w="30" w:type="dxa"/>
              <w:right w:w="120" w:type="dxa"/>
            </w:tcMar>
          </w:tcPr>
          <w:p w14:paraId="460DFA12">
            <w:pPr>
              <w:spacing w:before="120" w:after="120" w:line="288" w:lineRule="auto"/>
              <w:ind w:left="0"/>
              <w:jc w:val="left"/>
            </w:pPr>
            <w:r>
              <w:rPr>
                <w:rFonts w:ascii="Arial" w:hAnsi="Arial" w:eastAsia="等线" w:cs="Arial"/>
                <w:sz w:val="22"/>
              </w:rPr>
              <w:t>自由交易（违规）</w:t>
            </w:r>
          </w:p>
          <w:p w14:paraId="3A78755E">
            <w:pPr>
              <w:spacing w:before="120" w:after="120" w:line="288" w:lineRule="auto"/>
              <w:ind w:left="0"/>
              <w:jc w:val="left"/>
            </w:pPr>
          </w:p>
        </w:tc>
        <w:tc>
          <w:tcPr>
            <w:tcW w:w="4875" w:type="dxa"/>
            <w:tcMar>
              <w:top w:w="60" w:type="dxa"/>
              <w:left w:w="120" w:type="dxa"/>
              <w:bottom w:w="30" w:type="dxa"/>
              <w:right w:w="120" w:type="dxa"/>
            </w:tcMar>
          </w:tcPr>
          <w:p w14:paraId="0781195A">
            <w:pPr>
              <w:spacing w:before="120" w:after="120" w:line="288" w:lineRule="auto"/>
              <w:ind w:left="0"/>
              <w:jc w:val="left"/>
            </w:pPr>
            <w:r>
              <w:rPr>
                <w:rFonts w:ascii="Arial" w:hAnsi="Arial" w:eastAsia="等线" w:cs="Arial"/>
                <w:sz w:val="22"/>
              </w:rPr>
              <w:t>客户在现金账户中买入证券后，未支付购买款项便卖出该证券的违规行为，根据规则，此类违规后客户账户将被限制 90 天，期间需全额付款才能购买证券</w:t>
            </w:r>
          </w:p>
        </w:tc>
      </w:tr>
      <w:tr w14:paraId="0C07D5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5EDF897">
            <w:pPr>
              <w:spacing w:before="120" w:after="120" w:line="288" w:lineRule="auto"/>
              <w:ind w:left="0"/>
              <w:jc w:val="left"/>
            </w:pPr>
            <w:r>
              <w:rPr>
                <w:rFonts w:ascii="Arial" w:hAnsi="Arial" w:eastAsia="等线" w:cs="Arial"/>
                <w:sz w:val="22"/>
              </w:rPr>
              <w:t>Pattern Day Trader (PDT)</w:t>
            </w:r>
          </w:p>
        </w:tc>
        <w:tc>
          <w:tcPr>
            <w:tcW w:w="1650" w:type="dxa"/>
            <w:tcMar>
              <w:top w:w="60" w:type="dxa"/>
              <w:left w:w="120" w:type="dxa"/>
              <w:bottom w:w="30" w:type="dxa"/>
              <w:right w:w="120" w:type="dxa"/>
            </w:tcMar>
          </w:tcPr>
          <w:p w14:paraId="7340687B">
            <w:pPr>
              <w:spacing w:before="120" w:after="120" w:line="288" w:lineRule="auto"/>
              <w:ind w:left="0"/>
              <w:jc w:val="left"/>
            </w:pPr>
            <w:r>
              <w:rPr>
                <w:rFonts w:ascii="Arial" w:hAnsi="Arial" w:eastAsia="等线" w:cs="Arial"/>
                <w:sz w:val="22"/>
              </w:rPr>
              <w:t>模式日交易者</w:t>
            </w:r>
          </w:p>
        </w:tc>
        <w:tc>
          <w:tcPr>
            <w:tcW w:w="4875" w:type="dxa"/>
            <w:tcMar>
              <w:top w:w="60" w:type="dxa"/>
              <w:left w:w="120" w:type="dxa"/>
              <w:bottom w:w="30" w:type="dxa"/>
              <w:right w:w="120" w:type="dxa"/>
            </w:tcMar>
          </w:tcPr>
          <w:p w14:paraId="2988AB15">
            <w:pPr>
              <w:spacing w:before="120" w:after="120" w:line="288" w:lineRule="auto"/>
              <w:ind w:left="0"/>
              <w:jc w:val="left"/>
            </w:pPr>
            <w:r>
              <w:rPr>
                <w:rFonts w:ascii="Arial" w:hAnsi="Arial" w:eastAsia="等线" w:cs="Arial"/>
                <w:sz w:val="22"/>
              </w:rPr>
              <w:t>在 5 个工作日内进行 4 次或以上 “当日冲销” 交易的保证金账户客户，需满足账户净资产不低于 25,000 美元的要求，否则将受到交易限制</w:t>
            </w:r>
          </w:p>
        </w:tc>
      </w:tr>
    </w:tbl>
    <w:p w14:paraId="62A92351">
      <w:pPr>
        <w:spacing w:before="320" w:after="120" w:line="288" w:lineRule="auto"/>
        <w:ind w:left="0"/>
        <w:jc w:val="left"/>
        <w:outlineLvl w:val="1"/>
      </w:pPr>
      <w:bookmarkStart w:id="57" w:name="heading_57"/>
      <w:r>
        <w:rPr>
          <w:rFonts w:ascii="Arial" w:hAnsi="Arial" w:eastAsia="等线" w:cs="Arial"/>
          <w:color w:val="3370FF"/>
          <w:sz w:val="32"/>
        </w:rPr>
        <w:t xml:space="preserve">4.3 </w:t>
      </w:r>
      <w:r>
        <w:rPr>
          <w:rFonts w:ascii="Arial" w:hAnsi="Arial" w:eastAsia="等线" w:cs="Arial"/>
          <w:b/>
          <w:sz w:val="32"/>
        </w:rPr>
        <w:t>禁止行为与违规类型</w:t>
      </w:r>
      <w:bookmarkEnd w:id="5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1650"/>
        <w:gridCol w:w="4875"/>
      </w:tblGrid>
      <w:tr w14:paraId="1706F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2ACA09D1">
            <w:pPr>
              <w:spacing w:before="120" w:after="120" w:line="288" w:lineRule="auto"/>
              <w:ind w:left="0"/>
              <w:jc w:val="left"/>
            </w:pPr>
            <w:r>
              <w:rPr>
                <w:rFonts w:ascii="Arial" w:hAnsi="Arial" w:eastAsia="等线" w:cs="Arial"/>
                <w:b/>
                <w:sz w:val="22"/>
              </w:rPr>
              <w:t>英文</w:t>
            </w:r>
          </w:p>
        </w:tc>
        <w:tc>
          <w:tcPr>
            <w:tcW w:w="1650" w:type="dxa"/>
            <w:tcMar>
              <w:top w:w="60" w:type="dxa"/>
              <w:left w:w="120" w:type="dxa"/>
              <w:bottom w:w="30" w:type="dxa"/>
              <w:right w:w="120" w:type="dxa"/>
            </w:tcMar>
          </w:tcPr>
          <w:p w14:paraId="774835E4">
            <w:pPr>
              <w:spacing w:before="120" w:after="120" w:line="288" w:lineRule="auto"/>
              <w:ind w:left="0"/>
              <w:jc w:val="left"/>
            </w:pPr>
            <w:r>
              <w:rPr>
                <w:rFonts w:ascii="Arial" w:hAnsi="Arial" w:eastAsia="等线" w:cs="Arial"/>
                <w:b/>
                <w:sz w:val="22"/>
              </w:rPr>
              <w:t>中文</w:t>
            </w:r>
          </w:p>
        </w:tc>
        <w:tc>
          <w:tcPr>
            <w:tcW w:w="4875" w:type="dxa"/>
            <w:tcMar>
              <w:top w:w="60" w:type="dxa"/>
              <w:left w:w="120" w:type="dxa"/>
              <w:bottom w:w="30" w:type="dxa"/>
              <w:right w:w="120" w:type="dxa"/>
            </w:tcMar>
          </w:tcPr>
          <w:p w14:paraId="5D88C117">
            <w:pPr>
              <w:spacing w:before="120" w:after="120" w:line="288" w:lineRule="auto"/>
              <w:ind w:left="0"/>
              <w:jc w:val="left"/>
            </w:pPr>
            <w:r>
              <w:rPr>
                <w:rFonts w:ascii="Arial" w:hAnsi="Arial" w:eastAsia="等线" w:cs="Arial"/>
                <w:b/>
                <w:sz w:val="22"/>
              </w:rPr>
              <w:t>释义</w:t>
            </w:r>
          </w:p>
        </w:tc>
      </w:tr>
      <w:tr w14:paraId="2ADDF7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266ECBFA">
            <w:pPr>
              <w:spacing w:before="120" w:after="120" w:line="288" w:lineRule="auto"/>
              <w:ind w:left="0"/>
              <w:jc w:val="left"/>
            </w:pPr>
            <w:r>
              <w:rPr>
                <w:rFonts w:ascii="Arial" w:hAnsi="Arial" w:eastAsia="等线" w:cs="Arial"/>
                <w:sz w:val="22"/>
              </w:rPr>
              <w:t>Insider Trading</w:t>
            </w:r>
          </w:p>
        </w:tc>
        <w:tc>
          <w:tcPr>
            <w:tcW w:w="1650" w:type="dxa"/>
            <w:tcMar>
              <w:top w:w="60" w:type="dxa"/>
              <w:left w:w="120" w:type="dxa"/>
              <w:bottom w:w="30" w:type="dxa"/>
              <w:right w:w="120" w:type="dxa"/>
            </w:tcMar>
          </w:tcPr>
          <w:p w14:paraId="2565365E">
            <w:pPr>
              <w:spacing w:before="120" w:after="120" w:line="288" w:lineRule="auto"/>
              <w:ind w:left="0"/>
              <w:jc w:val="left"/>
            </w:pPr>
            <w:r>
              <w:rPr>
                <w:rFonts w:ascii="Arial" w:hAnsi="Arial" w:eastAsia="等线" w:cs="Arial"/>
                <w:sz w:val="22"/>
              </w:rPr>
              <w:t>内幕交易</w:t>
            </w:r>
          </w:p>
        </w:tc>
        <w:tc>
          <w:tcPr>
            <w:tcW w:w="4875" w:type="dxa"/>
            <w:tcMar>
              <w:top w:w="60" w:type="dxa"/>
              <w:left w:w="120" w:type="dxa"/>
              <w:bottom w:w="30" w:type="dxa"/>
              <w:right w:w="120" w:type="dxa"/>
            </w:tcMar>
          </w:tcPr>
          <w:p w14:paraId="713BB08A">
            <w:pPr>
              <w:spacing w:before="120" w:after="120" w:line="288" w:lineRule="auto"/>
              <w:ind w:left="0"/>
              <w:jc w:val="left"/>
            </w:pPr>
            <w:r>
              <w:rPr>
                <w:rFonts w:ascii="Arial" w:hAnsi="Arial" w:eastAsia="等线" w:cs="Arial"/>
                <w:sz w:val="22"/>
              </w:rPr>
              <w:t>利用 “重大非公开信息”（Material Non-Public Information, MNPI）进行证券交易，或向他人泄露该信息的违法行为，严重破坏市场公平性，需承担刑事和民事责任</w:t>
            </w:r>
          </w:p>
        </w:tc>
      </w:tr>
      <w:tr w14:paraId="1D92EB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40A2A38">
            <w:pPr>
              <w:spacing w:before="120" w:after="120" w:line="288" w:lineRule="auto"/>
              <w:ind w:left="0"/>
              <w:jc w:val="left"/>
            </w:pPr>
            <w:r>
              <w:rPr>
                <w:rFonts w:ascii="Arial" w:hAnsi="Arial" w:eastAsia="等线" w:cs="Arial"/>
                <w:sz w:val="22"/>
              </w:rPr>
              <w:t>Churning</w:t>
            </w:r>
          </w:p>
        </w:tc>
        <w:tc>
          <w:tcPr>
            <w:tcW w:w="1650" w:type="dxa"/>
            <w:tcMar>
              <w:top w:w="60" w:type="dxa"/>
              <w:left w:w="120" w:type="dxa"/>
              <w:bottom w:w="30" w:type="dxa"/>
              <w:right w:w="120" w:type="dxa"/>
            </w:tcMar>
          </w:tcPr>
          <w:p w14:paraId="55728391">
            <w:pPr>
              <w:spacing w:before="120" w:after="120" w:line="288" w:lineRule="auto"/>
              <w:ind w:left="0"/>
              <w:jc w:val="left"/>
            </w:pPr>
            <w:r>
              <w:rPr>
                <w:rFonts w:ascii="Arial" w:hAnsi="Arial" w:eastAsia="等线" w:cs="Arial"/>
                <w:sz w:val="22"/>
              </w:rPr>
              <w:t>过度交易（频繁交易）</w:t>
            </w:r>
          </w:p>
        </w:tc>
        <w:tc>
          <w:tcPr>
            <w:tcW w:w="4875" w:type="dxa"/>
            <w:tcMar>
              <w:top w:w="60" w:type="dxa"/>
              <w:left w:w="120" w:type="dxa"/>
              <w:bottom w:w="30" w:type="dxa"/>
              <w:right w:w="120" w:type="dxa"/>
            </w:tcMar>
          </w:tcPr>
          <w:p w14:paraId="5B687642">
            <w:pPr>
              <w:spacing w:before="120" w:after="120" w:line="288" w:lineRule="auto"/>
              <w:ind w:left="0"/>
              <w:jc w:val="left"/>
            </w:pPr>
            <w:r>
              <w:rPr>
                <w:rFonts w:ascii="Arial" w:hAnsi="Arial" w:eastAsia="等线" w:cs="Arial"/>
                <w:sz w:val="22"/>
              </w:rPr>
              <w:t>注册代表为获取更多佣金，在客户账户中进行与客户投资目标、风险承受能力不符的过量交易，属于侵害客户利益的违规行为。</w:t>
            </w:r>
          </w:p>
        </w:tc>
      </w:tr>
      <w:tr w14:paraId="706E27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DE9FDB7">
            <w:pPr>
              <w:spacing w:before="120" w:after="120" w:line="288" w:lineRule="auto"/>
              <w:ind w:left="0"/>
              <w:jc w:val="left"/>
            </w:pPr>
            <w:r>
              <w:rPr>
                <w:rFonts w:ascii="Arial" w:hAnsi="Arial" w:eastAsia="等线" w:cs="Arial"/>
                <w:sz w:val="22"/>
              </w:rPr>
              <w:t>Front-Running</w:t>
            </w:r>
          </w:p>
        </w:tc>
        <w:tc>
          <w:tcPr>
            <w:tcW w:w="1650" w:type="dxa"/>
            <w:tcMar>
              <w:top w:w="60" w:type="dxa"/>
              <w:left w:w="120" w:type="dxa"/>
              <w:bottom w:w="30" w:type="dxa"/>
              <w:right w:w="120" w:type="dxa"/>
            </w:tcMar>
          </w:tcPr>
          <w:p w14:paraId="21BCC2B5">
            <w:pPr>
              <w:spacing w:before="120" w:after="120" w:line="288" w:lineRule="auto"/>
              <w:ind w:left="0"/>
              <w:jc w:val="left"/>
            </w:pPr>
            <w:r>
              <w:rPr>
                <w:rFonts w:ascii="Arial" w:hAnsi="Arial" w:eastAsia="等线" w:cs="Arial"/>
                <w:sz w:val="22"/>
              </w:rPr>
              <w:t>抢在客户订单前交易</w:t>
            </w:r>
          </w:p>
        </w:tc>
        <w:tc>
          <w:tcPr>
            <w:tcW w:w="4875" w:type="dxa"/>
            <w:tcMar>
              <w:top w:w="60" w:type="dxa"/>
              <w:left w:w="120" w:type="dxa"/>
              <w:bottom w:w="30" w:type="dxa"/>
              <w:right w:w="120" w:type="dxa"/>
            </w:tcMar>
          </w:tcPr>
          <w:p w14:paraId="4A76C55A">
            <w:pPr>
              <w:spacing w:before="120" w:after="120" w:line="288" w:lineRule="auto"/>
              <w:ind w:left="0"/>
              <w:jc w:val="left"/>
            </w:pPr>
            <w:r>
              <w:rPr>
                <w:rFonts w:ascii="Arial" w:hAnsi="Arial" w:eastAsia="等线" w:cs="Arial"/>
                <w:sz w:val="22"/>
              </w:rPr>
              <w:t>从业人员知晓客户即将执行的大额交易指令后，提前为自身或公司账户进行相同证券交易，以获取不正当利益的违规行为，可能导致客户获得更差的交易价格</w:t>
            </w:r>
          </w:p>
        </w:tc>
      </w:tr>
      <w:tr w14:paraId="7DA6CC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E21D216">
            <w:pPr>
              <w:spacing w:before="120" w:after="120" w:line="288" w:lineRule="auto"/>
              <w:ind w:left="0"/>
              <w:jc w:val="left"/>
            </w:pPr>
            <w:r>
              <w:rPr>
                <w:rFonts w:ascii="Arial" w:hAnsi="Arial" w:eastAsia="等线" w:cs="Arial"/>
                <w:sz w:val="22"/>
              </w:rPr>
              <w:t>Pump and Dump</w:t>
            </w:r>
          </w:p>
        </w:tc>
        <w:tc>
          <w:tcPr>
            <w:tcW w:w="1650" w:type="dxa"/>
            <w:tcMar>
              <w:top w:w="60" w:type="dxa"/>
              <w:left w:w="120" w:type="dxa"/>
              <w:bottom w:w="30" w:type="dxa"/>
              <w:right w:w="120" w:type="dxa"/>
            </w:tcMar>
          </w:tcPr>
          <w:p w14:paraId="5A78E3A0">
            <w:pPr>
              <w:spacing w:before="120" w:after="120" w:line="288" w:lineRule="auto"/>
              <w:ind w:left="0"/>
              <w:jc w:val="left"/>
            </w:pPr>
            <w:r>
              <w:rPr>
                <w:rFonts w:ascii="Arial" w:hAnsi="Arial" w:eastAsia="等线" w:cs="Arial"/>
                <w:sz w:val="22"/>
              </w:rPr>
              <w:t>拉高出货</w:t>
            </w:r>
          </w:p>
        </w:tc>
        <w:tc>
          <w:tcPr>
            <w:tcW w:w="4875" w:type="dxa"/>
            <w:tcMar>
              <w:top w:w="60" w:type="dxa"/>
              <w:left w:w="120" w:type="dxa"/>
              <w:bottom w:w="30" w:type="dxa"/>
              <w:right w:w="120" w:type="dxa"/>
            </w:tcMar>
          </w:tcPr>
          <w:p w14:paraId="0686CD71">
            <w:pPr>
              <w:spacing w:before="120" w:after="120" w:line="288" w:lineRule="auto"/>
              <w:ind w:left="0"/>
              <w:jc w:val="left"/>
            </w:pPr>
            <w:r>
              <w:rPr>
                <w:rFonts w:ascii="Arial" w:hAnsi="Arial" w:eastAsia="等线" w:cs="Arial"/>
                <w:sz w:val="22"/>
              </w:rPr>
              <w:t>一种市场操纵行为，操纵者通过虚假宣传（如发送不实邮件、发布虚假报告）抬高某证券价格，待普通投资者跟风买入后，卖出自身持有的该证券获利，随后股价大幅下跌</w:t>
            </w:r>
          </w:p>
        </w:tc>
      </w:tr>
      <w:tr w14:paraId="026256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EF0D6DA">
            <w:pPr>
              <w:spacing w:before="120" w:after="120" w:line="288" w:lineRule="auto"/>
              <w:ind w:left="0"/>
              <w:jc w:val="left"/>
            </w:pPr>
            <w:r>
              <w:rPr>
                <w:rFonts w:ascii="Arial" w:hAnsi="Arial" w:eastAsia="等线" w:cs="Arial"/>
                <w:sz w:val="22"/>
              </w:rPr>
              <w:t>Commingling</w:t>
            </w:r>
          </w:p>
        </w:tc>
        <w:tc>
          <w:tcPr>
            <w:tcW w:w="1650" w:type="dxa"/>
            <w:tcMar>
              <w:top w:w="60" w:type="dxa"/>
              <w:left w:w="120" w:type="dxa"/>
              <w:bottom w:w="30" w:type="dxa"/>
              <w:right w:w="120" w:type="dxa"/>
            </w:tcMar>
          </w:tcPr>
          <w:p w14:paraId="3BBFB0EC">
            <w:pPr>
              <w:spacing w:before="120" w:after="120" w:line="288" w:lineRule="auto"/>
              <w:ind w:left="0"/>
              <w:jc w:val="left"/>
            </w:pPr>
            <w:r>
              <w:rPr>
                <w:rFonts w:ascii="Arial" w:hAnsi="Arial" w:eastAsia="等线" w:cs="Arial"/>
                <w:sz w:val="22"/>
              </w:rPr>
              <w:t>资金 / 证券混合</w:t>
            </w:r>
          </w:p>
        </w:tc>
        <w:tc>
          <w:tcPr>
            <w:tcW w:w="4875" w:type="dxa"/>
            <w:tcMar>
              <w:top w:w="60" w:type="dxa"/>
              <w:left w:w="120" w:type="dxa"/>
              <w:bottom w:w="30" w:type="dxa"/>
              <w:right w:w="120" w:type="dxa"/>
            </w:tcMar>
          </w:tcPr>
          <w:p w14:paraId="4683A1EB">
            <w:pPr>
              <w:spacing w:before="120" w:after="120" w:line="288" w:lineRule="auto"/>
              <w:ind w:left="0"/>
              <w:jc w:val="left"/>
            </w:pPr>
            <w:r>
              <w:rPr>
                <w:rFonts w:ascii="Arial" w:hAnsi="Arial" w:eastAsia="等线" w:cs="Arial"/>
                <w:sz w:val="22"/>
              </w:rPr>
              <w:t>将客户资金或证券与经纪交易商自有资金或证券混合存放、使用的违规行为，如将客户现金存入公司自有账户，违反了客户资产隔离保护的规则</w:t>
            </w:r>
          </w:p>
        </w:tc>
      </w:tr>
      <w:tr w14:paraId="495D8E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A692881">
            <w:pPr>
              <w:spacing w:before="120" w:after="120" w:line="288" w:lineRule="auto"/>
              <w:ind w:left="0"/>
              <w:jc w:val="left"/>
            </w:pPr>
            <w:r>
              <w:rPr>
                <w:rFonts w:ascii="Arial" w:hAnsi="Arial" w:eastAsia="等线" w:cs="Arial"/>
                <w:sz w:val="22"/>
              </w:rPr>
              <w:t>Wash Sale</w:t>
            </w:r>
          </w:p>
          <w:p w14:paraId="17376012">
            <w:pPr>
              <w:spacing w:before="120" w:after="120" w:line="288" w:lineRule="auto"/>
              <w:ind w:left="0"/>
              <w:jc w:val="left"/>
            </w:pPr>
          </w:p>
        </w:tc>
        <w:tc>
          <w:tcPr>
            <w:tcW w:w="1650" w:type="dxa"/>
            <w:tcMar>
              <w:top w:w="60" w:type="dxa"/>
              <w:left w:w="120" w:type="dxa"/>
              <w:bottom w:w="30" w:type="dxa"/>
              <w:right w:w="120" w:type="dxa"/>
            </w:tcMar>
          </w:tcPr>
          <w:p w14:paraId="42050A83">
            <w:pPr>
              <w:spacing w:before="120" w:after="120" w:line="288" w:lineRule="auto"/>
              <w:ind w:left="0"/>
              <w:jc w:val="left"/>
            </w:pPr>
            <w:r>
              <w:rPr>
                <w:rFonts w:ascii="Arial" w:hAnsi="Arial" w:eastAsia="等线" w:cs="Arial"/>
                <w:sz w:val="22"/>
              </w:rPr>
              <w:t>洗售</w:t>
            </w:r>
          </w:p>
        </w:tc>
        <w:tc>
          <w:tcPr>
            <w:tcW w:w="4875" w:type="dxa"/>
            <w:tcMar>
              <w:top w:w="60" w:type="dxa"/>
              <w:left w:w="120" w:type="dxa"/>
              <w:bottom w:w="30" w:type="dxa"/>
              <w:right w:w="120" w:type="dxa"/>
            </w:tcMar>
          </w:tcPr>
          <w:p w14:paraId="297D5E6B">
            <w:pPr>
              <w:spacing w:before="120" w:after="120" w:line="288" w:lineRule="auto"/>
              <w:ind w:left="0"/>
              <w:jc w:val="left"/>
            </w:pPr>
            <w:r>
              <w:rPr>
                <w:rFonts w:ascii="Arial" w:hAnsi="Arial" w:eastAsia="等线" w:cs="Arial"/>
                <w:sz w:val="22"/>
              </w:rPr>
              <w:t>在美国税法中，禁止投资者在出售证券产生亏损后的30天内（即T-30至T+30，共61天的窗口期）购买“实质上相同”的证券时，申报该亏损。</w:t>
            </w:r>
          </w:p>
        </w:tc>
      </w:tr>
      <w:tr w14:paraId="7B9D84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4817B7F">
            <w:pPr>
              <w:spacing w:before="120" w:after="120" w:line="288" w:lineRule="auto"/>
              <w:ind w:left="0"/>
              <w:jc w:val="left"/>
            </w:pPr>
            <w:r>
              <w:rPr>
                <w:rFonts w:ascii="Arial" w:hAnsi="Arial" w:eastAsia="等线" w:cs="Arial"/>
                <w:sz w:val="22"/>
              </w:rPr>
              <w:t>Freeriding</w:t>
            </w:r>
          </w:p>
        </w:tc>
        <w:tc>
          <w:tcPr>
            <w:tcW w:w="1650" w:type="dxa"/>
            <w:tcMar>
              <w:top w:w="60" w:type="dxa"/>
              <w:left w:w="120" w:type="dxa"/>
              <w:bottom w:w="30" w:type="dxa"/>
              <w:right w:w="120" w:type="dxa"/>
            </w:tcMar>
          </w:tcPr>
          <w:p w14:paraId="237F25E3">
            <w:pPr>
              <w:spacing w:before="120" w:after="120" w:line="288" w:lineRule="auto"/>
              <w:ind w:left="0"/>
              <w:jc w:val="left"/>
            </w:pPr>
            <w:r>
              <w:rPr>
                <w:rFonts w:ascii="Arial" w:hAnsi="Arial" w:eastAsia="等线" w:cs="Arial"/>
                <w:sz w:val="22"/>
              </w:rPr>
              <w:t>免费搭车</w:t>
            </w:r>
          </w:p>
        </w:tc>
        <w:tc>
          <w:tcPr>
            <w:tcW w:w="4875" w:type="dxa"/>
            <w:tcMar>
              <w:top w:w="60" w:type="dxa"/>
              <w:left w:w="120" w:type="dxa"/>
              <w:bottom w:w="30" w:type="dxa"/>
              <w:right w:w="120" w:type="dxa"/>
            </w:tcMar>
          </w:tcPr>
          <w:p w14:paraId="72EB8EAC">
            <w:pPr>
              <w:spacing w:before="120" w:after="120" w:line="288" w:lineRule="auto"/>
              <w:ind w:left="0"/>
              <w:jc w:val="left"/>
            </w:pPr>
            <w:r>
              <w:rPr>
                <w:rFonts w:ascii="Arial" w:hAnsi="Arial" w:eastAsia="等线" w:cs="Arial"/>
                <w:sz w:val="22"/>
              </w:rPr>
              <w:t>免费搭车是一种违反美国SEC《T条例》的禁止性操作。它指的是在未支付购买价款的情况下，通过快速买卖证券来获利。</w:t>
            </w:r>
          </w:p>
          <w:p w14:paraId="05D61CA8">
            <w:pPr>
              <w:spacing w:before="120" w:after="120" w:line="288" w:lineRule="auto"/>
              <w:ind w:left="0"/>
              <w:jc w:val="left"/>
            </w:pPr>
          </w:p>
          <w:p w14:paraId="18E1FAE3">
            <w:pPr>
              <w:spacing w:before="120" w:after="120" w:line="288" w:lineRule="auto"/>
              <w:ind w:left="0"/>
              <w:jc w:val="left"/>
            </w:pPr>
            <w:r>
              <w:rPr>
                <w:rFonts w:ascii="Arial" w:hAnsi="Arial" w:eastAsia="等线" w:cs="Arial"/>
                <w:sz w:val="22"/>
              </w:rPr>
              <w:t>典型操作模式：</w:t>
            </w:r>
          </w:p>
          <w:p w14:paraId="16959F25">
            <w:pPr>
              <w:numPr>
                <w:ilvl w:val="0"/>
                <w:numId w:val="233"/>
              </w:numPr>
              <w:spacing w:before="120" w:after="120" w:line="288" w:lineRule="auto"/>
              <w:ind w:left="0"/>
              <w:jc w:val="left"/>
            </w:pPr>
            <w:r>
              <w:rPr>
                <w:rFonts w:ascii="Arial" w:hAnsi="Arial" w:eastAsia="等线" w:cs="Arial"/>
                <w:sz w:val="22"/>
              </w:rPr>
              <w:t>投资者在一个交易日（T日）买入证券。</w:t>
            </w:r>
          </w:p>
          <w:p w14:paraId="74092626">
            <w:pPr>
              <w:numPr>
                <w:ilvl w:val="0"/>
                <w:numId w:val="234"/>
              </w:numPr>
              <w:spacing w:before="120" w:after="120" w:line="288" w:lineRule="auto"/>
              <w:ind w:left="0"/>
              <w:jc w:val="left"/>
            </w:pPr>
            <w:r>
              <w:rPr>
                <w:rFonts w:ascii="Arial" w:hAnsi="Arial" w:eastAsia="等线" w:cs="Arial"/>
                <w:sz w:val="22"/>
              </w:rPr>
              <w:t>在结算日（T+2）之前，即在需要为购买支付款项之前，将该证券卖出。</w:t>
            </w:r>
          </w:p>
          <w:p w14:paraId="5923FECE">
            <w:pPr>
              <w:numPr>
                <w:ilvl w:val="0"/>
                <w:numId w:val="235"/>
              </w:numPr>
              <w:spacing w:before="120" w:after="120" w:line="288" w:lineRule="auto"/>
              <w:ind w:left="0"/>
              <w:jc w:val="left"/>
            </w:pPr>
            <w:r>
              <w:rPr>
                <w:rFonts w:ascii="Arial" w:hAnsi="Arial" w:eastAsia="等线" w:cs="Arial"/>
                <w:sz w:val="22"/>
              </w:rPr>
              <w:t>投资者用卖出证券获得的款项来支付最初的购买成本，从而在没有投入任何自有资金的情况下赚取利润（或承担亏损）。</w:t>
            </w:r>
          </w:p>
        </w:tc>
      </w:tr>
      <w:tr w14:paraId="025D2F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87351F3">
            <w:pPr>
              <w:spacing w:before="120" w:after="120" w:line="288" w:lineRule="auto"/>
              <w:ind w:left="0"/>
              <w:jc w:val="left"/>
            </w:pPr>
            <w:r>
              <w:rPr>
                <w:rFonts w:ascii="Arial" w:hAnsi="Arial" w:eastAsia="等线" w:cs="Arial"/>
                <w:sz w:val="22"/>
              </w:rPr>
              <w:t>Selling away</w:t>
            </w:r>
          </w:p>
        </w:tc>
        <w:tc>
          <w:tcPr>
            <w:tcW w:w="1650" w:type="dxa"/>
            <w:tcMar>
              <w:top w:w="60" w:type="dxa"/>
              <w:left w:w="120" w:type="dxa"/>
              <w:bottom w:w="30" w:type="dxa"/>
              <w:right w:w="120" w:type="dxa"/>
            </w:tcMar>
          </w:tcPr>
          <w:p w14:paraId="1F1B413E">
            <w:pPr>
              <w:spacing w:before="120" w:after="120" w:line="288" w:lineRule="auto"/>
              <w:ind w:left="0"/>
              <w:jc w:val="left"/>
            </w:pPr>
            <w:r>
              <w:rPr>
                <w:rFonts w:ascii="Arial" w:hAnsi="Arial" w:eastAsia="等线" w:cs="Arial"/>
                <w:sz w:val="22"/>
              </w:rPr>
              <w:t>违规外部销售</w:t>
            </w:r>
          </w:p>
        </w:tc>
        <w:tc>
          <w:tcPr>
            <w:tcW w:w="4875" w:type="dxa"/>
            <w:tcMar>
              <w:top w:w="60" w:type="dxa"/>
              <w:left w:w="120" w:type="dxa"/>
              <w:bottom w:w="30" w:type="dxa"/>
              <w:right w:w="120" w:type="dxa"/>
            </w:tcMar>
          </w:tcPr>
          <w:p w14:paraId="15B792DB">
            <w:pPr>
              <w:spacing w:before="120" w:after="120" w:line="288" w:lineRule="auto"/>
              <w:ind w:left="0"/>
              <w:jc w:val="left"/>
            </w:pPr>
            <w:r>
              <w:rPr>
                <w:rFonts w:ascii="Arial" w:hAnsi="Arial" w:eastAsia="等线" w:cs="Arial"/>
                <w:sz w:val="22"/>
              </w:rPr>
              <w:t>指注册代表在未通知并获得其所属券商批准的情况下，向客户推销和销售该券商产品清单之外的证券。</w:t>
            </w:r>
          </w:p>
        </w:tc>
      </w:tr>
      <w:tr w14:paraId="523A64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0099982">
            <w:pPr>
              <w:spacing w:before="120" w:after="120" w:line="288" w:lineRule="auto"/>
              <w:ind w:left="0"/>
              <w:jc w:val="left"/>
            </w:pPr>
            <w:r>
              <w:rPr>
                <w:rFonts w:ascii="Arial" w:hAnsi="Arial" w:eastAsia="等线" w:cs="Arial"/>
                <w:sz w:val="22"/>
              </w:rPr>
              <w:t>Interpositioning</w:t>
            </w:r>
          </w:p>
        </w:tc>
        <w:tc>
          <w:tcPr>
            <w:tcW w:w="1650" w:type="dxa"/>
            <w:tcMar>
              <w:top w:w="60" w:type="dxa"/>
              <w:left w:w="120" w:type="dxa"/>
              <w:bottom w:w="30" w:type="dxa"/>
              <w:right w:w="120" w:type="dxa"/>
            </w:tcMar>
          </w:tcPr>
          <w:p w14:paraId="7C8F7D42">
            <w:pPr>
              <w:spacing w:before="120" w:after="120" w:line="288" w:lineRule="auto"/>
              <w:ind w:left="0"/>
              <w:jc w:val="left"/>
            </w:pPr>
            <w:r>
              <w:rPr>
                <w:rFonts w:ascii="Arial" w:hAnsi="Arial" w:eastAsia="等线" w:cs="Arial"/>
                <w:sz w:val="22"/>
              </w:rPr>
              <w:t>中间介入</w:t>
            </w:r>
          </w:p>
        </w:tc>
        <w:tc>
          <w:tcPr>
            <w:tcW w:w="4875" w:type="dxa"/>
            <w:tcMar>
              <w:top w:w="60" w:type="dxa"/>
              <w:left w:w="120" w:type="dxa"/>
              <w:bottom w:w="30" w:type="dxa"/>
              <w:right w:w="120" w:type="dxa"/>
            </w:tcMar>
          </w:tcPr>
          <w:p w14:paraId="41158BFE">
            <w:pPr>
              <w:spacing w:before="120" w:after="120" w:line="288" w:lineRule="auto"/>
              <w:ind w:left="0"/>
              <w:jc w:val="left"/>
            </w:pPr>
            <w:r>
              <w:rPr>
                <w:rFonts w:ascii="Arial" w:hAnsi="Arial" w:eastAsia="等线" w:cs="Arial"/>
                <w:sz w:val="22"/>
              </w:rPr>
              <w:t>指证券经纪商在明知可以直达最优交易对手的情况下，毫无必要地在客户与最终对手方之间插入一个中间经纪商的行为。</w:t>
            </w:r>
            <w:r>
              <w:rPr>
                <w:rFonts w:ascii="Arial" w:hAnsi="Arial" w:eastAsia="等线" w:cs="Arial"/>
                <w:b/>
                <w:sz w:val="22"/>
              </w:rPr>
              <w:t>目的是让插入的中间商和自己额外分走一层佣金或差价。</w:t>
            </w:r>
          </w:p>
        </w:tc>
      </w:tr>
    </w:tbl>
    <w:p w14:paraId="605F122D">
      <w:pPr>
        <w:spacing w:before="120" w:after="120" w:line="288" w:lineRule="auto"/>
        <w:ind w:left="0"/>
        <w:jc w:val="left"/>
      </w:pPr>
    </w:p>
    <w:p w14:paraId="6A2C5C12">
      <w:pPr>
        <w:spacing w:before="320" w:after="120" w:line="288" w:lineRule="auto"/>
        <w:ind w:left="0"/>
        <w:jc w:val="left"/>
        <w:outlineLvl w:val="1"/>
      </w:pPr>
      <w:bookmarkStart w:id="58" w:name="heading_58"/>
      <w:r>
        <w:rPr>
          <w:rFonts w:ascii="Arial" w:hAnsi="Arial" w:eastAsia="等线" w:cs="Arial"/>
          <w:color w:val="3370FF"/>
          <w:sz w:val="32"/>
        </w:rPr>
        <w:t xml:space="preserve">4.4 </w:t>
      </w:r>
      <w:r>
        <w:rPr>
          <w:rFonts w:ascii="Arial" w:hAnsi="Arial" w:eastAsia="等线" w:cs="Arial"/>
          <w:b/>
          <w:sz w:val="32"/>
        </w:rPr>
        <w:t>记录保存与信息披露</w:t>
      </w:r>
      <w:bookmarkEnd w:id="5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1020"/>
        <w:gridCol w:w="5520"/>
      </w:tblGrid>
      <w:tr w14:paraId="174518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6B57DA2">
            <w:pPr>
              <w:spacing w:before="120" w:after="120" w:line="288" w:lineRule="auto"/>
              <w:ind w:left="0"/>
              <w:jc w:val="left"/>
            </w:pPr>
            <w:r>
              <w:rPr>
                <w:rFonts w:ascii="Arial" w:hAnsi="Arial" w:eastAsia="等线" w:cs="Arial"/>
                <w:b/>
                <w:sz w:val="22"/>
              </w:rPr>
              <w:t>英文</w:t>
            </w:r>
          </w:p>
        </w:tc>
        <w:tc>
          <w:tcPr>
            <w:tcW w:w="1020" w:type="dxa"/>
            <w:tcMar>
              <w:top w:w="60" w:type="dxa"/>
              <w:left w:w="120" w:type="dxa"/>
              <w:bottom w:w="30" w:type="dxa"/>
              <w:right w:w="120" w:type="dxa"/>
            </w:tcMar>
          </w:tcPr>
          <w:p w14:paraId="2A28DAD6">
            <w:pPr>
              <w:spacing w:before="120" w:after="120" w:line="288" w:lineRule="auto"/>
              <w:ind w:left="0"/>
              <w:jc w:val="left"/>
            </w:pPr>
            <w:r>
              <w:rPr>
                <w:rFonts w:ascii="Arial" w:hAnsi="Arial" w:eastAsia="等线" w:cs="Arial"/>
                <w:b/>
                <w:sz w:val="22"/>
              </w:rPr>
              <w:t>中文</w:t>
            </w:r>
          </w:p>
        </w:tc>
        <w:tc>
          <w:tcPr>
            <w:tcW w:w="5520" w:type="dxa"/>
            <w:tcMar>
              <w:top w:w="60" w:type="dxa"/>
              <w:left w:w="120" w:type="dxa"/>
              <w:bottom w:w="30" w:type="dxa"/>
              <w:right w:w="120" w:type="dxa"/>
            </w:tcMar>
          </w:tcPr>
          <w:p w14:paraId="6B4A2313">
            <w:pPr>
              <w:spacing w:before="120" w:after="120" w:line="288" w:lineRule="auto"/>
              <w:ind w:left="0"/>
              <w:jc w:val="left"/>
            </w:pPr>
            <w:r>
              <w:rPr>
                <w:rFonts w:ascii="Arial" w:hAnsi="Arial" w:eastAsia="等线" w:cs="Arial"/>
                <w:b/>
                <w:sz w:val="22"/>
              </w:rPr>
              <w:t>释义</w:t>
            </w:r>
          </w:p>
        </w:tc>
      </w:tr>
      <w:tr w14:paraId="0F630D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751E40B">
            <w:pPr>
              <w:spacing w:before="120" w:after="120" w:line="288" w:lineRule="auto"/>
              <w:ind w:left="0"/>
              <w:jc w:val="left"/>
            </w:pPr>
            <w:r>
              <w:rPr>
                <w:rFonts w:ascii="Arial" w:hAnsi="Arial" w:eastAsia="等线" w:cs="Arial"/>
                <w:sz w:val="22"/>
              </w:rPr>
              <w:t>Books and Records</w:t>
            </w:r>
          </w:p>
        </w:tc>
        <w:tc>
          <w:tcPr>
            <w:tcW w:w="1020" w:type="dxa"/>
            <w:tcMar>
              <w:top w:w="60" w:type="dxa"/>
              <w:left w:w="120" w:type="dxa"/>
              <w:bottom w:w="30" w:type="dxa"/>
              <w:right w:w="120" w:type="dxa"/>
            </w:tcMar>
          </w:tcPr>
          <w:p w14:paraId="5EA9D628">
            <w:pPr>
              <w:spacing w:before="120" w:after="120" w:line="288" w:lineRule="auto"/>
              <w:ind w:left="0"/>
              <w:jc w:val="left"/>
            </w:pPr>
            <w:r>
              <w:rPr>
                <w:rFonts w:ascii="Arial" w:hAnsi="Arial" w:eastAsia="等线" w:cs="Arial"/>
                <w:sz w:val="22"/>
              </w:rPr>
              <w:t>账簿记录</w:t>
            </w:r>
          </w:p>
        </w:tc>
        <w:tc>
          <w:tcPr>
            <w:tcW w:w="5520" w:type="dxa"/>
            <w:tcMar>
              <w:top w:w="60" w:type="dxa"/>
              <w:left w:w="120" w:type="dxa"/>
              <w:bottom w:w="30" w:type="dxa"/>
              <w:right w:w="120" w:type="dxa"/>
            </w:tcMar>
          </w:tcPr>
          <w:p w14:paraId="21507527">
            <w:pPr>
              <w:spacing w:before="120" w:after="120" w:line="288" w:lineRule="auto"/>
              <w:ind w:left="0"/>
              <w:jc w:val="left"/>
            </w:pPr>
            <w:r>
              <w:rPr>
                <w:rFonts w:ascii="Arial" w:hAnsi="Arial" w:eastAsia="等线" w:cs="Arial"/>
                <w:sz w:val="22"/>
              </w:rPr>
              <w:t>经纪交易商需按 SEC Rule 17a-3、17a-4 等规则保存的各类记录，包括财务记录、交易记录、客户账户记录、通信记录等，保存期限通常为 6 年，部分关键记录需永久保存。</w:t>
            </w:r>
          </w:p>
          <w:p w14:paraId="6FD9DB12">
            <w:pPr>
              <w:spacing w:before="120" w:after="120" w:line="288" w:lineRule="auto"/>
              <w:ind w:left="0"/>
              <w:jc w:val="left"/>
            </w:pPr>
            <w:r>
              <w:rPr>
                <w:rFonts w:ascii="Arial" w:hAnsi="Arial" w:eastAsia="等线" w:cs="Arial"/>
                <w:sz w:val="22"/>
              </w:rPr>
              <w:t>Rule 17a-3：要求经纪商在账户开立后 30 天内首次发送账户信息供客户核实，并在此后至少3 年发送一次账户信息确认（Verification of Account Information）。</w:t>
            </w:r>
          </w:p>
        </w:tc>
      </w:tr>
      <w:tr w14:paraId="6929A3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7C387C3C">
            <w:pPr>
              <w:spacing w:before="120" w:after="120" w:line="288" w:lineRule="auto"/>
              <w:ind w:left="0"/>
              <w:jc w:val="left"/>
            </w:pPr>
            <w:r>
              <w:rPr>
                <w:rFonts w:ascii="Arial" w:hAnsi="Arial" w:eastAsia="等线" w:cs="Arial"/>
                <w:sz w:val="22"/>
              </w:rPr>
              <w:t>Regulation S-P (Reg S-P)</w:t>
            </w:r>
          </w:p>
        </w:tc>
        <w:tc>
          <w:tcPr>
            <w:tcW w:w="1020" w:type="dxa"/>
            <w:tcMar>
              <w:top w:w="60" w:type="dxa"/>
              <w:left w:w="120" w:type="dxa"/>
              <w:bottom w:w="30" w:type="dxa"/>
              <w:right w:w="120" w:type="dxa"/>
            </w:tcMar>
          </w:tcPr>
          <w:p w14:paraId="197D8E0C">
            <w:pPr>
              <w:spacing w:before="120" w:after="120" w:line="288" w:lineRule="auto"/>
              <w:ind w:left="0"/>
              <w:jc w:val="left"/>
            </w:pPr>
            <w:r>
              <w:rPr>
                <w:rFonts w:ascii="Arial" w:hAnsi="Arial" w:eastAsia="等线" w:cs="Arial"/>
                <w:sz w:val="22"/>
              </w:rPr>
              <w:t>S-P 条例</w:t>
            </w:r>
          </w:p>
        </w:tc>
        <w:tc>
          <w:tcPr>
            <w:tcW w:w="5520" w:type="dxa"/>
            <w:tcMar>
              <w:top w:w="60" w:type="dxa"/>
              <w:left w:w="120" w:type="dxa"/>
              <w:bottom w:w="30" w:type="dxa"/>
              <w:right w:w="120" w:type="dxa"/>
            </w:tcMar>
          </w:tcPr>
          <w:p w14:paraId="16238B3E">
            <w:pPr>
              <w:spacing w:before="120" w:after="120" w:line="288" w:lineRule="auto"/>
              <w:ind w:left="0"/>
              <w:jc w:val="left"/>
            </w:pPr>
            <w:r>
              <w:rPr>
                <w:rFonts w:ascii="Arial" w:hAnsi="Arial" w:eastAsia="等线" w:cs="Arial"/>
                <w:sz w:val="22"/>
              </w:rPr>
              <w:t>由 SEC 制定的客户隐私保护规则，要求金融机构（含经纪交易商）向客户告知隐私政策，限制客户非公开个人信息（Non-Public Personal Information, NPI）的共享与使用，保护客户信息安全</w:t>
            </w:r>
          </w:p>
        </w:tc>
      </w:tr>
      <w:tr w14:paraId="432D7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6C3D118">
            <w:pPr>
              <w:spacing w:before="120" w:after="120" w:line="288" w:lineRule="auto"/>
              <w:ind w:left="0"/>
              <w:jc w:val="left"/>
            </w:pPr>
            <w:r>
              <w:rPr>
                <w:rFonts w:ascii="Arial" w:hAnsi="Arial" w:eastAsia="等线" w:cs="Arial"/>
                <w:sz w:val="22"/>
              </w:rPr>
              <w:t>Prospectus</w:t>
            </w:r>
          </w:p>
        </w:tc>
        <w:tc>
          <w:tcPr>
            <w:tcW w:w="1020" w:type="dxa"/>
            <w:tcMar>
              <w:top w:w="60" w:type="dxa"/>
              <w:left w:w="120" w:type="dxa"/>
              <w:bottom w:w="30" w:type="dxa"/>
              <w:right w:w="120" w:type="dxa"/>
            </w:tcMar>
          </w:tcPr>
          <w:p w14:paraId="5BCDCC34">
            <w:pPr>
              <w:spacing w:before="120" w:after="120" w:line="288" w:lineRule="auto"/>
              <w:ind w:left="0"/>
              <w:jc w:val="left"/>
            </w:pPr>
            <w:r>
              <w:rPr>
                <w:rFonts w:ascii="Arial" w:hAnsi="Arial" w:eastAsia="等线" w:cs="Arial"/>
                <w:sz w:val="22"/>
              </w:rPr>
              <w:t>招股说明书</w:t>
            </w:r>
          </w:p>
        </w:tc>
        <w:tc>
          <w:tcPr>
            <w:tcW w:w="5520" w:type="dxa"/>
            <w:tcMar>
              <w:top w:w="60" w:type="dxa"/>
              <w:left w:w="120" w:type="dxa"/>
              <w:bottom w:w="30" w:type="dxa"/>
              <w:right w:w="120" w:type="dxa"/>
            </w:tcMar>
          </w:tcPr>
          <w:p w14:paraId="4A01AF89">
            <w:pPr>
              <w:spacing w:before="120" w:after="120" w:line="288" w:lineRule="auto"/>
              <w:ind w:left="0"/>
              <w:jc w:val="left"/>
            </w:pPr>
            <w:r>
              <w:rPr>
                <w:rFonts w:ascii="Arial" w:hAnsi="Arial" w:eastAsia="等线" w:cs="Arial"/>
                <w:sz w:val="22"/>
              </w:rPr>
              <w:t>发行人在公开发行证券时向投资者提供的法定披露文件，需包含公司财务状况、业务模式、发行条款、风险因素等核心信息，是投资者了解发行证券并做出投资决策的重要依据</w:t>
            </w:r>
          </w:p>
        </w:tc>
      </w:tr>
      <w:tr w14:paraId="3B4674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7DE7BD26">
            <w:pPr>
              <w:spacing w:before="120" w:after="120" w:line="288" w:lineRule="auto"/>
              <w:ind w:left="0"/>
              <w:jc w:val="left"/>
            </w:pPr>
            <w:r>
              <w:rPr>
                <w:rFonts w:ascii="Arial" w:hAnsi="Arial" w:eastAsia="等线" w:cs="Arial"/>
                <w:sz w:val="22"/>
              </w:rPr>
              <w:t>Disclosure</w:t>
            </w:r>
          </w:p>
        </w:tc>
        <w:tc>
          <w:tcPr>
            <w:tcW w:w="1020" w:type="dxa"/>
            <w:tcMar>
              <w:top w:w="60" w:type="dxa"/>
              <w:left w:w="120" w:type="dxa"/>
              <w:bottom w:w="30" w:type="dxa"/>
              <w:right w:w="120" w:type="dxa"/>
            </w:tcMar>
          </w:tcPr>
          <w:p w14:paraId="2633130F">
            <w:pPr>
              <w:spacing w:before="120" w:after="120" w:line="288" w:lineRule="auto"/>
              <w:ind w:left="0"/>
              <w:jc w:val="left"/>
            </w:pPr>
            <w:r>
              <w:rPr>
                <w:rFonts w:ascii="Arial" w:hAnsi="Arial" w:eastAsia="等线" w:cs="Arial"/>
                <w:sz w:val="22"/>
              </w:rPr>
              <w:t>信息披露</w:t>
            </w:r>
          </w:p>
        </w:tc>
        <w:tc>
          <w:tcPr>
            <w:tcW w:w="5520" w:type="dxa"/>
            <w:tcMar>
              <w:top w:w="60" w:type="dxa"/>
              <w:left w:w="120" w:type="dxa"/>
              <w:bottom w:w="30" w:type="dxa"/>
              <w:right w:w="120" w:type="dxa"/>
            </w:tcMar>
          </w:tcPr>
          <w:p w14:paraId="1AFB1D08">
            <w:pPr>
              <w:spacing w:before="120" w:after="120" w:line="288" w:lineRule="auto"/>
              <w:ind w:left="0"/>
              <w:jc w:val="left"/>
            </w:pPr>
            <w:r>
              <w:rPr>
                <w:rFonts w:ascii="Arial" w:hAnsi="Arial" w:eastAsia="等线" w:cs="Arial"/>
                <w:sz w:val="22"/>
              </w:rPr>
              <w:t>证券市场的核心原则之一，要求发行人、经纪交易商等市场参与主体向投资者充分、准确、及时地披露与投资决策相关的信息，不得隐瞒或误导，以保障市场透明度</w:t>
            </w:r>
          </w:p>
        </w:tc>
      </w:tr>
    </w:tbl>
    <w:p w14:paraId="275A5FFA">
      <w:pPr>
        <w:spacing w:before="320" w:after="120" w:line="288" w:lineRule="auto"/>
        <w:ind w:left="0"/>
        <w:jc w:val="left"/>
        <w:outlineLvl w:val="1"/>
      </w:pPr>
      <w:bookmarkStart w:id="59" w:name="heading_59"/>
      <w:r>
        <w:rPr>
          <w:rFonts w:ascii="Arial" w:hAnsi="Arial" w:eastAsia="等线" w:cs="Arial"/>
          <w:color w:val="3370FF"/>
          <w:sz w:val="32"/>
        </w:rPr>
        <w:t xml:space="preserve">4.5 </w:t>
      </w:r>
      <w:r>
        <w:rPr>
          <w:rFonts w:ascii="Arial" w:hAnsi="Arial" w:eastAsia="等线" w:cs="Arial"/>
          <w:b/>
          <w:sz w:val="32"/>
        </w:rPr>
        <w:t>反洗钱与客户身份识别</w:t>
      </w:r>
      <w:bookmarkEnd w:id="5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1020"/>
        <w:gridCol w:w="5520"/>
      </w:tblGrid>
      <w:tr w14:paraId="2A8A5C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EFB7475">
            <w:pPr>
              <w:spacing w:before="120" w:after="120" w:line="288" w:lineRule="auto"/>
              <w:ind w:left="0"/>
              <w:jc w:val="left"/>
            </w:pPr>
            <w:r>
              <w:rPr>
                <w:rFonts w:ascii="Arial" w:hAnsi="Arial" w:eastAsia="等线" w:cs="Arial"/>
                <w:b/>
                <w:sz w:val="22"/>
              </w:rPr>
              <w:t>英文</w:t>
            </w:r>
          </w:p>
        </w:tc>
        <w:tc>
          <w:tcPr>
            <w:tcW w:w="1020" w:type="dxa"/>
            <w:tcMar>
              <w:top w:w="60" w:type="dxa"/>
              <w:left w:w="120" w:type="dxa"/>
              <w:bottom w:w="30" w:type="dxa"/>
              <w:right w:w="120" w:type="dxa"/>
            </w:tcMar>
          </w:tcPr>
          <w:p w14:paraId="169C9E40">
            <w:pPr>
              <w:spacing w:before="120" w:after="120" w:line="288" w:lineRule="auto"/>
              <w:ind w:left="0"/>
              <w:jc w:val="left"/>
            </w:pPr>
            <w:r>
              <w:rPr>
                <w:rFonts w:ascii="Arial" w:hAnsi="Arial" w:eastAsia="等线" w:cs="Arial"/>
                <w:b/>
                <w:sz w:val="22"/>
              </w:rPr>
              <w:t>中文</w:t>
            </w:r>
          </w:p>
        </w:tc>
        <w:tc>
          <w:tcPr>
            <w:tcW w:w="5520" w:type="dxa"/>
            <w:tcMar>
              <w:top w:w="60" w:type="dxa"/>
              <w:left w:w="120" w:type="dxa"/>
              <w:bottom w:w="30" w:type="dxa"/>
              <w:right w:w="120" w:type="dxa"/>
            </w:tcMar>
          </w:tcPr>
          <w:p w14:paraId="740EEF68">
            <w:pPr>
              <w:spacing w:before="120" w:after="120" w:line="288" w:lineRule="auto"/>
              <w:ind w:left="0"/>
              <w:jc w:val="left"/>
            </w:pPr>
            <w:r>
              <w:rPr>
                <w:rFonts w:ascii="Arial" w:hAnsi="Arial" w:eastAsia="等线" w:cs="Arial"/>
                <w:b/>
                <w:sz w:val="22"/>
              </w:rPr>
              <w:t>释义</w:t>
            </w:r>
          </w:p>
        </w:tc>
      </w:tr>
      <w:tr w14:paraId="6EE68A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F38FF3F">
            <w:pPr>
              <w:spacing w:before="120" w:after="120" w:line="288" w:lineRule="auto"/>
              <w:ind w:left="0"/>
              <w:jc w:val="left"/>
            </w:pPr>
            <w:r>
              <w:rPr>
                <w:rFonts w:ascii="Arial" w:hAnsi="Arial" w:eastAsia="等线" w:cs="Arial"/>
                <w:sz w:val="22"/>
              </w:rPr>
              <w:t>Anti-Money Laundering (AML)</w:t>
            </w:r>
          </w:p>
        </w:tc>
        <w:tc>
          <w:tcPr>
            <w:tcW w:w="1020" w:type="dxa"/>
            <w:tcMar>
              <w:top w:w="60" w:type="dxa"/>
              <w:left w:w="120" w:type="dxa"/>
              <w:bottom w:w="30" w:type="dxa"/>
              <w:right w:w="120" w:type="dxa"/>
            </w:tcMar>
          </w:tcPr>
          <w:p w14:paraId="2A4DDBEC">
            <w:pPr>
              <w:spacing w:before="120" w:after="120" w:line="288" w:lineRule="auto"/>
              <w:ind w:left="0"/>
              <w:jc w:val="left"/>
            </w:pPr>
            <w:r>
              <w:rPr>
                <w:rFonts w:ascii="Arial" w:hAnsi="Arial" w:eastAsia="等线" w:cs="Arial"/>
                <w:sz w:val="22"/>
              </w:rPr>
              <w:t>反洗钱</w:t>
            </w:r>
          </w:p>
        </w:tc>
        <w:tc>
          <w:tcPr>
            <w:tcW w:w="5520" w:type="dxa"/>
            <w:tcMar>
              <w:top w:w="60" w:type="dxa"/>
              <w:left w:w="120" w:type="dxa"/>
              <w:bottom w:w="30" w:type="dxa"/>
              <w:right w:w="120" w:type="dxa"/>
            </w:tcMar>
          </w:tcPr>
          <w:p w14:paraId="09A48C62">
            <w:pPr>
              <w:spacing w:before="120" w:after="120" w:line="288" w:lineRule="auto"/>
              <w:ind w:left="0"/>
              <w:jc w:val="left"/>
            </w:pPr>
            <w:r>
              <w:rPr>
                <w:rFonts w:ascii="Arial" w:hAnsi="Arial" w:eastAsia="等线" w:cs="Arial"/>
                <w:sz w:val="22"/>
              </w:rPr>
              <w:t>预防、识别和报告 “将非法资金伪装成合法资金” 行为的一系列规则与程序，经纪交易商需制定 AML 合规计划，包括客户身份识别、交易监控、可疑交易报告等内容</w:t>
            </w:r>
          </w:p>
        </w:tc>
      </w:tr>
      <w:tr w14:paraId="37B14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250C0E01">
            <w:pPr>
              <w:spacing w:before="120" w:after="120" w:line="288" w:lineRule="auto"/>
              <w:ind w:left="0"/>
              <w:jc w:val="left"/>
            </w:pPr>
            <w:r>
              <w:rPr>
                <w:rFonts w:ascii="Arial" w:hAnsi="Arial" w:eastAsia="等线" w:cs="Arial"/>
                <w:sz w:val="22"/>
              </w:rPr>
              <w:t>Bank Secrecy Act (BSA)</w:t>
            </w:r>
          </w:p>
        </w:tc>
        <w:tc>
          <w:tcPr>
            <w:tcW w:w="1020" w:type="dxa"/>
            <w:tcMar>
              <w:top w:w="60" w:type="dxa"/>
              <w:left w:w="120" w:type="dxa"/>
              <w:bottom w:w="30" w:type="dxa"/>
              <w:right w:w="120" w:type="dxa"/>
            </w:tcMar>
          </w:tcPr>
          <w:p w14:paraId="503AF136">
            <w:pPr>
              <w:spacing w:before="120" w:after="120" w:line="288" w:lineRule="auto"/>
              <w:ind w:left="0"/>
              <w:jc w:val="left"/>
            </w:pPr>
            <w:r>
              <w:rPr>
                <w:rFonts w:ascii="Arial" w:hAnsi="Arial" w:eastAsia="等线" w:cs="Arial"/>
                <w:sz w:val="22"/>
              </w:rPr>
              <w:t>《银行保密法》</w:t>
            </w:r>
          </w:p>
        </w:tc>
        <w:tc>
          <w:tcPr>
            <w:tcW w:w="5520" w:type="dxa"/>
            <w:tcMar>
              <w:top w:w="60" w:type="dxa"/>
              <w:left w:w="120" w:type="dxa"/>
              <w:bottom w:w="30" w:type="dxa"/>
              <w:right w:w="120" w:type="dxa"/>
            </w:tcMar>
          </w:tcPr>
          <w:p w14:paraId="4CEC2F74">
            <w:pPr>
              <w:spacing w:before="120" w:after="120" w:line="288" w:lineRule="auto"/>
              <w:ind w:left="0"/>
              <w:jc w:val="left"/>
            </w:pPr>
            <w:r>
              <w:rPr>
                <w:rFonts w:ascii="Arial" w:hAnsi="Arial" w:eastAsia="等线" w:cs="Arial"/>
                <w:sz w:val="22"/>
              </w:rPr>
              <w:t>美国反洗钱领域的核心法律，要求金融机构（含经纪交易商）保存交易记录、报告大额现金交易（单笔或当日累计超过 10,000 美元）及可疑交易，是反洗钱监管的重要法律依据</w:t>
            </w:r>
          </w:p>
        </w:tc>
      </w:tr>
      <w:tr w14:paraId="298979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C3E9A3F">
            <w:pPr>
              <w:spacing w:before="120" w:after="120" w:line="288" w:lineRule="auto"/>
              <w:ind w:left="0"/>
              <w:jc w:val="left"/>
            </w:pPr>
            <w:r>
              <w:rPr>
                <w:rFonts w:ascii="Arial" w:hAnsi="Arial" w:eastAsia="等线" w:cs="Arial"/>
                <w:sz w:val="22"/>
              </w:rPr>
              <w:t>Customer Identification Program (CIP)</w:t>
            </w:r>
          </w:p>
        </w:tc>
        <w:tc>
          <w:tcPr>
            <w:tcW w:w="1020" w:type="dxa"/>
            <w:tcMar>
              <w:top w:w="60" w:type="dxa"/>
              <w:left w:w="120" w:type="dxa"/>
              <w:bottom w:w="30" w:type="dxa"/>
              <w:right w:w="120" w:type="dxa"/>
            </w:tcMar>
          </w:tcPr>
          <w:p w14:paraId="11775706">
            <w:pPr>
              <w:spacing w:before="120" w:after="120" w:line="288" w:lineRule="auto"/>
              <w:ind w:left="0"/>
              <w:jc w:val="left"/>
            </w:pPr>
            <w:r>
              <w:rPr>
                <w:rFonts w:ascii="Arial" w:hAnsi="Arial" w:eastAsia="等线" w:cs="Arial"/>
                <w:sz w:val="22"/>
              </w:rPr>
              <w:t>客户身份识别程序</w:t>
            </w:r>
          </w:p>
        </w:tc>
        <w:tc>
          <w:tcPr>
            <w:tcW w:w="5520" w:type="dxa"/>
            <w:tcMar>
              <w:top w:w="60" w:type="dxa"/>
              <w:left w:w="120" w:type="dxa"/>
              <w:bottom w:w="30" w:type="dxa"/>
              <w:right w:w="120" w:type="dxa"/>
            </w:tcMar>
          </w:tcPr>
          <w:p w14:paraId="53AC8293">
            <w:pPr>
              <w:spacing w:before="120" w:after="120" w:line="288" w:lineRule="auto"/>
              <w:ind w:left="0"/>
              <w:jc w:val="left"/>
            </w:pPr>
            <w:r>
              <w:rPr>
                <w:rFonts w:ascii="Arial" w:hAnsi="Arial" w:eastAsia="等线" w:cs="Arial"/>
                <w:sz w:val="22"/>
              </w:rPr>
              <w:t>金融机构在开立账户时需执行的身份验证流程，要求核实客户的真实身份信息（如姓名、地址、身份证明文件等），以防范洗钱、恐怖融资等违法活动</w:t>
            </w:r>
          </w:p>
        </w:tc>
      </w:tr>
      <w:tr w14:paraId="70094F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4AEAC612">
            <w:pPr>
              <w:spacing w:before="120" w:after="120" w:line="288" w:lineRule="auto"/>
              <w:ind w:left="0"/>
              <w:jc w:val="left"/>
            </w:pPr>
            <w:r>
              <w:rPr>
                <w:rFonts w:ascii="Arial" w:hAnsi="Arial" w:eastAsia="等线" w:cs="Arial"/>
                <w:sz w:val="22"/>
              </w:rPr>
              <w:t>Suspicious Activity Report (SAR)</w:t>
            </w:r>
          </w:p>
        </w:tc>
        <w:tc>
          <w:tcPr>
            <w:tcW w:w="1020" w:type="dxa"/>
            <w:tcMar>
              <w:top w:w="60" w:type="dxa"/>
              <w:left w:w="120" w:type="dxa"/>
              <w:bottom w:w="30" w:type="dxa"/>
              <w:right w:w="120" w:type="dxa"/>
            </w:tcMar>
          </w:tcPr>
          <w:p w14:paraId="6C44FD5E">
            <w:pPr>
              <w:spacing w:before="120" w:after="120" w:line="288" w:lineRule="auto"/>
              <w:ind w:left="0"/>
              <w:jc w:val="left"/>
            </w:pPr>
            <w:r>
              <w:rPr>
                <w:rFonts w:ascii="Arial" w:hAnsi="Arial" w:eastAsia="等线" w:cs="Arial"/>
                <w:sz w:val="22"/>
              </w:rPr>
              <w:t>可疑活动报告</w:t>
            </w:r>
          </w:p>
        </w:tc>
        <w:tc>
          <w:tcPr>
            <w:tcW w:w="5520" w:type="dxa"/>
            <w:tcMar>
              <w:top w:w="60" w:type="dxa"/>
              <w:left w:w="120" w:type="dxa"/>
              <w:bottom w:w="30" w:type="dxa"/>
              <w:right w:w="120" w:type="dxa"/>
            </w:tcMar>
          </w:tcPr>
          <w:p w14:paraId="15A2814A">
            <w:pPr>
              <w:spacing w:before="120" w:after="120" w:line="288" w:lineRule="auto"/>
              <w:ind w:left="0"/>
              <w:jc w:val="left"/>
            </w:pPr>
            <w:r>
              <w:rPr>
                <w:rFonts w:ascii="Arial" w:hAnsi="Arial" w:eastAsia="等线" w:cs="Arial"/>
                <w:sz w:val="22"/>
              </w:rPr>
              <w:t>金融机构发现可能涉及洗钱、恐怖融资或其他违法活动的可疑交易时，需向 FinCEN 提交报告，报告需详细说明交易的可疑特征</w:t>
            </w:r>
          </w:p>
        </w:tc>
      </w:tr>
    </w:tbl>
    <w:p w14:paraId="60393A99">
      <w:pPr>
        <w:spacing w:before="320" w:after="120" w:line="288" w:lineRule="auto"/>
        <w:ind w:left="0"/>
        <w:jc w:val="left"/>
        <w:outlineLvl w:val="1"/>
      </w:pPr>
      <w:bookmarkStart w:id="60" w:name="heading_60"/>
      <w:r>
        <w:rPr>
          <w:rFonts w:ascii="Arial" w:hAnsi="Arial" w:eastAsia="等线" w:cs="Arial"/>
          <w:color w:val="3370FF"/>
          <w:sz w:val="32"/>
        </w:rPr>
        <w:t xml:space="preserve">4.6 </w:t>
      </w:r>
      <w:r>
        <w:rPr>
          <w:rFonts w:ascii="Arial" w:hAnsi="Arial" w:eastAsia="等线" w:cs="Arial"/>
          <w:b/>
          <w:sz w:val="32"/>
        </w:rPr>
        <w:t>从业人员资格与行为准则</w:t>
      </w:r>
      <w:bookmarkEnd w:id="6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65"/>
        <w:gridCol w:w="1365"/>
        <w:gridCol w:w="5250"/>
      </w:tblGrid>
      <w:tr w14:paraId="17B13B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47BA27B4">
            <w:pPr>
              <w:spacing w:before="120" w:after="120" w:line="288" w:lineRule="auto"/>
              <w:ind w:left="0"/>
              <w:jc w:val="left"/>
            </w:pPr>
            <w:r>
              <w:rPr>
                <w:rFonts w:ascii="Arial" w:hAnsi="Arial" w:eastAsia="等线" w:cs="Arial"/>
                <w:b/>
                <w:sz w:val="22"/>
              </w:rPr>
              <w:t>英文</w:t>
            </w:r>
          </w:p>
        </w:tc>
        <w:tc>
          <w:tcPr>
            <w:tcW w:w="1365" w:type="dxa"/>
            <w:tcMar>
              <w:top w:w="60" w:type="dxa"/>
              <w:left w:w="120" w:type="dxa"/>
              <w:bottom w:w="30" w:type="dxa"/>
              <w:right w:w="120" w:type="dxa"/>
            </w:tcMar>
          </w:tcPr>
          <w:p w14:paraId="243484AE">
            <w:pPr>
              <w:spacing w:before="120" w:after="120" w:line="288" w:lineRule="auto"/>
              <w:ind w:left="0"/>
              <w:jc w:val="left"/>
            </w:pPr>
            <w:r>
              <w:rPr>
                <w:rFonts w:ascii="Arial" w:hAnsi="Arial" w:eastAsia="等线" w:cs="Arial"/>
                <w:b/>
                <w:sz w:val="22"/>
              </w:rPr>
              <w:t>中文</w:t>
            </w:r>
          </w:p>
        </w:tc>
        <w:tc>
          <w:tcPr>
            <w:tcW w:w="5250" w:type="dxa"/>
            <w:tcMar>
              <w:top w:w="60" w:type="dxa"/>
              <w:left w:w="120" w:type="dxa"/>
              <w:bottom w:w="30" w:type="dxa"/>
              <w:right w:w="120" w:type="dxa"/>
            </w:tcMar>
          </w:tcPr>
          <w:p w14:paraId="51EA42D6">
            <w:pPr>
              <w:spacing w:before="120" w:after="120" w:line="288" w:lineRule="auto"/>
              <w:ind w:left="0"/>
              <w:jc w:val="left"/>
            </w:pPr>
            <w:r>
              <w:rPr>
                <w:rFonts w:ascii="Arial" w:hAnsi="Arial" w:eastAsia="等线" w:cs="Arial"/>
                <w:b/>
                <w:sz w:val="22"/>
              </w:rPr>
              <w:t>释义</w:t>
            </w:r>
          </w:p>
        </w:tc>
      </w:tr>
      <w:tr w14:paraId="68C9A6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104BB97D">
            <w:pPr>
              <w:spacing w:before="120" w:after="120" w:line="288" w:lineRule="auto"/>
              <w:ind w:left="0"/>
              <w:jc w:val="left"/>
            </w:pPr>
            <w:r>
              <w:rPr>
                <w:rFonts w:ascii="Arial" w:hAnsi="Arial" w:eastAsia="等线" w:cs="Arial"/>
                <w:sz w:val="22"/>
              </w:rPr>
              <w:t>Registered Representative (RR)</w:t>
            </w:r>
          </w:p>
        </w:tc>
        <w:tc>
          <w:tcPr>
            <w:tcW w:w="1365" w:type="dxa"/>
            <w:tcMar>
              <w:top w:w="60" w:type="dxa"/>
              <w:left w:w="120" w:type="dxa"/>
              <w:bottom w:w="30" w:type="dxa"/>
              <w:right w:w="120" w:type="dxa"/>
            </w:tcMar>
          </w:tcPr>
          <w:p w14:paraId="44701DBE">
            <w:pPr>
              <w:spacing w:before="120" w:after="120" w:line="288" w:lineRule="auto"/>
              <w:ind w:left="0"/>
              <w:jc w:val="left"/>
            </w:pPr>
            <w:r>
              <w:rPr>
                <w:rFonts w:ascii="Arial" w:hAnsi="Arial" w:eastAsia="等线" w:cs="Arial"/>
                <w:sz w:val="22"/>
              </w:rPr>
              <w:t>注册代表</w:t>
            </w:r>
          </w:p>
        </w:tc>
        <w:tc>
          <w:tcPr>
            <w:tcW w:w="5250" w:type="dxa"/>
            <w:tcMar>
              <w:top w:w="60" w:type="dxa"/>
              <w:left w:w="120" w:type="dxa"/>
              <w:bottom w:w="30" w:type="dxa"/>
              <w:right w:w="120" w:type="dxa"/>
            </w:tcMar>
          </w:tcPr>
          <w:p w14:paraId="1A02104E">
            <w:pPr>
              <w:spacing w:before="120" w:after="120" w:line="288" w:lineRule="auto"/>
              <w:ind w:left="0"/>
              <w:jc w:val="left"/>
            </w:pPr>
            <w:r>
              <w:rPr>
                <w:rFonts w:ascii="Arial" w:hAnsi="Arial" w:eastAsia="等线" w:cs="Arial"/>
                <w:sz w:val="22"/>
              </w:rPr>
              <w:t>在 FINRA 注册、受雇于经纪交易商的从业人员，主要为客户提供证券交易执行、投资建议等服务，需通过 Series 7 等资格考试，并遵守行业行为准则</w:t>
            </w:r>
          </w:p>
        </w:tc>
      </w:tr>
      <w:tr w14:paraId="6B93F4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02019A81">
            <w:pPr>
              <w:spacing w:before="120" w:after="120" w:line="288" w:lineRule="auto"/>
              <w:ind w:left="0"/>
              <w:jc w:val="left"/>
            </w:pPr>
            <w:r>
              <w:rPr>
                <w:rFonts w:ascii="Arial" w:hAnsi="Arial" w:eastAsia="等线" w:cs="Arial"/>
                <w:sz w:val="22"/>
              </w:rPr>
              <w:t>Investment Adviser Representative (IAR)</w:t>
            </w:r>
          </w:p>
        </w:tc>
        <w:tc>
          <w:tcPr>
            <w:tcW w:w="1365" w:type="dxa"/>
            <w:tcMar>
              <w:top w:w="60" w:type="dxa"/>
              <w:left w:w="120" w:type="dxa"/>
              <w:bottom w:w="30" w:type="dxa"/>
              <w:right w:w="120" w:type="dxa"/>
            </w:tcMar>
          </w:tcPr>
          <w:p w14:paraId="5E0286AE">
            <w:pPr>
              <w:spacing w:before="120" w:after="120" w:line="288" w:lineRule="auto"/>
              <w:ind w:left="0"/>
              <w:jc w:val="left"/>
            </w:pPr>
            <w:r>
              <w:rPr>
                <w:rFonts w:ascii="Arial" w:hAnsi="Arial" w:eastAsia="等线" w:cs="Arial"/>
                <w:sz w:val="22"/>
              </w:rPr>
              <w:t>投资顾问代表</w:t>
            </w:r>
          </w:p>
        </w:tc>
        <w:tc>
          <w:tcPr>
            <w:tcW w:w="5250" w:type="dxa"/>
            <w:tcMar>
              <w:top w:w="60" w:type="dxa"/>
              <w:left w:w="120" w:type="dxa"/>
              <w:bottom w:w="30" w:type="dxa"/>
              <w:right w:w="120" w:type="dxa"/>
            </w:tcMar>
          </w:tcPr>
          <w:p w14:paraId="71D4E3B9">
            <w:pPr>
              <w:spacing w:before="120" w:after="120" w:line="288" w:lineRule="auto"/>
              <w:ind w:left="0"/>
              <w:jc w:val="left"/>
            </w:pPr>
            <w:r>
              <w:rPr>
                <w:rFonts w:ascii="Arial" w:hAnsi="Arial" w:eastAsia="等线" w:cs="Arial"/>
                <w:sz w:val="22"/>
              </w:rPr>
              <w:t>在 SEC 或州监管机构注册、受雇于投资顾问公司的从业人员，为客户提供付费投资建议，需通过 Series 65 或 Series 66 资格考试，需履行对客户的忠实义务</w:t>
            </w:r>
          </w:p>
        </w:tc>
      </w:tr>
      <w:tr w14:paraId="1655DE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3DCEA726">
            <w:pPr>
              <w:spacing w:before="120" w:after="120" w:line="288" w:lineRule="auto"/>
              <w:ind w:left="0"/>
              <w:jc w:val="left"/>
            </w:pPr>
            <w:r>
              <w:rPr>
                <w:rFonts w:ascii="Arial" w:hAnsi="Arial" w:eastAsia="等线" w:cs="Arial"/>
                <w:sz w:val="22"/>
              </w:rPr>
              <w:t>Form U4</w:t>
            </w:r>
          </w:p>
        </w:tc>
        <w:tc>
          <w:tcPr>
            <w:tcW w:w="1365" w:type="dxa"/>
            <w:tcMar>
              <w:top w:w="60" w:type="dxa"/>
              <w:left w:w="120" w:type="dxa"/>
              <w:bottom w:w="30" w:type="dxa"/>
              <w:right w:w="120" w:type="dxa"/>
            </w:tcMar>
          </w:tcPr>
          <w:p w14:paraId="74C7A16F">
            <w:pPr>
              <w:spacing w:before="120" w:after="120" w:line="288" w:lineRule="auto"/>
              <w:ind w:left="0"/>
              <w:jc w:val="left"/>
            </w:pPr>
            <w:r>
              <w:rPr>
                <w:rFonts w:ascii="Arial" w:hAnsi="Arial" w:eastAsia="等线" w:cs="Arial"/>
                <w:sz w:val="22"/>
              </w:rPr>
              <w:t>证券行业注册或转让统一申请表</w:t>
            </w:r>
          </w:p>
          <w:p w14:paraId="44B42A6E">
            <w:pPr>
              <w:spacing w:before="120" w:after="120" w:line="288" w:lineRule="auto"/>
              <w:ind w:left="0"/>
              <w:jc w:val="left"/>
            </w:pPr>
          </w:p>
        </w:tc>
        <w:tc>
          <w:tcPr>
            <w:tcW w:w="5250" w:type="dxa"/>
            <w:tcMar>
              <w:top w:w="60" w:type="dxa"/>
              <w:left w:w="120" w:type="dxa"/>
              <w:bottom w:w="30" w:type="dxa"/>
              <w:right w:w="120" w:type="dxa"/>
            </w:tcMar>
          </w:tcPr>
          <w:p w14:paraId="05C07E01">
            <w:pPr>
              <w:spacing w:before="120" w:after="120" w:line="288" w:lineRule="auto"/>
              <w:ind w:left="0"/>
              <w:jc w:val="left"/>
            </w:pPr>
            <w:r>
              <w:rPr>
                <w:rFonts w:ascii="Arial" w:hAnsi="Arial" w:eastAsia="等线" w:cs="Arial"/>
                <w:sz w:val="22"/>
              </w:rPr>
              <w:t>从业人员在 FINRA 注册时需提交的表格，包含个人背景信息、资格考试成绩、工作经历、纪律处分记录等内容，是监管机构了解从业人员资质的重要文件。</w:t>
            </w:r>
          </w:p>
        </w:tc>
      </w:tr>
      <w:tr w14:paraId="217888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0DED7E25">
            <w:pPr>
              <w:spacing w:before="120" w:after="120" w:line="288" w:lineRule="auto"/>
              <w:ind w:left="0"/>
              <w:jc w:val="left"/>
            </w:pPr>
            <w:r>
              <w:rPr>
                <w:rFonts w:ascii="Arial" w:hAnsi="Arial" w:eastAsia="等线" w:cs="Arial"/>
                <w:sz w:val="22"/>
              </w:rPr>
              <w:t>Form U5</w:t>
            </w:r>
          </w:p>
        </w:tc>
        <w:tc>
          <w:tcPr>
            <w:tcW w:w="1365" w:type="dxa"/>
            <w:tcMar>
              <w:top w:w="60" w:type="dxa"/>
              <w:left w:w="120" w:type="dxa"/>
              <w:bottom w:w="30" w:type="dxa"/>
              <w:right w:w="120" w:type="dxa"/>
            </w:tcMar>
          </w:tcPr>
          <w:p w14:paraId="2949AC50">
            <w:pPr>
              <w:spacing w:before="120" w:after="120" w:line="288" w:lineRule="auto"/>
              <w:ind w:left="0"/>
              <w:jc w:val="left"/>
            </w:pPr>
            <w:r>
              <w:rPr>
                <w:rFonts w:ascii="Arial" w:hAnsi="Arial" w:eastAsia="等线" w:cs="Arial"/>
                <w:sz w:val="22"/>
              </w:rPr>
              <w:t>证券行业注册终止通知表</w:t>
            </w:r>
          </w:p>
          <w:p w14:paraId="01FFD46A">
            <w:pPr>
              <w:spacing w:before="120" w:after="120" w:line="288" w:lineRule="auto"/>
              <w:ind w:left="0"/>
              <w:jc w:val="left"/>
            </w:pPr>
          </w:p>
        </w:tc>
        <w:tc>
          <w:tcPr>
            <w:tcW w:w="5250" w:type="dxa"/>
            <w:tcMar>
              <w:top w:w="60" w:type="dxa"/>
              <w:left w:w="120" w:type="dxa"/>
              <w:bottom w:w="30" w:type="dxa"/>
              <w:right w:w="120" w:type="dxa"/>
            </w:tcMar>
          </w:tcPr>
          <w:p w14:paraId="23FA8428">
            <w:pPr>
              <w:spacing w:before="120" w:after="120" w:line="288" w:lineRule="auto"/>
              <w:ind w:left="0"/>
              <w:jc w:val="left"/>
            </w:pPr>
            <w:r>
              <w:rPr>
                <w:rFonts w:ascii="Arial" w:hAnsi="Arial" w:eastAsia="等线" w:cs="Arial"/>
                <w:sz w:val="22"/>
              </w:rPr>
              <w:t>从业人员离开经纪交易商时，由所在公司向 FINRA 提交的表格，记录离职原因、是否存在纪律问题等信息，该记录将纳入从业人员的监管档案</w:t>
            </w:r>
          </w:p>
        </w:tc>
      </w:tr>
      <w:tr w14:paraId="27BCD3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19E7005C">
            <w:pPr>
              <w:spacing w:before="120" w:after="120" w:line="288" w:lineRule="auto"/>
              <w:ind w:left="0"/>
              <w:jc w:val="left"/>
            </w:pPr>
            <w:r>
              <w:rPr>
                <w:rFonts w:ascii="Arial" w:hAnsi="Arial" w:eastAsia="等线" w:cs="Arial"/>
                <w:sz w:val="22"/>
              </w:rPr>
              <w:t>Continuing Education (CE)</w:t>
            </w:r>
          </w:p>
        </w:tc>
        <w:tc>
          <w:tcPr>
            <w:tcW w:w="1365" w:type="dxa"/>
            <w:tcMar>
              <w:top w:w="60" w:type="dxa"/>
              <w:left w:w="120" w:type="dxa"/>
              <w:bottom w:w="30" w:type="dxa"/>
              <w:right w:w="120" w:type="dxa"/>
            </w:tcMar>
          </w:tcPr>
          <w:p w14:paraId="6DD3CE2C">
            <w:pPr>
              <w:spacing w:before="120" w:after="120" w:line="288" w:lineRule="auto"/>
              <w:ind w:left="0"/>
              <w:jc w:val="left"/>
            </w:pPr>
            <w:r>
              <w:rPr>
                <w:rFonts w:ascii="Arial" w:hAnsi="Arial" w:eastAsia="等线" w:cs="Arial"/>
                <w:sz w:val="22"/>
              </w:rPr>
              <w:t>继续教育</w:t>
            </w:r>
          </w:p>
        </w:tc>
        <w:tc>
          <w:tcPr>
            <w:tcW w:w="5250" w:type="dxa"/>
            <w:tcMar>
              <w:top w:w="60" w:type="dxa"/>
              <w:left w:w="120" w:type="dxa"/>
              <w:bottom w:w="30" w:type="dxa"/>
              <w:right w:w="120" w:type="dxa"/>
            </w:tcMar>
          </w:tcPr>
          <w:p w14:paraId="15F19CA8">
            <w:pPr>
              <w:spacing w:before="120" w:after="120" w:line="288" w:lineRule="auto"/>
              <w:ind w:left="0"/>
              <w:jc w:val="left"/>
            </w:pPr>
            <w:r>
              <w:rPr>
                <w:rFonts w:ascii="Arial" w:hAnsi="Arial" w:eastAsia="等线" w:cs="Arial"/>
                <w:sz w:val="22"/>
              </w:rPr>
              <w:t>从业人员为维持注册资格有效性需完成的年度培训，分为 “监管要素”（涵盖合规、法律规则等）和 “产品要素”（涵盖金融产品知识等）两部分，确保从业人员持续更新专业知识</w:t>
            </w:r>
          </w:p>
        </w:tc>
      </w:tr>
    </w:tbl>
    <w:p w14:paraId="136E61C9">
      <w:pPr>
        <w:spacing w:before="380" w:after="140" w:line="288" w:lineRule="auto"/>
        <w:ind w:left="0"/>
        <w:jc w:val="left"/>
        <w:outlineLvl w:val="0"/>
      </w:pPr>
      <w:bookmarkStart w:id="61" w:name="heading_61"/>
      <w:r>
        <w:rPr>
          <w:rFonts w:ascii="Arial" w:hAnsi="Arial" w:eastAsia="等线" w:cs="Arial"/>
          <w:color w:val="3370FF"/>
          <w:sz w:val="36"/>
        </w:rPr>
        <w:t xml:space="preserve">5. </w:t>
      </w:r>
      <w:r>
        <w:rPr>
          <w:rFonts w:ascii="Arial" w:hAnsi="Arial" w:eastAsia="等线" w:cs="Arial"/>
          <w:b/>
          <w:sz w:val="36"/>
        </w:rPr>
        <w:t>例题与答案</w:t>
      </w:r>
      <w:bookmarkEnd w:id="61"/>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1161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4B49D60A">
            <w:pPr>
              <w:numPr>
                <w:ilvl w:val="0"/>
                <w:numId w:val="236"/>
              </w:numPr>
              <w:spacing w:before="120" w:after="120" w:line="288" w:lineRule="auto"/>
              <w:ind w:left="0"/>
              <w:jc w:val="left"/>
            </w:pPr>
            <w:r>
              <w:rPr>
                <w:rFonts w:ascii="Arial" w:hAnsi="Arial" w:eastAsia="等线" w:cs="Arial"/>
                <w:sz w:val="22"/>
              </w:rPr>
              <w:t>Wedgie Corporation has just announced a 50-cent cash dividend. If the record date is Tuesday, March 9, when is the last day an investor can purchase the stock and receive the dividend?</w:t>
            </w:r>
          </w:p>
          <w:p w14:paraId="445FF97E">
            <w:pPr>
              <w:spacing w:before="120" w:after="120" w:line="288" w:lineRule="auto"/>
              <w:ind w:left="0"/>
              <w:jc w:val="left"/>
            </w:pPr>
            <w:r>
              <w:rPr>
                <w:rFonts w:ascii="Arial" w:hAnsi="Arial" w:eastAsia="等线" w:cs="Arial"/>
                <w:sz w:val="22"/>
              </w:rPr>
              <w:t>(A) March 4</w:t>
            </w:r>
          </w:p>
          <w:p w14:paraId="372A3E0F">
            <w:pPr>
              <w:spacing w:before="120" w:after="120" w:line="288" w:lineRule="auto"/>
              <w:ind w:left="0"/>
              <w:jc w:val="left"/>
            </w:pPr>
            <w:r>
              <w:rPr>
                <w:rFonts w:ascii="Arial" w:hAnsi="Arial" w:eastAsia="等线" w:cs="Arial"/>
                <w:sz w:val="22"/>
              </w:rPr>
              <w:t>(B) March 5</w:t>
            </w:r>
          </w:p>
          <w:p w14:paraId="08A5B087">
            <w:pPr>
              <w:spacing w:before="120" w:after="120" w:line="288" w:lineRule="auto"/>
              <w:ind w:left="0"/>
              <w:jc w:val="left"/>
            </w:pPr>
            <w:r>
              <w:rPr>
                <w:rFonts w:ascii="Arial" w:hAnsi="Arial" w:eastAsia="等线" w:cs="Arial"/>
                <w:sz w:val="22"/>
              </w:rPr>
              <w:t>(C) March 7</w:t>
            </w:r>
          </w:p>
          <w:p w14:paraId="039E3588">
            <w:pPr>
              <w:spacing w:before="120" w:after="120" w:line="288" w:lineRule="auto"/>
              <w:ind w:left="0"/>
              <w:jc w:val="left"/>
            </w:pPr>
            <w:r>
              <w:rPr>
                <w:rFonts w:ascii="Arial" w:hAnsi="Arial" w:eastAsia="等线" w:cs="Arial"/>
                <w:sz w:val="22"/>
              </w:rPr>
              <w:t>(D) March 8</w:t>
            </w:r>
          </w:p>
          <w:p w14:paraId="0E47DD17">
            <w:pPr>
              <w:spacing w:before="120" w:after="120" w:line="288" w:lineRule="auto"/>
              <w:ind w:left="0"/>
              <w:jc w:val="left"/>
            </w:pPr>
          </w:p>
          <w:p w14:paraId="45504AE0">
            <w:pPr>
              <w:numPr>
                <w:ilvl w:val="0"/>
                <w:numId w:val="237"/>
              </w:numPr>
              <w:spacing w:before="120" w:after="120" w:line="288" w:lineRule="auto"/>
              <w:ind w:left="0"/>
              <w:jc w:val="left"/>
            </w:pPr>
            <w:r>
              <w:rPr>
                <w:rFonts w:ascii="Arial" w:hAnsi="Arial" w:eastAsia="等线" w:cs="Arial"/>
                <w:sz w:val="22"/>
              </w:rPr>
              <w:t>Steve Fredericks has a cash account with $150,000 in securities and $300,000 cash and a margin account with $50,000 in equity. Additionally, Steve has a joint cash account with his wife Melissa with $250,000 in securities and $300,000 cash. If Steve’s broker–dealer goes bankrupt, what is his coverage under SIPC?</w:t>
            </w:r>
          </w:p>
          <w:p w14:paraId="2B277FED">
            <w:pPr>
              <w:spacing w:before="120" w:after="120" w:line="288" w:lineRule="auto"/>
              <w:ind w:left="0"/>
              <w:jc w:val="left"/>
            </w:pPr>
            <w:r>
              <w:rPr>
                <w:rFonts w:ascii="Arial" w:hAnsi="Arial" w:eastAsia="等线" w:cs="Arial"/>
                <w:sz w:val="22"/>
              </w:rPr>
              <w:t>(A) $450,000</w:t>
            </w:r>
          </w:p>
          <w:p w14:paraId="0C4CDDFA">
            <w:pPr>
              <w:spacing w:before="120" w:after="120" w:line="288" w:lineRule="auto"/>
              <w:ind w:left="0"/>
              <w:jc w:val="left"/>
            </w:pPr>
            <w:r>
              <w:rPr>
                <w:rFonts w:ascii="Arial" w:hAnsi="Arial" w:eastAsia="等线" w:cs="Arial"/>
                <w:sz w:val="22"/>
              </w:rPr>
              <w:t>(B) $500,000</w:t>
            </w:r>
          </w:p>
          <w:p w14:paraId="6812D273">
            <w:pPr>
              <w:spacing w:before="120" w:after="120" w:line="288" w:lineRule="auto"/>
              <w:ind w:left="0"/>
              <w:jc w:val="left"/>
            </w:pPr>
            <w:r>
              <w:rPr>
                <w:rFonts w:ascii="Arial" w:hAnsi="Arial" w:eastAsia="等线" w:cs="Arial"/>
                <w:sz w:val="22"/>
              </w:rPr>
              <w:t>(C) $850,000</w:t>
            </w:r>
          </w:p>
          <w:p w14:paraId="225AA329">
            <w:pPr>
              <w:spacing w:before="120" w:after="120" w:line="288" w:lineRule="auto"/>
              <w:ind w:left="0"/>
              <w:jc w:val="left"/>
            </w:pPr>
            <w:r>
              <w:rPr>
                <w:rFonts w:ascii="Arial" w:hAnsi="Arial" w:eastAsia="等线" w:cs="Arial"/>
                <w:sz w:val="22"/>
              </w:rPr>
              <w:t>(D) $950,000</w:t>
            </w:r>
          </w:p>
          <w:p w14:paraId="5579B637">
            <w:pPr>
              <w:spacing w:before="120" w:after="120" w:line="288" w:lineRule="auto"/>
              <w:ind w:left="0"/>
              <w:jc w:val="left"/>
            </w:pPr>
          </w:p>
          <w:p w14:paraId="3C2CA46B">
            <w:pPr>
              <w:numPr>
                <w:ilvl w:val="0"/>
                <w:numId w:val="238"/>
              </w:numPr>
              <w:spacing w:before="120" w:after="120" w:line="288" w:lineRule="auto"/>
              <w:ind w:left="0"/>
              <w:jc w:val="left"/>
            </w:pPr>
            <w:r>
              <w:rPr>
                <w:rFonts w:ascii="Arial" w:hAnsi="Arial" w:eastAsia="等线" w:cs="Arial"/>
                <w:sz w:val="22"/>
              </w:rPr>
              <w:t>Which of the following need to be included on a stock order ticket?</w:t>
            </w:r>
          </w:p>
          <w:p w14:paraId="03CDD00B">
            <w:pPr>
              <w:spacing w:before="120" w:after="120" w:line="288" w:lineRule="auto"/>
              <w:ind w:left="0"/>
              <w:jc w:val="left"/>
            </w:pPr>
            <w:r>
              <w:rPr>
                <w:rFonts w:ascii="Arial" w:hAnsi="Arial" w:eastAsia="等线" w:cs="Arial"/>
                <w:sz w:val="22"/>
              </w:rPr>
              <w:t>I. The customer's signature</w:t>
            </w:r>
          </w:p>
          <w:p w14:paraId="269B7953">
            <w:pPr>
              <w:spacing w:before="120" w:after="120" w:line="288" w:lineRule="auto"/>
              <w:ind w:left="0"/>
              <w:jc w:val="left"/>
            </w:pPr>
            <w:r>
              <w:rPr>
                <w:rFonts w:ascii="Arial" w:hAnsi="Arial" w:eastAsia="等线" w:cs="Arial"/>
                <w:sz w:val="22"/>
              </w:rPr>
              <w:t>II. The time of the order</w:t>
            </w:r>
          </w:p>
          <w:p w14:paraId="7A17714B">
            <w:pPr>
              <w:spacing w:before="120" w:after="120" w:line="288" w:lineRule="auto"/>
              <w:ind w:left="0"/>
              <w:jc w:val="left"/>
            </w:pPr>
            <w:r>
              <w:rPr>
                <w:rFonts w:ascii="Arial" w:hAnsi="Arial" w:eastAsia="等线" w:cs="Arial"/>
                <w:sz w:val="22"/>
              </w:rPr>
              <w:t>III. The number of shares</w:t>
            </w:r>
          </w:p>
          <w:p w14:paraId="5C6FFE27">
            <w:pPr>
              <w:spacing w:before="120" w:after="120" w:line="288" w:lineRule="auto"/>
              <w:ind w:left="0"/>
              <w:jc w:val="left"/>
            </w:pPr>
            <w:r>
              <w:rPr>
                <w:rFonts w:ascii="Arial" w:hAnsi="Arial" w:eastAsia="等线" w:cs="Arial"/>
                <w:sz w:val="22"/>
              </w:rPr>
              <w:t>IV. Whether the trade is solicited or unsolicited</w:t>
            </w:r>
          </w:p>
          <w:p w14:paraId="4E545C81">
            <w:pPr>
              <w:spacing w:before="120" w:after="120" w:line="288" w:lineRule="auto"/>
              <w:ind w:left="0"/>
              <w:jc w:val="left"/>
            </w:pPr>
            <w:r>
              <w:rPr>
                <w:rFonts w:ascii="Arial" w:hAnsi="Arial" w:eastAsia="等线" w:cs="Arial"/>
                <w:sz w:val="22"/>
              </w:rPr>
              <w:t>(A) I, II, and III</w:t>
            </w:r>
          </w:p>
          <w:p w14:paraId="6C403260">
            <w:pPr>
              <w:spacing w:before="120" w:after="120" w:line="288" w:lineRule="auto"/>
              <w:ind w:left="0"/>
              <w:jc w:val="left"/>
            </w:pPr>
            <w:r>
              <w:rPr>
                <w:rFonts w:ascii="Arial" w:hAnsi="Arial" w:eastAsia="等线" w:cs="Arial"/>
                <w:sz w:val="22"/>
              </w:rPr>
              <w:t>(B) II and III</w:t>
            </w:r>
          </w:p>
          <w:p w14:paraId="67736FBA">
            <w:pPr>
              <w:spacing w:before="120" w:after="120" w:line="288" w:lineRule="auto"/>
              <w:ind w:left="0"/>
              <w:jc w:val="left"/>
            </w:pPr>
            <w:r>
              <w:rPr>
                <w:rFonts w:ascii="Arial" w:hAnsi="Arial" w:eastAsia="等线" w:cs="Arial"/>
                <w:sz w:val="22"/>
              </w:rPr>
              <w:t>(C) II, III, and IV</w:t>
            </w:r>
          </w:p>
          <w:p w14:paraId="2129DEEF">
            <w:pPr>
              <w:spacing w:before="120" w:after="120" w:line="288" w:lineRule="auto"/>
              <w:ind w:left="0"/>
              <w:jc w:val="left"/>
            </w:pPr>
            <w:r>
              <w:rPr>
                <w:rFonts w:ascii="Arial" w:hAnsi="Arial" w:eastAsia="等线" w:cs="Arial"/>
                <w:sz w:val="22"/>
              </w:rPr>
              <w:t>(D) I, II, III, and IV</w:t>
            </w:r>
          </w:p>
          <w:p w14:paraId="2ED88955">
            <w:pPr>
              <w:spacing w:before="120" w:after="120" w:line="288" w:lineRule="auto"/>
              <w:ind w:left="0"/>
              <w:jc w:val="left"/>
            </w:pPr>
          </w:p>
          <w:p w14:paraId="6651F708">
            <w:pPr>
              <w:numPr>
                <w:ilvl w:val="0"/>
                <w:numId w:val="239"/>
              </w:numPr>
              <w:spacing w:before="120" w:after="120" w:line="288" w:lineRule="auto"/>
              <w:ind w:left="0"/>
              <w:jc w:val="left"/>
            </w:pPr>
            <w:r>
              <w:rPr>
                <w:rFonts w:ascii="Arial" w:hAnsi="Arial" w:eastAsia="等线" w:cs="Arial"/>
                <w:sz w:val="22"/>
              </w:rPr>
              <w:t>All of the following are self-regulatory organizations EXCEPT</w:t>
            </w:r>
          </w:p>
          <w:p w14:paraId="24ECE436">
            <w:pPr>
              <w:spacing w:before="120" w:after="120" w:line="288" w:lineRule="auto"/>
              <w:ind w:left="0"/>
              <w:jc w:val="left"/>
            </w:pPr>
            <w:r>
              <w:rPr>
                <w:rFonts w:ascii="Arial" w:hAnsi="Arial" w:eastAsia="等线" w:cs="Arial"/>
                <w:sz w:val="22"/>
              </w:rPr>
              <w:t xml:space="preserve"> (A) NYSE</w:t>
            </w:r>
          </w:p>
          <w:p w14:paraId="3D6C80DC">
            <w:pPr>
              <w:spacing w:before="120" w:after="120" w:line="288" w:lineRule="auto"/>
              <w:ind w:left="0"/>
              <w:jc w:val="left"/>
            </w:pPr>
            <w:r>
              <w:rPr>
                <w:rFonts w:ascii="Arial" w:hAnsi="Arial" w:eastAsia="等线" w:cs="Arial"/>
                <w:sz w:val="22"/>
              </w:rPr>
              <w:t xml:space="preserve"> (B) SEC</w:t>
            </w:r>
          </w:p>
          <w:p w14:paraId="6C4CD81E">
            <w:pPr>
              <w:spacing w:before="120" w:after="120" w:line="288" w:lineRule="auto"/>
              <w:ind w:left="0"/>
              <w:jc w:val="left"/>
            </w:pPr>
            <w:r>
              <w:rPr>
                <w:rFonts w:ascii="Arial" w:hAnsi="Arial" w:eastAsia="等线" w:cs="Arial"/>
                <w:sz w:val="22"/>
              </w:rPr>
              <w:t xml:space="preserve"> (C) MSRB</w:t>
            </w:r>
          </w:p>
          <w:p w14:paraId="1185FA9C">
            <w:pPr>
              <w:spacing w:before="120" w:after="120" w:line="288" w:lineRule="auto"/>
              <w:ind w:left="0"/>
              <w:jc w:val="left"/>
            </w:pPr>
            <w:r>
              <w:rPr>
                <w:rFonts w:ascii="Arial" w:hAnsi="Arial" w:eastAsia="等线" w:cs="Arial"/>
                <w:sz w:val="22"/>
              </w:rPr>
              <w:t xml:space="preserve"> (D) FINRA</w:t>
            </w:r>
          </w:p>
          <w:p w14:paraId="1B17CF10">
            <w:pPr>
              <w:spacing w:before="120" w:after="120" w:line="288" w:lineRule="auto"/>
              <w:ind w:left="0"/>
              <w:jc w:val="left"/>
            </w:pPr>
          </w:p>
          <w:p w14:paraId="01A844F6">
            <w:pPr>
              <w:numPr>
                <w:ilvl w:val="0"/>
                <w:numId w:val="240"/>
              </w:numPr>
              <w:spacing w:before="120" w:after="120" w:line="288" w:lineRule="auto"/>
              <w:ind w:left="0"/>
              <w:jc w:val="left"/>
            </w:pPr>
            <w:r>
              <w:rPr>
                <w:rFonts w:ascii="Arial" w:hAnsi="Arial" w:eastAsia="等线" w:cs="Arial"/>
                <w:sz w:val="22"/>
              </w:rPr>
              <w:t>Declan Smith has an account at Ayla Broker-dealer. Declan has not traded any securities at Ayla Broker-dealer for over three years. How often is Ayla Broker-dealer required to send an account statement to Declan?</w:t>
            </w:r>
          </w:p>
          <w:p w14:paraId="724969AE">
            <w:pPr>
              <w:spacing w:before="120" w:after="120" w:line="288" w:lineRule="auto"/>
              <w:ind w:left="0"/>
              <w:jc w:val="left"/>
            </w:pPr>
            <w:r>
              <w:rPr>
                <w:rFonts w:ascii="Arial" w:hAnsi="Arial" w:eastAsia="等线" w:cs="Arial"/>
                <w:sz w:val="22"/>
              </w:rPr>
              <w:t xml:space="preserve"> (A) Monthly</w:t>
            </w:r>
          </w:p>
          <w:p w14:paraId="20F45B21">
            <w:pPr>
              <w:spacing w:before="120" w:after="120" w:line="288" w:lineRule="auto"/>
              <w:ind w:left="0"/>
              <w:jc w:val="left"/>
            </w:pPr>
            <w:r>
              <w:rPr>
                <w:rFonts w:ascii="Arial" w:hAnsi="Arial" w:eastAsia="等线" w:cs="Arial"/>
                <w:sz w:val="22"/>
              </w:rPr>
              <w:t xml:space="preserve"> (B) Quarterly</w:t>
            </w:r>
          </w:p>
          <w:p w14:paraId="36B8C3FE">
            <w:pPr>
              <w:spacing w:before="120" w:after="120" w:line="288" w:lineRule="auto"/>
              <w:ind w:left="0"/>
              <w:jc w:val="left"/>
            </w:pPr>
            <w:r>
              <w:rPr>
                <w:rFonts w:ascii="Arial" w:hAnsi="Arial" w:eastAsia="等线" w:cs="Arial"/>
                <w:sz w:val="22"/>
              </w:rPr>
              <w:t xml:space="preserve"> (C) Semiannually</w:t>
            </w:r>
          </w:p>
          <w:p w14:paraId="43727823">
            <w:pPr>
              <w:spacing w:before="120" w:after="120" w:line="288" w:lineRule="auto"/>
              <w:ind w:left="0"/>
              <w:jc w:val="left"/>
            </w:pPr>
            <w:r>
              <w:rPr>
                <w:rFonts w:ascii="Arial" w:hAnsi="Arial" w:eastAsia="等线" w:cs="Arial"/>
                <w:sz w:val="22"/>
              </w:rPr>
              <w:t xml:space="preserve"> (D) Annually</w:t>
            </w:r>
          </w:p>
          <w:p w14:paraId="3CC3AC94">
            <w:pPr>
              <w:spacing w:before="120" w:after="120" w:line="288" w:lineRule="auto"/>
              <w:ind w:left="0"/>
              <w:jc w:val="left"/>
            </w:pPr>
          </w:p>
          <w:p w14:paraId="47BD5ABB">
            <w:pPr>
              <w:numPr>
                <w:ilvl w:val="0"/>
                <w:numId w:val="241"/>
              </w:numPr>
              <w:spacing w:before="120" w:after="120" w:line="288" w:lineRule="auto"/>
              <w:ind w:left="0"/>
              <w:jc w:val="left"/>
            </w:pPr>
            <w:r>
              <w:rPr>
                <w:rFonts w:ascii="Arial" w:hAnsi="Arial" w:eastAsia="等线" w:cs="Arial"/>
                <w:sz w:val="22"/>
              </w:rPr>
              <w:t>The ex-dividend date is _____ business day(s) before the record date.</w:t>
            </w:r>
          </w:p>
          <w:p w14:paraId="47802FA9">
            <w:pPr>
              <w:spacing w:before="120" w:after="120" w:line="288" w:lineRule="auto"/>
              <w:ind w:left="0"/>
              <w:jc w:val="left"/>
            </w:pPr>
            <w:r>
              <w:rPr>
                <w:rFonts w:ascii="Arial" w:hAnsi="Arial" w:eastAsia="等线" w:cs="Arial"/>
                <w:sz w:val="22"/>
              </w:rPr>
              <w:t xml:space="preserve"> (A) one</w:t>
            </w:r>
          </w:p>
          <w:p w14:paraId="6B5441CE">
            <w:pPr>
              <w:spacing w:before="120" w:after="120" w:line="288" w:lineRule="auto"/>
              <w:ind w:left="0"/>
              <w:jc w:val="left"/>
            </w:pPr>
            <w:r>
              <w:rPr>
                <w:rFonts w:ascii="Arial" w:hAnsi="Arial" w:eastAsia="等线" w:cs="Arial"/>
                <w:sz w:val="22"/>
              </w:rPr>
              <w:t xml:space="preserve"> (B) two</w:t>
            </w:r>
          </w:p>
          <w:p w14:paraId="61C908F1">
            <w:pPr>
              <w:spacing w:before="120" w:after="120" w:line="288" w:lineRule="auto"/>
              <w:ind w:left="0"/>
              <w:jc w:val="left"/>
            </w:pPr>
            <w:r>
              <w:rPr>
                <w:rFonts w:ascii="Arial" w:hAnsi="Arial" w:eastAsia="等线" w:cs="Arial"/>
                <w:sz w:val="22"/>
              </w:rPr>
              <w:t xml:space="preserve"> (C) three</w:t>
            </w:r>
          </w:p>
          <w:p w14:paraId="0908E3D7">
            <w:pPr>
              <w:spacing w:before="120" w:after="120" w:line="288" w:lineRule="auto"/>
              <w:ind w:left="0"/>
              <w:jc w:val="left"/>
            </w:pPr>
            <w:r>
              <w:rPr>
                <w:rFonts w:ascii="Arial" w:hAnsi="Arial" w:eastAsia="等线" w:cs="Arial"/>
                <w:sz w:val="22"/>
              </w:rPr>
              <w:t xml:space="preserve"> (D) five</w:t>
            </w:r>
          </w:p>
          <w:p w14:paraId="6F876221">
            <w:pPr>
              <w:spacing w:before="120" w:after="120" w:line="288" w:lineRule="auto"/>
              <w:ind w:left="0"/>
              <w:jc w:val="left"/>
            </w:pPr>
          </w:p>
          <w:p w14:paraId="52C5EEF4">
            <w:pPr>
              <w:numPr>
                <w:ilvl w:val="0"/>
                <w:numId w:val="242"/>
              </w:numPr>
              <w:spacing w:before="120" w:after="120" w:line="288" w:lineRule="auto"/>
              <w:ind w:left="0"/>
              <w:jc w:val="left"/>
            </w:pPr>
            <w:r>
              <w:rPr>
                <w:rFonts w:ascii="Arial" w:hAnsi="Arial" w:eastAsia="等线" w:cs="Arial"/>
                <w:sz w:val="22"/>
              </w:rPr>
              <w:t>Which of the following is a violation that includes a form of market manipulation?</w:t>
            </w:r>
          </w:p>
          <w:p w14:paraId="1879A64D">
            <w:pPr>
              <w:spacing w:before="120" w:after="120" w:line="288" w:lineRule="auto"/>
              <w:ind w:left="0"/>
              <w:jc w:val="left"/>
            </w:pPr>
            <w:r>
              <w:rPr>
                <w:rFonts w:ascii="Arial" w:hAnsi="Arial" w:eastAsia="等线" w:cs="Arial"/>
                <w:sz w:val="22"/>
              </w:rPr>
              <w:t xml:space="preserve"> (A) Commingling</w:t>
            </w:r>
          </w:p>
          <w:p w14:paraId="4B15D309">
            <w:pPr>
              <w:spacing w:before="120" w:after="120" w:line="288" w:lineRule="auto"/>
              <w:ind w:left="0"/>
              <w:jc w:val="left"/>
            </w:pPr>
            <w:r>
              <w:rPr>
                <w:rFonts w:ascii="Arial" w:hAnsi="Arial" w:eastAsia="等线" w:cs="Arial"/>
                <w:sz w:val="22"/>
              </w:rPr>
              <w:t xml:space="preserve"> (B) Frontrunning</w:t>
            </w:r>
          </w:p>
          <w:p w14:paraId="78C446DF">
            <w:pPr>
              <w:spacing w:before="120" w:after="120" w:line="288" w:lineRule="auto"/>
              <w:ind w:left="0"/>
              <w:jc w:val="left"/>
            </w:pPr>
            <w:r>
              <w:rPr>
                <w:rFonts w:ascii="Arial" w:hAnsi="Arial" w:eastAsia="等线" w:cs="Arial"/>
                <w:sz w:val="22"/>
              </w:rPr>
              <w:t xml:space="preserve"> (C) Pump and dump</w:t>
            </w:r>
          </w:p>
          <w:p w14:paraId="7E9BCB25">
            <w:pPr>
              <w:spacing w:before="120" w:after="120" w:line="288" w:lineRule="auto"/>
              <w:ind w:left="0"/>
              <w:jc w:val="left"/>
            </w:pPr>
            <w:r>
              <w:rPr>
                <w:rFonts w:ascii="Arial" w:hAnsi="Arial" w:eastAsia="等线" w:cs="Arial"/>
                <w:sz w:val="22"/>
              </w:rPr>
              <w:t xml:space="preserve"> (D) Interpositioning</w:t>
            </w:r>
          </w:p>
          <w:p w14:paraId="75F415D0">
            <w:pPr>
              <w:spacing w:before="120" w:after="120" w:line="288" w:lineRule="auto"/>
              <w:ind w:left="0"/>
              <w:jc w:val="left"/>
            </w:pPr>
          </w:p>
          <w:p w14:paraId="21A5F85D">
            <w:pPr>
              <w:numPr>
                <w:ilvl w:val="0"/>
                <w:numId w:val="243"/>
              </w:numPr>
              <w:spacing w:before="120" w:after="120" w:line="288" w:lineRule="auto"/>
              <w:ind w:left="0"/>
              <w:jc w:val="left"/>
            </w:pPr>
            <w:r>
              <w:rPr>
                <w:rFonts w:ascii="Arial" w:hAnsi="Arial" w:eastAsia="等线" w:cs="Arial"/>
                <w:sz w:val="22"/>
              </w:rPr>
              <w:t>Which of the following are subject to the FINRA 5 percent markup policy?</w:t>
            </w:r>
          </w:p>
          <w:p w14:paraId="1F8A06AD">
            <w:pPr>
              <w:spacing w:before="120" w:after="120" w:line="288" w:lineRule="auto"/>
              <w:ind w:left="0"/>
              <w:jc w:val="left"/>
            </w:pPr>
            <w:r>
              <w:rPr>
                <w:rFonts w:ascii="Arial" w:hAnsi="Arial" w:eastAsia="等线" w:cs="Arial"/>
                <w:sz w:val="22"/>
              </w:rPr>
              <w:t xml:space="preserve"> I. Principal transactions</w:t>
            </w:r>
          </w:p>
          <w:p w14:paraId="6401AB18">
            <w:pPr>
              <w:spacing w:before="120" w:after="120" w:line="288" w:lineRule="auto"/>
              <w:ind w:left="0"/>
              <w:jc w:val="left"/>
            </w:pPr>
            <w:r>
              <w:rPr>
                <w:rFonts w:ascii="Arial" w:hAnsi="Arial" w:eastAsia="等线" w:cs="Arial"/>
                <w:sz w:val="22"/>
              </w:rPr>
              <w:t xml:space="preserve"> II. Agency transactions</w:t>
            </w:r>
          </w:p>
          <w:p w14:paraId="11AFE09D">
            <w:pPr>
              <w:spacing w:before="120" w:after="120" w:line="288" w:lineRule="auto"/>
              <w:ind w:left="0"/>
              <w:jc w:val="left"/>
            </w:pPr>
            <w:r>
              <w:rPr>
                <w:rFonts w:ascii="Arial" w:hAnsi="Arial" w:eastAsia="等线" w:cs="Arial"/>
                <w:sz w:val="22"/>
              </w:rPr>
              <w:t xml:space="preserve"> III. Riskless transactions</w:t>
            </w:r>
          </w:p>
          <w:p w14:paraId="1FA9381F">
            <w:pPr>
              <w:spacing w:before="120" w:after="120" w:line="288" w:lineRule="auto"/>
              <w:ind w:left="0"/>
              <w:jc w:val="left"/>
            </w:pPr>
            <w:r>
              <w:rPr>
                <w:rFonts w:ascii="Arial" w:hAnsi="Arial" w:eastAsia="等线" w:cs="Arial"/>
                <w:sz w:val="22"/>
              </w:rPr>
              <w:t xml:space="preserve"> IV. Proceeds transactions</w:t>
            </w:r>
          </w:p>
          <w:p w14:paraId="163A84C3">
            <w:pPr>
              <w:spacing w:before="120" w:after="120" w:line="288" w:lineRule="auto"/>
              <w:ind w:left="0"/>
              <w:jc w:val="left"/>
            </w:pPr>
            <w:r>
              <w:rPr>
                <w:rFonts w:ascii="Arial" w:hAnsi="Arial" w:eastAsia="等线" w:cs="Arial"/>
                <w:sz w:val="22"/>
              </w:rPr>
              <w:t xml:space="preserve"> (A) I and III</w:t>
            </w:r>
          </w:p>
          <w:p w14:paraId="54870250">
            <w:pPr>
              <w:spacing w:before="120" w:after="120" w:line="288" w:lineRule="auto"/>
              <w:ind w:left="0"/>
              <w:jc w:val="left"/>
            </w:pPr>
            <w:r>
              <w:rPr>
                <w:rFonts w:ascii="Arial" w:hAnsi="Arial" w:eastAsia="等线" w:cs="Arial"/>
                <w:sz w:val="22"/>
              </w:rPr>
              <w:t xml:space="preserve"> (B) II, III, and IV</w:t>
            </w:r>
          </w:p>
          <w:p w14:paraId="79F4DDF1">
            <w:pPr>
              <w:spacing w:before="120" w:after="120" w:line="288" w:lineRule="auto"/>
              <w:ind w:left="0"/>
              <w:jc w:val="left"/>
            </w:pPr>
            <w:r>
              <w:rPr>
                <w:rFonts w:ascii="Arial" w:hAnsi="Arial" w:eastAsia="等线" w:cs="Arial"/>
                <w:sz w:val="22"/>
              </w:rPr>
              <w:t xml:space="preserve"> (C) I, III, and IV</w:t>
            </w:r>
          </w:p>
          <w:p w14:paraId="4A965775">
            <w:pPr>
              <w:spacing w:before="120" w:after="120" w:line="288" w:lineRule="auto"/>
              <w:ind w:left="0"/>
              <w:jc w:val="left"/>
            </w:pPr>
            <w:r>
              <w:rPr>
                <w:rFonts w:ascii="Arial" w:hAnsi="Arial" w:eastAsia="等线" w:cs="Arial"/>
                <w:sz w:val="22"/>
              </w:rPr>
              <w:t xml:space="preserve"> (D) I, II, III, and IV</w:t>
            </w:r>
          </w:p>
          <w:p w14:paraId="1D6D36E6">
            <w:pPr>
              <w:spacing w:before="120" w:after="120" w:line="288" w:lineRule="auto"/>
              <w:ind w:left="0"/>
              <w:jc w:val="left"/>
            </w:pPr>
          </w:p>
          <w:p w14:paraId="3F5356F5">
            <w:pPr>
              <w:numPr>
                <w:ilvl w:val="0"/>
                <w:numId w:val="244"/>
              </w:numPr>
              <w:spacing w:before="120" w:after="120" w:line="288" w:lineRule="auto"/>
              <w:ind w:left="0"/>
              <w:jc w:val="left"/>
            </w:pPr>
            <w:r>
              <w:rPr>
                <w:rFonts w:ascii="Arial" w:hAnsi="Arial" w:eastAsia="等线" w:cs="Arial"/>
                <w:sz w:val="22"/>
              </w:rPr>
              <w:t>Which of the following is an indication of money laundering when a customer opens an account?</w:t>
            </w:r>
          </w:p>
          <w:p w14:paraId="092ADFBC">
            <w:pPr>
              <w:spacing w:before="120" w:after="120" w:line="288" w:lineRule="auto"/>
              <w:ind w:left="453"/>
              <w:jc w:val="left"/>
            </w:pPr>
            <w:r>
              <w:rPr>
                <w:rFonts w:ascii="Arial" w:hAnsi="Arial" w:eastAsia="等线" w:cs="Arial"/>
                <w:sz w:val="22"/>
              </w:rPr>
              <w:t>(A) Concern with U.S. government reporting requirements</w:t>
            </w:r>
          </w:p>
          <w:p w14:paraId="6A266B84">
            <w:pPr>
              <w:spacing w:before="120" w:after="120" w:line="288" w:lineRule="auto"/>
              <w:ind w:left="453"/>
              <w:jc w:val="left"/>
            </w:pPr>
            <w:r>
              <w:rPr>
                <w:rFonts w:ascii="Arial" w:hAnsi="Arial" w:eastAsia="等线" w:cs="Arial"/>
                <w:sz w:val="22"/>
              </w:rPr>
              <w:t>(B) Reluctance to reveal information about business activities</w:t>
            </w:r>
          </w:p>
          <w:p w14:paraId="093FDE06">
            <w:pPr>
              <w:spacing w:before="120" w:after="120" w:line="288" w:lineRule="auto"/>
              <w:ind w:left="453"/>
              <w:jc w:val="left"/>
            </w:pPr>
            <w:r>
              <w:rPr>
                <w:rFonts w:ascii="Arial" w:hAnsi="Arial" w:eastAsia="等线" w:cs="Arial"/>
                <w:sz w:val="22"/>
              </w:rPr>
              <w:t>(C) Questionable ID</w:t>
            </w:r>
          </w:p>
          <w:p w14:paraId="6E6E8687">
            <w:pPr>
              <w:spacing w:before="120" w:after="120" w:line="288" w:lineRule="auto"/>
              <w:ind w:left="453"/>
              <w:jc w:val="left"/>
            </w:pPr>
            <w:r>
              <w:rPr>
                <w:rFonts w:ascii="Arial" w:hAnsi="Arial" w:eastAsia="等线" w:cs="Arial"/>
                <w:sz w:val="22"/>
              </w:rPr>
              <w:t>(D) All of the above</w:t>
            </w:r>
          </w:p>
          <w:p w14:paraId="14802AE9">
            <w:pPr>
              <w:spacing w:before="120" w:after="120" w:line="288" w:lineRule="auto"/>
              <w:ind w:left="0"/>
              <w:jc w:val="left"/>
            </w:pPr>
          </w:p>
          <w:p w14:paraId="70620CED">
            <w:pPr>
              <w:numPr>
                <w:ilvl w:val="0"/>
                <w:numId w:val="245"/>
              </w:numPr>
              <w:spacing w:before="120" w:after="120" w:line="288" w:lineRule="auto"/>
              <w:ind w:left="0"/>
              <w:jc w:val="left"/>
            </w:pPr>
            <w:r>
              <w:rPr>
                <w:rFonts w:ascii="Arial" w:hAnsi="Arial" w:eastAsia="等线" w:cs="Arial"/>
                <w:sz w:val="22"/>
              </w:rPr>
              <w:t>A person will be statutorily disqualified from membership from FINRA under which of the following circumstances?</w:t>
            </w:r>
          </w:p>
          <w:p w14:paraId="66A9E90D">
            <w:pPr>
              <w:spacing w:before="120" w:after="120" w:line="288" w:lineRule="auto"/>
              <w:ind w:left="0"/>
              <w:jc w:val="left"/>
            </w:pPr>
            <w:r>
              <w:rPr>
                <w:rFonts w:ascii="Arial" w:hAnsi="Arial" w:eastAsia="等线" w:cs="Arial"/>
                <w:sz w:val="22"/>
              </w:rPr>
              <w:t xml:space="preserve"> I. If they had a felony conviction within the last 15 years</w:t>
            </w:r>
          </w:p>
          <w:p w14:paraId="3A2EA911">
            <w:pPr>
              <w:spacing w:before="120" w:after="120" w:line="288" w:lineRule="auto"/>
              <w:ind w:left="0"/>
              <w:jc w:val="left"/>
            </w:pPr>
            <w:r>
              <w:rPr>
                <w:rFonts w:ascii="Arial" w:hAnsi="Arial" w:eastAsia="等线" w:cs="Arial"/>
                <w:sz w:val="22"/>
              </w:rPr>
              <w:t xml:space="preserve"> II. If they have been barred from membership in an SRO</w:t>
            </w:r>
          </w:p>
          <w:p w14:paraId="504F8A90">
            <w:pPr>
              <w:spacing w:before="120" w:after="120" w:line="288" w:lineRule="auto"/>
              <w:ind w:left="0"/>
              <w:jc w:val="left"/>
            </w:pPr>
            <w:r>
              <w:rPr>
                <w:rFonts w:ascii="Arial" w:hAnsi="Arial" w:eastAsia="等线" w:cs="Arial"/>
                <w:sz w:val="22"/>
              </w:rPr>
              <w:t xml:space="preserve"> III. If they have made false statements on their application</w:t>
            </w:r>
          </w:p>
          <w:p w14:paraId="0B16CF44">
            <w:pPr>
              <w:spacing w:before="120" w:after="120" w:line="288" w:lineRule="auto"/>
              <w:ind w:left="0"/>
              <w:jc w:val="left"/>
            </w:pPr>
            <w:r>
              <w:rPr>
                <w:rFonts w:ascii="Arial" w:hAnsi="Arial" w:eastAsia="等线" w:cs="Arial"/>
                <w:sz w:val="22"/>
              </w:rPr>
              <w:t xml:space="preserve"> (A) I and III</w:t>
            </w:r>
          </w:p>
          <w:p w14:paraId="6990EF37">
            <w:pPr>
              <w:spacing w:before="120" w:after="120" w:line="288" w:lineRule="auto"/>
              <w:ind w:left="0"/>
              <w:jc w:val="left"/>
            </w:pPr>
            <w:r>
              <w:rPr>
                <w:rFonts w:ascii="Arial" w:hAnsi="Arial" w:eastAsia="等线" w:cs="Arial"/>
                <w:sz w:val="22"/>
              </w:rPr>
              <w:t xml:space="preserve"> (B) II and III</w:t>
            </w:r>
          </w:p>
          <w:p w14:paraId="5A9D6EC9">
            <w:pPr>
              <w:spacing w:before="120" w:after="120" w:line="288" w:lineRule="auto"/>
              <w:ind w:left="0"/>
              <w:jc w:val="left"/>
            </w:pPr>
            <w:r>
              <w:rPr>
                <w:rFonts w:ascii="Arial" w:hAnsi="Arial" w:eastAsia="等线" w:cs="Arial"/>
                <w:sz w:val="22"/>
              </w:rPr>
              <w:t xml:space="preserve"> (C) I and II</w:t>
            </w:r>
          </w:p>
          <w:p w14:paraId="6A860EF9">
            <w:pPr>
              <w:spacing w:before="120" w:after="120" w:line="288" w:lineRule="auto"/>
              <w:ind w:left="0"/>
              <w:jc w:val="left"/>
            </w:pPr>
            <w:r>
              <w:rPr>
                <w:rFonts w:ascii="Arial" w:hAnsi="Arial" w:eastAsia="等线" w:cs="Arial"/>
                <w:sz w:val="22"/>
              </w:rPr>
              <w:t xml:space="preserve"> (D) I, II, and III</w:t>
            </w:r>
          </w:p>
          <w:p w14:paraId="631BE904">
            <w:pPr>
              <w:spacing w:before="120" w:after="120" w:line="288" w:lineRule="auto"/>
              <w:ind w:left="0"/>
              <w:jc w:val="left"/>
            </w:pPr>
          </w:p>
          <w:p w14:paraId="59AC29F3">
            <w:pPr>
              <w:numPr>
                <w:ilvl w:val="0"/>
                <w:numId w:val="246"/>
              </w:numPr>
              <w:spacing w:before="120" w:after="120" w:line="288" w:lineRule="auto"/>
              <w:ind w:left="0"/>
              <w:jc w:val="left"/>
            </w:pPr>
            <w:r>
              <w:rPr>
                <w:rFonts w:ascii="Arial" w:hAnsi="Arial" w:eastAsia="等线" w:cs="Arial"/>
                <w:sz w:val="22"/>
              </w:rPr>
              <w:t>If you resign from a brokerage firm, how long do you have to register with another firm so that you don’t have to take your securities exams again?</w:t>
            </w:r>
          </w:p>
          <w:p w14:paraId="617A08DF">
            <w:pPr>
              <w:spacing w:before="120" w:after="120" w:line="288" w:lineRule="auto"/>
              <w:ind w:left="0"/>
              <w:jc w:val="left"/>
            </w:pPr>
            <w:r>
              <w:rPr>
                <w:rFonts w:ascii="Arial" w:hAnsi="Arial" w:eastAsia="等线" w:cs="Arial"/>
                <w:sz w:val="22"/>
              </w:rPr>
              <w:t xml:space="preserve"> (A) 90 days</w:t>
            </w:r>
          </w:p>
          <w:p w14:paraId="2065F74B">
            <w:pPr>
              <w:spacing w:before="120" w:after="120" w:line="288" w:lineRule="auto"/>
              <w:ind w:left="0"/>
              <w:jc w:val="left"/>
            </w:pPr>
            <w:r>
              <w:rPr>
                <w:rFonts w:ascii="Arial" w:hAnsi="Arial" w:eastAsia="等线" w:cs="Arial"/>
                <w:sz w:val="22"/>
              </w:rPr>
              <w:t xml:space="preserve"> (B) 6 months</w:t>
            </w:r>
          </w:p>
          <w:p w14:paraId="68D76A24">
            <w:pPr>
              <w:spacing w:before="120" w:after="120" w:line="288" w:lineRule="auto"/>
              <w:ind w:left="0"/>
              <w:jc w:val="left"/>
            </w:pPr>
            <w:r>
              <w:rPr>
                <w:rFonts w:ascii="Arial" w:hAnsi="Arial" w:eastAsia="等线" w:cs="Arial"/>
                <w:sz w:val="22"/>
              </w:rPr>
              <w:t xml:space="preserve"> (C) 1 year</w:t>
            </w:r>
          </w:p>
          <w:p w14:paraId="2D37068B">
            <w:pPr>
              <w:spacing w:before="120" w:after="120" w:line="288" w:lineRule="auto"/>
              <w:ind w:left="0"/>
              <w:jc w:val="left"/>
            </w:pPr>
            <w:r>
              <w:rPr>
                <w:rFonts w:ascii="Arial" w:hAnsi="Arial" w:eastAsia="等线" w:cs="Arial"/>
                <w:sz w:val="22"/>
              </w:rPr>
              <w:t xml:space="preserve"> (D) 2 years</w:t>
            </w:r>
          </w:p>
          <w:p w14:paraId="6680EBB6">
            <w:pPr>
              <w:spacing w:before="120" w:after="120" w:line="288" w:lineRule="auto"/>
              <w:ind w:left="0"/>
              <w:jc w:val="left"/>
            </w:pPr>
          </w:p>
          <w:p w14:paraId="3C9C388B">
            <w:pPr>
              <w:numPr>
                <w:ilvl w:val="0"/>
                <w:numId w:val="247"/>
              </w:numPr>
              <w:spacing w:before="120" w:after="120" w:line="288" w:lineRule="auto"/>
              <w:ind w:left="0"/>
              <w:jc w:val="left"/>
            </w:pPr>
            <w:r>
              <w:rPr>
                <w:rFonts w:ascii="Arial" w:hAnsi="Arial" w:eastAsia="等线" w:cs="Arial"/>
                <w:sz w:val="22"/>
              </w:rPr>
              <w:t>Which of the following are violations?</w:t>
            </w:r>
          </w:p>
          <w:p w14:paraId="39C10993">
            <w:pPr>
              <w:spacing w:before="120" w:after="120" w:line="288" w:lineRule="auto"/>
              <w:ind w:left="0"/>
              <w:jc w:val="left"/>
            </w:pPr>
            <w:r>
              <w:rPr>
                <w:rFonts w:ascii="Arial" w:hAnsi="Arial" w:eastAsia="等线" w:cs="Arial"/>
                <w:sz w:val="22"/>
              </w:rPr>
              <w:t>(A) Commingling of funds</w:t>
            </w:r>
          </w:p>
          <w:p w14:paraId="663896CF">
            <w:pPr>
              <w:spacing w:before="120" w:after="120" w:line="288" w:lineRule="auto"/>
              <w:ind w:left="0"/>
              <w:jc w:val="left"/>
            </w:pPr>
            <w:r>
              <w:rPr>
                <w:rFonts w:ascii="Arial" w:hAnsi="Arial" w:eastAsia="等线" w:cs="Arial"/>
                <w:sz w:val="22"/>
              </w:rPr>
              <w:t>(B) Interpositioning</w:t>
            </w:r>
          </w:p>
          <w:p w14:paraId="6617B6A3">
            <w:pPr>
              <w:spacing w:before="120" w:after="120" w:line="288" w:lineRule="auto"/>
              <w:ind w:left="0"/>
              <w:jc w:val="left"/>
            </w:pPr>
            <w:r>
              <w:rPr>
                <w:rFonts w:ascii="Arial" w:hAnsi="Arial" w:eastAsia="等线" w:cs="Arial"/>
                <w:sz w:val="22"/>
              </w:rPr>
              <w:t>(C) Signatures of convenience</w:t>
            </w:r>
          </w:p>
          <w:p w14:paraId="4C5DA829">
            <w:pPr>
              <w:spacing w:before="120" w:after="120" w:line="288" w:lineRule="auto"/>
              <w:ind w:left="0"/>
              <w:jc w:val="left"/>
            </w:pPr>
            <w:r>
              <w:rPr>
                <w:rFonts w:ascii="Arial" w:hAnsi="Arial" w:eastAsia="等线" w:cs="Arial"/>
                <w:sz w:val="22"/>
              </w:rPr>
              <w:t>(D) All of the above</w:t>
            </w:r>
          </w:p>
          <w:p w14:paraId="22928488">
            <w:pPr>
              <w:spacing w:before="120" w:after="120" w:line="288" w:lineRule="auto"/>
              <w:ind w:left="0"/>
              <w:jc w:val="left"/>
            </w:pPr>
          </w:p>
          <w:p w14:paraId="383980E1">
            <w:pPr>
              <w:numPr>
                <w:ilvl w:val="0"/>
                <w:numId w:val="248"/>
              </w:numPr>
              <w:spacing w:before="120" w:after="120" w:line="288" w:lineRule="auto"/>
              <w:ind w:left="0"/>
              <w:jc w:val="left"/>
            </w:pPr>
            <w:r>
              <w:rPr>
                <w:rFonts w:ascii="Arial" w:hAnsi="Arial" w:eastAsia="等线" w:cs="Arial"/>
                <w:sz w:val="22"/>
              </w:rPr>
              <w:t>Which of the following securities transactions settle in two business days after the trade date?</w:t>
            </w:r>
          </w:p>
          <w:p w14:paraId="3DAD91E3">
            <w:pPr>
              <w:spacing w:before="120" w:after="120" w:line="288" w:lineRule="auto"/>
              <w:ind w:left="0"/>
              <w:jc w:val="left"/>
            </w:pPr>
            <w:r>
              <w:rPr>
                <w:rFonts w:ascii="Arial" w:hAnsi="Arial" w:eastAsia="等线" w:cs="Arial"/>
                <w:sz w:val="22"/>
              </w:rPr>
              <w:t>I. Stock and corporate bond transactions</w:t>
            </w:r>
          </w:p>
          <w:p w14:paraId="135F33BC">
            <w:pPr>
              <w:spacing w:before="120" w:after="120" w:line="288" w:lineRule="auto"/>
              <w:ind w:left="0"/>
              <w:jc w:val="left"/>
            </w:pPr>
            <w:r>
              <w:rPr>
                <w:rFonts w:ascii="Arial" w:hAnsi="Arial" w:eastAsia="等线" w:cs="Arial"/>
                <w:sz w:val="22"/>
              </w:rPr>
              <w:t>II. Municipal bond transactions</w:t>
            </w:r>
          </w:p>
          <w:p w14:paraId="5A9D1AAE">
            <w:pPr>
              <w:spacing w:before="120" w:after="120" w:line="288" w:lineRule="auto"/>
              <w:ind w:left="0"/>
              <w:jc w:val="left"/>
            </w:pPr>
            <w:r>
              <w:rPr>
                <w:rFonts w:ascii="Arial" w:hAnsi="Arial" w:eastAsia="等线" w:cs="Arial"/>
                <w:sz w:val="22"/>
              </w:rPr>
              <w:t>III. U.S. government bond transactions</w:t>
            </w:r>
          </w:p>
          <w:p w14:paraId="2B816774">
            <w:pPr>
              <w:spacing w:before="120" w:after="120" w:line="288" w:lineRule="auto"/>
              <w:ind w:left="0"/>
              <w:jc w:val="left"/>
            </w:pPr>
            <w:r>
              <w:rPr>
                <w:rFonts w:ascii="Arial" w:hAnsi="Arial" w:eastAsia="等线" w:cs="Arial"/>
                <w:sz w:val="22"/>
              </w:rPr>
              <w:t>IV. Option transactions</w:t>
            </w:r>
          </w:p>
          <w:p w14:paraId="42B61021">
            <w:pPr>
              <w:spacing w:before="120" w:after="120" w:line="288" w:lineRule="auto"/>
              <w:ind w:left="0"/>
              <w:jc w:val="left"/>
            </w:pPr>
            <w:r>
              <w:rPr>
                <w:rFonts w:ascii="Arial" w:hAnsi="Arial" w:eastAsia="等线" w:cs="Arial"/>
                <w:sz w:val="22"/>
              </w:rPr>
              <w:t>(A) I, III, and IV</w:t>
            </w:r>
          </w:p>
          <w:p w14:paraId="1A6FFC7A">
            <w:pPr>
              <w:spacing w:before="120" w:after="120" w:line="288" w:lineRule="auto"/>
              <w:ind w:left="0"/>
              <w:jc w:val="left"/>
            </w:pPr>
            <w:r>
              <w:rPr>
                <w:rFonts w:ascii="Arial" w:hAnsi="Arial" w:eastAsia="等线" w:cs="Arial"/>
                <w:sz w:val="22"/>
              </w:rPr>
              <w:t>(B) II and III</w:t>
            </w:r>
          </w:p>
          <w:p w14:paraId="05815008">
            <w:pPr>
              <w:spacing w:before="120" w:after="120" w:line="288" w:lineRule="auto"/>
              <w:ind w:left="0"/>
              <w:jc w:val="left"/>
            </w:pPr>
            <w:r>
              <w:rPr>
                <w:rFonts w:ascii="Arial" w:hAnsi="Arial" w:eastAsia="等线" w:cs="Arial"/>
                <w:sz w:val="22"/>
              </w:rPr>
              <w:t>(C) I and II</w:t>
            </w:r>
          </w:p>
          <w:p w14:paraId="7E3ED987">
            <w:pPr>
              <w:spacing w:before="120" w:after="120" w:line="288" w:lineRule="auto"/>
              <w:ind w:left="0"/>
              <w:jc w:val="left"/>
            </w:pPr>
            <w:r>
              <w:rPr>
                <w:rFonts w:ascii="Arial" w:hAnsi="Arial" w:eastAsia="等线" w:cs="Arial"/>
                <w:sz w:val="22"/>
              </w:rPr>
              <w:t>(D) I, II, III, and IV</w:t>
            </w:r>
          </w:p>
          <w:p w14:paraId="1BB373C5">
            <w:pPr>
              <w:spacing w:before="120" w:after="120" w:line="288" w:lineRule="auto"/>
              <w:ind w:left="0"/>
              <w:jc w:val="left"/>
            </w:pPr>
          </w:p>
          <w:p w14:paraId="4B3AB081">
            <w:pPr>
              <w:numPr>
                <w:ilvl w:val="0"/>
                <w:numId w:val="249"/>
              </w:numPr>
              <w:spacing w:before="120" w:after="120" w:line="288" w:lineRule="auto"/>
              <w:ind w:left="0"/>
              <w:jc w:val="left"/>
            </w:pPr>
            <w:r>
              <w:rPr>
                <w:rFonts w:ascii="Arial" w:hAnsi="Arial" w:eastAsia="等线" w:cs="Arial"/>
                <w:sz w:val="22"/>
              </w:rPr>
              <w:t>Broker-dealers, investment companies, and investment advisers must have written policies designed to protect customers’ records and information. This rule falls under</w:t>
            </w:r>
          </w:p>
          <w:p w14:paraId="57945AAD">
            <w:pPr>
              <w:spacing w:before="120" w:after="120" w:line="288" w:lineRule="auto"/>
              <w:ind w:left="0"/>
              <w:jc w:val="left"/>
            </w:pPr>
            <w:r>
              <w:rPr>
                <w:rFonts w:ascii="Arial" w:hAnsi="Arial" w:eastAsia="等线" w:cs="Arial"/>
                <w:sz w:val="22"/>
              </w:rPr>
              <w:t>(A) Regulation S-P</w:t>
            </w:r>
          </w:p>
          <w:p w14:paraId="7D14E146">
            <w:pPr>
              <w:spacing w:before="120" w:after="120" w:line="288" w:lineRule="auto"/>
              <w:ind w:left="0"/>
              <w:jc w:val="left"/>
            </w:pPr>
            <w:r>
              <w:rPr>
                <w:rFonts w:ascii="Arial" w:hAnsi="Arial" w:eastAsia="等线" w:cs="Arial"/>
                <w:sz w:val="22"/>
              </w:rPr>
              <w:t>(B) Regulation D</w:t>
            </w:r>
          </w:p>
          <w:p w14:paraId="5568F96C">
            <w:pPr>
              <w:spacing w:before="120" w:after="120" w:line="288" w:lineRule="auto"/>
              <w:ind w:left="0"/>
              <w:jc w:val="left"/>
            </w:pPr>
            <w:r>
              <w:rPr>
                <w:rFonts w:ascii="Arial" w:hAnsi="Arial" w:eastAsia="等线" w:cs="Arial"/>
                <w:sz w:val="22"/>
              </w:rPr>
              <w:t>(C) Regulation M</w:t>
            </w:r>
          </w:p>
          <w:p w14:paraId="17937F7A">
            <w:pPr>
              <w:spacing w:before="120" w:after="120" w:line="288" w:lineRule="auto"/>
              <w:ind w:left="0"/>
              <w:jc w:val="left"/>
            </w:pPr>
            <w:r>
              <w:rPr>
                <w:rFonts w:ascii="Arial" w:hAnsi="Arial" w:eastAsia="等线" w:cs="Arial"/>
                <w:sz w:val="22"/>
              </w:rPr>
              <w:t>(D) Regulation T</w:t>
            </w:r>
          </w:p>
          <w:p w14:paraId="6BF21C4D">
            <w:pPr>
              <w:spacing w:before="120" w:after="120" w:line="288" w:lineRule="auto"/>
              <w:ind w:left="0"/>
              <w:jc w:val="left"/>
            </w:pPr>
          </w:p>
          <w:p w14:paraId="0AD9324D">
            <w:pPr>
              <w:numPr>
                <w:ilvl w:val="0"/>
                <w:numId w:val="250"/>
              </w:numPr>
              <w:spacing w:before="120" w:after="120" w:line="288" w:lineRule="auto"/>
              <w:ind w:left="0"/>
              <w:jc w:val="left"/>
            </w:pPr>
            <w:r>
              <w:rPr>
                <w:rFonts w:ascii="Arial" w:hAnsi="Arial" w:eastAsia="等线" w:cs="Arial"/>
                <w:sz w:val="22"/>
              </w:rPr>
              <w:t>All of the following must be included on a trade confirmation EXCEPT</w:t>
            </w:r>
          </w:p>
          <w:p w14:paraId="67942680">
            <w:pPr>
              <w:spacing w:before="120" w:after="120" w:line="288" w:lineRule="auto"/>
              <w:ind w:left="0"/>
              <w:jc w:val="left"/>
            </w:pPr>
            <w:r>
              <w:rPr>
                <w:rFonts w:ascii="Arial" w:hAnsi="Arial" w:eastAsia="等线" w:cs="Arial"/>
                <w:sz w:val="22"/>
              </w:rPr>
              <w:t>(A) a description of the security</w:t>
            </w:r>
          </w:p>
          <w:p w14:paraId="66F0BB2E">
            <w:pPr>
              <w:spacing w:before="120" w:after="120" w:line="288" w:lineRule="auto"/>
              <w:ind w:left="0"/>
              <w:jc w:val="left"/>
            </w:pPr>
            <w:r>
              <w:rPr>
                <w:rFonts w:ascii="Arial" w:hAnsi="Arial" w:eastAsia="等线" w:cs="Arial"/>
                <w:sz w:val="22"/>
              </w:rPr>
              <w:t>(B) the markup or markdown</w:t>
            </w:r>
          </w:p>
          <w:p w14:paraId="096A328B">
            <w:pPr>
              <w:spacing w:before="120" w:after="120" w:line="288" w:lineRule="auto"/>
              <w:ind w:left="0"/>
              <w:jc w:val="left"/>
            </w:pPr>
            <w:r>
              <w:rPr>
                <w:rFonts w:ascii="Arial" w:hAnsi="Arial" w:eastAsia="等线" w:cs="Arial"/>
                <w:sz w:val="22"/>
              </w:rPr>
              <w:t>(C) the registered rep’s ID number</w:t>
            </w:r>
          </w:p>
          <w:p w14:paraId="5D4E1FC1">
            <w:pPr>
              <w:spacing w:before="120" w:after="120" w:line="288" w:lineRule="auto"/>
              <w:ind w:left="0"/>
              <w:jc w:val="left"/>
            </w:pPr>
            <w:r>
              <w:rPr>
                <w:rFonts w:ascii="Arial" w:hAnsi="Arial" w:eastAsia="等线" w:cs="Arial"/>
                <w:sz w:val="22"/>
              </w:rPr>
              <w:t>(D) the commission</w:t>
            </w:r>
          </w:p>
          <w:p w14:paraId="0B728CB6">
            <w:pPr>
              <w:spacing w:before="120" w:after="120" w:line="288" w:lineRule="auto"/>
              <w:ind w:left="0"/>
              <w:jc w:val="left"/>
            </w:pPr>
          </w:p>
          <w:p w14:paraId="1F2372CF">
            <w:pPr>
              <w:numPr>
                <w:ilvl w:val="0"/>
                <w:numId w:val="251"/>
              </w:numPr>
              <w:spacing w:before="120" w:after="120" w:line="288" w:lineRule="auto"/>
              <w:ind w:left="0"/>
              <w:jc w:val="left"/>
            </w:pPr>
            <w:r>
              <w:rPr>
                <w:rFonts w:ascii="Arial" w:hAnsi="Arial" w:eastAsia="等线" w:cs="Arial"/>
                <w:sz w:val="22"/>
              </w:rPr>
              <w:t>Zimbot Corporation has just announced a 30-cent dividend to shareholders of record. If the record date is Friday, October 8, when is the first day an investor can purchase the stock and not receive the dividend?</w:t>
            </w:r>
          </w:p>
          <w:p w14:paraId="731E7B79">
            <w:pPr>
              <w:spacing w:before="120" w:after="120" w:line="288" w:lineRule="auto"/>
              <w:ind w:left="0"/>
              <w:jc w:val="left"/>
            </w:pPr>
            <w:r>
              <w:rPr>
                <w:rFonts w:ascii="Arial" w:hAnsi="Arial" w:eastAsia="等线" w:cs="Arial"/>
                <w:sz w:val="22"/>
              </w:rPr>
              <w:t>(A) Wednesday, October 6</w:t>
            </w:r>
          </w:p>
          <w:p w14:paraId="42483420">
            <w:pPr>
              <w:spacing w:before="120" w:after="120" w:line="288" w:lineRule="auto"/>
              <w:ind w:left="0"/>
              <w:jc w:val="left"/>
            </w:pPr>
            <w:r>
              <w:rPr>
                <w:rFonts w:ascii="Arial" w:hAnsi="Arial" w:eastAsia="等线" w:cs="Arial"/>
                <w:sz w:val="22"/>
              </w:rPr>
              <w:t>(B) Thursday, October 7</w:t>
            </w:r>
          </w:p>
          <w:p w14:paraId="5C0EB35F">
            <w:pPr>
              <w:spacing w:before="120" w:after="120" w:line="288" w:lineRule="auto"/>
              <w:ind w:left="0"/>
              <w:jc w:val="left"/>
            </w:pPr>
            <w:r>
              <w:rPr>
                <w:rFonts w:ascii="Arial" w:hAnsi="Arial" w:eastAsia="等线" w:cs="Arial"/>
                <w:sz w:val="22"/>
              </w:rPr>
              <w:t>(C) Friday, October 8</w:t>
            </w:r>
          </w:p>
          <w:p w14:paraId="71D64CB6">
            <w:pPr>
              <w:spacing w:before="120" w:after="120" w:line="288" w:lineRule="auto"/>
              <w:ind w:left="0"/>
              <w:jc w:val="left"/>
            </w:pPr>
            <w:r>
              <w:rPr>
                <w:rFonts w:ascii="Arial" w:hAnsi="Arial" w:eastAsia="等线" w:cs="Arial"/>
                <w:sz w:val="22"/>
              </w:rPr>
              <w:t>(D) Monday, October 11</w:t>
            </w:r>
          </w:p>
          <w:p w14:paraId="46B35EAE">
            <w:pPr>
              <w:spacing w:before="120" w:after="120" w:line="288" w:lineRule="auto"/>
              <w:ind w:left="0"/>
              <w:jc w:val="left"/>
            </w:pPr>
          </w:p>
          <w:p w14:paraId="16656A6D">
            <w:pPr>
              <w:numPr>
                <w:ilvl w:val="0"/>
                <w:numId w:val="252"/>
              </w:numPr>
              <w:spacing w:before="120" w:after="120" w:line="288" w:lineRule="auto"/>
              <w:ind w:left="0"/>
              <w:jc w:val="left"/>
            </w:pPr>
            <w:r>
              <w:rPr>
                <w:rFonts w:ascii="Arial" w:hAnsi="Arial" w:eastAsia="等线" w:cs="Arial"/>
                <w:sz w:val="22"/>
              </w:rPr>
              <w:t>In which of the following procedures for handling complaints is the decision binding and cannot be appealed?</w:t>
            </w:r>
          </w:p>
          <w:p w14:paraId="43A9B638">
            <w:pPr>
              <w:spacing w:before="120" w:after="120" w:line="288" w:lineRule="auto"/>
              <w:ind w:left="0"/>
              <w:jc w:val="left"/>
            </w:pPr>
            <w:r>
              <w:rPr>
                <w:rFonts w:ascii="Arial" w:hAnsi="Arial" w:eastAsia="等线" w:cs="Arial"/>
                <w:sz w:val="22"/>
              </w:rPr>
              <w:t>(A) Code of procedure</w:t>
            </w:r>
          </w:p>
          <w:p w14:paraId="2A1020B6">
            <w:pPr>
              <w:spacing w:before="120" w:after="120" w:line="288" w:lineRule="auto"/>
              <w:ind w:left="0"/>
              <w:jc w:val="left"/>
            </w:pPr>
            <w:r>
              <w:rPr>
                <w:rFonts w:ascii="Arial" w:hAnsi="Arial" w:eastAsia="等线" w:cs="Arial"/>
                <w:sz w:val="22"/>
              </w:rPr>
              <w:t>(B) Mediation</w:t>
            </w:r>
          </w:p>
          <w:p w14:paraId="78E3E8E8">
            <w:pPr>
              <w:spacing w:before="120" w:after="120" w:line="288" w:lineRule="auto"/>
              <w:ind w:left="0"/>
              <w:jc w:val="left"/>
            </w:pPr>
            <w:r>
              <w:rPr>
                <w:rFonts w:ascii="Arial" w:hAnsi="Arial" w:eastAsia="等线" w:cs="Arial"/>
                <w:sz w:val="22"/>
              </w:rPr>
              <w:t>(C) Arbitration</w:t>
            </w:r>
          </w:p>
          <w:p w14:paraId="00B15123">
            <w:pPr>
              <w:spacing w:before="120" w:after="120" w:line="288" w:lineRule="auto"/>
              <w:ind w:left="0"/>
              <w:jc w:val="left"/>
            </w:pPr>
            <w:r>
              <w:rPr>
                <w:rFonts w:ascii="Arial" w:hAnsi="Arial" w:eastAsia="等线" w:cs="Arial"/>
                <w:sz w:val="22"/>
              </w:rPr>
              <w:t>(D) Both (B) and (C)</w:t>
            </w:r>
          </w:p>
          <w:p w14:paraId="5A676A71">
            <w:pPr>
              <w:spacing w:before="120" w:after="120" w:line="288" w:lineRule="auto"/>
              <w:ind w:left="0"/>
              <w:jc w:val="left"/>
            </w:pPr>
          </w:p>
          <w:p w14:paraId="47F1B74D">
            <w:pPr>
              <w:numPr>
                <w:ilvl w:val="0"/>
                <w:numId w:val="253"/>
              </w:numPr>
              <w:spacing w:before="120" w:after="120" w:line="288" w:lineRule="auto"/>
              <w:ind w:left="0"/>
              <w:jc w:val="left"/>
            </w:pPr>
            <w:r>
              <w:rPr>
                <w:rFonts w:ascii="Arial" w:hAnsi="Arial" w:eastAsia="等线" w:cs="Arial"/>
                <w:sz w:val="22"/>
              </w:rPr>
              <w:t>Which of the following types of transactions are subject to the 5 percent markup policy?</w:t>
            </w:r>
          </w:p>
          <w:p w14:paraId="4BEC08C3">
            <w:pPr>
              <w:spacing w:before="120" w:after="120" w:line="288" w:lineRule="auto"/>
              <w:ind w:left="0"/>
              <w:jc w:val="left"/>
            </w:pPr>
            <w:r>
              <w:rPr>
                <w:rFonts w:ascii="Arial" w:hAnsi="Arial" w:eastAsia="等线" w:cs="Arial"/>
                <w:sz w:val="22"/>
              </w:rPr>
              <w:t>I. Proceeds transactions</w:t>
            </w:r>
          </w:p>
          <w:p w14:paraId="1032F1D6">
            <w:pPr>
              <w:spacing w:before="120" w:after="120" w:line="288" w:lineRule="auto"/>
              <w:ind w:left="0"/>
              <w:jc w:val="left"/>
            </w:pPr>
            <w:r>
              <w:rPr>
                <w:rFonts w:ascii="Arial" w:hAnsi="Arial" w:eastAsia="等线" w:cs="Arial"/>
                <w:sz w:val="22"/>
              </w:rPr>
              <w:t>II. Riskless transactions</w:t>
            </w:r>
          </w:p>
          <w:p w14:paraId="75CBC7C4">
            <w:pPr>
              <w:spacing w:before="120" w:after="120" w:line="288" w:lineRule="auto"/>
              <w:ind w:left="0"/>
              <w:jc w:val="left"/>
            </w:pPr>
            <w:r>
              <w:rPr>
                <w:rFonts w:ascii="Arial" w:hAnsi="Arial" w:eastAsia="等线" w:cs="Arial"/>
                <w:sz w:val="22"/>
              </w:rPr>
              <w:t>III. Agency transactions</w:t>
            </w:r>
          </w:p>
          <w:p w14:paraId="60C368AF">
            <w:pPr>
              <w:spacing w:before="120" w:after="120" w:line="288" w:lineRule="auto"/>
              <w:ind w:left="0"/>
              <w:jc w:val="left"/>
            </w:pPr>
            <w:r>
              <w:rPr>
                <w:rFonts w:ascii="Arial" w:hAnsi="Arial" w:eastAsia="等线" w:cs="Arial"/>
                <w:sz w:val="22"/>
              </w:rPr>
              <w:t>IV. Principal transactions</w:t>
            </w:r>
          </w:p>
          <w:p w14:paraId="02BABFB8">
            <w:pPr>
              <w:spacing w:before="120" w:after="120" w:line="288" w:lineRule="auto"/>
              <w:ind w:left="0"/>
              <w:jc w:val="left"/>
            </w:pPr>
            <w:r>
              <w:rPr>
                <w:rFonts w:ascii="Arial" w:hAnsi="Arial" w:eastAsia="等线" w:cs="Arial"/>
                <w:sz w:val="22"/>
              </w:rPr>
              <w:t>(A) I, III, and IV</w:t>
            </w:r>
          </w:p>
          <w:p w14:paraId="2A8A3018">
            <w:pPr>
              <w:spacing w:before="120" w:after="120" w:line="288" w:lineRule="auto"/>
              <w:ind w:left="0"/>
              <w:jc w:val="left"/>
            </w:pPr>
            <w:r>
              <w:rPr>
                <w:rFonts w:ascii="Arial" w:hAnsi="Arial" w:eastAsia="等线" w:cs="Arial"/>
                <w:sz w:val="22"/>
              </w:rPr>
              <w:t>(B) II and III</w:t>
            </w:r>
          </w:p>
          <w:p w14:paraId="0082D691">
            <w:pPr>
              <w:spacing w:before="120" w:after="120" w:line="288" w:lineRule="auto"/>
              <w:ind w:left="0"/>
              <w:jc w:val="left"/>
            </w:pPr>
            <w:r>
              <w:rPr>
                <w:rFonts w:ascii="Arial" w:hAnsi="Arial" w:eastAsia="等线" w:cs="Arial"/>
                <w:sz w:val="22"/>
              </w:rPr>
              <w:t>(C) I and II</w:t>
            </w:r>
          </w:p>
          <w:p w14:paraId="02D85D0D">
            <w:pPr>
              <w:spacing w:before="120" w:after="120" w:line="288" w:lineRule="auto"/>
              <w:ind w:left="0"/>
              <w:jc w:val="left"/>
            </w:pPr>
            <w:r>
              <w:rPr>
                <w:rFonts w:ascii="Arial" w:hAnsi="Arial" w:eastAsia="等线" w:cs="Arial"/>
                <w:sz w:val="22"/>
              </w:rPr>
              <w:t>(D) I, II, III, and IV</w:t>
            </w:r>
          </w:p>
          <w:p w14:paraId="4D82BAD9">
            <w:pPr>
              <w:spacing w:before="120" w:after="120" w:line="288" w:lineRule="auto"/>
              <w:ind w:left="0"/>
              <w:jc w:val="left"/>
            </w:pPr>
          </w:p>
          <w:p w14:paraId="13D83C3F">
            <w:pPr>
              <w:numPr>
                <w:ilvl w:val="0"/>
                <w:numId w:val="254"/>
              </w:numPr>
              <w:spacing w:before="120" w:after="120" w:line="288" w:lineRule="auto"/>
              <w:ind w:left="0"/>
              <w:jc w:val="left"/>
            </w:pPr>
            <w:r>
              <w:rPr>
                <w:rFonts w:ascii="Arial" w:hAnsi="Arial" w:eastAsia="等线" w:cs="Arial"/>
                <w:sz w:val="22"/>
              </w:rPr>
              <w:t>Under FINRA rules, all of the following brokerage firm records must be kept for a minimum of three years EXCEPT</w:t>
            </w:r>
          </w:p>
          <w:p w14:paraId="2A179B3C">
            <w:pPr>
              <w:spacing w:before="120" w:after="120" w:line="288" w:lineRule="auto"/>
              <w:ind w:left="0"/>
              <w:jc w:val="left"/>
            </w:pPr>
            <w:r>
              <w:rPr>
                <w:rFonts w:ascii="Arial" w:hAnsi="Arial" w:eastAsia="等线" w:cs="Arial"/>
                <w:sz w:val="22"/>
              </w:rPr>
              <w:t>(A) ledgers</w:t>
            </w:r>
          </w:p>
          <w:p w14:paraId="6F7C5226">
            <w:pPr>
              <w:spacing w:before="120" w:after="120" w:line="288" w:lineRule="auto"/>
              <w:ind w:left="0"/>
              <w:jc w:val="left"/>
            </w:pPr>
            <w:r>
              <w:rPr>
                <w:rFonts w:ascii="Arial" w:hAnsi="Arial" w:eastAsia="等线" w:cs="Arial"/>
                <w:sz w:val="22"/>
              </w:rPr>
              <w:t>(B) trade confirmations</w:t>
            </w:r>
          </w:p>
          <w:p w14:paraId="2F35D022">
            <w:pPr>
              <w:spacing w:before="120" w:after="120" w:line="288" w:lineRule="auto"/>
              <w:ind w:left="0"/>
              <w:jc w:val="left"/>
            </w:pPr>
            <w:r>
              <w:rPr>
                <w:rFonts w:ascii="Arial" w:hAnsi="Arial" w:eastAsia="等线" w:cs="Arial"/>
                <w:sz w:val="22"/>
              </w:rPr>
              <w:t>(C) order tickets</w:t>
            </w:r>
          </w:p>
          <w:p w14:paraId="43A17D18">
            <w:pPr>
              <w:spacing w:before="120" w:after="120" w:line="288" w:lineRule="auto"/>
              <w:ind w:left="0"/>
              <w:jc w:val="left"/>
            </w:pPr>
            <w:r>
              <w:rPr>
                <w:rFonts w:ascii="Arial" w:hAnsi="Arial" w:eastAsia="等线" w:cs="Arial"/>
                <w:sz w:val="22"/>
              </w:rPr>
              <w:t>(D) U4 forms of former employees</w:t>
            </w:r>
          </w:p>
          <w:p w14:paraId="2ADFF44F">
            <w:pPr>
              <w:spacing w:before="120" w:after="120" w:line="288" w:lineRule="auto"/>
              <w:ind w:left="0"/>
              <w:jc w:val="left"/>
            </w:pPr>
          </w:p>
          <w:p w14:paraId="676394B9">
            <w:pPr>
              <w:numPr>
                <w:ilvl w:val="0"/>
                <w:numId w:val="255"/>
              </w:numPr>
              <w:spacing w:before="120" w:after="120" w:line="288" w:lineRule="auto"/>
              <w:ind w:left="0"/>
              <w:jc w:val="left"/>
            </w:pPr>
            <w:r>
              <w:rPr>
                <w:rFonts w:ascii="Arial" w:hAnsi="Arial" w:eastAsia="等线" w:cs="Arial"/>
                <w:sz w:val="22"/>
              </w:rPr>
              <w:t>Broker-dealers, banks, investment advisers, and so on must report a possible money-laundering transaction to</w:t>
            </w:r>
          </w:p>
          <w:p w14:paraId="6389B6E5">
            <w:pPr>
              <w:spacing w:before="120" w:after="120" w:line="288" w:lineRule="auto"/>
              <w:ind w:left="0"/>
              <w:jc w:val="left"/>
            </w:pPr>
            <w:r>
              <w:rPr>
                <w:rFonts w:ascii="Arial" w:hAnsi="Arial" w:eastAsia="等线" w:cs="Arial"/>
                <w:sz w:val="22"/>
              </w:rPr>
              <w:t>(A) FINRA</w:t>
            </w:r>
          </w:p>
          <w:p w14:paraId="791F4CBA">
            <w:pPr>
              <w:spacing w:before="120" w:after="120" w:line="288" w:lineRule="auto"/>
              <w:ind w:left="0"/>
              <w:jc w:val="left"/>
            </w:pPr>
            <w:r>
              <w:rPr>
                <w:rFonts w:ascii="Arial" w:hAnsi="Arial" w:eastAsia="等线" w:cs="Arial"/>
                <w:sz w:val="22"/>
              </w:rPr>
              <w:t>(B) FinCEN</w:t>
            </w:r>
          </w:p>
          <w:p w14:paraId="1A34EB4D">
            <w:pPr>
              <w:spacing w:before="120" w:after="120" w:line="288" w:lineRule="auto"/>
              <w:ind w:left="0"/>
              <w:jc w:val="left"/>
            </w:pPr>
            <w:r>
              <w:rPr>
                <w:rFonts w:ascii="Arial" w:hAnsi="Arial" w:eastAsia="等线" w:cs="Arial"/>
                <w:sz w:val="22"/>
              </w:rPr>
              <w:t>(C) FBI</w:t>
            </w:r>
          </w:p>
          <w:p w14:paraId="01DE81BC">
            <w:pPr>
              <w:spacing w:before="120" w:after="120" w:line="288" w:lineRule="auto"/>
              <w:ind w:left="0"/>
              <w:jc w:val="left"/>
            </w:pPr>
            <w:r>
              <w:rPr>
                <w:rFonts w:ascii="Arial" w:hAnsi="Arial" w:eastAsia="等线" w:cs="Arial"/>
                <w:sz w:val="22"/>
              </w:rPr>
              <w:t>(D) SEC</w:t>
            </w:r>
          </w:p>
          <w:p w14:paraId="04717C23">
            <w:pPr>
              <w:spacing w:before="120" w:after="120" w:line="288" w:lineRule="auto"/>
              <w:ind w:left="0"/>
              <w:jc w:val="left"/>
            </w:pPr>
          </w:p>
          <w:p w14:paraId="6CB664D2">
            <w:pPr>
              <w:numPr>
                <w:ilvl w:val="0"/>
                <w:numId w:val="256"/>
              </w:numPr>
              <w:spacing w:before="120" w:after="120" w:line="288" w:lineRule="auto"/>
              <w:ind w:left="0"/>
              <w:jc w:val="left"/>
            </w:pPr>
            <w:r>
              <w:rPr>
                <w:rFonts w:ascii="Arial" w:hAnsi="Arial" w:eastAsia="等线" w:cs="Arial"/>
                <w:sz w:val="22"/>
              </w:rPr>
              <w:t>Which TWO of the following are the maximum penalties for insider trading violations?</w:t>
            </w:r>
          </w:p>
          <w:p w14:paraId="75639D1E">
            <w:pPr>
              <w:spacing w:before="120" w:after="120" w:line="288" w:lineRule="auto"/>
              <w:ind w:left="0"/>
              <w:jc w:val="left"/>
            </w:pPr>
            <w:r>
              <w:rPr>
                <w:rFonts w:ascii="Arial" w:hAnsi="Arial" w:eastAsia="等线" w:cs="Arial"/>
                <w:sz w:val="22"/>
              </w:rPr>
              <w:t>I. 20 years in prison per violation</w:t>
            </w:r>
          </w:p>
          <w:p w14:paraId="5D1A41DE">
            <w:pPr>
              <w:spacing w:before="120" w:after="120" w:line="288" w:lineRule="auto"/>
              <w:ind w:left="0"/>
              <w:jc w:val="left"/>
            </w:pPr>
            <w:r>
              <w:rPr>
                <w:rFonts w:ascii="Arial" w:hAnsi="Arial" w:eastAsia="等线" w:cs="Arial"/>
                <w:sz w:val="22"/>
              </w:rPr>
              <w:t>II. 25 years in prison per violation</w:t>
            </w:r>
          </w:p>
          <w:p w14:paraId="074896DE">
            <w:pPr>
              <w:spacing w:before="120" w:after="120" w:line="288" w:lineRule="auto"/>
              <w:ind w:left="0"/>
              <w:jc w:val="left"/>
            </w:pPr>
            <w:r>
              <w:rPr>
                <w:rFonts w:ascii="Arial" w:hAnsi="Arial" w:eastAsia="等线" w:cs="Arial"/>
                <w:sz w:val="22"/>
              </w:rPr>
              <w:t>III. $5 million per individual per violation</w:t>
            </w:r>
          </w:p>
          <w:p w14:paraId="4B03B20D">
            <w:pPr>
              <w:spacing w:before="120" w:after="120" w:line="288" w:lineRule="auto"/>
              <w:ind w:left="0"/>
              <w:jc w:val="left"/>
            </w:pPr>
            <w:r>
              <w:rPr>
                <w:rFonts w:ascii="Arial" w:hAnsi="Arial" w:eastAsia="等线" w:cs="Arial"/>
                <w:sz w:val="22"/>
              </w:rPr>
              <w:t>IV. $25 million per individual per violation</w:t>
            </w:r>
          </w:p>
          <w:p w14:paraId="42418D5F">
            <w:pPr>
              <w:spacing w:before="120" w:after="120" w:line="288" w:lineRule="auto"/>
              <w:ind w:left="0"/>
              <w:jc w:val="left"/>
            </w:pPr>
            <w:r>
              <w:rPr>
                <w:rFonts w:ascii="Arial" w:hAnsi="Arial" w:eastAsia="等线" w:cs="Arial"/>
                <w:sz w:val="22"/>
              </w:rPr>
              <w:t>(A) I and III</w:t>
            </w:r>
          </w:p>
          <w:p w14:paraId="59249D54">
            <w:pPr>
              <w:spacing w:before="120" w:after="120" w:line="288" w:lineRule="auto"/>
              <w:ind w:left="0"/>
              <w:jc w:val="left"/>
            </w:pPr>
            <w:r>
              <w:rPr>
                <w:rFonts w:ascii="Arial" w:hAnsi="Arial" w:eastAsia="等线" w:cs="Arial"/>
                <w:sz w:val="22"/>
              </w:rPr>
              <w:t>(B) I and IV</w:t>
            </w:r>
          </w:p>
          <w:p w14:paraId="1F4F45CF">
            <w:pPr>
              <w:spacing w:before="120" w:after="120" w:line="288" w:lineRule="auto"/>
              <w:ind w:left="0"/>
              <w:jc w:val="left"/>
            </w:pPr>
            <w:r>
              <w:rPr>
                <w:rFonts w:ascii="Arial" w:hAnsi="Arial" w:eastAsia="等线" w:cs="Arial"/>
                <w:sz w:val="22"/>
              </w:rPr>
              <w:t>(C) II and III</w:t>
            </w:r>
          </w:p>
          <w:p w14:paraId="750D8E3F">
            <w:pPr>
              <w:spacing w:before="120" w:after="120" w:line="288" w:lineRule="auto"/>
              <w:ind w:left="0"/>
              <w:jc w:val="left"/>
            </w:pPr>
            <w:r>
              <w:rPr>
                <w:rFonts w:ascii="Arial" w:hAnsi="Arial" w:eastAsia="等线" w:cs="Arial"/>
                <w:sz w:val="22"/>
              </w:rPr>
              <w:t>(D) II and IV</w:t>
            </w:r>
          </w:p>
          <w:p w14:paraId="1F6D984F">
            <w:pPr>
              <w:spacing w:before="120" w:after="120" w:line="288" w:lineRule="auto"/>
              <w:ind w:left="0"/>
              <w:jc w:val="left"/>
            </w:pPr>
          </w:p>
          <w:p w14:paraId="57E9B8FB">
            <w:pPr>
              <w:numPr>
                <w:ilvl w:val="0"/>
                <w:numId w:val="257"/>
              </w:numPr>
              <w:spacing w:before="120" w:after="120" w:line="288" w:lineRule="auto"/>
              <w:ind w:left="0"/>
              <w:jc w:val="left"/>
            </w:pPr>
            <w:r>
              <w:rPr>
                <w:rFonts w:ascii="Arial" w:hAnsi="Arial" w:eastAsia="等线" w:cs="Arial"/>
                <w:sz w:val="22"/>
              </w:rPr>
              <w:t>A violation in which a firm attempts to drive up the price of a stock based on false or misleading information so that the firm can later sell their shares at a higher price is known as</w:t>
            </w:r>
          </w:p>
          <w:p w14:paraId="3E186F70">
            <w:pPr>
              <w:spacing w:before="120" w:after="120" w:line="288" w:lineRule="auto"/>
              <w:ind w:left="0"/>
              <w:jc w:val="left"/>
            </w:pPr>
            <w:r>
              <w:rPr>
                <w:rFonts w:ascii="Arial" w:hAnsi="Arial" w:eastAsia="等线" w:cs="Arial"/>
                <w:sz w:val="22"/>
              </w:rPr>
              <w:t>(A) churning</w:t>
            </w:r>
          </w:p>
          <w:p w14:paraId="6D2CB7BA">
            <w:pPr>
              <w:spacing w:before="120" w:after="120" w:line="288" w:lineRule="auto"/>
              <w:ind w:left="0"/>
              <w:jc w:val="left"/>
            </w:pPr>
            <w:r>
              <w:rPr>
                <w:rFonts w:ascii="Arial" w:hAnsi="Arial" w:eastAsia="等线" w:cs="Arial"/>
                <w:sz w:val="22"/>
              </w:rPr>
              <w:t>(B) trading ahead</w:t>
            </w:r>
          </w:p>
          <w:p w14:paraId="78804CB5">
            <w:pPr>
              <w:spacing w:before="120" w:after="120" w:line="288" w:lineRule="auto"/>
              <w:ind w:left="0"/>
              <w:jc w:val="left"/>
            </w:pPr>
            <w:r>
              <w:rPr>
                <w:rFonts w:ascii="Arial" w:hAnsi="Arial" w:eastAsia="等线" w:cs="Arial"/>
                <w:sz w:val="22"/>
              </w:rPr>
              <w:t>(C) frontrunning</w:t>
            </w:r>
          </w:p>
          <w:p w14:paraId="6F1EEA4E">
            <w:pPr>
              <w:spacing w:before="120" w:after="120" w:line="288" w:lineRule="auto"/>
              <w:ind w:left="0"/>
              <w:jc w:val="left"/>
            </w:pPr>
            <w:r>
              <w:rPr>
                <w:rFonts w:ascii="Arial" w:hAnsi="Arial" w:eastAsia="等线" w:cs="Arial"/>
                <w:sz w:val="22"/>
              </w:rPr>
              <w:t>(D) pump and dump</w:t>
            </w:r>
          </w:p>
          <w:p w14:paraId="2EAA3074">
            <w:pPr>
              <w:spacing w:before="120" w:after="120" w:line="288" w:lineRule="auto"/>
              <w:ind w:left="0"/>
              <w:jc w:val="left"/>
            </w:pPr>
          </w:p>
          <w:p w14:paraId="1231660F">
            <w:pPr>
              <w:numPr>
                <w:ilvl w:val="0"/>
                <w:numId w:val="258"/>
              </w:numPr>
              <w:spacing w:before="120" w:after="120" w:line="288" w:lineRule="auto"/>
              <w:ind w:left="0"/>
              <w:jc w:val="left"/>
            </w:pPr>
            <w:r>
              <w:rPr>
                <w:rFonts w:ascii="Arial" w:hAnsi="Arial" w:eastAsia="等线" w:cs="Arial"/>
                <w:sz w:val="22"/>
              </w:rPr>
              <w:t>Mr. Slick purchased 400 shares of ZIP Corporation common stock and sold it at a profit prior to paying for the purchase. This is a violation known as</w:t>
            </w:r>
          </w:p>
          <w:p w14:paraId="1FF9E220">
            <w:pPr>
              <w:spacing w:before="120" w:after="120" w:line="288" w:lineRule="auto"/>
              <w:ind w:left="0"/>
              <w:jc w:val="left"/>
            </w:pPr>
            <w:r>
              <w:rPr>
                <w:rFonts w:ascii="Arial" w:hAnsi="Arial" w:eastAsia="等线" w:cs="Arial"/>
                <w:sz w:val="22"/>
              </w:rPr>
              <w:t>(A) freeriding</w:t>
            </w:r>
          </w:p>
          <w:p w14:paraId="71D19B2D">
            <w:pPr>
              <w:spacing w:before="120" w:after="120" w:line="288" w:lineRule="auto"/>
              <w:ind w:left="0"/>
              <w:jc w:val="left"/>
            </w:pPr>
            <w:r>
              <w:rPr>
                <w:rFonts w:ascii="Arial" w:hAnsi="Arial" w:eastAsia="等线" w:cs="Arial"/>
                <w:sz w:val="22"/>
              </w:rPr>
              <w:t>(B) frontrunning</w:t>
            </w:r>
          </w:p>
          <w:p w14:paraId="69EFDD6D">
            <w:pPr>
              <w:spacing w:before="120" w:after="120" w:line="288" w:lineRule="auto"/>
              <w:ind w:left="0"/>
              <w:jc w:val="left"/>
            </w:pPr>
            <w:r>
              <w:rPr>
                <w:rFonts w:ascii="Arial" w:hAnsi="Arial" w:eastAsia="等线" w:cs="Arial"/>
                <w:sz w:val="22"/>
              </w:rPr>
              <w:t>(C) trading ahead</w:t>
            </w:r>
          </w:p>
          <w:p w14:paraId="62A22D9D">
            <w:pPr>
              <w:spacing w:before="120" w:after="120" w:line="288" w:lineRule="auto"/>
              <w:ind w:left="0"/>
              <w:jc w:val="left"/>
            </w:pPr>
            <w:r>
              <w:rPr>
                <w:rFonts w:ascii="Arial" w:hAnsi="Arial" w:eastAsia="等线" w:cs="Arial"/>
                <w:sz w:val="22"/>
              </w:rPr>
              <w:t>(D) interpositioning</w:t>
            </w:r>
          </w:p>
          <w:p w14:paraId="28E1A46A">
            <w:pPr>
              <w:spacing w:before="120" w:after="120" w:line="288" w:lineRule="auto"/>
              <w:ind w:left="0"/>
              <w:jc w:val="left"/>
            </w:pPr>
          </w:p>
          <w:p w14:paraId="68CB970A">
            <w:pPr>
              <w:numPr>
                <w:ilvl w:val="0"/>
                <w:numId w:val="259"/>
              </w:numPr>
              <w:spacing w:before="120" w:after="120" w:line="288" w:lineRule="auto"/>
              <w:ind w:left="0"/>
              <w:jc w:val="left"/>
            </w:pPr>
            <w:r>
              <w:rPr>
                <w:rFonts w:ascii="Arial" w:hAnsi="Arial" w:eastAsia="等线" w:cs="Arial"/>
                <w:sz w:val="22"/>
              </w:rPr>
              <w:t>As part of FINRA's business continuity plan, member firms must provide the emergency contact information for ___ principal(s) of the firm to contact in the event of an emergency.</w:t>
            </w:r>
          </w:p>
          <w:p w14:paraId="167F7524">
            <w:pPr>
              <w:spacing w:before="120" w:after="120" w:line="288" w:lineRule="auto"/>
              <w:ind w:left="0"/>
              <w:jc w:val="left"/>
            </w:pPr>
            <w:r>
              <w:rPr>
                <w:rFonts w:ascii="Arial" w:hAnsi="Arial" w:eastAsia="等线" w:cs="Arial"/>
                <w:sz w:val="22"/>
              </w:rPr>
              <w:t>(A) one</w:t>
            </w:r>
          </w:p>
          <w:p w14:paraId="4BFDAA89">
            <w:pPr>
              <w:spacing w:before="120" w:after="120" w:line="288" w:lineRule="auto"/>
              <w:ind w:left="0"/>
              <w:jc w:val="left"/>
            </w:pPr>
            <w:r>
              <w:rPr>
                <w:rFonts w:ascii="Arial" w:hAnsi="Arial" w:eastAsia="等线" w:cs="Arial"/>
                <w:sz w:val="22"/>
              </w:rPr>
              <w:t>(B) two</w:t>
            </w:r>
          </w:p>
          <w:p w14:paraId="19DD8A04">
            <w:pPr>
              <w:spacing w:before="120" w:after="120" w:line="288" w:lineRule="auto"/>
              <w:ind w:left="0"/>
              <w:jc w:val="left"/>
            </w:pPr>
            <w:r>
              <w:rPr>
                <w:rFonts w:ascii="Arial" w:hAnsi="Arial" w:eastAsia="等线" w:cs="Arial"/>
                <w:sz w:val="22"/>
              </w:rPr>
              <w:t>(C) three</w:t>
            </w:r>
          </w:p>
          <w:p w14:paraId="423898F9">
            <w:pPr>
              <w:spacing w:before="120" w:after="120" w:line="288" w:lineRule="auto"/>
              <w:ind w:left="0"/>
              <w:jc w:val="left"/>
            </w:pPr>
            <w:r>
              <w:rPr>
                <w:rFonts w:ascii="Arial" w:hAnsi="Arial" w:eastAsia="等线" w:cs="Arial"/>
                <w:sz w:val="22"/>
              </w:rPr>
              <w:t>(D) all</w:t>
            </w:r>
          </w:p>
          <w:p w14:paraId="63E4BFED">
            <w:pPr>
              <w:spacing w:before="120" w:after="120" w:line="288" w:lineRule="auto"/>
              <w:ind w:left="0"/>
              <w:jc w:val="left"/>
            </w:pPr>
          </w:p>
          <w:p w14:paraId="591F9AA8">
            <w:pPr>
              <w:numPr>
                <w:ilvl w:val="0"/>
                <w:numId w:val="260"/>
              </w:numPr>
              <w:spacing w:before="120" w:after="120" w:line="288" w:lineRule="auto"/>
              <w:ind w:left="0"/>
              <w:jc w:val="left"/>
            </w:pPr>
            <w:r>
              <w:rPr>
                <w:rFonts w:ascii="Arial" w:hAnsi="Arial" w:eastAsia="等线" w:cs="Arial"/>
                <w:sz w:val="22"/>
              </w:rPr>
              <w:t>Which TWO of the following are TRUE?</w:t>
            </w:r>
          </w:p>
          <w:p w14:paraId="5C302927">
            <w:pPr>
              <w:spacing w:before="120" w:after="120" w:line="288" w:lineRule="auto"/>
              <w:ind w:left="0"/>
              <w:jc w:val="left"/>
            </w:pPr>
            <w:r>
              <w:rPr>
                <w:rFonts w:ascii="Arial" w:hAnsi="Arial" w:eastAsia="等线" w:cs="Arial"/>
                <w:sz w:val="22"/>
              </w:rPr>
              <w:t>I. FDIC covers each individual up to $250,000.</w:t>
            </w:r>
          </w:p>
          <w:p w14:paraId="687E1B29">
            <w:pPr>
              <w:spacing w:before="120" w:after="120" w:line="288" w:lineRule="auto"/>
              <w:ind w:left="0"/>
              <w:jc w:val="left"/>
            </w:pPr>
            <w:r>
              <w:rPr>
                <w:rFonts w:ascii="Arial" w:hAnsi="Arial" w:eastAsia="等线" w:cs="Arial"/>
                <w:sz w:val="22"/>
              </w:rPr>
              <w:t>II. FDIC covers each individual up to $500,000, of which no more than $250,000 can be cash.</w:t>
            </w:r>
          </w:p>
          <w:p w14:paraId="05457406">
            <w:pPr>
              <w:spacing w:before="120" w:after="120" w:line="288" w:lineRule="auto"/>
              <w:ind w:left="0"/>
              <w:jc w:val="left"/>
            </w:pPr>
            <w:r>
              <w:rPr>
                <w:rFonts w:ascii="Arial" w:hAnsi="Arial" w:eastAsia="等线" w:cs="Arial"/>
                <w:sz w:val="22"/>
              </w:rPr>
              <w:t>III. SIPC covers each individual up to $250,000.</w:t>
            </w:r>
          </w:p>
          <w:p w14:paraId="6CAEA8EB">
            <w:pPr>
              <w:spacing w:before="120" w:after="120" w:line="288" w:lineRule="auto"/>
              <w:ind w:left="0"/>
              <w:jc w:val="left"/>
            </w:pPr>
            <w:r>
              <w:rPr>
                <w:rFonts w:ascii="Arial" w:hAnsi="Arial" w:eastAsia="等线" w:cs="Arial"/>
                <w:sz w:val="22"/>
              </w:rPr>
              <w:t>IV. SIPC covers each individual up to $500,000, of which no more than $250,000 can be cash.</w:t>
            </w:r>
          </w:p>
          <w:p w14:paraId="32E10F1A">
            <w:pPr>
              <w:spacing w:before="120" w:after="120" w:line="288" w:lineRule="auto"/>
              <w:ind w:left="0"/>
              <w:jc w:val="left"/>
            </w:pPr>
            <w:r>
              <w:rPr>
                <w:rFonts w:ascii="Arial" w:hAnsi="Arial" w:eastAsia="等线" w:cs="Arial"/>
                <w:sz w:val="22"/>
              </w:rPr>
              <w:t>(A) I and III</w:t>
            </w:r>
          </w:p>
          <w:p w14:paraId="1E021596">
            <w:pPr>
              <w:spacing w:before="120" w:after="120" w:line="288" w:lineRule="auto"/>
              <w:ind w:left="0"/>
              <w:jc w:val="left"/>
            </w:pPr>
            <w:r>
              <w:rPr>
                <w:rFonts w:ascii="Arial" w:hAnsi="Arial" w:eastAsia="等线" w:cs="Arial"/>
                <w:sz w:val="22"/>
              </w:rPr>
              <w:t>(B) I and IV</w:t>
            </w:r>
          </w:p>
          <w:p w14:paraId="0D1DA9DA">
            <w:pPr>
              <w:spacing w:before="120" w:after="120" w:line="288" w:lineRule="auto"/>
              <w:ind w:left="0"/>
              <w:jc w:val="left"/>
            </w:pPr>
            <w:r>
              <w:rPr>
                <w:rFonts w:ascii="Arial" w:hAnsi="Arial" w:eastAsia="等线" w:cs="Arial"/>
                <w:sz w:val="22"/>
              </w:rPr>
              <w:t>(C) II and III</w:t>
            </w:r>
          </w:p>
          <w:p w14:paraId="652BA47C">
            <w:pPr>
              <w:spacing w:before="120" w:after="120" w:line="288" w:lineRule="auto"/>
              <w:ind w:left="0"/>
              <w:jc w:val="left"/>
            </w:pPr>
            <w:r>
              <w:rPr>
                <w:rFonts w:ascii="Arial" w:hAnsi="Arial" w:eastAsia="等线" w:cs="Arial"/>
                <w:sz w:val="22"/>
              </w:rPr>
              <w:t>(D) II and IV</w:t>
            </w:r>
          </w:p>
          <w:p w14:paraId="2CF128F9">
            <w:pPr>
              <w:spacing w:before="120" w:after="120" w:line="288" w:lineRule="auto"/>
              <w:ind w:left="0"/>
              <w:jc w:val="left"/>
            </w:pPr>
          </w:p>
          <w:p w14:paraId="73D1C1E1">
            <w:pPr>
              <w:numPr>
                <w:ilvl w:val="0"/>
                <w:numId w:val="261"/>
              </w:numPr>
              <w:spacing w:before="120" w:after="120" w:line="288" w:lineRule="auto"/>
              <w:ind w:left="0"/>
              <w:jc w:val="left"/>
            </w:pPr>
            <w:r>
              <w:rPr>
                <w:rFonts w:ascii="Arial" w:hAnsi="Arial" w:eastAsia="等线" w:cs="Arial"/>
                <w:sz w:val="22"/>
              </w:rPr>
              <w:t>Under FINRA rules, which of the following records must be kept by a brokerage firm for a minimum of six years?</w:t>
            </w:r>
          </w:p>
          <w:p w14:paraId="3F955D8A">
            <w:pPr>
              <w:spacing w:before="120" w:after="120" w:line="288" w:lineRule="auto"/>
              <w:ind w:left="0"/>
              <w:jc w:val="left"/>
            </w:pPr>
            <w:r>
              <w:rPr>
                <w:rFonts w:ascii="Arial" w:hAnsi="Arial" w:eastAsia="等线" w:cs="Arial"/>
                <w:sz w:val="22"/>
              </w:rPr>
              <w:t>I. Customer account statements</w:t>
            </w:r>
          </w:p>
          <w:p w14:paraId="0D309576">
            <w:pPr>
              <w:spacing w:before="120" w:after="120" w:line="288" w:lineRule="auto"/>
              <w:ind w:left="0"/>
              <w:jc w:val="left"/>
            </w:pPr>
            <w:r>
              <w:rPr>
                <w:rFonts w:ascii="Arial" w:hAnsi="Arial" w:eastAsia="等线" w:cs="Arial"/>
                <w:sz w:val="22"/>
              </w:rPr>
              <w:t>II. U5 forms</w:t>
            </w:r>
          </w:p>
          <w:p w14:paraId="246598C9">
            <w:pPr>
              <w:spacing w:before="120" w:after="120" w:line="288" w:lineRule="auto"/>
              <w:ind w:left="0"/>
              <w:jc w:val="left"/>
            </w:pPr>
            <w:r>
              <w:rPr>
                <w:rFonts w:ascii="Arial" w:hAnsi="Arial" w:eastAsia="等线" w:cs="Arial"/>
                <w:sz w:val="22"/>
              </w:rPr>
              <w:t>III. Records of all trades executed</w:t>
            </w:r>
          </w:p>
          <w:p w14:paraId="2F1A47AE">
            <w:pPr>
              <w:spacing w:before="120" w:after="120" w:line="288" w:lineRule="auto"/>
              <w:ind w:left="0"/>
              <w:jc w:val="left"/>
            </w:pPr>
            <w:r>
              <w:rPr>
                <w:rFonts w:ascii="Arial" w:hAnsi="Arial" w:eastAsia="等线" w:cs="Arial"/>
                <w:sz w:val="22"/>
              </w:rPr>
              <w:t>IV. Sales literature</w:t>
            </w:r>
          </w:p>
          <w:p w14:paraId="7785F35D">
            <w:pPr>
              <w:spacing w:before="120" w:after="120" w:line="288" w:lineRule="auto"/>
              <w:ind w:left="0"/>
              <w:jc w:val="left"/>
            </w:pPr>
            <w:r>
              <w:rPr>
                <w:rFonts w:ascii="Arial" w:hAnsi="Arial" w:eastAsia="等线" w:cs="Arial"/>
                <w:sz w:val="22"/>
              </w:rPr>
              <w:t>(A) I, II, and III</w:t>
            </w:r>
          </w:p>
          <w:p w14:paraId="50CD69B5">
            <w:pPr>
              <w:spacing w:before="120" w:after="120" w:line="288" w:lineRule="auto"/>
              <w:ind w:left="0"/>
              <w:jc w:val="left"/>
            </w:pPr>
            <w:r>
              <w:rPr>
                <w:rFonts w:ascii="Arial" w:hAnsi="Arial" w:eastAsia="等线" w:cs="Arial"/>
                <w:sz w:val="22"/>
              </w:rPr>
              <w:t>(B) II, III, and IV</w:t>
            </w:r>
          </w:p>
          <w:p w14:paraId="525A1294">
            <w:pPr>
              <w:spacing w:before="120" w:after="120" w:line="288" w:lineRule="auto"/>
              <w:ind w:left="0"/>
              <w:jc w:val="left"/>
            </w:pPr>
            <w:r>
              <w:rPr>
                <w:rFonts w:ascii="Arial" w:hAnsi="Arial" w:eastAsia="等线" w:cs="Arial"/>
                <w:sz w:val="22"/>
              </w:rPr>
              <w:t>(C) I and III</w:t>
            </w:r>
          </w:p>
          <w:p w14:paraId="1E9684F2">
            <w:pPr>
              <w:spacing w:before="120" w:after="120" w:line="288" w:lineRule="auto"/>
              <w:ind w:left="0"/>
              <w:jc w:val="left"/>
            </w:pPr>
            <w:r>
              <w:rPr>
                <w:rFonts w:ascii="Arial" w:hAnsi="Arial" w:eastAsia="等线" w:cs="Arial"/>
                <w:sz w:val="22"/>
              </w:rPr>
              <w:t>(D) I, II, and IV</w:t>
            </w:r>
          </w:p>
          <w:p w14:paraId="512C6BC7">
            <w:pPr>
              <w:spacing w:before="120" w:after="120" w:line="288" w:lineRule="auto"/>
              <w:ind w:left="0"/>
              <w:jc w:val="left"/>
            </w:pPr>
          </w:p>
          <w:p w14:paraId="24DA2BB4">
            <w:pPr>
              <w:numPr>
                <w:ilvl w:val="0"/>
                <w:numId w:val="262"/>
              </w:numPr>
              <w:spacing w:before="120" w:after="120" w:line="288" w:lineRule="auto"/>
              <w:ind w:left="0"/>
              <w:jc w:val="left"/>
            </w:pPr>
            <w:r>
              <w:rPr>
                <w:rFonts w:ascii="Arial" w:hAnsi="Arial" w:eastAsia="等线" w:cs="Arial"/>
                <w:sz w:val="22"/>
              </w:rPr>
              <w:t>Which of the following records must be kept for the lifetime of a broker-dealer?</w:t>
            </w:r>
          </w:p>
          <w:p w14:paraId="0D3DECB4">
            <w:pPr>
              <w:spacing w:before="120" w:after="120" w:line="288" w:lineRule="auto"/>
              <w:ind w:left="0"/>
              <w:jc w:val="left"/>
            </w:pPr>
            <w:r>
              <w:rPr>
                <w:rFonts w:ascii="Arial" w:hAnsi="Arial" w:eastAsia="等线" w:cs="Arial"/>
                <w:sz w:val="22"/>
              </w:rPr>
              <w:t>(A) Records of closed accounts</w:t>
            </w:r>
          </w:p>
          <w:p w14:paraId="0401AD51">
            <w:pPr>
              <w:spacing w:before="120" w:after="120" w:line="288" w:lineRule="auto"/>
              <w:ind w:left="0"/>
              <w:jc w:val="left"/>
            </w:pPr>
            <w:r>
              <w:rPr>
                <w:rFonts w:ascii="Arial" w:hAnsi="Arial" w:eastAsia="等线" w:cs="Arial"/>
                <w:sz w:val="22"/>
              </w:rPr>
              <w:t>(B) General ledgers</w:t>
            </w:r>
          </w:p>
          <w:p w14:paraId="5123E68D">
            <w:pPr>
              <w:spacing w:before="120" w:after="120" w:line="288" w:lineRule="auto"/>
              <w:ind w:left="0"/>
              <w:jc w:val="left"/>
            </w:pPr>
            <w:r>
              <w:rPr>
                <w:rFonts w:ascii="Arial" w:hAnsi="Arial" w:eastAsia="等线" w:cs="Arial"/>
                <w:sz w:val="22"/>
              </w:rPr>
              <w:t>(C) Partnership documents</w:t>
            </w:r>
          </w:p>
          <w:p w14:paraId="392EC2DB">
            <w:pPr>
              <w:spacing w:before="120" w:after="120" w:line="288" w:lineRule="auto"/>
              <w:ind w:left="0"/>
              <w:jc w:val="left"/>
            </w:pPr>
            <w:r>
              <w:rPr>
                <w:rFonts w:ascii="Arial" w:hAnsi="Arial" w:eastAsia="等线" w:cs="Arial"/>
                <w:sz w:val="22"/>
              </w:rPr>
              <w:t>(D) All of the above</w:t>
            </w:r>
          </w:p>
        </w:tc>
      </w:tr>
    </w:tbl>
    <w:p w14:paraId="76FF18A9"/>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4CDD0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D9F5D6"/>
            <w:tcMar>
              <w:top w:w="60" w:type="dxa"/>
              <w:left w:w="120" w:type="dxa"/>
              <w:bottom w:w="30" w:type="dxa"/>
              <w:right w:w="120" w:type="dxa"/>
            </w:tcMar>
          </w:tcPr>
          <w:p w14:paraId="0C834215">
            <w:pPr>
              <w:numPr>
                <w:ilvl w:val="0"/>
                <w:numId w:val="263"/>
              </w:numPr>
              <w:spacing w:before="120" w:after="120" w:line="288" w:lineRule="auto"/>
              <w:ind w:left="0"/>
              <w:jc w:val="left"/>
            </w:pPr>
            <w:r>
              <w:rPr>
                <w:rFonts w:ascii="Arial" w:hAnsi="Arial" w:eastAsia="等线" w:cs="Arial"/>
                <w:sz w:val="22"/>
              </w:rPr>
              <w:t>B</w:t>
            </w:r>
          </w:p>
          <w:p w14:paraId="1D23B978">
            <w:pPr>
              <w:spacing w:before="120" w:after="120" w:line="288" w:lineRule="auto"/>
              <w:ind w:left="0"/>
              <w:jc w:val="left"/>
            </w:pPr>
            <w:r>
              <w:rPr>
                <w:rFonts w:ascii="Arial" w:hAnsi="Arial" w:eastAsia="等线" w:cs="Arial"/>
                <w:sz w:val="22"/>
              </w:rPr>
              <w:t>The answer you’re looking for is (B). For an investor to purchase the stock and receive a previously declared dividend, they must purchase the stock at least one business day before the ex-dividend date. This question is a little more difficult because you have a weekend to take into consideration.</w:t>
            </w:r>
          </w:p>
          <w:p w14:paraId="3BC072E1">
            <w:pPr>
              <w:spacing w:before="120" w:after="120" w:line="288" w:lineRule="auto"/>
              <w:ind w:left="0"/>
              <w:jc w:val="left"/>
            </w:pPr>
            <w:r>
              <w:rPr>
                <w:rFonts w:ascii="Arial" w:hAnsi="Arial" w:eastAsia="等线" w:cs="Arial"/>
                <w:sz w:val="22"/>
              </w:rPr>
              <w:t>你要找的答案是（B）。投资者若想购买股票并获得此前已宣布的股息，必须至少在除息日的前一个工作日买入该股票。这道题稍难一些，因为需要考虑周末的因素。</w:t>
            </w:r>
          </w:p>
          <w:p w14:paraId="7AE06601">
            <w:pPr>
              <w:spacing w:before="120" w:after="120" w:line="288" w:lineRule="auto"/>
              <w:ind w:left="0"/>
              <w:jc w:val="left"/>
            </w:pPr>
          </w:p>
          <w:p w14:paraId="6804573F">
            <w:pPr>
              <w:numPr>
                <w:ilvl w:val="0"/>
                <w:numId w:val="264"/>
              </w:numPr>
              <w:spacing w:before="120" w:after="120" w:line="288" w:lineRule="auto"/>
              <w:ind w:left="0"/>
              <w:jc w:val="left"/>
            </w:pPr>
            <w:r>
              <w:rPr>
                <w:rFonts w:ascii="Arial" w:hAnsi="Arial" w:eastAsia="等线" w:cs="Arial"/>
                <w:sz w:val="22"/>
              </w:rPr>
              <w:t>D</w:t>
            </w:r>
          </w:p>
          <w:p w14:paraId="23F4F76D">
            <w:pPr>
              <w:spacing w:before="120" w:after="120" w:line="288" w:lineRule="auto"/>
              <w:ind w:left="0"/>
              <w:jc w:val="left"/>
            </w:pPr>
            <w:r>
              <w:rPr>
                <w:rFonts w:ascii="Arial" w:hAnsi="Arial" w:eastAsia="等线" w:cs="Arial"/>
                <w:sz w:val="22"/>
              </w:rPr>
              <w:t>The right choice is (D). If one of your customers has a cash and margin account titled under one name, as Steve does, it’s treated as though it belongs to one customer. Therefore, Steve’s cash and margin account is covered up to $500,000, of which no more than $250,000 can be cash. He’s covered for the $200,000 in securities ($150,000 in securities plus the $50,000 equity) and $250,000 of the $300,000 cash for a total of $450,000. Next, the joint account with his wife is treated as though from a separate customer. Therefore, that account is covered for the $250,000 in securities and $250,000 in cash. Add the two together, and you see that Steve is covered for a total of $950,000 ($450,000 plus $500,000).</w:t>
            </w:r>
          </w:p>
          <w:p w14:paraId="038316FD">
            <w:pPr>
              <w:spacing w:before="120" w:after="120" w:line="288" w:lineRule="auto"/>
              <w:ind w:left="0"/>
              <w:jc w:val="left"/>
            </w:pPr>
            <w:r>
              <w:rPr>
                <w:rFonts w:ascii="Arial" w:hAnsi="Arial" w:eastAsia="等线" w:cs="Arial"/>
                <w:sz w:val="22"/>
              </w:rPr>
              <w:t>正确的选择是（D）。如果你的一位客户有一个以一个名字开立的现金账户和保证金账户，就像史蒂夫那样，那么这两个账户会被视为属于同一个客户。因此，史蒂夫的现金账户和保证金账户的承保金额最高为$500,000, 其中现金不超过 $250,000。他持有的 $200,000 证券($150,000 加上 $50,000）以及$300,000 现金中的 $250,000 共计 $450,000 在承保范围内。接下来，他与妻子的联名账户会被视为来自另一个独立的客户。因此，该账户中的 $250,000 证券和 $250,000 现金在承保范围内。将这两部分加在一起，你会发现史蒂夫的总承保金额为$950,000 (450,000加上500,000）美元。</w:t>
            </w:r>
          </w:p>
          <w:p w14:paraId="3FA2B28A">
            <w:pPr>
              <w:spacing w:before="120" w:after="120" w:line="288" w:lineRule="auto"/>
              <w:ind w:left="0"/>
              <w:jc w:val="left"/>
            </w:pPr>
          </w:p>
          <w:p w14:paraId="0AF1FBDE">
            <w:pPr>
              <w:numPr>
                <w:ilvl w:val="0"/>
                <w:numId w:val="265"/>
              </w:numPr>
              <w:spacing w:before="120" w:after="120" w:line="288" w:lineRule="auto"/>
              <w:ind w:left="0"/>
              <w:jc w:val="left"/>
            </w:pPr>
            <w:r>
              <w:rPr>
                <w:rFonts w:ascii="Arial" w:hAnsi="Arial" w:eastAsia="等线" w:cs="Arial"/>
                <w:sz w:val="22"/>
              </w:rPr>
              <w:t>C</w:t>
            </w:r>
          </w:p>
          <w:p w14:paraId="0B9F228F">
            <w:pPr>
              <w:spacing w:before="120" w:after="120" w:line="288" w:lineRule="auto"/>
              <w:ind w:left="0"/>
              <w:jc w:val="left"/>
            </w:pPr>
            <w:r>
              <w:rPr>
                <w:rFonts w:ascii="Arial" w:hAnsi="Arial" w:eastAsia="等线" w:cs="Arial"/>
                <w:sz w:val="22"/>
              </w:rPr>
              <w:t>The items required on an order ticket are the rep’s identification number, the customer’s</w:t>
            </w:r>
          </w:p>
          <w:p w14:paraId="7827F4A1">
            <w:pPr>
              <w:spacing w:before="120" w:after="120" w:line="288" w:lineRule="auto"/>
              <w:ind w:left="0"/>
              <w:jc w:val="left"/>
            </w:pPr>
            <w:r>
              <w:rPr>
                <w:rFonts w:ascii="Arial" w:hAnsi="Arial" w:eastAsia="等线" w:cs="Arial"/>
                <w:sz w:val="22"/>
              </w:rPr>
              <w:t>account number, a description of the security, the number of shares, whether the account is</w:t>
            </w:r>
          </w:p>
          <w:p w14:paraId="4B0AF0D5">
            <w:pPr>
              <w:spacing w:before="120" w:after="120" w:line="288" w:lineRule="auto"/>
              <w:ind w:left="0"/>
              <w:jc w:val="left"/>
            </w:pPr>
            <w:r>
              <w:rPr>
                <w:rFonts w:ascii="Arial" w:hAnsi="Arial" w:eastAsia="等线" w:cs="Arial"/>
                <w:sz w:val="22"/>
              </w:rPr>
              <w:t>discretionary, whether the customer is buying or selling, whether it’s a market order or</w:t>
            </w:r>
          </w:p>
          <w:p w14:paraId="49228947">
            <w:pPr>
              <w:spacing w:before="120" w:after="120" w:line="288" w:lineRule="auto"/>
              <w:ind w:left="0"/>
              <w:jc w:val="left"/>
            </w:pPr>
            <w:r>
              <w:rPr>
                <w:rFonts w:ascii="Arial" w:hAnsi="Arial" w:eastAsia="等线" w:cs="Arial"/>
                <w:sz w:val="22"/>
              </w:rPr>
              <w:t>GTC order, whether the trade is for cash or on margin, whether it’s solicited or unsolicited,</w:t>
            </w:r>
          </w:p>
          <w:p w14:paraId="2D62E557">
            <w:pPr>
              <w:spacing w:before="120" w:after="120" w:line="288" w:lineRule="auto"/>
              <w:ind w:left="0"/>
              <w:jc w:val="left"/>
            </w:pPr>
            <w:r>
              <w:rPr>
                <w:rFonts w:ascii="Arial" w:hAnsi="Arial" w:eastAsia="等线" w:cs="Arial"/>
                <w:sz w:val="22"/>
              </w:rPr>
              <w:t>the time of the order, and the execution price. Remember that when an order is placed, it’s</w:t>
            </w:r>
          </w:p>
          <w:p w14:paraId="4F28EE3D">
            <w:pPr>
              <w:spacing w:before="120" w:after="120" w:line="288" w:lineRule="auto"/>
              <w:ind w:left="0"/>
              <w:jc w:val="left"/>
            </w:pPr>
            <w:r>
              <w:rPr>
                <w:rFonts w:ascii="Arial" w:hAnsi="Arial" w:eastAsia="等线" w:cs="Arial"/>
                <w:sz w:val="22"/>
              </w:rPr>
              <w:t>usually for immediate execution, so getting a customer’s signature would be nearly</w:t>
            </w:r>
          </w:p>
          <w:p w14:paraId="0FB18EDC">
            <w:pPr>
              <w:spacing w:before="120" w:after="120" w:line="288" w:lineRule="auto"/>
              <w:ind w:left="0"/>
              <w:jc w:val="left"/>
            </w:pPr>
            <w:r>
              <w:rPr>
                <w:rFonts w:ascii="Arial" w:hAnsi="Arial" w:eastAsia="等线" w:cs="Arial"/>
                <w:sz w:val="22"/>
              </w:rPr>
              <w:t>impossible.</w:t>
            </w:r>
          </w:p>
          <w:p w14:paraId="3311FFB8">
            <w:pPr>
              <w:spacing w:before="120" w:after="120" w:line="288" w:lineRule="auto"/>
              <w:ind w:left="0"/>
              <w:jc w:val="left"/>
            </w:pPr>
            <w:r>
              <w:rPr>
                <w:rFonts w:ascii="Arial" w:hAnsi="Arial" w:eastAsia="等线" w:cs="Arial"/>
                <w:sz w:val="22"/>
              </w:rPr>
              <w:t>订单上要求的项目是代表的识别号码，客户的账号，描述的是证券，股份的数量，账号是否全权委托，无论客户是在买还是在卖，无论是市场订单还是GTC订单，无论交易是现金交易还是保证金交易，无论是主动的还是主动的，订单的时间，以及执行价格。记住，当下订单时，它是通常是为了立即执行，所以得到客户的签名几乎是不可能的。</w:t>
            </w:r>
          </w:p>
          <w:p w14:paraId="4B0FAA00">
            <w:pPr>
              <w:spacing w:before="120" w:after="120" w:line="288" w:lineRule="auto"/>
              <w:ind w:left="0"/>
              <w:jc w:val="left"/>
            </w:pPr>
          </w:p>
          <w:p w14:paraId="3323F6E5">
            <w:pPr>
              <w:numPr>
                <w:ilvl w:val="0"/>
                <w:numId w:val="266"/>
              </w:numPr>
              <w:spacing w:before="120" w:after="120" w:line="288" w:lineRule="auto"/>
              <w:ind w:left="0"/>
              <w:jc w:val="left"/>
            </w:pPr>
            <w:r>
              <w:rPr>
                <w:rFonts w:ascii="Arial" w:hAnsi="Arial" w:eastAsia="等线" w:cs="Arial"/>
                <w:sz w:val="22"/>
              </w:rPr>
              <w:t>B</w:t>
            </w:r>
          </w:p>
          <w:p w14:paraId="3C6B8C06">
            <w:pPr>
              <w:spacing w:before="120" w:after="120" w:line="288" w:lineRule="auto"/>
              <w:ind w:left="0"/>
              <w:jc w:val="left"/>
            </w:pPr>
            <w:r>
              <w:rPr>
                <w:rFonts w:ascii="Arial" w:hAnsi="Arial" w:eastAsia="等线" w:cs="Arial"/>
                <w:sz w:val="22"/>
              </w:rPr>
              <w:t>The SEC is a government agency and is not a self-regulatory organization. SROs include the MSRB, NYSE, CBOE, and FINRA.</w:t>
            </w:r>
          </w:p>
          <w:p w14:paraId="6272593E">
            <w:pPr>
              <w:spacing w:before="120" w:after="120" w:line="288" w:lineRule="auto"/>
              <w:ind w:left="0"/>
              <w:jc w:val="left"/>
            </w:pPr>
            <w:r>
              <w:rPr>
                <w:rFonts w:ascii="Arial" w:hAnsi="Arial" w:eastAsia="等线" w:cs="Arial"/>
                <w:sz w:val="22"/>
              </w:rPr>
              <w:t>美国证券交易委员会是一个政府机构，不是一个自我监管组织。SROs 包括 MSRB、NYSE、CBOE和FINRA。</w:t>
            </w:r>
          </w:p>
          <w:p w14:paraId="08B47F11">
            <w:pPr>
              <w:spacing w:before="120" w:after="120" w:line="288" w:lineRule="auto"/>
              <w:ind w:left="0"/>
              <w:jc w:val="left"/>
            </w:pPr>
          </w:p>
          <w:p w14:paraId="7D31770F">
            <w:pPr>
              <w:numPr>
                <w:ilvl w:val="0"/>
                <w:numId w:val="267"/>
              </w:numPr>
              <w:spacing w:before="120" w:after="120" w:line="288" w:lineRule="auto"/>
              <w:ind w:left="0"/>
              <w:jc w:val="left"/>
            </w:pPr>
            <w:r>
              <w:rPr>
                <w:rFonts w:ascii="Arial" w:hAnsi="Arial" w:eastAsia="等线" w:cs="Arial"/>
                <w:sz w:val="22"/>
              </w:rPr>
              <w:t>B</w:t>
            </w:r>
          </w:p>
          <w:p w14:paraId="614A2A26">
            <w:pPr>
              <w:spacing w:before="120" w:after="120" w:line="288" w:lineRule="auto"/>
              <w:ind w:left="0"/>
              <w:jc w:val="left"/>
            </w:pPr>
            <w:r>
              <w:rPr>
                <w:rFonts w:ascii="Arial" w:hAnsi="Arial" w:eastAsia="等线" w:cs="Arial"/>
                <w:sz w:val="22"/>
              </w:rPr>
              <w:t>For accounts like Declan Smith’s, the brokerage firm must send out account statements at least quarterly (every three months); for mutual funds, every six months.</w:t>
            </w:r>
          </w:p>
          <w:p w14:paraId="657D3954">
            <w:pPr>
              <w:spacing w:before="120" w:after="120" w:line="288" w:lineRule="auto"/>
              <w:ind w:left="0"/>
              <w:jc w:val="left"/>
            </w:pPr>
            <w:r>
              <w:rPr>
                <w:rFonts w:ascii="Arial" w:hAnsi="Arial" w:eastAsia="等线" w:cs="Arial"/>
                <w:sz w:val="22"/>
              </w:rPr>
              <w:t>对于像 Declan Smith 这样的账户，经纪公司必须至少每季度（每三个月）发出对账单；对于共同基金，每六个月一次。</w:t>
            </w:r>
          </w:p>
          <w:p w14:paraId="265C8230">
            <w:pPr>
              <w:spacing w:before="120" w:after="120" w:line="288" w:lineRule="auto"/>
              <w:ind w:left="0"/>
              <w:jc w:val="left"/>
            </w:pPr>
          </w:p>
          <w:p w14:paraId="5BE75704">
            <w:pPr>
              <w:numPr>
                <w:ilvl w:val="0"/>
                <w:numId w:val="268"/>
              </w:numPr>
              <w:spacing w:before="120" w:after="120" w:line="288" w:lineRule="auto"/>
              <w:ind w:left="0"/>
              <w:jc w:val="left"/>
            </w:pPr>
            <w:r>
              <w:rPr>
                <w:rFonts w:ascii="Arial" w:hAnsi="Arial" w:eastAsia="等线" w:cs="Arial"/>
                <w:sz w:val="22"/>
              </w:rPr>
              <w:t>A</w:t>
            </w:r>
          </w:p>
          <w:p w14:paraId="285A2D27">
            <w:pPr>
              <w:spacing w:before="120" w:after="120" w:line="288" w:lineRule="auto"/>
              <w:ind w:left="0"/>
              <w:jc w:val="left"/>
            </w:pPr>
            <w:r>
              <w:rPr>
                <w:rFonts w:ascii="Arial" w:hAnsi="Arial" w:eastAsia="等线" w:cs="Arial"/>
                <w:sz w:val="22"/>
              </w:rPr>
              <w:t>The ex-dividend date is the first day that the purchaser of a stock will not receive a previously declared dividend. The ex-dividend date is one business day before the record date. As a reminder, Saturday and Sunday are not considered business days. So if the record date was on Monday, the ex-dividend date would be on the previous Friday.</w:t>
            </w:r>
          </w:p>
          <w:p w14:paraId="5D8F5992">
            <w:pPr>
              <w:spacing w:before="120" w:after="120" w:line="288" w:lineRule="auto"/>
              <w:ind w:left="0"/>
              <w:jc w:val="left"/>
            </w:pPr>
            <w:r>
              <w:rPr>
                <w:rFonts w:ascii="Arial" w:hAnsi="Arial" w:eastAsia="等线" w:cs="Arial"/>
                <w:sz w:val="22"/>
              </w:rPr>
              <w:t>除息日是股票购买者不再收到先前宣布的股息的第一天。除息日为记录日期前一个营业日。提醒一下，周六和周日不被视为工作日。因此，如果记录日期是周一，那么除息日期将是前周五。</w:t>
            </w:r>
          </w:p>
          <w:p w14:paraId="5909A586">
            <w:pPr>
              <w:spacing w:before="120" w:after="120" w:line="288" w:lineRule="auto"/>
              <w:ind w:left="0"/>
              <w:jc w:val="left"/>
            </w:pPr>
          </w:p>
          <w:p w14:paraId="44724067">
            <w:pPr>
              <w:numPr>
                <w:ilvl w:val="0"/>
                <w:numId w:val="269"/>
              </w:numPr>
              <w:spacing w:before="120" w:after="120" w:line="288" w:lineRule="auto"/>
              <w:ind w:left="0"/>
              <w:jc w:val="left"/>
            </w:pPr>
            <w:r>
              <w:rPr>
                <w:rFonts w:ascii="Arial" w:hAnsi="Arial" w:eastAsia="等线" w:cs="Arial"/>
                <w:sz w:val="22"/>
              </w:rPr>
              <w:t>C</w:t>
            </w:r>
          </w:p>
          <w:p w14:paraId="75E30C15">
            <w:pPr>
              <w:spacing w:before="120" w:after="120" w:line="288" w:lineRule="auto"/>
              <w:ind w:left="0"/>
              <w:jc w:val="left"/>
            </w:pPr>
            <w:r>
              <w:rPr>
                <w:rFonts w:ascii="Arial" w:hAnsi="Arial" w:eastAsia="等线" w:cs="Arial"/>
                <w:sz w:val="22"/>
              </w:rPr>
              <w:t>All of the choices listed are violations. However, pump and dump is the only violation listed that is a form of market manipulation. Pump and dump is fake news typically regarding penny stocks that is designed to drive the price of a particular stock up so that the firm can sell their stock at a large profit.</w:t>
            </w:r>
          </w:p>
          <w:p w14:paraId="5AB7FB8F">
            <w:pPr>
              <w:spacing w:before="120" w:after="120" w:line="288" w:lineRule="auto"/>
              <w:ind w:left="0"/>
              <w:jc w:val="left"/>
            </w:pPr>
            <w:r>
              <w:rPr>
                <w:rFonts w:ascii="Arial" w:hAnsi="Arial" w:eastAsia="等线" w:cs="Arial"/>
                <w:sz w:val="22"/>
              </w:rPr>
              <w:t>列出的所有选项都是违规的。然而，Pump and dump（拉高出货）是唯一被列为市场操纵形式的违规行为。Pump and dump 是一种假新闻，通常与低价股有关，旨在推高某只股票的价格，这样公司就可以出售这些股票获得巨额利润。</w:t>
            </w:r>
          </w:p>
          <w:p w14:paraId="7CC82D87">
            <w:pPr>
              <w:spacing w:before="120" w:after="120" w:line="288" w:lineRule="auto"/>
              <w:ind w:left="0"/>
              <w:jc w:val="left"/>
            </w:pPr>
          </w:p>
          <w:p w14:paraId="701D9B42">
            <w:pPr>
              <w:numPr>
                <w:ilvl w:val="0"/>
                <w:numId w:val="270"/>
              </w:numPr>
              <w:spacing w:before="120" w:after="120" w:line="288" w:lineRule="auto"/>
              <w:ind w:left="0"/>
              <w:jc w:val="left"/>
            </w:pPr>
            <w:r>
              <w:rPr>
                <w:rFonts w:ascii="Arial" w:hAnsi="Arial" w:eastAsia="等线" w:cs="Arial"/>
                <w:sz w:val="22"/>
              </w:rPr>
              <w:t>D</w:t>
            </w:r>
          </w:p>
          <w:p w14:paraId="414758E4">
            <w:pPr>
              <w:spacing w:before="120" w:after="120" w:line="288" w:lineRule="auto"/>
              <w:ind w:left="0"/>
              <w:jc w:val="left"/>
            </w:pPr>
            <w:r>
              <w:rPr>
                <w:rFonts w:ascii="Arial" w:hAnsi="Arial" w:eastAsia="等线" w:cs="Arial"/>
                <w:sz w:val="22"/>
              </w:rPr>
              <w:t>All of the choices listed are subject to the FINRA 5 percent markup policy (5 percent markup policy or 5 percent policy). This means that, under normal circumstances in which you have an average-sized trade and you don’t have to jump through hoops to execute the transaction, you shouldn’t charge more than 5 percent to execute the trade. Now certainly if the trade is extremely small, you would be able to charge a higher percentage so your firm doesn’t lose money. Also, if a trade is extremely large, 5 percent would be considered excessive.</w:t>
            </w:r>
          </w:p>
          <w:p w14:paraId="086E7CAE">
            <w:pPr>
              <w:spacing w:before="120" w:after="120" w:line="288" w:lineRule="auto"/>
              <w:ind w:left="0"/>
              <w:jc w:val="left"/>
            </w:pPr>
            <w:r>
              <w:rPr>
                <w:rFonts w:ascii="Arial" w:hAnsi="Arial" w:eastAsia="等线" w:cs="Arial"/>
                <w:sz w:val="22"/>
              </w:rPr>
              <w:t>列出的所有选择都受 FINRA 5% 加价政策的约束（5%加价政策或5%加价政策）。这意味着，在正常情况下，你有一个平均规模的交易，你不需要跳过各种繁琐的程序来执行交易，你不应该收取超过5%的费用来执行交易。当然，如果交易非常小，你可以收取更高的佣金，这样你的公司就不会赔钱。此外，如果交易非常大，5%将被认为是过度的。</w:t>
            </w:r>
          </w:p>
          <w:p w14:paraId="5AEF70A0">
            <w:pPr>
              <w:spacing w:before="120" w:after="120" w:line="288" w:lineRule="auto"/>
              <w:ind w:left="0"/>
              <w:jc w:val="left"/>
            </w:pPr>
          </w:p>
          <w:p w14:paraId="7148A46B">
            <w:pPr>
              <w:numPr>
                <w:ilvl w:val="0"/>
                <w:numId w:val="271"/>
              </w:numPr>
              <w:spacing w:before="120" w:after="120" w:line="288" w:lineRule="auto"/>
              <w:ind w:left="0"/>
              <w:jc w:val="left"/>
            </w:pPr>
            <w:r>
              <w:rPr>
                <w:rFonts w:ascii="Arial" w:hAnsi="Arial" w:eastAsia="等线" w:cs="Arial"/>
                <w:sz w:val="22"/>
              </w:rPr>
              <w:t>D</w:t>
            </w:r>
          </w:p>
          <w:p w14:paraId="1F901605">
            <w:pPr>
              <w:spacing w:before="120" w:after="120" w:line="288" w:lineRule="auto"/>
              <w:ind w:left="0"/>
              <w:jc w:val="left"/>
            </w:pPr>
            <w:r>
              <w:rPr>
                <w:rFonts w:ascii="Arial" w:hAnsi="Arial" w:eastAsia="等线" w:cs="Arial"/>
                <w:sz w:val="22"/>
              </w:rPr>
              <w:t>Certainly all of the choices listed would be considered indications of money laundering.</w:t>
            </w:r>
          </w:p>
          <w:p w14:paraId="4AAC7D5D">
            <w:pPr>
              <w:spacing w:before="120" w:after="120" w:line="288" w:lineRule="auto"/>
              <w:ind w:left="0"/>
              <w:jc w:val="left"/>
            </w:pPr>
            <w:r>
              <w:rPr>
                <w:rFonts w:ascii="Arial" w:hAnsi="Arial" w:eastAsia="等线" w:cs="Arial"/>
                <w:sz w:val="22"/>
              </w:rPr>
              <w:t>当然，列出的所有选项都被认为是洗钱的迹象。</w:t>
            </w:r>
          </w:p>
          <w:p w14:paraId="2B3FACA3">
            <w:pPr>
              <w:spacing w:before="120" w:after="120" w:line="288" w:lineRule="auto"/>
              <w:ind w:left="0"/>
              <w:jc w:val="left"/>
            </w:pPr>
          </w:p>
          <w:p w14:paraId="38D7B29A">
            <w:pPr>
              <w:numPr>
                <w:ilvl w:val="0"/>
                <w:numId w:val="272"/>
              </w:numPr>
              <w:spacing w:before="120" w:after="120" w:line="288" w:lineRule="auto"/>
              <w:ind w:left="0"/>
              <w:jc w:val="left"/>
            </w:pPr>
            <w:r>
              <w:rPr>
                <w:rFonts w:ascii="Arial" w:hAnsi="Arial" w:eastAsia="等线" w:cs="Arial"/>
                <w:sz w:val="22"/>
              </w:rPr>
              <w:t>B</w:t>
            </w:r>
          </w:p>
          <w:p w14:paraId="551539CF">
            <w:pPr>
              <w:spacing w:before="120" w:after="120" w:line="288" w:lineRule="auto"/>
              <w:ind w:left="0"/>
              <w:jc w:val="left"/>
            </w:pPr>
            <w:r>
              <w:rPr>
                <w:rFonts w:ascii="Arial" w:hAnsi="Arial" w:eastAsia="等线" w:cs="Arial"/>
                <w:sz w:val="22"/>
              </w:rPr>
              <w:t>Answers II and III are definitely reasons why a person would be statutorily disqualified. However, answer I doesn’t fit because the person would be statutorily disqualified if they had a felony conviction in the last 10 years, not 15.</w:t>
            </w:r>
          </w:p>
          <w:p w14:paraId="5CD64D1A">
            <w:pPr>
              <w:spacing w:before="120" w:after="120" w:line="288" w:lineRule="auto"/>
              <w:ind w:left="0"/>
              <w:jc w:val="left"/>
            </w:pPr>
            <w:r>
              <w:rPr>
                <w:rFonts w:ascii="Arial" w:hAnsi="Arial" w:eastAsia="等线" w:cs="Arial"/>
                <w:sz w:val="22"/>
              </w:rPr>
              <w:t>答案 II 和 III 是一个人在法律上被取消资格的确切原因。然而，答案I不合适，因为如果这个人在过去10年里有重罪定罪，而不是15年，那么在法律上他将被取消资格。</w:t>
            </w:r>
          </w:p>
          <w:p w14:paraId="0F17A086">
            <w:pPr>
              <w:spacing w:before="120" w:after="120" w:line="288" w:lineRule="auto"/>
              <w:ind w:left="0"/>
              <w:jc w:val="left"/>
            </w:pPr>
          </w:p>
          <w:p w14:paraId="42EA3FC5">
            <w:pPr>
              <w:numPr>
                <w:ilvl w:val="0"/>
                <w:numId w:val="273"/>
              </w:numPr>
              <w:spacing w:before="120" w:after="120" w:line="288" w:lineRule="auto"/>
              <w:ind w:left="0"/>
              <w:jc w:val="left"/>
            </w:pPr>
            <w:r>
              <w:rPr>
                <w:rFonts w:ascii="Arial" w:hAnsi="Arial" w:eastAsia="等线" w:cs="Arial"/>
                <w:sz w:val="22"/>
              </w:rPr>
              <w:t>D</w:t>
            </w:r>
          </w:p>
          <w:p w14:paraId="6D1AE1E0">
            <w:pPr>
              <w:spacing w:before="120" w:after="120" w:line="288" w:lineRule="auto"/>
              <w:ind w:left="0"/>
              <w:jc w:val="left"/>
            </w:pPr>
            <w:r>
              <w:rPr>
                <w:rFonts w:ascii="Arial" w:hAnsi="Arial" w:eastAsia="等线" w:cs="Arial"/>
                <w:sz w:val="22"/>
              </w:rPr>
              <w:t>If a securities licensed individual leaves a brokerage firm, that person has up to two years to get registered with another firm or they will have to take their license exams again.</w:t>
            </w:r>
          </w:p>
          <w:p w14:paraId="7B989560">
            <w:pPr>
              <w:spacing w:before="120" w:after="120" w:line="288" w:lineRule="auto"/>
              <w:ind w:left="0"/>
              <w:jc w:val="left"/>
            </w:pPr>
            <w:r>
              <w:rPr>
                <w:rFonts w:ascii="Arial" w:hAnsi="Arial" w:eastAsia="等线" w:cs="Arial"/>
                <w:sz w:val="22"/>
              </w:rPr>
              <w:t>如果持有证券执照的个人离开经纪公司，该个人最多有两年的时间在另一家公司注册，否则他们将不得不重新参加执照考试。</w:t>
            </w:r>
          </w:p>
          <w:p w14:paraId="6767D0B2">
            <w:pPr>
              <w:spacing w:before="120" w:after="120" w:line="288" w:lineRule="auto"/>
              <w:ind w:left="0"/>
              <w:jc w:val="left"/>
            </w:pPr>
          </w:p>
          <w:p w14:paraId="6817875F">
            <w:pPr>
              <w:numPr>
                <w:ilvl w:val="0"/>
                <w:numId w:val="274"/>
              </w:numPr>
              <w:spacing w:before="120" w:after="120" w:line="288" w:lineRule="auto"/>
              <w:ind w:left="0"/>
              <w:jc w:val="left"/>
            </w:pPr>
            <w:r>
              <w:rPr>
                <w:rFonts w:ascii="Arial" w:hAnsi="Arial" w:eastAsia="等线" w:cs="Arial"/>
                <w:sz w:val="22"/>
              </w:rPr>
              <w:t>D</w:t>
            </w:r>
          </w:p>
          <w:p w14:paraId="7848532C">
            <w:pPr>
              <w:spacing w:before="120" w:after="120" w:line="288" w:lineRule="auto"/>
              <w:ind w:left="0"/>
              <w:jc w:val="left"/>
            </w:pPr>
            <w:r>
              <w:rPr>
                <w:rFonts w:ascii="Arial" w:hAnsi="Arial" w:eastAsia="等线" w:cs="Arial"/>
                <w:sz w:val="22"/>
              </w:rPr>
              <w:t>All of the choices listed are violations. Commingling of funds takes place when a firm combines a customer’s fully paid securities with margined securities, or when a firm combines its own securities with a customer’s securities. Interpositioning is when two securities broker–dealers act as agents for the same trade, thus requiring the customer to pay more than one commission. Signatures of convenience are ones in which a customer’s signature is forged.</w:t>
            </w:r>
          </w:p>
          <w:p w14:paraId="2A84394D">
            <w:pPr>
              <w:spacing w:before="120" w:after="120" w:line="288" w:lineRule="auto"/>
              <w:ind w:left="0"/>
              <w:jc w:val="left"/>
            </w:pPr>
            <w:r>
              <w:rPr>
                <w:rFonts w:ascii="Arial" w:hAnsi="Arial" w:eastAsia="等线" w:cs="Arial"/>
                <w:sz w:val="22"/>
              </w:rPr>
              <w:t>列出的所有选项都是违规的。当公司将客户的全额支付证券与保证金证券组合在一起，或者公司将自己的证券与客户的证券组合在一起时，就会发生资金混合。交叉交易是指两家证券经纪交易商作为同一笔交易的代理，从而要求客户支付不止一笔佣金。方便签名是指伪造客户签名的签名。</w:t>
            </w:r>
          </w:p>
          <w:p w14:paraId="63B282C5">
            <w:pPr>
              <w:spacing w:before="120" w:after="120" w:line="288" w:lineRule="auto"/>
              <w:ind w:left="0"/>
              <w:jc w:val="left"/>
            </w:pPr>
          </w:p>
          <w:p w14:paraId="74606A5A">
            <w:pPr>
              <w:numPr>
                <w:ilvl w:val="0"/>
                <w:numId w:val="275"/>
              </w:numPr>
              <w:spacing w:before="120" w:after="120" w:line="288" w:lineRule="auto"/>
              <w:ind w:left="0"/>
              <w:jc w:val="left"/>
            </w:pPr>
            <w:r>
              <w:rPr>
                <w:rFonts w:ascii="Arial" w:hAnsi="Arial" w:eastAsia="等线" w:cs="Arial"/>
                <w:sz w:val="22"/>
              </w:rPr>
              <w:t>C</w:t>
            </w:r>
          </w:p>
          <w:p w14:paraId="49870BEA">
            <w:pPr>
              <w:spacing w:before="120" w:after="120" w:line="288" w:lineRule="auto"/>
              <w:ind w:left="0"/>
              <w:jc w:val="left"/>
            </w:pPr>
            <w:r>
              <w:rPr>
                <w:rFonts w:ascii="Arial" w:hAnsi="Arial" w:eastAsia="等线" w:cs="Arial"/>
                <w:sz w:val="22"/>
              </w:rPr>
              <w:t>Stock, corporate bond, and municipal bond transactions settle in two business days after the trade date (T+2). U.S. government bond and options transactions settle in one business day after the trade date. As a reminder, cash trades settle the same business day as the trade date.</w:t>
            </w:r>
          </w:p>
          <w:p w14:paraId="274156D0">
            <w:pPr>
              <w:spacing w:before="120" w:after="120" w:line="288" w:lineRule="auto"/>
              <w:ind w:left="0"/>
              <w:jc w:val="left"/>
            </w:pPr>
            <w:r>
              <w:rPr>
                <w:rFonts w:ascii="Arial" w:hAnsi="Arial" w:eastAsia="等线" w:cs="Arial"/>
                <w:sz w:val="22"/>
              </w:rPr>
              <w:t>股票、公司债券和市政债券交易在交易日（T+2）后的两个工作日内结算。美国政府债券和期权交易在交易日后的一个工作日内结算。提醒一下，现金交易在交易当日结算。</w:t>
            </w:r>
          </w:p>
          <w:p w14:paraId="4BC802FE">
            <w:pPr>
              <w:spacing w:before="120" w:after="120" w:line="288" w:lineRule="auto"/>
              <w:ind w:left="0"/>
              <w:jc w:val="left"/>
            </w:pPr>
          </w:p>
          <w:p w14:paraId="15B7AEB9">
            <w:pPr>
              <w:numPr>
                <w:ilvl w:val="0"/>
                <w:numId w:val="276"/>
              </w:numPr>
              <w:spacing w:before="120" w:after="120" w:line="288" w:lineRule="auto"/>
              <w:ind w:left="0"/>
              <w:jc w:val="left"/>
            </w:pPr>
            <w:r>
              <w:rPr>
                <w:rFonts w:ascii="Arial" w:hAnsi="Arial" w:eastAsia="等线" w:cs="Arial"/>
                <w:sz w:val="22"/>
              </w:rPr>
              <w:t>A</w:t>
            </w:r>
          </w:p>
          <w:p w14:paraId="4575ECB2">
            <w:pPr>
              <w:spacing w:before="120" w:after="120" w:line="288" w:lineRule="auto"/>
              <w:ind w:left="0"/>
              <w:jc w:val="left"/>
            </w:pPr>
            <w:r>
              <w:rPr>
                <w:rFonts w:ascii="Arial" w:hAnsi="Arial" w:eastAsia="等线" w:cs="Arial"/>
                <w:sz w:val="22"/>
              </w:rPr>
              <w:t>Under Regulation S-P, all broker–dealers, investment companies, and investment advisers must have written policies to protect customer’s records and private information. This would include things like Social Security numbers, bank account numbers, and so on.</w:t>
            </w:r>
          </w:p>
          <w:p w14:paraId="35E263BB">
            <w:pPr>
              <w:spacing w:before="120" w:after="120" w:line="288" w:lineRule="auto"/>
              <w:ind w:left="0"/>
              <w:jc w:val="left"/>
            </w:pPr>
            <w:r>
              <w:rPr>
                <w:rFonts w:ascii="Arial" w:hAnsi="Arial" w:eastAsia="等线" w:cs="Arial"/>
                <w:sz w:val="22"/>
              </w:rPr>
              <w:t>根据S-P法规，所有经纪自营商、投资公司和投资顾问都必须制定书面政策，保护客户的记录和私人信息。这将包括诸如社会安全号码、银行帐号等信息。</w:t>
            </w:r>
          </w:p>
          <w:p w14:paraId="60E3F343">
            <w:pPr>
              <w:spacing w:before="120" w:after="120" w:line="288" w:lineRule="auto"/>
              <w:ind w:left="0"/>
              <w:jc w:val="left"/>
            </w:pPr>
          </w:p>
          <w:p w14:paraId="7421FE03">
            <w:pPr>
              <w:numPr>
                <w:ilvl w:val="0"/>
                <w:numId w:val="277"/>
              </w:numPr>
              <w:spacing w:before="120" w:after="120" w:line="288" w:lineRule="auto"/>
              <w:ind w:left="0"/>
              <w:jc w:val="left"/>
            </w:pPr>
            <w:r>
              <w:rPr>
                <w:rFonts w:ascii="Arial" w:hAnsi="Arial" w:eastAsia="等线" w:cs="Arial"/>
                <w:sz w:val="22"/>
              </w:rPr>
              <w:t>B</w:t>
            </w:r>
          </w:p>
          <w:p w14:paraId="5694FFD0">
            <w:pPr>
              <w:spacing w:before="120" w:after="120" w:line="288" w:lineRule="auto"/>
              <w:ind w:left="0"/>
              <w:jc w:val="left"/>
            </w:pPr>
            <w:r>
              <w:rPr>
                <w:rFonts w:ascii="Arial" w:hAnsi="Arial" w:eastAsia="等线" w:cs="Arial"/>
                <w:sz w:val="22"/>
              </w:rPr>
              <w:t>Although a commission must be included on a trade confirmation for an agency trade, a markup or markdown does not need to be included for a principal transaction. Remember, a principal transaction is one in which the dealer is buying for or selling from its own inventory. Therefore, the price the customer pays or receives already includes a markup or markdown.</w:t>
            </w:r>
          </w:p>
          <w:p w14:paraId="77BFE941">
            <w:pPr>
              <w:spacing w:before="120" w:after="120" w:line="288" w:lineRule="auto"/>
              <w:ind w:left="0"/>
              <w:jc w:val="left"/>
            </w:pPr>
            <w:r>
              <w:rPr>
                <w:rFonts w:ascii="Arial" w:hAnsi="Arial" w:eastAsia="等线" w:cs="Arial"/>
                <w:sz w:val="22"/>
              </w:rPr>
              <w:t>虽然代理交易的确认书中必须包括佣金，但主交易则不需要包括加价或降价。记住，自营交易是指交易商从自己的库存中买进或卖出的交易。因此，顾客支付或收到的价格已经包含了加价或降价。</w:t>
            </w:r>
          </w:p>
          <w:p w14:paraId="6466FDAF">
            <w:pPr>
              <w:spacing w:before="120" w:after="120" w:line="288" w:lineRule="auto"/>
              <w:ind w:left="0"/>
              <w:jc w:val="left"/>
            </w:pPr>
          </w:p>
          <w:p w14:paraId="3C9C7877">
            <w:pPr>
              <w:numPr>
                <w:ilvl w:val="0"/>
                <w:numId w:val="278"/>
              </w:numPr>
              <w:spacing w:before="120" w:after="120" w:line="288" w:lineRule="auto"/>
              <w:ind w:left="0"/>
              <w:jc w:val="left"/>
            </w:pPr>
            <w:r>
              <w:rPr>
                <w:rFonts w:ascii="Arial" w:hAnsi="Arial" w:eastAsia="等线" w:cs="Arial"/>
                <w:sz w:val="22"/>
              </w:rPr>
              <w:t>B</w:t>
            </w:r>
          </w:p>
          <w:p w14:paraId="44987344">
            <w:pPr>
              <w:spacing w:before="120" w:after="120" w:line="288" w:lineRule="auto"/>
              <w:ind w:left="0"/>
              <w:jc w:val="left"/>
            </w:pPr>
            <w:r>
              <w:rPr>
                <w:rFonts w:ascii="Arial" w:hAnsi="Arial" w:eastAsia="等线" w:cs="Arial"/>
                <w:sz w:val="22"/>
              </w:rPr>
              <w:t>The first day the stock trades without the dividend is on the ex-dividend date. The ex-dividend date is one business day before the record date — in this case, Thursday, October 7.</w:t>
            </w:r>
          </w:p>
          <w:p w14:paraId="3D616A68">
            <w:pPr>
              <w:spacing w:before="120" w:after="120" w:line="288" w:lineRule="auto"/>
              <w:ind w:left="0"/>
              <w:jc w:val="left"/>
            </w:pPr>
            <w:r>
              <w:rPr>
                <w:rFonts w:ascii="Arial" w:hAnsi="Arial" w:eastAsia="等线" w:cs="Arial"/>
                <w:sz w:val="22"/>
              </w:rPr>
              <w:t>股票无股息交易的第一天是除息日。除息日期是在记录日期前一个工作日-在这种情况下，星期四，10月7日。</w:t>
            </w:r>
          </w:p>
          <w:p w14:paraId="2406A0D2">
            <w:pPr>
              <w:spacing w:before="120" w:after="120" w:line="288" w:lineRule="auto"/>
              <w:ind w:left="0"/>
              <w:jc w:val="left"/>
            </w:pPr>
          </w:p>
          <w:p w14:paraId="7D39BEE7">
            <w:pPr>
              <w:numPr>
                <w:ilvl w:val="0"/>
                <w:numId w:val="279"/>
              </w:numPr>
              <w:spacing w:before="120" w:after="120" w:line="288" w:lineRule="auto"/>
              <w:ind w:left="0"/>
              <w:jc w:val="left"/>
            </w:pPr>
            <w:r>
              <w:rPr>
                <w:rFonts w:ascii="Arial" w:hAnsi="Arial" w:eastAsia="等线" w:cs="Arial"/>
                <w:sz w:val="22"/>
              </w:rPr>
              <w:t>C</w:t>
            </w:r>
          </w:p>
          <w:p w14:paraId="154D045A">
            <w:pPr>
              <w:spacing w:before="120" w:after="120" w:line="288" w:lineRule="auto"/>
              <w:ind w:left="0"/>
              <w:jc w:val="left"/>
            </w:pPr>
            <w:r>
              <w:rPr>
                <w:rFonts w:ascii="Arial" w:hAnsi="Arial" w:eastAsia="等线" w:cs="Arial"/>
                <w:sz w:val="22"/>
              </w:rPr>
              <w:t>Arbitration decisions are binding and non-appealable. Arbitration is certainly less formal and less costly than going through the court system. As a matter of fact, many brokerage firms have customers sign an arbitration clause as part of a new account form stating that the customer agrees to have disputes handled through arbitration.</w:t>
            </w:r>
          </w:p>
          <w:p w14:paraId="25F6CF79">
            <w:pPr>
              <w:spacing w:before="120" w:after="120" w:line="288" w:lineRule="auto"/>
              <w:ind w:left="0"/>
              <w:jc w:val="left"/>
            </w:pPr>
            <w:r>
              <w:rPr>
                <w:rFonts w:ascii="Arial" w:hAnsi="Arial" w:eastAsia="等线" w:cs="Arial"/>
                <w:sz w:val="22"/>
              </w:rPr>
              <w:t>仲裁决定具有约束力，不可上诉。仲裁当然比通过法院系统更不正式，成本也更低。事实上，许多经纪公司让客户签署仲裁条款，作为新账户表格的一部分，声明客户同意通过仲裁来处理纠纷。</w:t>
            </w:r>
          </w:p>
          <w:p w14:paraId="6CEB25A2">
            <w:pPr>
              <w:spacing w:before="120" w:after="120" w:line="288" w:lineRule="auto"/>
              <w:ind w:left="0"/>
              <w:jc w:val="left"/>
            </w:pPr>
          </w:p>
          <w:p w14:paraId="65B34B17">
            <w:pPr>
              <w:numPr>
                <w:ilvl w:val="0"/>
                <w:numId w:val="280"/>
              </w:numPr>
              <w:spacing w:before="120" w:after="120" w:line="288" w:lineRule="auto"/>
              <w:ind w:left="0"/>
              <w:jc w:val="left"/>
            </w:pPr>
            <w:r>
              <w:rPr>
                <w:rFonts w:ascii="Arial" w:hAnsi="Arial" w:eastAsia="等线" w:cs="Arial"/>
                <w:sz w:val="22"/>
              </w:rPr>
              <w:t>D</w:t>
            </w:r>
          </w:p>
          <w:p w14:paraId="72EEA1BD">
            <w:pPr>
              <w:spacing w:before="120" w:after="120" w:line="288" w:lineRule="auto"/>
              <w:ind w:left="0"/>
              <w:jc w:val="left"/>
            </w:pPr>
            <w:r>
              <w:rPr>
                <w:rFonts w:ascii="Arial" w:hAnsi="Arial" w:eastAsia="等线" w:cs="Arial"/>
                <w:sz w:val="22"/>
              </w:rPr>
              <w:t>All of the choices listed are subject to the 5 percent markup policy. The 5 percent markup policy is designed to help curb overcharging customers for trades. It just means that for standard-size trades with no other contributing factors that make the trade more difficult, customers should not be charged more than 5 percent.</w:t>
            </w:r>
          </w:p>
          <w:p w14:paraId="46F7E158">
            <w:pPr>
              <w:spacing w:before="120" w:after="120" w:line="288" w:lineRule="auto"/>
              <w:ind w:left="0"/>
              <w:jc w:val="left"/>
            </w:pPr>
            <w:r>
              <w:rPr>
                <w:rFonts w:ascii="Arial" w:hAnsi="Arial" w:eastAsia="等线" w:cs="Arial"/>
                <w:sz w:val="22"/>
              </w:rPr>
              <w:t>所有列出的选择都有5%的加价政策。5%的加价政策旨在帮助遏制向客户收取过高的交易费用。这只是意味着，对于没有其他因素增加交易难度的标准规模交易，客户收取的费用不应超过5%。</w:t>
            </w:r>
          </w:p>
          <w:p w14:paraId="1581894B">
            <w:pPr>
              <w:spacing w:before="120" w:after="120" w:line="288" w:lineRule="auto"/>
              <w:ind w:left="0"/>
              <w:jc w:val="left"/>
            </w:pPr>
          </w:p>
          <w:p w14:paraId="29DB051C">
            <w:pPr>
              <w:numPr>
                <w:ilvl w:val="0"/>
                <w:numId w:val="281"/>
              </w:numPr>
              <w:spacing w:before="120" w:after="120" w:line="288" w:lineRule="auto"/>
              <w:ind w:left="0"/>
              <w:jc w:val="left"/>
            </w:pPr>
            <w:r>
              <w:rPr>
                <w:rFonts w:ascii="Arial" w:hAnsi="Arial" w:eastAsia="等线" w:cs="Arial"/>
                <w:sz w:val="22"/>
              </w:rPr>
              <w:t>A</w:t>
            </w:r>
          </w:p>
          <w:p w14:paraId="79F3B1B2">
            <w:pPr>
              <w:spacing w:before="120" w:after="120" w:line="288" w:lineRule="auto"/>
              <w:ind w:left="0"/>
              <w:jc w:val="left"/>
            </w:pPr>
            <w:r>
              <w:rPr>
                <w:rFonts w:ascii="Arial" w:hAnsi="Arial" w:eastAsia="等线" w:cs="Arial"/>
                <w:sz w:val="22"/>
              </w:rPr>
              <w:t>Ledgers, which are customer account statements, must be kept on file for a minimum of six years, not three. As a reminder, all records must be easily accessible for two years.</w:t>
            </w:r>
          </w:p>
          <w:p w14:paraId="21C2936A">
            <w:pPr>
              <w:spacing w:before="120" w:after="120" w:line="288" w:lineRule="auto"/>
              <w:ind w:left="0"/>
              <w:jc w:val="left"/>
            </w:pPr>
            <w:r>
              <w:rPr>
                <w:rFonts w:ascii="Arial" w:hAnsi="Arial" w:eastAsia="等线" w:cs="Arial"/>
                <w:sz w:val="22"/>
              </w:rPr>
              <w:t>分类账，也就是客户账户对账单，必须存档至少6年，而不是3年。提醒一下，所有记录必须在两年内方便查阅。</w:t>
            </w:r>
          </w:p>
          <w:p w14:paraId="337B1836">
            <w:pPr>
              <w:spacing w:before="120" w:after="120" w:line="288" w:lineRule="auto"/>
              <w:ind w:left="0"/>
              <w:jc w:val="left"/>
            </w:pPr>
          </w:p>
          <w:p w14:paraId="27D2F5E2">
            <w:pPr>
              <w:numPr>
                <w:ilvl w:val="0"/>
                <w:numId w:val="282"/>
              </w:numPr>
              <w:spacing w:before="120" w:after="120" w:line="288" w:lineRule="auto"/>
              <w:ind w:left="0"/>
              <w:jc w:val="left"/>
            </w:pPr>
            <w:r>
              <w:rPr>
                <w:rFonts w:ascii="Arial" w:hAnsi="Arial" w:eastAsia="等线" w:cs="Arial"/>
                <w:sz w:val="22"/>
              </w:rPr>
              <w:t>B</w:t>
            </w:r>
          </w:p>
          <w:p w14:paraId="19851940">
            <w:pPr>
              <w:spacing w:before="120" w:after="120" w:line="288" w:lineRule="auto"/>
              <w:ind w:left="0"/>
              <w:jc w:val="left"/>
            </w:pPr>
            <w:r>
              <w:rPr>
                <w:rFonts w:ascii="Arial" w:hAnsi="Arial" w:eastAsia="等线" w:cs="Arial"/>
                <w:sz w:val="22"/>
              </w:rPr>
              <w:t>Under the USA Patriot Act, if financial institutions are concerned about the possibility of money laundering, they must report the transaction(s) to the U.S. Treasury Financial Crimes Network (FinCEN).</w:t>
            </w:r>
          </w:p>
          <w:p w14:paraId="27023CED">
            <w:pPr>
              <w:spacing w:before="120" w:after="120" w:line="288" w:lineRule="auto"/>
              <w:ind w:left="0"/>
              <w:jc w:val="left"/>
            </w:pPr>
            <w:r>
              <w:rPr>
                <w:rFonts w:ascii="Arial" w:hAnsi="Arial" w:eastAsia="等线" w:cs="Arial"/>
                <w:sz w:val="22"/>
              </w:rPr>
              <w:t>根据美国爱国者法案，如果金融机构担心洗钱的可能性，他们必须向美国财政部金融犯罪执法网络（FinCEN）报告交易。</w:t>
            </w:r>
          </w:p>
          <w:p w14:paraId="67C76A7B">
            <w:pPr>
              <w:spacing w:before="120" w:after="120" w:line="288" w:lineRule="auto"/>
              <w:ind w:left="0"/>
              <w:jc w:val="left"/>
            </w:pPr>
          </w:p>
          <w:p w14:paraId="7DE78F13">
            <w:pPr>
              <w:numPr>
                <w:ilvl w:val="0"/>
                <w:numId w:val="283"/>
              </w:numPr>
              <w:spacing w:before="120" w:after="120" w:line="288" w:lineRule="auto"/>
              <w:ind w:left="0"/>
              <w:jc w:val="left"/>
            </w:pPr>
            <w:r>
              <w:rPr>
                <w:rFonts w:ascii="Arial" w:hAnsi="Arial" w:eastAsia="等线" w:cs="Arial"/>
                <w:sz w:val="22"/>
              </w:rPr>
              <w:t>A</w:t>
            </w:r>
          </w:p>
          <w:p w14:paraId="28FCB679">
            <w:pPr>
              <w:spacing w:before="120" w:after="120" w:line="288" w:lineRule="auto"/>
              <w:ind w:left="0"/>
              <w:jc w:val="left"/>
            </w:pPr>
            <w:r>
              <w:rPr>
                <w:rFonts w:ascii="Arial" w:hAnsi="Arial" w:eastAsia="等线" w:cs="Arial"/>
                <w:sz w:val="22"/>
              </w:rPr>
              <w:t>The maximum penalties for insider trading are $5 million per individual per violation ($25 million per business) and up to 20 years in prison per violation. Although not part of this question, the maximum civil sanctions are three times the gain or three times the loss avoided plus disgorgement of profits.</w:t>
            </w:r>
          </w:p>
          <w:p w14:paraId="46B70D69">
            <w:pPr>
              <w:spacing w:before="120" w:after="120" w:line="288" w:lineRule="auto"/>
              <w:ind w:left="0"/>
              <w:jc w:val="left"/>
            </w:pPr>
            <w:r>
              <w:rPr>
                <w:rFonts w:ascii="Arial" w:hAnsi="Arial" w:eastAsia="等线" w:cs="Arial"/>
                <w:sz w:val="22"/>
              </w:rPr>
              <w:t>对内幕交易的最高处罚是每人每次违规500万美元（每个企业2500万美元），每次违规最高可判处20年监禁。虽然不是这个问题的一部分，但最高民事制裁是收益的三倍或避免损失的三倍加上利润的没收。</w:t>
            </w:r>
          </w:p>
          <w:p w14:paraId="63D85657">
            <w:pPr>
              <w:spacing w:before="120" w:after="120" w:line="288" w:lineRule="auto"/>
              <w:ind w:left="0"/>
              <w:jc w:val="left"/>
            </w:pPr>
          </w:p>
          <w:p w14:paraId="5B52D69A">
            <w:pPr>
              <w:numPr>
                <w:ilvl w:val="0"/>
                <w:numId w:val="284"/>
              </w:numPr>
              <w:spacing w:before="120" w:after="120" w:line="288" w:lineRule="auto"/>
              <w:ind w:left="0"/>
              <w:jc w:val="left"/>
            </w:pPr>
            <w:r>
              <w:rPr>
                <w:rFonts w:ascii="Arial" w:hAnsi="Arial" w:eastAsia="等线" w:cs="Arial"/>
                <w:sz w:val="22"/>
              </w:rPr>
              <w:t>D</w:t>
            </w:r>
          </w:p>
          <w:p w14:paraId="4915E88A">
            <w:pPr>
              <w:spacing w:before="120" w:after="120" w:line="288" w:lineRule="auto"/>
              <w:ind w:left="0"/>
              <w:jc w:val="left"/>
            </w:pPr>
            <w:r>
              <w:rPr>
                <w:rFonts w:ascii="Arial" w:hAnsi="Arial" w:eastAsia="等线" w:cs="Arial"/>
                <w:sz w:val="22"/>
              </w:rPr>
              <w:t>Pump and dump is a violation in which a firm promotes a security that they own using false or misleading information to try to pump up the price of the security. After the price has been driven up, they dump their stock at a profit.</w:t>
            </w:r>
          </w:p>
          <w:p w14:paraId="724E0855">
            <w:pPr>
              <w:spacing w:before="120" w:after="120" w:line="288" w:lineRule="auto"/>
              <w:ind w:left="0"/>
              <w:jc w:val="left"/>
            </w:pPr>
            <w:r>
              <w:rPr>
                <w:rFonts w:ascii="Arial" w:hAnsi="Arial" w:eastAsia="等线" w:cs="Arial"/>
                <w:sz w:val="22"/>
              </w:rPr>
              <w:t>Pump and dump 是一种违规行为，指公司利用虚假或误导性信息推销自己拥有的证券，试图抬高证券价格。价格被推高后，他们抛售股票获利。</w:t>
            </w:r>
          </w:p>
          <w:p w14:paraId="7389974C">
            <w:pPr>
              <w:spacing w:before="120" w:after="120" w:line="288" w:lineRule="auto"/>
              <w:ind w:left="0"/>
              <w:jc w:val="left"/>
            </w:pPr>
          </w:p>
          <w:p w14:paraId="35D14269">
            <w:pPr>
              <w:numPr>
                <w:ilvl w:val="0"/>
                <w:numId w:val="285"/>
              </w:numPr>
              <w:spacing w:before="120" w:after="120" w:line="288" w:lineRule="auto"/>
              <w:ind w:left="0"/>
              <w:jc w:val="left"/>
            </w:pPr>
            <w:r>
              <w:rPr>
                <w:rFonts w:ascii="Arial" w:hAnsi="Arial" w:eastAsia="等线" w:cs="Arial"/>
                <w:sz w:val="22"/>
              </w:rPr>
              <w:t>A</w:t>
            </w:r>
          </w:p>
          <w:p w14:paraId="4046FD7F">
            <w:pPr>
              <w:spacing w:before="120" w:after="120" w:line="288" w:lineRule="auto"/>
              <w:ind w:left="0"/>
              <w:jc w:val="left"/>
            </w:pPr>
            <w:r>
              <w:rPr>
                <w:rFonts w:ascii="Arial" w:hAnsi="Arial" w:eastAsia="等线" w:cs="Arial"/>
                <w:sz w:val="22"/>
              </w:rPr>
              <w:t>Freeriding is a violation that takes place when a customer places an order to purchase a security and sells it at a profit prior to paying for it. Freeriding is not permitted under Regulation T, and it may require the brokerage firm to freeze the customer’s account for 90 days.</w:t>
            </w:r>
          </w:p>
          <w:p w14:paraId="3DB8203A">
            <w:pPr>
              <w:spacing w:before="120" w:after="120" w:line="288" w:lineRule="auto"/>
              <w:ind w:left="0"/>
              <w:jc w:val="left"/>
            </w:pPr>
            <w:r>
              <w:rPr>
                <w:rFonts w:ascii="Arial" w:hAnsi="Arial" w:eastAsia="等线" w:cs="Arial"/>
                <w:sz w:val="22"/>
              </w:rPr>
              <w:t>搭便车是一种违规行为，发生在客户下单购买证券，并在付款之前将其出售以获利的情况下。根据第T条规定，搭便车是不允许的，它可能要求经纪公司冻结客户的账户90天。</w:t>
            </w:r>
          </w:p>
          <w:p w14:paraId="13FB8019">
            <w:pPr>
              <w:spacing w:before="120" w:after="120" w:line="288" w:lineRule="auto"/>
              <w:ind w:left="0"/>
              <w:jc w:val="left"/>
            </w:pPr>
          </w:p>
          <w:p w14:paraId="64AA6A7F">
            <w:pPr>
              <w:numPr>
                <w:ilvl w:val="0"/>
                <w:numId w:val="286"/>
              </w:numPr>
              <w:spacing w:before="120" w:after="120" w:line="288" w:lineRule="auto"/>
              <w:ind w:left="0"/>
              <w:jc w:val="left"/>
            </w:pPr>
            <w:r>
              <w:rPr>
                <w:rFonts w:ascii="Arial" w:hAnsi="Arial" w:eastAsia="等线" w:cs="Arial"/>
                <w:sz w:val="22"/>
              </w:rPr>
              <w:t>B</w:t>
            </w:r>
          </w:p>
          <w:p w14:paraId="1543BF2E">
            <w:pPr>
              <w:spacing w:before="120" w:after="120" w:line="288" w:lineRule="auto"/>
              <w:ind w:left="0"/>
              <w:jc w:val="left"/>
            </w:pPr>
            <w:r>
              <w:rPr>
                <w:rFonts w:ascii="Arial" w:hAnsi="Arial" w:eastAsia="等线" w:cs="Arial"/>
                <w:sz w:val="22"/>
              </w:rPr>
              <w:t>Because of the possibility of an emergency, all firms are required to have business continuity plans and provide emergency contact information. In addition, all firms must provide the emergency contact information for two principals to FINRA.</w:t>
            </w:r>
          </w:p>
          <w:p w14:paraId="339B4ECF">
            <w:pPr>
              <w:spacing w:before="120" w:after="120" w:line="288" w:lineRule="auto"/>
              <w:ind w:left="0"/>
              <w:jc w:val="left"/>
            </w:pPr>
            <w:r>
              <w:rPr>
                <w:rFonts w:ascii="Arial" w:hAnsi="Arial" w:eastAsia="等线" w:cs="Arial"/>
                <w:sz w:val="22"/>
              </w:rPr>
              <w:t>由于可能发生紧急情况，所有公司都必须制定业务连续性计划并提供紧急联系信息。此外，所有公司必须向FINRA提供两名负责人的紧急联系信息。</w:t>
            </w:r>
          </w:p>
          <w:p w14:paraId="0B57BBB8">
            <w:pPr>
              <w:spacing w:before="120" w:after="120" w:line="288" w:lineRule="auto"/>
              <w:ind w:left="0"/>
              <w:jc w:val="left"/>
            </w:pPr>
          </w:p>
          <w:p w14:paraId="43B33123">
            <w:pPr>
              <w:numPr>
                <w:ilvl w:val="0"/>
                <w:numId w:val="287"/>
              </w:numPr>
              <w:spacing w:before="120" w:after="120" w:line="288" w:lineRule="auto"/>
              <w:ind w:left="0"/>
              <w:jc w:val="left"/>
            </w:pPr>
            <w:r>
              <w:rPr>
                <w:rFonts w:ascii="Arial" w:hAnsi="Arial" w:eastAsia="等线" w:cs="Arial"/>
                <w:sz w:val="22"/>
              </w:rPr>
              <w:t>B</w:t>
            </w:r>
          </w:p>
          <w:p w14:paraId="4347C34C">
            <w:pPr>
              <w:spacing w:before="120" w:after="120" w:line="288" w:lineRule="auto"/>
              <w:ind w:left="0"/>
              <w:jc w:val="left"/>
            </w:pPr>
            <w:r>
              <w:rPr>
                <w:rFonts w:ascii="Arial" w:hAnsi="Arial" w:eastAsia="等线" w:cs="Arial"/>
                <w:sz w:val="22"/>
              </w:rPr>
              <w:t>The FDIC covers each depositor up to $250,000. The SIPC covers each investor up to $500,000, of which no more than $250,000 can be cash.</w:t>
            </w:r>
          </w:p>
          <w:p w14:paraId="3F7789A0">
            <w:pPr>
              <w:spacing w:before="120" w:after="120" w:line="288" w:lineRule="auto"/>
              <w:ind w:left="0"/>
              <w:jc w:val="left"/>
            </w:pPr>
            <w:r>
              <w:rPr>
                <w:rFonts w:ascii="Arial" w:hAnsi="Arial" w:eastAsia="等线" w:cs="Arial"/>
                <w:sz w:val="22"/>
              </w:rPr>
              <w:t>FDIC向每位存款人提供最高25万美元的保险。SIPC向每个投资者提供最高50万美元的资金，其中不超过25万美元可以是现金。</w:t>
            </w:r>
          </w:p>
          <w:p w14:paraId="5B3668CC">
            <w:pPr>
              <w:spacing w:before="120" w:after="120" w:line="288" w:lineRule="auto"/>
              <w:ind w:left="0"/>
              <w:jc w:val="left"/>
            </w:pPr>
          </w:p>
          <w:p w14:paraId="46EC2E86">
            <w:pPr>
              <w:numPr>
                <w:ilvl w:val="0"/>
                <w:numId w:val="288"/>
              </w:numPr>
              <w:spacing w:before="120" w:after="120" w:line="288" w:lineRule="auto"/>
              <w:ind w:left="0"/>
              <w:jc w:val="left"/>
            </w:pPr>
            <w:r>
              <w:rPr>
                <w:rFonts w:ascii="Arial" w:hAnsi="Arial" w:eastAsia="等线" w:cs="Arial"/>
                <w:sz w:val="22"/>
              </w:rPr>
              <w:t>C</w:t>
            </w:r>
          </w:p>
          <w:p w14:paraId="30AB5C38">
            <w:pPr>
              <w:spacing w:before="120" w:after="120" w:line="288" w:lineRule="auto"/>
              <w:ind w:left="0"/>
              <w:jc w:val="left"/>
            </w:pPr>
            <w:r>
              <w:rPr>
                <w:rFonts w:ascii="Arial" w:hAnsi="Arial" w:eastAsia="等线" w:cs="Arial"/>
                <w:sz w:val="22"/>
              </w:rPr>
              <w:t>Blotters, which includes records of all trades executed by the brokerage firm; ledgers, which include customer account statements; general ledgers; position records; account records; and information on closed accounts must be kept for a minimum of six years. U5 forms and sales literature must be kept for a minimum of three years.</w:t>
            </w:r>
          </w:p>
          <w:p w14:paraId="037922AA">
            <w:pPr>
              <w:spacing w:before="120" w:after="120" w:line="288" w:lineRule="auto"/>
              <w:ind w:left="0"/>
              <w:jc w:val="left"/>
            </w:pPr>
            <w:r>
              <w:rPr>
                <w:rFonts w:ascii="Arial" w:hAnsi="Arial" w:eastAsia="等线" w:cs="Arial"/>
                <w:sz w:val="22"/>
              </w:rPr>
              <w:t>记事本，包括经纪公司执行的所有交易的记录；分类账，包括客户账户报表；总帐; 仓位记录; 账户记录;关闭账户的信息必须至少保存6年。U5表格和销售资料必须至少保存三年。</w:t>
            </w:r>
          </w:p>
          <w:p w14:paraId="702E5115">
            <w:pPr>
              <w:spacing w:before="120" w:after="120" w:line="288" w:lineRule="auto"/>
              <w:ind w:left="0"/>
              <w:jc w:val="left"/>
            </w:pPr>
          </w:p>
          <w:p w14:paraId="2EA80F4F">
            <w:pPr>
              <w:numPr>
                <w:ilvl w:val="0"/>
                <w:numId w:val="289"/>
              </w:numPr>
              <w:spacing w:before="120" w:after="120" w:line="288" w:lineRule="auto"/>
              <w:ind w:left="0"/>
              <w:jc w:val="left"/>
            </w:pPr>
            <w:r>
              <w:rPr>
                <w:rFonts w:ascii="Arial" w:hAnsi="Arial" w:eastAsia="等线" w:cs="Arial"/>
                <w:sz w:val="22"/>
              </w:rPr>
              <w:t>C</w:t>
            </w:r>
          </w:p>
          <w:p w14:paraId="453710D6">
            <w:pPr>
              <w:spacing w:before="120" w:after="120" w:line="288" w:lineRule="auto"/>
              <w:ind w:left="0"/>
              <w:jc w:val="left"/>
            </w:pPr>
            <w:r>
              <w:rPr>
                <w:rFonts w:ascii="Arial" w:hAnsi="Arial" w:eastAsia="等线" w:cs="Arial"/>
                <w:sz w:val="22"/>
              </w:rPr>
              <w:t>Corporate or partnership documents of the member firm must be kept for the lifetime of the firm.</w:t>
            </w:r>
          </w:p>
          <w:p w14:paraId="303CEB7A">
            <w:pPr>
              <w:spacing w:before="120" w:after="120" w:line="288" w:lineRule="auto"/>
              <w:ind w:left="0"/>
              <w:jc w:val="left"/>
            </w:pPr>
            <w:r>
              <w:rPr>
                <w:rFonts w:ascii="Arial" w:hAnsi="Arial" w:eastAsia="等线" w:cs="Arial"/>
                <w:sz w:val="22"/>
              </w:rPr>
              <w:t>成员公司的公司文件或合伙文件必须在公司存续期间保存。</w:t>
            </w:r>
          </w:p>
        </w:tc>
      </w:tr>
    </w:tbl>
    <w:p w14:paraId="0F8C0CD8">
      <w:pPr>
        <w:spacing w:before="120" w:after="120" w:line="288" w:lineRule="auto"/>
        <w:ind w:left="0"/>
        <w:jc w:val="left"/>
      </w:pPr>
      <w:bookmarkStart w:id="62" w:name="_GoBack"/>
      <w:bookmarkEnd w:id="62"/>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7E18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AA9BF">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3"/>
      <w:numFmt w:val="decimal"/>
      <w:lvlText w:val="%1."/>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14"/>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E6D16C5"/>
    <w:multiLevelType w:val="singleLevel"/>
    <w:tmpl w:val="8E6D16C5"/>
    <w:lvl w:ilvl="0" w:tentative="0">
      <w:start w:val="25"/>
      <w:numFmt w:val="decimal"/>
      <w:lvlText w:val="%1."/>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17"/>
      <w:numFmt w:val="decimal"/>
      <w:lvlText w:val="%1."/>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0"/>
      <w:numFmt w:val="bullet"/>
      <w:lvlText w:val="•"/>
      <w:lvlJc w:val="left"/>
      <w:rPr>
        <w:color w:val="3370FF"/>
      </w:rPr>
    </w:lvl>
  </w:abstractNum>
  <w:abstractNum w:abstractNumId="15">
    <w:nsid w:val="9239341B"/>
    <w:multiLevelType w:val="singleLevel"/>
    <w:tmpl w:val="9239341B"/>
    <w:lvl w:ilvl="0" w:tentative="0">
      <w:start w:val="0"/>
      <w:numFmt w:val="bullet"/>
      <w:lvlText w:val="￮"/>
      <w:lvlJc w:val="left"/>
      <w:rPr>
        <w:color w:val="3370FF"/>
      </w:rPr>
    </w:lvl>
  </w:abstractNum>
  <w:abstractNum w:abstractNumId="16">
    <w:nsid w:val="9288B902"/>
    <w:multiLevelType w:val="singleLevel"/>
    <w:tmpl w:val="9288B902"/>
    <w:lvl w:ilvl="0" w:tentative="0">
      <w:start w:val="0"/>
      <w:numFmt w:val="bullet"/>
      <w:lvlText w:val="•"/>
      <w:lvlJc w:val="left"/>
      <w:rPr>
        <w:color w:val="3370FF"/>
      </w:rPr>
    </w:lvl>
  </w:abstractNum>
  <w:abstractNum w:abstractNumId="17">
    <w:nsid w:val="92C4F22A"/>
    <w:multiLevelType w:val="singleLevel"/>
    <w:tmpl w:val="92C4F22A"/>
    <w:lvl w:ilvl="0" w:tentative="0">
      <w:start w:val="1"/>
      <w:numFmt w:val="decimal"/>
      <w:lvlText w:val="%1."/>
      <w:lvlJc w:val="left"/>
      <w:rPr>
        <w:color w:val="3370FF"/>
      </w:rPr>
    </w:lvl>
  </w:abstractNum>
  <w:abstractNum w:abstractNumId="18">
    <w:nsid w:val="930EE254"/>
    <w:multiLevelType w:val="singleLevel"/>
    <w:tmpl w:val="930EE254"/>
    <w:lvl w:ilvl="0" w:tentative="0">
      <w:start w:val="0"/>
      <w:numFmt w:val="bullet"/>
      <w:lvlText w:val="•"/>
      <w:lvlJc w:val="left"/>
      <w:rPr>
        <w:color w:val="3370FF"/>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0"/>
      <w:numFmt w:val="bullet"/>
      <w:lvlText w:val="•"/>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27"/>
      <w:numFmt w:val="decimal"/>
      <w:lvlText w:val="%1."/>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0"/>
      <w:numFmt w:val="bullet"/>
      <w:lvlText w:val="•"/>
      <w:lvlJc w:val="left"/>
      <w:rPr>
        <w:color w:val="3370FF"/>
      </w:rPr>
    </w:lvl>
  </w:abstractNum>
  <w:abstractNum w:abstractNumId="28">
    <w:nsid w:val="9BA6347D"/>
    <w:multiLevelType w:val="singleLevel"/>
    <w:tmpl w:val="9BA6347D"/>
    <w:lvl w:ilvl="0" w:tentative="0">
      <w:start w:val="9"/>
      <w:numFmt w:val="decimal"/>
      <w:lvlText w:val="%1."/>
      <w:lvlJc w:val="left"/>
      <w:rPr>
        <w:color w:val="3370FF"/>
      </w:rPr>
    </w:lvl>
  </w:abstractNum>
  <w:abstractNum w:abstractNumId="29">
    <w:nsid w:val="9C11E984"/>
    <w:multiLevelType w:val="singleLevel"/>
    <w:tmpl w:val="9C11E984"/>
    <w:lvl w:ilvl="0" w:tentative="0">
      <w:start w:val="0"/>
      <w:numFmt w:val="bullet"/>
      <w:lvlText w:val="•"/>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0"/>
      <w:numFmt w:val="bullet"/>
      <w:lvlText w:val="￮"/>
      <w:lvlJc w:val="left"/>
      <w:rPr>
        <w:color w:val="3370FF"/>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17"/>
      <w:numFmt w:val="decimal"/>
      <w:lvlText w:val="%1."/>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3"/>
      <w:numFmt w:val="decimal"/>
      <w:lvlText w:val="%1."/>
      <w:lvlJc w:val="left"/>
      <w:rPr>
        <w:color w:val="3370FF"/>
      </w:rPr>
    </w:lvl>
  </w:abstractNum>
  <w:abstractNum w:abstractNumId="44">
    <w:nsid w:val="A125D1D3"/>
    <w:multiLevelType w:val="singleLevel"/>
    <w:tmpl w:val="A125D1D3"/>
    <w:lvl w:ilvl="0" w:tentative="0">
      <w:start w:val="19"/>
      <w:numFmt w:val="decimal"/>
      <w:lvlText w:val="%1."/>
      <w:lvlJc w:val="left"/>
      <w:rPr>
        <w:color w:val="3370FF"/>
      </w:rPr>
    </w:lvl>
  </w:abstractNum>
  <w:abstractNum w:abstractNumId="45">
    <w:nsid w:val="A25F19CE"/>
    <w:multiLevelType w:val="singleLevel"/>
    <w:tmpl w:val="A25F19CE"/>
    <w:lvl w:ilvl="0" w:tentative="0">
      <w:start w:val="6"/>
      <w:numFmt w:val="decimal"/>
      <w:lvlText w:val="%1."/>
      <w:lvlJc w:val="left"/>
      <w:rPr>
        <w:color w:val="3370FF"/>
      </w:rPr>
    </w:lvl>
  </w:abstractNum>
  <w:abstractNum w:abstractNumId="46">
    <w:nsid w:val="A362769C"/>
    <w:multiLevelType w:val="singleLevel"/>
    <w:tmpl w:val="A362769C"/>
    <w:lvl w:ilvl="0" w:tentative="0">
      <w:start w:val="7"/>
      <w:numFmt w:val="decimal"/>
      <w:lvlText w:val="%1."/>
      <w:lvlJc w:val="left"/>
      <w:rPr>
        <w:color w:val="3370FF"/>
      </w:rPr>
    </w:lvl>
  </w:abstractNum>
  <w:abstractNum w:abstractNumId="47">
    <w:nsid w:val="A4433E0D"/>
    <w:multiLevelType w:val="singleLevel"/>
    <w:tmpl w:val="A4433E0D"/>
    <w:lvl w:ilvl="0" w:tentative="0">
      <w:start w:val="12"/>
      <w:numFmt w:val="decimal"/>
      <w:lvlText w:val="%1."/>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97D620A"/>
    <w:multiLevelType w:val="singleLevel"/>
    <w:tmpl w:val="A97D620A"/>
    <w:lvl w:ilvl="0" w:tentative="0">
      <w:start w:val="0"/>
      <w:numFmt w:val="bullet"/>
      <w:lvlText w:val="•"/>
      <w:lvlJc w:val="left"/>
      <w:rPr>
        <w:color w:val="3370FF"/>
      </w:rPr>
    </w:lvl>
  </w:abstractNum>
  <w:abstractNum w:abstractNumId="50">
    <w:nsid w:val="A9AC3AA7"/>
    <w:multiLevelType w:val="singleLevel"/>
    <w:tmpl w:val="A9AC3AA7"/>
    <w:lvl w:ilvl="0" w:tentative="0">
      <w:start w:val="0"/>
      <w:numFmt w:val="bullet"/>
      <w:lvlText w:val="•"/>
      <w:lvlJc w:val="left"/>
      <w:rPr>
        <w:color w:val="3370FF"/>
      </w:rPr>
    </w:lvl>
  </w:abstractNum>
  <w:abstractNum w:abstractNumId="51">
    <w:nsid w:val="AAF3F3FA"/>
    <w:multiLevelType w:val="singleLevel"/>
    <w:tmpl w:val="AAF3F3FA"/>
    <w:lvl w:ilvl="0" w:tentative="0">
      <w:start w:val="0"/>
      <w:numFmt w:val="bullet"/>
      <w:lvlText w:val="•"/>
      <w:lvlJc w:val="left"/>
      <w:rPr>
        <w:color w:val="3370FF"/>
      </w:rPr>
    </w:lvl>
  </w:abstractNum>
  <w:abstractNum w:abstractNumId="52">
    <w:nsid w:val="AC38AFEB"/>
    <w:multiLevelType w:val="singleLevel"/>
    <w:tmpl w:val="AC38AFEB"/>
    <w:lvl w:ilvl="0" w:tentative="0">
      <w:start w:val="0"/>
      <w:numFmt w:val="bullet"/>
      <w:lvlText w:val="•"/>
      <w:lvlJc w:val="left"/>
      <w:rPr>
        <w:color w:val="3370FF"/>
      </w:rPr>
    </w:lvl>
  </w:abstractNum>
  <w:abstractNum w:abstractNumId="53">
    <w:nsid w:val="AD37AD84"/>
    <w:multiLevelType w:val="singleLevel"/>
    <w:tmpl w:val="AD37AD84"/>
    <w:lvl w:ilvl="0" w:tentative="0">
      <w:start w:val="5"/>
      <w:numFmt w:val="decimal"/>
      <w:lvlText w:val="%1."/>
      <w:lvlJc w:val="left"/>
      <w:rPr>
        <w:color w:val="3370FF"/>
      </w:rPr>
    </w:lvl>
  </w:abstractNum>
  <w:abstractNum w:abstractNumId="54">
    <w:nsid w:val="AF139D7D"/>
    <w:multiLevelType w:val="singleLevel"/>
    <w:tmpl w:val="AF139D7D"/>
    <w:lvl w:ilvl="0" w:tentative="0">
      <w:start w:val="26"/>
      <w:numFmt w:val="decimal"/>
      <w:lvlText w:val="%1."/>
      <w:lvlJc w:val="left"/>
      <w:rPr>
        <w:color w:val="3370FF"/>
      </w:rPr>
    </w:lvl>
  </w:abstractNum>
  <w:abstractNum w:abstractNumId="55">
    <w:nsid w:val="B0082E4F"/>
    <w:multiLevelType w:val="singleLevel"/>
    <w:tmpl w:val="B0082E4F"/>
    <w:lvl w:ilvl="0" w:tentative="0">
      <w:start w:val="0"/>
      <w:numFmt w:val="bullet"/>
      <w:lvlText w:val="•"/>
      <w:lvlJc w:val="left"/>
      <w:rPr>
        <w:color w:val="3370FF"/>
      </w:rPr>
    </w:lvl>
  </w:abstractNum>
  <w:abstractNum w:abstractNumId="56">
    <w:nsid w:val="B02A9460"/>
    <w:multiLevelType w:val="singleLevel"/>
    <w:tmpl w:val="B02A9460"/>
    <w:lvl w:ilvl="0" w:tentative="0">
      <w:start w:val="13"/>
      <w:numFmt w:val="decimal"/>
      <w:lvlText w:val="%1."/>
      <w:lvlJc w:val="left"/>
      <w:rPr>
        <w:color w:val="3370FF"/>
      </w:rPr>
    </w:lvl>
  </w:abstractNum>
  <w:abstractNum w:abstractNumId="57">
    <w:nsid w:val="B08374AC"/>
    <w:multiLevelType w:val="singleLevel"/>
    <w:tmpl w:val="B08374AC"/>
    <w:lvl w:ilvl="0" w:tentative="0">
      <w:start w:val="0"/>
      <w:numFmt w:val="bullet"/>
      <w:lvlText w:val="•"/>
      <w:lvlJc w:val="left"/>
      <w:rPr>
        <w:color w:val="3370FF"/>
      </w:rPr>
    </w:lvl>
  </w:abstractNum>
  <w:abstractNum w:abstractNumId="58">
    <w:nsid w:val="B0ED9BEA"/>
    <w:multiLevelType w:val="singleLevel"/>
    <w:tmpl w:val="B0ED9BEA"/>
    <w:lvl w:ilvl="0" w:tentative="0">
      <w:start w:val="0"/>
      <w:numFmt w:val="bullet"/>
      <w:lvlText w:val="•"/>
      <w:lvlJc w:val="left"/>
      <w:rPr>
        <w:color w:val="3370FF"/>
      </w:rPr>
    </w:lvl>
  </w:abstractNum>
  <w:abstractNum w:abstractNumId="59">
    <w:nsid w:val="B0F1ACD9"/>
    <w:multiLevelType w:val="singleLevel"/>
    <w:tmpl w:val="B0F1ACD9"/>
    <w:lvl w:ilvl="0" w:tentative="0">
      <w:start w:val="0"/>
      <w:numFmt w:val="bullet"/>
      <w:lvlText w:val="•"/>
      <w:lvlJc w:val="left"/>
      <w:rPr>
        <w:color w:val="3370FF"/>
      </w:rPr>
    </w:lvl>
  </w:abstractNum>
  <w:abstractNum w:abstractNumId="60">
    <w:nsid w:val="B15ABE86"/>
    <w:multiLevelType w:val="singleLevel"/>
    <w:tmpl w:val="B15ABE86"/>
    <w:lvl w:ilvl="0" w:tentative="0">
      <w:start w:val="0"/>
      <w:numFmt w:val="bullet"/>
      <w:lvlText w:val="•"/>
      <w:lvlJc w:val="left"/>
      <w:rPr>
        <w:color w:val="3370FF"/>
      </w:rPr>
    </w:lvl>
  </w:abstractNum>
  <w:abstractNum w:abstractNumId="61">
    <w:nsid w:val="B1CC6FF1"/>
    <w:multiLevelType w:val="singleLevel"/>
    <w:tmpl w:val="B1CC6FF1"/>
    <w:lvl w:ilvl="0" w:tentative="0">
      <w:start w:val="0"/>
      <w:numFmt w:val="bullet"/>
      <w:lvlText w:val="•"/>
      <w:lvlJc w:val="left"/>
      <w:rPr>
        <w:color w:val="3370FF"/>
      </w:rPr>
    </w:lvl>
  </w:abstractNum>
  <w:abstractNum w:abstractNumId="62">
    <w:nsid w:val="B23A94A9"/>
    <w:multiLevelType w:val="singleLevel"/>
    <w:tmpl w:val="B23A94A9"/>
    <w:lvl w:ilvl="0" w:tentative="0">
      <w:start w:val="0"/>
      <w:numFmt w:val="bullet"/>
      <w:lvlText w:val="•"/>
      <w:lvlJc w:val="left"/>
      <w:rPr>
        <w:color w:val="3370FF"/>
      </w:rPr>
    </w:lvl>
  </w:abstractNum>
  <w:abstractNum w:abstractNumId="63">
    <w:nsid w:val="B4E02BC3"/>
    <w:multiLevelType w:val="singleLevel"/>
    <w:tmpl w:val="B4E02BC3"/>
    <w:lvl w:ilvl="0" w:tentative="0">
      <w:start w:val="0"/>
      <w:numFmt w:val="bullet"/>
      <w:lvlText w:val="•"/>
      <w:lvlJc w:val="left"/>
      <w:rPr>
        <w:color w:val="3370FF"/>
      </w:rPr>
    </w:lvl>
  </w:abstractNum>
  <w:abstractNum w:abstractNumId="64">
    <w:nsid w:val="B53F3350"/>
    <w:multiLevelType w:val="singleLevel"/>
    <w:tmpl w:val="B53F3350"/>
    <w:lvl w:ilvl="0" w:tentative="0">
      <w:start w:val="0"/>
      <w:numFmt w:val="bullet"/>
      <w:lvlText w:val="•"/>
      <w:lvlJc w:val="left"/>
      <w:rPr>
        <w:color w:val="3370FF"/>
      </w:rPr>
    </w:lvl>
  </w:abstractNum>
  <w:abstractNum w:abstractNumId="65">
    <w:nsid w:val="B5601969"/>
    <w:multiLevelType w:val="singleLevel"/>
    <w:tmpl w:val="B5601969"/>
    <w:lvl w:ilvl="0" w:tentative="0">
      <w:start w:val="0"/>
      <w:numFmt w:val="bullet"/>
      <w:lvlText w:val="•"/>
      <w:lvlJc w:val="left"/>
      <w:rPr>
        <w:color w:val="3370FF"/>
      </w:rPr>
    </w:lvl>
  </w:abstractNum>
  <w:abstractNum w:abstractNumId="66">
    <w:nsid w:val="B5CF74F5"/>
    <w:multiLevelType w:val="singleLevel"/>
    <w:tmpl w:val="B5CF74F5"/>
    <w:lvl w:ilvl="0" w:tentative="0">
      <w:start w:val="0"/>
      <w:numFmt w:val="bullet"/>
      <w:lvlText w:val="•"/>
      <w:lvlJc w:val="left"/>
      <w:rPr>
        <w:color w:val="3370FF"/>
      </w:rPr>
    </w:lvl>
  </w:abstractNum>
  <w:abstractNum w:abstractNumId="67">
    <w:nsid w:val="B5E306ED"/>
    <w:multiLevelType w:val="singleLevel"/>
    <w:tmpl w:val="B5E306ED"/>
    <w:lvl w:ilvl="0" w:tentative="0">
      <w:start w:val="0"/>
      <w:numFmt w:val="bullet"/>
      <w:lvlText w:val="•"/>
      <w:lvlJc w:val="left"/>
      <w:rPr>
        <w:color w:val="3370FF"/>
      </w:rPr>
    </w:lvl>
  </w:abstractNum>
  <w:abstractNum w:abstractNumId="68">
    <w:nsid w:val="B62DFF5B"/>
    <w:multiLevelType w:val="singleLevel"/>
    <w:tmpl w:val="B62DFF5B"/>
    <w:lvl w:ilvl="0" w:tentative="0">
      <w:start w:val="11"/>
      <w:numFmt w:val="decimal"/>
      <w:lvlText w:val="%1."/>
      <w:lvlJc w:val="left"/>
      <w:rPr>
        <w:color w:val="3370FF"/>
      </w:rPr>
    </w:lvl>
  </w:abstractNum>
  <w:abstractNum w:abstractNumId="69">
    <w:nsid w:val="B88D21A8"/>
    <w:multiLevelType w:val="singleLevel"/>
    <w:tmpl w:val="B88D21A8"/>
    <w:lvl w:ilvl="0" w:tentative="0">
      <w:start w:val="0"/>
      <w:numFmt w:val="bullet"/>
      <w:lvlText w:val="•"/>
      <w:lvlJc w:val="left"/>
      <w:rPr>
        <w:color w:val="3370FF"/>
      </w:rPr>
    </w:lvl>
  </w:abstractNum>
  <w:abstractNum w:abstractNumId="70">
    <w:nsid w:val="B8CEF35B"/>
    <w:multiLevelType w:val="singleLevel"/>
    <w:tmpl w:val="B8CEF35B"/>
    <w:lvl w:ilvl="0" w:tentative="0">
      <w:start w:val="0"/>
      <w:numFmt w:val="bullet"/>
      <w:lvlText w:val="•"/>
      <w:lvlJc w:val="left"/>
      <w:rPr>
        <w:color w:val="3370FF"/>
      </w:rPr>
    </w:lvl>
  </w:abstractNum>
  <w:abstractNum w:abstractNumId="71">
    <w:nsid w:val="B99465BD"/>
    <w:multiLevelType w:val="singleLevel"/>
    <w:tmpl w:val="B99465BD"/>
    <w:lvl w:ilvl="0" w:tentative="0">
      <w:start w:val="0"/>
      <w:numFmt w:val="bullet"/>
      <w:lvlText w:val="•"/>
      <w:lvlJc w:val="left"/>
      <w:rPr>
        <w:color w:val="3370FF"/>
      </w:rPr>
    </w:lvl>
  </w:abstractNum>
  <w:abstractNum w:abstractNumId="72">
    <w:nsid w:val="BA550FDB"/>
    <w:multiLevelType w:val="singleLevel"/>
    <w:tmpl w:val="BA550FDB"/>
    <w:lvl w:ilvl="0" w:tentative="0">
      <w:start w:val="0"/>
      <w:numFmt w:val="bullet"/>
      <w:lvlText w:val="•"/>
      <w:lvlJc w:val="left"/>
      <w:rPr>
        <w:color w:val="3370FF"/>
      </w:rPr>
    </w:lvl>
  </w:abstractNum>
  <w:abstractNum w:abstractNumId="73">
    <w:nsid w:val="BB01E1DA"/>
    <w:multiLevelType w:val="singleLevel"/>
    <w:tmpl w:val="BB01E1DA"/>
    <w:lvl w:ilvl="0" w:tentative="0">
      <w:start w:val="23"/>
      <w:numFmt w:val="decimal"/>
      <w:lvlText w:val="%1."/>
      <w:lvlJc w:val="left"/>
      <w:rPr>
        <w:color w:val="3370FF"/>
      </w:rPr>
    </w:lvl>
  </w:abstractNum>
  <w:abstractNum w:abstractNumId="74">
    <w:nsid w:val="BB64CFA9"/>
    <w:multiLevelType w:val="singleLevel"/>
    <w:tmpl w:val="BB64CFA9"/>
    <w:lvl w:ilvl="0" w:tentative="0">
      <w:start w:val="0"/>
      <w:numFmt w:val="bullet"/>
      <w:lvlText w:val="•"/>
      <w:lvlJc w:val="left"/>
      <w:rPr>
        <w:color w:val="3370FF"/>
      </w:rPr>
    </w:lvl>
  </w:abstractNum>
  <w:abstractNum w:abstractNumId="75">
    <w:nsid w:val="BC837A95"/>
    <w:multiLevelType w:val="singleLevel"/>
    <w:tmpl w:val="BC837A95"/>
    <w:lvl w:ilvl="0" w:tentative="0">
      <w:start w:val="2"/>
      <w:numFmt w:val="decimal"/>
      <w:lvlText w:val="%1."/>
      <w:lvlJc w:val="left"/>
      <w:rPr>
        <w:color w:val="3370FF"/>
      </w:rPr>
    </w:lvl>
  </w:abstractNum>
  <w:abstractNum w:abstractNumId="76">
    <w:nsid w:val="BCECA0B4"/>
    <w:multiLevelType w:val="singleLevel"/>
    <w:tmpl w:val="BCECA0B4"/>
    <w:lvl w:ilvl="0" w:tentative="0">
      <w:start w:val="0"/>
      <w:numFmt w:val="bullet"/>
      <w:lvlText w:val="•"/>
      <w:lvlJc w:val="left"/>
      <w:rPr>
        <w:color w:val="3370FF"/>
      </w:rPr>
    </w:lvl>
  </w:abstractNum>
  <w:abstractNum w:abstractNumId="77">
    <w:nsid w:val="BDA1395C"/>
    <w:multiLevelType w:val="singleLevel"/>
    <w:tmpl w:val="BDA1395C"/>
    <w:lvl w:ilvl="0" w:tentative="0">
      <w:start w:val="0"/>
      <w:numFmt w:val="bullet"/>
      <w:lvlText w:val="•"/>
      <w:lvlJc w:val="left"/>
      <w:rPr>
        <w:color w:val="3370FF"/>
      </w:rPr>
    </w:lvl>
  </w:abstractNum>
  <w:abstractNum w:abstractNumId="78">
    <w:nsid w:val="BE8A4F4C"/>
    <w:multiLevelType w:val="singleLevel"/>
    <w:tmpl w:val="BE8A4F4C"/>
    <w:lvl w:ilvl="0" w:tentative="0">
      <w:start w:val="0"/>
      <w:numFmt w:val="bullet"/>
      <w:lvlText w:val="•"/>
      <w:lvlJc w:val="left"/>
      <w:rPr>
        <w:color w:val="3370FF"/>
      </w:rPr>
    </w:lvl>
  </w:abstractNum>
  <w:abstractNum w:abstractNumId="79">
    <w:nsid w:val="BE923771"/>
    <w:multiLevelType w:val="singleLevel"/>
    <w:tmpl w:val="BE923771"/>
    <w:lvl w:ilvl="0" w:tentative="0">
      <w:start w:val="0"/>
      <w:numFmt w:val="bullet"/>
      <w:lvlText w:val="•"/>
      <w:lvlJc w:val="left"/>
      <w:rPr>
        <w:color w:val="3370FF"/>
      </w:rPr>
    </w:lvl>
  </w:abstractNum>
  <w:abstractNum w:abstractNumId="80">
    <w:nsid w:val="BEDBFA51"/>
    <w:multiLevelType w:val="singleLevel"/>
    <w:tmpl w:val="BEDBFA51"/>
    <w:lvl w:ilvl="0" w:tentative="0">
      <w:start w:val="18"/>
      <w:numFmt w:val="decimal"/>
      <w:lvlText w:val="%1."/>
      <w:lvlJc w:val="left"/>
      <w:rPr>
        <w:color w:val="3370FF"/>
      </w:rPr>
    </w:lvl>
  </w:abstractNum>
  <w:abstractNum w:abstractNumId="81">
    <w:nsid w:val="BF205925"/>
    <w:multiLevelType w:val="singleLevel"/>
    <w:tmpl w:val="BF205925"/>
    <w:lvl w:ilvl="0" w:tentative="0">
      <w:start w:val="0"/>
      <w:numFmt w:val="bullet"/>
      <w:lvlText w:val="•"/>
      <w:lvlJc w:val="left"/>
      <w:rPr>
        <w:color w:val="3370FF"/>
      </w:rPr>
    </w:lvl>
  </w:abstractNum>
  <w:abstractNum w:abstractNumId="82">
    <w:nsid w:val="BF50FE6B"/>
    <w:multiLevelType w:val="singleLevel"/>
    <w:tmpl w:val="BF50FE6B"/>
    <w:lvl w:ilvl="0" w:tentative="0">
      <w:start w:val="0"/>
      <w:numFmt w:val="bullet"/>
      <w:lvlText w:val="•"/>
      <w:lvlJc w:val="left"/>
      <w:rPr>
        <w:color w:val="3370FF"/>
      </w:rPr>
    </w:lvl>
  </w:abstractNum>
  <w:abstractNum w:abstractNumId="83">
    <w:nsid w:val="C0283A65"/>
    <w:multiLevelType w:val="singleLevel"/>
    <w:tmpl w:val="C0283A65"/>
    <w:lvl w:ilvl="0" w:tentative="0">
      <w:start w:val="0"/>
      <w:numFmt w:val="bullet"/>
      <w:lvlText w:val="•"/>
      <w:lvlJc w:val="left"/>
      <w:rPr>
        <w:color w:val="3370FF"/>
      </w:rPr>
    </w:lvl>
  </w:abstractNum>
  <w:abstractNum w:abstractNumId="84">
    <w:nsid w:val="C0915F4F"/>
    <w:multiLevelType w:val="singleLevel"/>
    <w:tmpl w:val="C0915F4F"/>
    <w:lvl w:ilvl="0" w:tentative="0">
      <w:start w:val="0"/>
      <w:numFmt w:val="bullet"/>
      <w:lvlText w:val="•"/>
      <w:lvlJc w:val="left"/>
      <w:rPr>
        <w:color w:val="3370FF"/>
      </w:rPr>
    </w:lvl>
  </w:abstractNum>
  <w:abstractNum w:abstractNumId="85">
    <w:nsid w:val="C17C4D43"/>
    <w:multiLevelType w:val="singleLevel"/>
    <w:tmpl w:val="C17C4D43"/>
    <w:lvl w:ilvl="0" w:tentative="0">
      <w:start w:val="10"/>
      <w:numFmt w:val="decimal"/>
      <w:lvlText w:val="%1."/>
      <w:lvlJc w:val="left"/>
      <w:rPr>
        <w:color w:val="3370FF"/>
      </w:rPr>
    </w:lvl>
  </w:abstractNum>
  <w:abstractNum w:abstractNumId="86">
    <w:nsid w:val="C4E0D24A"/>
    <w:multiLevelType w:val="singleLevel"/>
    <w:tmpl w:val="C4E0D24A"/>
    <w:lvl w:ilvl="0" w:tentative="0">
      <w:start w:val="0"/>
      <w:numFmt w:val="bullet"/>
      <w:lvlText w:val="•"/>
      <w:lvlJc w:val="left"/>
      <w:rPr>
        <w:color w:val="3370FF"/>
      </w:rPr>
    </w:lvl>
  </w:abstractNum>
  <w:abstractNum w:abstractNumId="87">
    <w:nsid w:val="C4EA4DBF"/>
    <w:multiLevelType w:val="singleLevel"/>
    <w:tmpl w:val="C4EA4DBF"/>
    <w:lvl w:ilvl="0" w:tentative="0">
      <w:start w:val="9"/>
      <w:numFmt w:val="decimal"/>
      <w:lvlText w:val="%1."/>
      <w:lvlJc w:val="left"/>
      <w:rPr>
        <w:color w:val="3370FF"/>
      </w:rPr>
    </w:lvl>
  </w:abstractNum>
  <w:abstractNum w:abstractNumId="88">
    <w:nsid w:val="C560BE57"/>
    <w:multiLevelType w:val="singleLevel"/>
    <w:tmpl w:val="C560BE57"/>
    <w:lvl w:ilvl="0" w:tentative="0">
      <w:start w:val="0"/>
      <w:numFmt w:val="bullet"/>
      <w:lvlText w:val="•"/>
      <w:lvlJc w:val="left"/>
      <w:rPr>
        <w:color w:val="3370FF"/>
      </w:rPr>
    </w:lvl>
  </w:abstractNum>
  <w:abstractNum w:abstractNumId="89">
    <w:nsid w:val="C83AAF60"/>
    <w:multiLevelType w:val="singleLevel"/>
    <w:tmpl w:val="C83AAF60"/>
    <w:lvl w:ilvl="0" w:tentative="0">
      <w:start w:val="8"/>
      <w:numFmt w:val="decimal"/>
      <w:lvlText w:val="%1."/>
      <w:lvlJc w:val="left"/>
      <w:rPr>
        <w:color w:val="3370FF"/>
      </w:rPr>
    </w:lvl>
  </w:abstractNum>
  <w:abstractNum w:abstractNumId="90">
    <w:nsid w:val="C8879AEF"/>
    <w:multiLevelType w:val="singleLevel"/>
    <w:tmpl w:val="C8879AEF"/>
    <w:lvl w:ilvl="0" w:tentative="0">
      <w:start w:val="0"/>
      <w:numFmt w:val="bullet"/>
      <w:lvlText w:val="•"/>
      <w:lvlJc w:val="left"/>
      <w:rPr>
        <w:color w:val="3370FF"/>
      </w:rPr>
    </w:lvl>
  </w:abstractNum>
  <w:abstractNum w:abstractNumId="91">
    <w:nsid w:val="C90D1B09"/>
    <w:multiLevelType w:val="singleLevel"/>
    <w:tmpl w:val="C90D1B09"/>
    <w:lvl w:ilvl="0" w:tentative="0">
      <w:start w:val="0"/>
      <w:numFmt w:val="bullet"/>
      <w:lvlText w:val="•"/>
      <w:lvlJc w:val="left"/>
      <w:rPr>
        <w:color w:val="3370FF"/>
      </w:rPr>
    </w:lvl>
  </w:abstractNum>
  <w:abstractNum w:abstractNumId="92">
    <w:nsid w:val="C9412743"/>
    <w:multiLevelType w:val="singleLevel"/>
    <w:tmpl w:val="C9412743"/>
    <w:lvl w:ilvl="0" w:tentative="0">
      <w:start w:val="0"/>
      <w:numFmt w:val="bullet"/>
      <w:lvlText w:val="•"/>
      <w:lvlJc w:val="left"/>
      <w:rPr>
        <w:color w:val="3370FF"/>
      </w:rPr>
    </w:lvl>
  </w:abstractNum>
  <w:abstractNum w:abstractNumId="93">
    <w:nsid w:val="C9C05784"/>
    <w:multiLevelType w:val="singleLevel"/>
    <w:tmpl w:val="C9C05784"/>
    <w:lvl w:ilvl="0" w:tentative="0">
      <w:start w:val="1"/>
      <w:numFmt w:val="decimal"/>
      <w:lvlText w:val="%1."/>
      <w:lvlJc w:val="left"/>
      <w:rPr>
        <w:color w:val="3370FF"/>
      </w:rPr>
    </w:lvl>
  </w:abstractNum>
  <w:abstractNum w:abstractNumId="94">
    <w:nsid w:val="CB0CECA5"/>
    <w:multiLevelType w:val="singleLevel"/>
    <w:tmpl w:val="CB0CECA5"/>
    <w:lvl w:ilvl="0" w:tentative="0">
      <w:start w:val="0"/>
      <w:numFmt w:val="bullet"/>
      <w:lvlText w:val="•"/>
      <w:lvlJc w:val="left"/>
      <w:rPr>
        <w:color w:val="3370FF"/>
      </w:rPr>
    </w:lvl>
  </w:abstractNum>
  <w:abstractNum w:abstractNumId="95">
    <w:nsid w:val="CB94649F"/>
    <w:multiLevelType w:val="singleLevel"/>
    <w:tmpl w:val="CB94649F"/>
    <w:lvl w:ilvl="0" w:tentative="0">
      <w:start w:val="0"/>
      <w:numFmt w:val="bullet"/>
      <w:lvlText w:val="•"/>
      <w:lvlJc w:val="left"/>
      <w:rPr>
        <w:color w:val="3370FF"/>
      </w:rPr>
    </w:lvl>
  </w:abstractNum>
  <w:abstractNum w:abstractNumId="96">
    <w:nsid w:val="CD699D1D"/>
    <w:multiLevelType w:val="singleLevel"/>
    <w:tmpl w:val="CD699D1D"/>
    <w:lvl w:ilvl="0" w:tentative="0">
      <w:start w:val="0"/>
      <w:numFmt w:val="bullet"/>
      <w:lvlText w:val="•"/>
      <w:lvlJc w:val="left"/>
      <w:rPr>
        <w:color w:val="3370FF"/>
      </w:rPr>
    </w:lvl>
  </w:abstractNum>
  <w:abstractNum w:abstractNumId="97">
    <w:nsid w:val="CF092B84"/>
    <w:multiLevelType w:val="singleLevel"/>
    <w:tmpl w:val="CF092B84"/>
    <w:lvl w:ilvl="0" w:tentative="0">
      <w:start w:val="0"/>
      <w:numFmt w:val="bullet"/>
      <w:lvlText w:val="•"/>
      <w:lvlJc w:val="left"/>
      <w:rPr>
        <w:color w:val="3370FF"/>
      </w:rPr>
    </w:lvl>
  </w:abstractNum>
  <w:abstractNum w:abstractNumId="98">
    <w:nsid w:val="D1EB1714"/>
    <w:multiLevelType w:val="singleLevel"/>
    <w:tmpl w:val="D1EB1714"/>
    <w:lvl w:ilvl="0" w:tentative="0">
      <w:start w:val="0"/>
      <w:numFmt w:val="bullet"/>
      <w:lvlText w:val="•"/>
      <w:lvlJc w:val="left"/>
      <w:rPr>
        <w:color w:val="3370FF"/>
      </w:rPr>
    </w:lvl>
  </w:abstractNum>
  <w:abstractNum w:abstractNumId="99">
    <w:nsid w:val="D2B2DAFD"/>
    <w:multiLevelType w:val="singleLevel"/>
    <w:tmpl w:val="D2B2DAFD"/>
    <w:lvl w:ilvl="0" w:tentative="0">
      <w:start w:val="23"/>
      <w:numFmt w:val="decimal"/>
      <w:lvlText w:val="%1."/>
      <w:lvlJc w:val="left"/>
      <w:rPr>
        <w:color w:val="3370FF"/>
      </w:rPr>
    </w:lvl>
  </w:abstractNum>
  <w:abstractNum w:abstractNumId="100">
    <w:nsid w:val="D42187FE"/>
    <w:multiLevelType w:val="singleLevel"/>
    <w:tmpl w:val="D42187FE"/>
    <w:lvl w:ilvl="0" w:tentative="0">
      <w:start w:val="20"/>
      <w:numFmt w:val="decimal"/>
      <w:lvlText w:val="%1."/>
      <w:lvlJc w:val="left"/>
      <w:rPr>
        <w:color w:val="3370FF"/>
      </w:rPr>
    </w:lvl>
  </w:abstractNum>
  <w:abstractNum w:abstractNumId="101">
    <w:nsid w:val="D5F12F34"/>
    <w:multiLevelType w:val="singleLevel"/>
    <w:tmpl w:val="D5F12F34"/>
    <w:lvl w:ilvl="0" w:tentative="0">
      <w:start w:val="0"/>
      <w:numFmt w:val="bullet"/>
      <w:lvlText w:val="•"/>
      <w:lvlJc w:val="left"/>
      <w:rPr>
        <w:color w:val="3370FF"/>
      </w:rPr>
    </w:lvl>
  </w:abstractNum>
  <w:abstractNum w:abstractNumId="102">
    <w:nsid w:val="D7936317"/>
    <w:multiLevelType w:val="singleLevel"/>
    <w:tmpl w:val="D7936317"/>
    <w:lvl w:ilvl="0" w:tentative="0">
      <w:start w:val="0"/>
      <w:numFmt w:val="bullet"/>
      <w:lvlText w:val="•"/>
      <w:lvlJc w:val="left"/>
      <w:rPr>
        <w:color w:val="3370FF"/>
      </w:rPr>
    </w:lvl>
  </w:abstractNum>
  <w:abstractNum w:abstractNumId="103">
    <w:nsid w:val="D7D140E4"/>
    <w:multiLevelType w:val="singleLevel"/>
    <w:tmpl w:val="D7D140E4"/>
    <w:lvl w:ilvl="0" w:tentative="0">
      <w:start w:val="0"/>
      <w:numFmt w:val="bullet"/>
      <w:lvlText w:val="•"/>
      <w:lvlJc w:val="left"/>
      <w:rPr>
        <w:color w:val="3370FF"/>
      </w:rPr>
    </w:lvl>
  </w:abstractNum>
  <w:abstractNum w:abstractNumId="104">
    <w:nsid w:val="D7F9FE59"/>
    <w:multiLevelType w:val="singleLevel"/>
    <w:tmpl w:val="D7F9FE59"/>
    <w:lvl w:ilvl="0" w:tentative="0">
      <w:start w:val="0"/>
      <w:numFmt w:val="bullet"/>
      <w:lvlText w:val="￮"/>
      <w:lvlJc w:val="left"/>
      <w:rPr>
        <w:color w:val="3370FF"/>
      </w:rPr>
    </w:lvl>
  </w:abstractNum>
  <w:abstractNum w:abstractNumId="105">
    <w:nsid w:val="DAD3A854"/>
    <w:multiLevelType w:val="singleLevel"/>
    <w:tmpl w:val="DAD3A854"/>
    <w:lvl w:ilvl="0" w:tentative="0">
      <w:start w:val="0"/>
      <w:numFmt w:val="bullet"/>
      <w:lvlText w:val="•"/>
      <w:lvlJc w:val="left"/>
      <w:rPr>
        <w:color w:val="3370FF"/>
      </w:rPr>
    </w:lvl>
  </w:abstractNum>
  <w:abstractNum w:abstractNumId="106">
    <w:nsid w:val="DAE62134"/>
    <w:multiLevelType w:val="singleLevel"/>
    <w:tmpl w:val="DAE62134"/>
    <w:lvl w:ilvl="0" w:tentative="0">
      <w:start w:val="0"/>
      <w:numFmt w:val="bullet"/>
      <w:lvlText w:val="•"/>
      <w:lvlJc w:val="left"/>
      <w:rPr>
        <w:color w:val="3370FF"/>
      </w:rPr>
    </w:lvl>
  </w:abstractNum>
  <w:abstractNum w:abstractNumId="107">
    <w:nsid w:val="DAF63FD3"/>
    <w:multiLevelType w:val="singleLevel"/>
    <w:tmpl w:val="DAF63FD3"/>
    <w:lvl w:ilvl="0" w:tentative="0">
      <w:start w:val="3"/>
      <w:numFmt w:val="decimal"/>
      <w:lvlText w:val="%1."/>
      <w:lvlJc w:val="left"/>
      <w:rPr>
        <w:color w:val="3370FF"/>
      </w:rPr>
    </w:lvl>
  </w:abstractNum>
  <w:abstractNum w:abstractNumId="108">
    <w:nsid w:val="DCBA6B53"/>
    <w:multiLevelType w:val="singleLevel"/>
    <w:tmpl w:val="DCBA6B53"/>
    <w:lvl w:ilvl="0" w:tentative="0">
      <w:start w:val="0"/>
      <w:numFmt w:val="bullet"/>
      <w:lvlText w:val="￮"/>
      <w:lvlJc w:val="left"/>
      <w:rPr>
        <w:color w:val="3370FF"/>
      </w:rPr>
    </w:lvl>
  </w:abstractNum>
  <w:abstractNum w:abstractNumId="109">
    <w:nsid w:val="DD02F921"/>
    <w:multiLevelType w:val="singleLevel"/>
    <w:tmpl w:val="DD02F921"/>
    <w:lvl w:ilvl="0" w:tentative="0">
      <w:start w:val="16"/>
      <w:numFmt w:val="decimal"/>
      <w:lvlText w:val="%1."/>
      <w:lvlJc w:val="left"/>
      <w:rPr>
        <w:color w:val="3370FF"/>
      </w:rPr>
    </w:lvl>
  </w:abstractNum>
  <w:abstractNum w:abstractNumId="110">
    <w:nsid w:val="DD3DB379"/>
    <w:multiLevelType w:val="singleLevel"/>
    <w:tmpl w:val="DD3DB379"/>
    <w:lvl w:ilvl="0" w:tentative="0">
      <w:start w:val="18"/>
      <w:numFmt w:val="decimal"/>
      <w:lvlText w:val="%1."/>
      <w:lvlJc w:val="left"/>
      <w:rPr>
        <w:color w:val="3370FF"/>
      </w:rPr>
    </w:lvl>
  </w:abstractNum>
  <w:abstractNum w:abstractNumId="111">
    <w:nsid w:val="DD474A30"/>
    <w:multiLevelType w:val="singleLevel"/>
    <w:tmpl w:val="DD474A30"/>
    <w:lvl w:ilvl="0" w:tentative="0">
      <w:start w:val="19"/>
      <w:numFmt w:val="decimal"/>
      <w:lvlText w:val="%1."/>
      <w:lvlJc w:val="left"/>
      <w:rPr>
        <w:color w:val="3370FF"/>
      </w:rPr>
    </w:lvl>
  </w:abstractNum>
  <w:abstractNum w:abstractNumId="112">
    <w:nsid w:val="E0294EC7"/>
    <w:multiLevelType w:val="singleLevel"/>
    <w:tmpl w:val="E0294EC7"/>
    <w:lvl w:ilvl="0" w:tentative="0">
      <w:start w:val="0"/>
      <w:numFmt w:val="bullet"/>
      <w:lvlText w:val="•"/>
      <w:lvlJc w:val="left"/>
      <w:rPr>
        <w:color w:val="3370FF"/>
      </w:rPr>
    </w:lvl>
  </w:abstractNum>
  <w:abstractNum w:abstractNumId="113">
    <w:nsid w:val="E093A4B0"/>
    <w:multiLevelType w:val="singleLevel"/>
    <w:tmpl w:val="E093A4B0"/>
    <w:lvl w:ilvl="0" w:tentative="0">
      <w:start w:val="0"/>
      <w:numFmt w:val="bullet"/>
      <w:lvlText w:val="•"/>
      <w:lvlJc w:val="left"/>
      <w:rPr>
        <w:color w:val="3370FF"/>
      </w:rPr>
    </w:lvl>
  </w:abstractNum>
  <w:abstractNum w:abstractNumId="114">
    <w:nsid w:val="E43A772E"/>
    <w:multiLevelType w:val="singleLevel"/>
    <w:tmpl w:val="E43A772E"/>
    <w:lvl w:ilvl="0" w:tentative="0">
      <w:start w:val="0"/>
      <w:numFmt w:val="bullet"/>
      <w:lvlText w:val="•"/>
      <w:lvlJc w:val="left"/>
      <w:rPr>
        <w:color w:val="3370FF"/>
      </w:rPr>
    </w:lvl>
  </w:abstractNum>
  <w:abstractNum w:abstractNumId="115">
    <w:nsid w:val="E4D85DB5"/>
    <w:multiLevelType w:val="singleLevel"/>
    <w:tmpl w:val="E4D85DB5"/>
    <w:lvl w:ilvl="0" w:tentative="0">
      <w:start w:val="0"/>
      <w:numFmt w:val="bullet"/>
      <w:lvlText w:val="•"/>
      <w:lvlJc w:val="left"/>
      <w:rPr>
        <w:color w:val="3370FF"/>
      </w:rPr>
    </w:lvl>
  </w:abstractNum>
  <w:abstractNum w:abstractNumId="116">
    <w:nsid w:val="E504947C"/>
    <w:multiLevelType w:val="singleLevel"/>
    <w:tmpl w:val="E504947C"/>
    <w:lvl w:ilvl="0" w:tentative="0">
      <w:start w:val="0"/>
      <w:numFmt w:val="bullet"/>
      <w:lvlText w:val="•"/>
      <w:lvlJc w:val="left"/>
      <w:rPr>
        <w:color w:val="3370FF"/>
      </w:rPr>
    </w:lvl>
  </w:abstractNum>
  <w:abstractNum w:abstractNumId="117">
    <w:nsid w:val="E52D9448"/>
    <w:multiLevelType w:val="singleLevel"/>
    <w:tmpl w:val="E52D9448"/>
    <w:lvl w:ilvl="0" w:tentative="0">
      <w:start w:val="0"/>
      <w:numFmt w:val="bullet"/>
      <w:lvlText w:val="•"/>
      <w:lvlJc w:val="left"/>
      <w:rPr>
        <w:color w:val="3370FF"/>
      </w:rPr>
    </w:lvl>
  </w:abstractNum>
  <w:abstractNum w:abstractNumId="118">
    <w:nsid w:val="E6E98F67"/>
    <w:multiLevelType w:val="singleLevel"/>
    <w:tmpl w:val="E6E98F67"/>
    <w:lvl w:ilvl="0" w:tentative="0">
      <w:start w:val="0"/>
      <w:numFmt w:val="bullet"/>
      <w:lvlText w:val="•"/>
      <w:lvlJc w:val="left"/>
      <w:rPr>
        <w:color w:val="3370FF"/>
      </w:rPr>
    </w:lvl>
  </w:abstractNum>
  <w:abstractNum w:abstractNumId="119">
    <w:nsid w:val="E7B27C5B"/>
    <w:multiLevelType w:val="singleLevel"/>
    <w:tmpl w:val="E7B27C5B"/>
    <w:lvl w:ilvl="0" w:tentative="0">
      <w:start w:val="0"/>
      <w:numFmt w:val="bullet"/>
      <w:lvlText w:val="•"/>
      <w:lvlJc w:val="left"/>
      <w:rPr>
        <w:color w:val="3370FF"/>
      </w:rPr>
    </w:lvl>
  </w:abstractNum>
  <w:abstractNum w:abstractNumId="120">
    <w:nsid w:val="E887D337"/>
    <w:multiLevelType w:val="singleLevel"/>
    <w:tmpl w:val="E887D337"/>
    <w:lvl w:ilvl="0" w:tentative="0">
      <w:start w:val="21"/>
      <w:numFmt w:val="decimal"/>
      <w:lvlText w:val="%1."/>
      <w:lvlJc w:val="left"/>
      <w:rPr>
        <w:color w:val="3370FF"/>
      </w:rPr>
    </w:lvl>
  </w:abstractNum>
  <w:abstractNum w:abstractNumId="121">
    <w:nsid w:val="E93EBC56"/>
    <w:multiLevelType w:val="singleLevel"/>
    <w:tmpl w:val="E93EBC56"/>
    <w:lvl w:ilvl="0" w:tentative="0">
      <w:start w:val="0"/>
      <w:numFmt w:val="bullet"/>
      <w:lvlText w:val="•"/>
      <w:lvlJc w:val="left"/>
      <w:rPr>
        <w:color w:val="3370FF"/>
      </w:rPr>
    </w:lvl>
  </w:abstractNum>
  <w:abstractNum w:abstractNumId="122">
    <w:nsid w:val="EA28CC15"/>
    <w:multiLevelType w:val="singleLevel"/>
    <w:tmpl w:val="EA28CC15"/>
    <w:lvl w:ilvl="0" w:tentative="0">
      <w:start w:val="0"/>
      <w:numFmt w:val="bullet"/>
      <w:lvlText w:val="•"/>
      <w:lvlJc w:val="left"/>
      <w:rPr>
        <w:color w:val="3370FF"/>
      </w:rPr>
    </w:lvl>
  </w:abstractNum>
  <w:abstractNum w:abstractNumId="123">
    <w:nsid w:val="EB1B02D4"/>
    <w:multiLevelType w:val="singleLevel"/>
    <w:tmpl w:val="EB1B02D4"/>
    <w:lvl w:ilvl="0" w:tentative="0">
      <w:start w:val="20"/>
      <w:numFmt w:val="decimal"/>
      <w:lvlText w:val="%1."/>
      <w:lvlJc w:val="left"/>
      <w:rPr>
        <w:color w:val="3370FF"/>
      </w:rPr>
    </w:lvl>
  </w:abstractNum>
  <w:abstractNum w:abstractNumId="124">
    <w:nsid w:val="EFCECDC7"/>
    <w:multiLevelType w:val="singleLevel"/>
    <w:tmpl w:val="EFCECDC7"/>
    <w:lvl w:ilvl="0" w:tentative="0">
      <w:start w:val="0"/>
      <w:numFmt w:val="bullet"/>
      <w:lvlText w:val="•"/>
      <w:lvlJc w:val="left"/>
      <w:rPr>
        <w:color w:val="3370FF"/>
      </w:rPr>
    </w:lvl>
  </w:abstractNum>
  <w:abstractNum w:abstractNumId="125">
    <w:nsid w:val="F066642F"/>
    <w:multiLevelType w:val="singleLevel"/>
    <w:tmpl w:val="F066642F"/>
    <w:lvl w:ilvl="0" w:tentative="0">
      <w:start w:val="0"/>
      <w:numFmt w:val="bullet"/>
      <w:lvlText w:val="•"/>
      <w:lvlJc w:val="left"/>
      <w:rPr>
        <w:color w:val="3370FF"/>
      </w:rPr>
    </w:lvl>
  </w:abstractNum>
  <w:abstractNum w:abstractNumId="126">
    <w:nsid w:val="F0E89278"/>
    <w:multiLevelType w:val="singleLevel"/>
    <w:tmpl w:val="F0E89278"/>
    <w:lvl w:ilvl="0" w:tentative="0">
      <w:start w:val="0"/>
      <w:numFmt w:val="bullet"/>
      <w:lvlText w:val="•"/>
      <w:lvlJc w:val="left"/>
      <w:rPr>
        <w:color w:val="3370FF"/>
      </w:rPr>
    </w:lvl>
  </w:abstractNum>
  <w:abstractNum w:abstractNumId="127">
    <w:nsid w:val="F1FCDEFA"/>
    <w:multiLevelType w:val="singleLevel"/>
    <w:tmpl w:val="F1FCDEFA"/>
    <w:lvl w:ilvl="0" w:tentative="0">
      <w:start w:val="0"/>
      <w:numFmt w:val="bullet"/>
      <w:lvlText w:val="•"/>
      <w:lvlJc w:val="left"/>
      <w:rPr>
        <w:color w:val="3370FF"/>
      </w:rPr>
    </w:lvl>
  </w:abstractNum>
  <w:abstractNum w:abstractNumId="128">
    <w:nsid w:val="F237ACA1"/>
    <w:multiLevelType w:val="singleLevel"/>
    <w:tmpl w:val="F237ACA1"/>
    <w:lvl w:ilvl="0" w:tentative="0">
      <w:start w:val="0"/>
      <w:numFmt w:val="bullet"/>
      <w:lvlText w:val="•"/>
      <w:lvlJc w:val="left"/>
      <w:rPr>
        <w:color w:val="3370FF"/>
      </w:rPr>
    </w:lvl>
  </w:abstractNum>
  <w:abstractNum w:abstractNumId="129">
    <w:nsid w:val="F2A81E1A"/>
    <w:multiLevelType w:val="singleLevel"/>
    <w:tmpl w:val="F2A81E1A"/>
    <w:lvl w:ilvl="0" w:tentative="0">
      <w:start w:val="0"/>
      <w:numFmt w:val="bullet"/>
      <w:lvlText w:val="•"/>
      <w:lvlJc w:val="left"/>
      <w:rPr>
        <w:color w:val="3370FF"/>
      </w:rPr>
    </w:lvl>
  </w:abstractNum>
  <w:abstractNum w:abstractNumId="130">
    <w:nsid w:val="F30FC083"/>
    <w:multiLevelType w:val="singleLevel"/>
    <w:tmpl w:val="F30FC083"/>
    <w:lvl w:ilvl="0" w:tentative="0">
      <w:start w:val="0"/>
      <w:numFmt w:val="bullet"/>
      <w:lvlText w:val="•"/>
      <w:lvlJc w:val="left"/>
      <w:rPr>
        <w:color w:val="3370FF"/>
      </w:rPr>
    </w:lvl>
  </w:abstractNum>
  <w:abstractNum w:abstractNumId="131">
    <w:nsid w:val="F3A33954"/>
    <w:multiLevelType w:val="singleLevel"/>
    <w:tmpl w:val="F3A33954"/>
    <w:lvl w:ilvl="0" w:tentative="0">
      <w:start w:val="0"/>
      <w:numFmt w:val="bullet"/>
      <w:lvlText w:val="￮"/>
      <w:lvlJc w:val="left"/>
      <w:rPr>
        <w:color w:val="3370FF"/>
      </w:rPr>
    </w:lvl>
  </w:abstractNum>
  <w:abstractNum w:abstractNumId="132">
    <w:nsid w:val="F3B956F0"/>
    <w:multiLevelType w:val="singleLevel"/>
    <w:tmpl w:val="F3B956F0"/>
    <w:lvl w:ilvl="0" w:tentative="0">
      <w:start w:val="16"/>
      <w:numFmt w:val="decimal"/>
      <w:lvlText w:val="%1."/>
      <w:lvlJc w:val="left"/>
      <w:rPr>
        <w:color w:val="3370FF"/>
      </w:rPr>
    </w:lvl>
  </w:abstractNum>
  <w:abstractNum w:abstractNumId="133">
    <w:nsid w:val="F411B296"/>
    <w:multiLevelType w:val="singleLevel"/>
    <w:tmpl w:val="F411B296"/>
    <w:lvl w:ilvl="0" w:tentative="0">
      <w:start w:val="2"/>
      <w:numFmt w:val="decimal"/>
      <w:lvlText w:val="%1."/>
      <w:lvlJc w:val="left"/>
      <w:rPr>
        <w:color w:val="3370FF"/>
      </w:rPr>
    </w:lvl>
  </w:abstractNum>
  <w:abstractNum w:abstractNumId="134">
    <w:nsid w:val="F46CCC20"/>
    <w:multiLevelType w:val="singleLevel"/>
    <w:tmpl w:val="F46CCC20"/>
    <w:lvl w:ilvl="0" w:tentative="0">
      <w:start w:val="0"/>
      <w:numFmt w:val="bullet"/>
      <w:lvlText w:val="•"/>
      <w:lvlJc w:val="left"/>
      <w:rPr>
        <w:color w:val="3370FF"/>
      </w:rPr>
    </w:lvl>
  </w:abstractNum>
  <w:abstractNum w:abstractNumId="135">
    <w:nsid w:val="F4A942FE"/>
    <w:multiLevelType w:val="singleLevel"/>
    <w:tmpl w:val="F4A942FE"/>
    <w:lvl w:ilvl="0" w:tentative="0">
      <w:start w:val="0"/>
      <w:numFmt w:val="bullet"/>
      <w:lvlText w:val="•"/>
      <w:lvlJc w:val="left"/>
      <w:rPr>
        <w:color w:val="3370FF"/>
      </w:rPr>
    </w:lvl>
  </w:abstractNum>
  <w:abstractNum w:abstractNumId="136">
    <w:nsid w:val="F4B5D9F5"/>
    <w:multiLevelType w:val="singleLevel"/>
    <w:tmpl w:val="F4B5D9F5"/>
    <w:lvl w:ilvl="0" w:tentative="0">
      <w:start w:val="0"/>
      <w:numFmt w:val="bullet"/>
      <w:lvlText w:val="•"/>
      <w:lvlJc w:val="left"/>
      <w:rPr>
        <w:color w:val="3370FF"/>
      </w:rPr>
    </w:lvl>
  </w:abstractNum>
  <w:abstractNum w:abstractNumId="137">
    <w:nsid w:val="F585BF25"/>
    <w:multiLevelType w:val="singleLevel"/>
    <w:tmpl w:val="F585BF25"/>
    <w:lvl w:ilvl="0" w:tentative="0">
      <w:start w:val="0"/>
      <w:numFmt w:val="bullet"/>
      <w:lvlText w:val="•"/>
      <w:lvlJc w:val="left"/>
      <w:rPr>
        <w:color w:val="3370FF"/>
      </w:rPr>
    </w:lvl>
  </w:abstractNum>
  <w:abstractNum w:abstractNumId="138">
    <w:nsid w:val="F689643B"/>
    <w:multiLevelType w:val="singleLevel"/>
    <w:tmpl w:val="F689643B"/>
    <w:lvl w:ilvl="0" w:tentative="0">
      <w:start w:val="0"/>
      <w:numFmt w:val="bullet"/>
      <w:lvlText w:val="•"/>
      <w:lvlJc w:val="left"/>
      <w:rPr>
        <w:color w:val="3370FF"/>
      </w:rPr>
    </w:lvl>
  </w:abstractNum>
  <w:abstractNum w:abstractNumId="139">
    <w:nsid w:val="F7735DC9"/>
    <w:multiLevelType w:val="singleLevel"/>
    <w:tmpl w:val="F7735DC9"/>
    <w:lvl w:ilvl="0" w:tentative="0">
      <w:start w:val="0"/>
      <w:numFmt w:val="bullet"/>
      <w:lvlText w:val="•"/>
      <w:lvlJc w:val="left"/>
      <w:rPr>
        <w:color w:val="3370FF"/>
      </w:rPr>
    </w:lvl>
  </w:abstractNum>
  <w:abstractNum w:abstractNumId="140">
    <w:nsid w:val="F8949042"/>
    <w:multiLevelType w:val="singleLevel"/>
    <w:tmpl w:val="F8949042"/>
    <w:lvl w:ilvl="0" w:tentative="0">
      <w:start w:val="8"/>
      <w:numFmt w:val="decimal"/>
      <w:lvlText w:val="%1."/>
      <w:lvlJc w:val="left"/>
      <w:rPr>
        <w:color w:val="3370FF"/>
      </w:rPr>
    </w:lvl>
  </w:abstractNum>
  <w:abstractNum w:abstractNumId="141">
    <w:nsid w:val="F9718D3C"/>
    <w:multiLevelType w:val="singleLevel"/>
    <w:tmpl w:val="F9718D3C"/>
    <w:lvl w:ilvl="0" w:tentative="0">
      <w:start w:val="0"/>
      <w:numFmt w:val="bullet"/>
      <w:lvlText w:val="•"/>
      <w:lvlJc w:val="left"/>
      <w:rPr>
        <w:color w:val="3370FF"/>
      </w:rPr>
    </w:lvl>
  </w:abstractNum>
  <w:abstractNum w:abstractNumId="142">
    <w:nsid w:val="F97CED97"/>
    <w:multiLevelType w:val="singleLevel"/>
    <w:tmpl w:val="F97CED97"/>
    <w:lvl w:ilvl="0" w:tentative="0">
      <w:start w:val="0"/>
      <w:numFmt w:val="bullet"/>
      <w:lvlText w:val="•"/>
      <w:lvlJc w:val="left"/>
      <w:rPr>
        <w:color w:val="3370FF"/>
      </w:rPr>
    </w:lvl>
  </w:abstractNum>
  <w:abstractNum w:abstractNumId="143">
    <w:nsid w:val="FCC85EE2"/>
    <w:multiLevelType w:val="singleLevel"/>
    <w:tmpl w:val="FCC85EE2"/>
    <w:lvl w:ilvl="0" w:tentative="0">
      <w:start w:val="0"/>
      <w:numFmt w:val="bullet"/>
      <w:lvlText w:val="•"/>
      <w:lvlJc w:val="left"/>
      <w:rPr>
        <w:color w:val="3370FF"/>
      </w:rPr>
    </w:lvl>
  </w:abstractNum>
  <w:abstractNum w:abstractNumId="144">
    <w:nsid w:val="FEC2EA36"/>
    <w:multiLevelType w:val="singleLevel"/>
    <w:tmpl w:val="FEC2EA36"/>
    <w:lvl w:ilvl="0" w:tentative="0">
      <w:start w:val="0"/>
      <w:numFmt w:val="bullet"/>
      <w:lvlText w:val="•"/>
      <w:lvlJc w:val="left"/>
      <w:rPr>
        <w:color w:val="3370FF"/>
      </w:rPr>
    </w:lvl>
  </w:abstractNum>
  <w:abstractNum w:abstractNumId="145">
    <w:nsid w:val="0039509F"/>
    <w:multiLevelType w:val="singleLevel"/>
    <w:tmpl w:val="0039509F"/>
    <w:lvl w:ilvl="0" w:tentative="0">
      <w:start w:val="24"/>
      <w:numFmt w:val="decimal"/>
      <w:lvlText w:val="%1."/>
      <w:lvlJc w:val="left"/>
      <w:rPr>
        <w:color w:val="3370FF"/>
      </w:rPr>
    </w:lvl>
  </w:abstractNum>
  <w:abstractNum w:abstractNumId="146">
    <w:nsid w:val="0053208E"/>
    <w:multiLevelType w:val="singleLevel"/>
    <w:tmpl w:val="0053208E"/>
    <w:lvl w:ilvl="0" w:tentative="0">
      <w:start w:val="0"/>
      <w:numFmt w:val="bullet"/>
      <w:lvlText w:val="•"/>
      <w:lvlJc w:val="left"/>
      <w:rPr>
        <w:color w:val="3370FF"/>
      </w:rPr>
    </w:lvl>
  </w:abstractNum>
  <w:abstractNum w:abstractNumId="147">
    <w:nsid w:val="01836A6D"/>
    <w:multiLevelType w:val="singleLevel"/>
    <w:tmpl w:val="01836A6D"/>
    <w:lvl w:ilvl="0" w:tentative="0">
      <w:start w:val="0"/>
      <w:numFmt w:val="bullet"/>
      <w:lvlText w:val="•"/>
      <w:lvlJc w:val="left"/>
      <w:rPr>
        <w:color w:val="3370FF"/>
      </w:rPr>
    </w:lvl>
  </w:abstractNum>
  <w:abstractNum w:abstractNumId="148">
    <w:nsid w:val="01D7E1C7"/>
    <w:multiLevelType w:val="singleLevel"/>
    <w:tmpl w:val="01D7E1C7"/>
    <w:lvl w:ilvl="0" w:tentative="0">
      <w:start w:val="0"/>
      <w:numFmt w:val="bullet"/>
      <w:lvlText w:val="•"/>
      <w:lvlJc w:val="left"/>
      <w:rPr>
        <w:color w:val="3370FF"/>
      </w:rPr>
    </w:lvl>
  </w:abstractNum>
  <w:abstractNum w:abstractNumId="149">
    <w:nsid w:val="0248C179"/>
    <w:multiLevelType w:val="singleLevel"/>
    <w:tmpl w:val="0248C179"/>
    <w:lvl w:ilvl="0" w:tentative="0">
      <w:start w:val="0"/>
      <w:numFmt w:val="bullet"/>
      <w:lvlText w:val="￮"/>
      <w:lvlJc w:val="left"/>
      <w:rPr>
        <w:color w:val="3370FF"/>
      </w:rPr>
    </w:lvl>
  </w:abstractNum>
  <w:abstractNum w:abstractNumId="150">
    <w:nsid w:val="0258E135"/>
    <w:multiLevelType w:val="singleLevel"/>
    <w:tmpl w:val="0258E135"/>
    <w:lvl w:ilvl="0" w:tentative="0">
      <w:start w:val="0"/>
      <w:numFmt w:val="bullet"/>
      <w:lvlText w:val="•"/>
      <w:lvlJc w:val="left"/>
      <w:rPr>
        <w:color w:val="3370FF"/>
      </w:rPr>
    </w:lvl>
  </w:abstractNum>
  <w:abstractNum w:abstractNumId="151">
    <w:nsid w:val="025EB27A"/>
    <w:multiLevelType w:val="singleLevel"/>
    <w:tmpl w:val="025EB27A"/>
    <w:lvl w:ilvl="0" w:tentative="0">
      <w:start w:val="10"/>
      <w:numFmt w:val="decimal"/>
      <w:lvlText w:val="%1."/>
      <w:lvlJc w:val="left"/>
      <w:rPr>
        <w:color w:val="3370FF"/>
      </w:rPr>
    </w:lvl>
  </w:abstractNum>
  <w:abstractNum w:abstractNumId="152">
    <w:nsid w:val="03A63A41"/>
    <w:multiLevelType w:val="singleLevel"/>
    <w:tmpl w:val="03A63A41"/>
    <w:lvl w:ilvl="0" w:tentative="0">
      <w:start w:val="0"/>
      <w:numFmt w:val="bullet"/>
      <w:lvlText w:val="•"/>
      <w:lvlJc w:val="left"/>
      <w:rPr>
        <w:color w:val="3370FF"/>
      </w:rPr>
    </w:lvl>
  </w:abstractNum>
  <w:abstractNum w:abstractNumId="153">
    <w:nsid w:val="03C240C0"/>
    <w:multiLevelType w:val="singleLevel"/>
    <w:tmpl w:val="03C240C0"/>
    <w:lvl w:ilvl="0" w:tentative="0">
      <w:start w:val="0"/>
      <w:numFmt w:val="bullet"/>
      <w:lvlText w:val="•"/>
      <w:lvlJc w:val="left"/>
      <w:rPr>
        <w:color w:val="3370FF"/>
      </w:rPr>
    </w:lvl>
  </w:abstractNum>
  <w:abstractNum w:abstractNumId="154">
    <w:nsid w:val="03D62ECE"/>
    <w:multiLevelType w:val="singleLevel"/>
    <w:tmpl w:val="03D62ECE"/>
    <w:lvl w:ilvl="0" w:tentative="0">
      <w:start w:val="0"/>
      <w:numFmt w:val="bullet"/>
      <w:lvlText w:val="•"/>
      <w:lvlJc w:val="left"/>
      <w:rPr>
        <w:color w:val="3370FF"/>
      </w:rPr>
    </w:lvl>
  </w:abstractNum>
  <w:abstractNum w:abstractNumId="155">
    <w:nsid w:val="03EF4B97"/>
    <w:multiLevelType w:val="singleLevel"/>
    <w:tmpl w:val="03EF4B97"/>
    <w:lvl w:ilvl="0" w:tentative="0">
      <w:start w:val="3"/>
      <w:numFmt w:val="decimal"/>
      <w:lvlText w:val="%1."/>
      <w:lvlJc w:val="left"/>
      <w:rPr>
        <w:color w:val="3370FF"/>
      </w:rPr>
    </w:lvl>
  </w:abstractNum>
  <w:abstractNum w:abstractNumId="156">
    <w:nsid w:val="04C1F4F1"/>
    <w:multiLevelType w:val="singleLevel"/>
    <w:tmpl w:val="04C1F4F1"/>
    <w:lvl w:ilvl="0" w:tentative="0">
      <w:start w:val="1"/>
      <w:numFmt w:val="decimal"/>
      <w:lvlText w:val="%1."/>
      <w:lvlJc w:val="left"/>
      <w:rPr>
        <w:color w:val="3370FF"/>
      </w:rPr>
    </w:lvl>
  </w:abstractNum>
  <w:abstractNum w:abstractNumId="157">
    <w:nsid w:val="05D9A6EC"/>
    <w:multiLevelType w:val="singleLevel"/>
    <w:tmpl w:val="05D9A6EC"/>
    <w:lvl w:ilvl="0" w:tentative="0">
      <w:start w:val="5"/>
      <w:numFmt w:val="decimal"/>
      <w:lvlText w:val="%1."/>
      <w:lvlJc w:val="left"/>
      <w:rPr>
        <w:color w:val="3370FF"/>
      </w:rPr>
    </w:lvl>
  </w:abstractNum>
  <w:abstractNum w:abstractNumId="158">
    <w:nsid w:val="0709FD3E"/>
    <w:multiLevelType w:val="singleLevel"/>
    <w:tmpl w:val="0709FD3E"/>
    <w:lvl w:ilvl="0" w:tentative="0">
      <w:start w:val="0"/>
      <w:numFmt w:val="bullet"/>
      <w:lvlText w:val="•"/>
      <w:lvlJc w:val="left"/>
      <w:rPr>
        <w:color w:val="3370FF"/>
      </w:rPr>
    </w:lvl>
  </w:abstractNum>
  <w:abstractNum w:abstractNumId="159">
    <w:nsid w:val="07F2E950"/>
    <w:multiLevelType w:val="singleLevel"/>
    <w:tmpl w:val="07F2E950"/>
    <w:lvl w:ilvl="0" w:tentative="0">
      <w:start w:val="0"/>
      <w:numFmt w:val="bullet"/>
      <w:lvlText w:val="•"/>
      <w:lvlJc w:val="left"/>
      <w:rPr>
        <w:color w:val="3370FF"/>
      </w:rPr>
    </w:lvl>
  </w:abstractNum>
  <w:abstractNum w:abstractNumId="160">
    <w:nsid w:val="07F5BCC3"/>
    <w:multiLevelType w:val="singleLevel"/>
    <w:tmpl w:val="07F5BCC3"/>
    <w:lvl w:ilvl="0" w:tentative="0">
      <w:start w:val="0"/>
      <w:numFmt w:val="bullet"/>
      <w:lvlText w:val="•"/>
      <w:lvlJc w:val="left"/>
      <w:rPr>
        <w:color w:val="3370FF"/>
      </w:rPr>
    </w:lvl>
  </w:abstractNum>
  <w:abstractNum w:abstractNumId="161">
    <w:nsid w:val="0A97485F"/>
    <w:multiLevelType w:val="singleLevel"/>
    <w:tmpl w:val="0A97485F"/>
    <w:lvl w:ilvl="0" w:tentative="0">
      <w:start w:val="24"/>
      <w:numFmt w:val="decimal"/>
      <w:lvlText w:val="%1."/>
      <w:lvlJc w:val="left"/>
      <w:rPr>
        <w:color w:val="3370FF"/>
      </w:rPr>
    </w:lvl>
  </w:abstractNum>
  <w:abstractNum w:abstractNumId="162">
    <w:nsid w:val="0C0E1E13"/>
    <w:multiLevelType w:val="singleLevel"/>
    <w:tmpl w:val="0C0E1E13"/>
    <w:lvl w:ilvl="0" w:tentative="0">
      <w:start w:val="0"/>
      <w:numFmt w:val="bullet"/>
      <w:lvlText w:val="•"/>
      <w:lvlJc w:val="left"/>
      <w:rPr>
        <w:color w:val="3370FF"/>
      </w:rPr>
    </w:lvl>
  </w:abstractNum>
  <w:abstractNum w:abstractNumId="163">
    <w:nsid w:val="0CCB9E98"/>
    <w:multiLevelType w:val="singleLevel"/>
    <w:tmpl w:val="0CCB9E98"/>
    <w:lvl w:ilvl="0" w:tentative="0">
      <w:start w:val="0"/>
      <w:numFmt w:val="bullet"/>
      <w:lvlText w:val="•"/>
      <w:lvlJc w:val="left"/>
      <w:rPr>
        <w:color w:val="3370FF"/>
      </w:rPr>
    </w:lvl>
  </w:abstractNum>
  <w:abstractNum w:abstractNumId="164">
    <w:nsid w:val="0CEF100B"/>
    <w:multiLevelType w:val="singleLevel"/>
    <w:tmpl w:val="0CEF100B"/>
    <w:lvl w:ilvl="0" w:tentative="0">
      <w:start w:val="0"/>
      <w:numFmt w:val="bullet"/>
      <w:lvlText w:val="•"/>
      <w:lvlJc w:val="left"/>
      <w:rPr>
        <w:color w:val="3370FF"/>
      </w:rPr>
    </w:lvl>
  </w:abstractNum>
  <w:abstractNum w:abstractNumId="165">
    <w:nsid w:val="0DBDD408"/>
    <w:multiLevelType w:val="singleLevel"/>
    <w:tmpl w:val="0DBDD408"/>
    <w:lvl w:ilvl="0" w:tentative="0">
      <w:start w:val="2"/>
      <w:numFmt w:val="decimal"/>
      <w:lvlText w:val="%1."/>
      <w:lvlJc w:val="left"/>
      <w:rPr>
        <w:color w:val="3370FF"/>
      </w:rPr>
    </w:lvl>
  </w:abstractNum>
  <w:abstractNum w:abstractNumId="166">
    <w:nsid w:val="0DC629B0"/>
    <w:multiLevelType w:val="singleLevel"/>
    <w:tmpl w:val="0DC629B0"/>
    <w:lvl w:ilvl="0" w:tentative="0">
      <w:start w:val="0"/>
      <w:numFmt w:val="bullet"/>
      <w:lvlText w:val="•"/>
      <w:lvlJc w:val="left"/>
      <w:rPr>
        <w:color w:val="3370FF"/>
      </w:rPr>
    </w:lvl>
  </w:abstractNum>
  <w:abstractNum w:abstractNumId="167">
    <w:nsid w:val="0E640482"/>
    <w:multiLevelType w:val="singleLevel"/>
    <w:tmpl w:val="0E640482"/>
    <w:lvl w:ilvl="0" w:tentative="0">
      <w:start w:val="0"/>
      <w:numFmt w:val="bullet"/>
      <w:lvlText w:val="•"/>
      <w:lvlJc w:val="left"/>
      <w:rPr>
        <w:color w:val="3370FF"/>
      </w:rPr>
    </w:lvl>
  </w:abstractNum>
  <w:abstractNum w:abstractNumId="168">
    <w:nsid w:val="0F929F01"/>
    <w:multiLevelType w:val="singleLevel"/>
    <w:tmpl w:val="0F929F01"/>
    <w:lvl w:ilvl="0" w:tentative="0">
      <w:start w:val="0"/>
      <w:numFmt w:val="bullet"/>
      <w:lvlText w:val="•"/>
      <w:lvlJc w:val="left"/>
      <w:rPr>
        <w:color w:val="3370FF"/>
      </w:rPr>
    </w:lvl>
  </w:abstractNum>
  <w:abstractNum w:abstractNumId="169">
    <w:nsid w:val="0F9F9CCA"/>
    <w:multiLevelType w:val="singleLevel"/>
    <w:tmpl w:val="0F9F9CCA"/>
    <w:lvl w:ilvl="0" w:tentative="0">
      <w:start w:val="0"/>
      <w:numFmt w:val="bullet"/>
      <w:lvlText w:val="•"/>
      <w:lvlJc w:val="left"/>
      <w:rPr>
        <w:color w:val="3370FF"/>
      </w:rPr>
    </w:lvl>
  </w:abstractNum>
  <w:abstractNum w:abstractNumId="170">
    <w:nsid w:val="0FB7FDF6"/>
    <w:multiLevelType w:val="singleLevel"/>
    <w:tmpl w:val="0FB7FDF6"/>
    <w:lvl w:ilvl="0" w:tentative="0">
      <w:start w:val="26"/>
      <w:numFmt w:val="decimal"/>
      <w:lvlText w:val="%1."/>
      <w:lvlJc w:val="left"/>
      <w:rPr>
        <w:color w:val="3370FF"/>
      </w:rPr>
    </w:lvl>
  </w:abstractNum>
  <w:abstractNum w:abstractNumId="171">
    <w:nsid w:val="10502DFD"/>
    <w:multiLevelType w:val="singleLevel"/>
    <w:tmpl w:val="10502DFD"/>
    <w:lvl w:ilvl="0" w:tentative="0">
      <w:start w:val="25"/>
      <w:numFmt w:val="decimal"/>
      <w:lvlText w:val="%1."/>
      <w:lvlJc w:val="left"/>
      <w:rPr>
        <w:color w:val="3370FF"/>
      </w:rPr>
    </w:lvl>
  </w:abstractNum>
  <w:abstractNum w:abstractNumId="172">
    <w:nsid w:val="10D591E5"/>
    <w:multiLevelType w:val="singleLevel"/>
    <w:tmpl w:val="10D591E5"/>
    <w:lvl w:ilvl="0" w:tentative="0">
      <w:start w:val="0"/>
      <w:numFmt w:val="bullet"/>
      <w:lvlText w:val="•"/>
      <w:lvlJc w:val="left"/>
      <w:rPr>
        <w:color w:val="3370FF"/>
      </w:rPr>
    </w:lvl>
  </w:abstractNum>
  <w:abstractNum w:abstractNumId="173">
    <w:nsid w:val="10F0DB0B"/>
    <w:multiLevelType w:val="singleLevel"/>
    <w:tmpl w:val="10F0DB0B"/>
    <w:lvl w:ilvl="0" w:tentative="0">
      <w:start w:val="0"/>
      <w:numFmt w:val="bullet"/>
      <w:lvlText w:val="•"/>
      <w:lvlJc w:val="left"/>
      <w:rPr>
        <w:color w:val="3370FF"/>
      </w:rPr>
    </w:lvl>
  </w:abstractNum>
  <w:abstractNum w:abstractNumId="174">
    <w:nsid w:val="12EADF99"/>
    <w:multiLevelType w:val="singleLevel"/>
    <w:tmpl w:val="12EADF99"/>
    <w:lvl w:ilvl="0" w:tentative="0">
      <w:start w:val="0"/>
      <w:numFmt w:val="bullet"/>
      <w:lvlText w:val="•"/>
      <w:lvlJc w:val="left"/>
      <w:rPr>
        <w:color w:val="3370FF"/>
      </w:rPr>
    </w:lvl>
  </w:abstractNum>
  <w:abstractNum w:abstractNumId="175">
    <w:nsid w:val="13660E3F"/>
    <w:multiLevelType w:val="singleLevel"/>
    <w:tmpl w:val="13660E3F"/>
    <w:lvl w:ilvl="0" w:tentative="0">
      <w:start w:val="0"/>
      <w:numFmt w:val="bullet"/>
      <w:lvlText w:val="•"/>
      <w:lvlJc w:val="left"/>
      <w:rPr>
        <w:color w:val="3370FF"/>
      </w:rPr>
    </w:lvl>
  </w:abstractNum>
  <w:abstractNum w:abstractNumId="176">
    <w:nsid w:val="1450273B"/>
    <w:multiLevelType w:val="singleLevel"/>
    <w:tmpl w:val="1450273B"/>
    <w:lvl w:ilvl="0" w:tentative="0">
      <w:start w:val="0"/>
      <w:numFmt w:val="bullet"/>
      <w:lvlText w:val="•"/>
      <w:lvlJc w:val="left"/>
      <w:rPr>
        <w:color w:val="3370FF"/>
      </w:rPr>
    </w:lvl>
  </w:abstractNum>
  <w:abstractNum w:abstractNumId="177">
    <w:nsid w:val="1483906D"/>
    <w:multiLevelType w:val="singleLevel"/>
    <w:tmpl w:val="1483906D"/>
    <w:lvl w:ilvl="0" w:tentative="0">
      <w:start w:val="0"/>
      <w:numFmt w:val="bullet"/>
      <w:lvlText w:val="•"/>
      <w:lvlJc w:val="left"/>
      <w:rPr>
        <w:color w:val="3370FF"/>
      </w:rPr>
    </w:lvl>
  </w:abstractNum>
  <w:abstractNum w:abstractNumId="178">
    <w:nsid w:val="17371721"/>
    <w:multiLevelType w:val="singleLevel"/>
    <w:tmpl w:val="17371721"/>
    <w:lvl w:ilvl="0" w:tentative="0">
      <w:start w:val="12"/>
      <w:numFmt w:val="decimal"/>
      <w:lvlText w:val="%1."/>
      <w:lvlJc w:val="left"/>
      <w:rPr>
        <w:color w:val="3370FF"/>
      </w:rPr>
    </w:lvl>
  </w:abstractNum>
  <w:abstractNum w:abstractNumId="179">
    <w:nsid w:val="18F74015"/>
    <w:multiLevelType w:val="singleLevel"/>
    <w:tmpl w:val="18F74015"/>
    <w:lvl w:ilvl="0" w:tentative="0">
      <w:start w:val="0"/>
      <w:numFmt w:val="bullet"/>
      <w:lvlText w:val="•"/>
      <w:lvlJc w:val="left"/>
      <w:rPr>
        <w:color w:val="3370FF"/>
      </w:rPr>
    </w:lvl>
  </w:abstractNum>
  <w:abstractNum w:abstractNumId="180">
    <w:nsid w:val="192B173A"/>
    <w:multiLevelType w:val="singleLevel"/>
    <w:tmpl w:val="192B173A"/>
    <w:lvl w:ilvl="0" w:tentative="0">
      <w:start w:val="0"/>
      <w:numFmt w:val="bullet"/>
      <w:lvlText w:val="•"/>
      <w:lvlJc w:val="left"/>
      <w:rPr>
        <w:color w:val="3370FF"/>
      </w:rPr>
    </w:lvl>
  </w:abstractNum>
  <w:abstractNum w:abstractNumId="181">
    <w:nsid w:val="1ACDE60F"/>
    <w:multiLevelType w:val="singleLevel"/>
    <w:tmpl w:val="1ACDE60F"/>
    <w:lvl w:ilvl="0" w:tentative="0">
      <w:start w:val="0"/>
      <w:numFmt w:val="bullet"/>
      <w:lvlText w:val="•"/>
      <w:lvlJc w:val="left"/>
      <w:rPr>
        <w:color w:val="3370FF"/>
      </w:rPr>
    </w:lvl>
  </w:abstractNum>
  <w:abstractNum w:abstractNumId="182">
    <w:nsid w:val="1AD50295"/>
    <w:multiLevelType w:val="singleLevel"/>
    <w:tmpl w:val="1AD50295"/>
    <w:lvl w:ilvl="0" w:tentative="0">
      <w:start w:val="0"/>
      <w:numFmt w:val="bullet"/>
      <w:lvlText w:val="•"/>
      <w:lvlJc w:val="left"/>
      <w:rPr>
        <w:color w:val="3370FF"/>
      </w:rPr>
    </w:lvl>
  </w:abstractNum>
  <w:abstractNum w:abstractNumId="183">
    <w:nsid w:val="1B3FCE26"/>
    <w:multiLevelType w:val="singleLevel"/>
    <w:tmpl w:val="1B3FCE26"/>
    <w:lvl w:ilvl="0" w:tentative="0">
      <w:start w:val="0"/>
      <w:numFmt w:val="bullet"/>
      <w:lvlText w:val="•"/>
      <w:lvlJc w:val="left"/>
      <w:rPr>
        <w:color w:val="3370FF"/>
      </w:rPr>
    </w:lvl>
  </w:abstractNum>
  <w:abstractNum w:abstractNumId="184">
    <w:nsid w:val="1BCBBCF0"/>
    <w:multiLevelType w:val="singleLevel"/>
    <w:tmpl w:val="1BCBBCF0"/>
    <w:lvl w:ilvl="0" w:tentative="0">
      <w:start w:val="0"/>
      <w:numFmt w:val="bullet"/>
      <w:lvlText w:val="•"/>
      <w:lvlJc w:val="left"/>
      <w:rPr>
        <w:color w:val="3370FF"/>
      </w:rPr>
    </w:lvl>
  </w:abstractNum>
  <w:abstractNum w:abstractNumId="185">
    <w:nsid w:val="1C01D09A"/>
    <w:multiLevelType w:val="singleLevel"/>
    <w:tmpl w:val="1C01D09A"/>
    <w:lvl w:ilvl="0" w:tentative="0">
      <w:start w:val="0"/>
      <w:numFmt w:val="bullet"/>
      <w:lvlText w:val="•"/>
      <w:lvlJc w:val="left"/>
      <w:rPr>
        <w:color w:val="3370FF"/>
      </w:rPr>
    </w:lvl>
  </w:abstractNum>
  <w:abstractNum w:abstractNumId="186">
    <w:nsid w:val="1C257C7B"/>
    <w:multiLevelType w:val="singleLevel"/>
    <w:tmpl w:val="1C257C7B"/>
    <w:lvl w:ilvl="0" w:tentative="0">
      <w:start w:val="0"/>
      <w:numFmt w:val="bullet"/>
      <w:lvlText w:val="•"/>
      <w:lvlJc w:val="left"/>
      <w:rPr>
        <w:color w:val="3370FF"/>
      </w:rPr>
    </w:lvl>
  </w:abstractNum>
  <w:abstractNum w:abstractNumId="187">
    <w:nsid w:val="1DEB737C"/>
    <w:multiLevelType w:val="singleLevel"/>
    <w:tmpl w:val="1DEB737C"/>
    <w:lvl w:ilvl="0" w:tentative="0">
      <w:start w:val="0"/>
      <w:numFmt w:val="bullet"/>
      <w:lvlText w:val="•"/>
      <w:lvlJc w:val="left"/>
      <w:rPr>
        <w:color w:val="3370FF"/>
      </w:rPr>
    </w:lvl>
  </w:abstractNum>
  <w:abstractNum w:abstractNumId="188">
    <w:nsid w:val="2007DCFD"/>
    <w:multiLevelType w:val="singleLevel"/>
    <w:tmpl w:val="2007DCFD"/>
    <w:lvl w:ilvl="0" w:tentative="0">
      <w:start w:val="0"/>
      <w:numFmt w:val="bullet"/>
      <w:lvlText w:val="•"/>
      <w:lvlJc w:val="left"/>
      <w:rPr>
        <w:color w:val="3370FF"/>
      </w:rPr>
    </w:lvl>
  </w:abstractNum>
  <w:abstractNum w:abstractNumId="189">
    <w:nsid w:val="21B3B1B1"/>
    <w:multiLevelType w:val="singleLevel"/>
    <w:tmpl w:val="21B3B1B1"/>
    <w:lvl w:ilvl="0" w:tentative="0">
      <w:start w:val="0"/>
      <w:numFmt w:val="bullet"/>
      <w:lvlText w:val="•"/>
      <w:lvlJc w:val="left"/>
      <w:rPr>
        <w:color w:val="3370FF"/>
      </w:rPr>
    </w:lvl>
  </w:abstractNum>
  <w:abstractNum w:abstractNumId="190">
    <w:nsid w:val="227C9188"/>
    <w:multiLevelType w:val="singleLevel"/>
    <w:tmpl w:val="227C9188"/>
    <w:lvl w:ilvl="0" w:tentative="0">
      <w:start w:val="0"/>
      <w:numFmt w:val="bullet"/>
      <w:lvlText w:val="•"/>
      <w:lvlJc w:val="left"/>
      <w:rPr>
        <w:color w:val="3370FF"/>
      </w:rPr>
    </w:lvl>
  </w:abstractNum>
  <w:abstractNum w:abstractNumId="191">
    <w:nsid w:val="23E97754"/>
    <w:multiLevelType w:val="singleLevel"/>
    <w:tmpl w:val="23E97754"/>
    <w:lvl w:ilvl="0" w:tentative="0">
      <w:start w:val="0"/>
      <w:numFmt w:val="bullet"/>
      <w:lvlText w:val="•"/>
      <w:lvlJc w:val="left"/>
      <w:rPr>
        <w:color w:val="3370FF"/>
      </w:rPr>
    </w:lvl>
  </w:abstractNum>
  <w:abstractNum w:abstractNumId="192">
    <w:nsid w:val="243FCF68"/>
    <w:multiLevelType w:val="singleLevel"/>
    <w:tmpl w:val="243FCF68"/>
    <w:lvl w:ilvl="0" w:tentative="0">
      <w:start w:val="4"/>
      <w:numFmt w:val="decimal"/>
      <w:lvlText w:val="%1."/>
      <w:lvlJc w:val="left"/>
      <w:rPr>
        <w:color w:val="3370FF"/>
      </w:rPr>
    </w:lvl>
  </w:abstractNum>
  <w:abstractNum w:abstractNumId="193">
    <w:nsid w:val="2470EC97"/>
    <w:multiLevelType w:val="singleLevel"/>
    <w:tmpl w:val="2470EC97"/>
    <w:lvl w:ilvl="0" w:tentative="0">
      <w:start w:val="0"/>
      <w:numFmt w:val="bullet"/>
      <w:lvlText w:val="￮"/>
      <w:lvlJc w:val="left"/>
      <w:rPr>
        <w:color w:val="3370FF"/>
      </w:rPr>
    </w:lvl>
  </w:abstractNum>
  <w:abstractNum w:abstractNumId="194">
    <w:nsid w:val="249218D2"/>
    <w:multiLevelType w:val="singleLevel"/>
    <w:tmpl w:val="249218D2"/>
    <w:lvl w:ilvl="0" w:tentative="0">
      <w:start w:val="27"/>
      <w:numFmt w:val="decimal"/>
      <w:lvlText w:val="%1."/>
      <w:lvlJc w:val="left"/>
      <w:rPr>
        <w:color w:val="3370FF"/>
      </w:rPr>
    </w:lvl>
  </w:abstractNum>
  <w:abstractNum w:abstractNumId="195">
    <w:nsid w:val="251342A6"/>
    <w:multiLevelType w:val="singleLevel"/>
    <w:tmpl w:val="251342A6"/>
    <w:lvl w:ilvl="0" w:tentative="0">
      <w:start w:val="0"/>
      <w:numFmt w:val="bullet"/>
      <w:lvlText w:val="•"/>
      <w:lvlJc w:val="left"/>
      <w:rPr>
        <w:color w:val="3370FF"/>
      </w:rPr>
    </w:lvl>
  </w:abstractNum>
  <w:abstractNum w:abstractNumId="196">
    <w:nsid w:val="252BF6AB"/>
    <w:multiLevelType w:val="singleLevel"/>
    <w:tmpl w:val="252BF6AB"/>
    <w:lvl w:ilvl="0" w:tentative="0">
      <w:start w:val="0"/>
      <w:numFmt w:val="bullet"/>
      <w:lvlText w:val="•"/>
      <w:lvlJc w:val="left"/>
      <w:rPr>
        <w:color w:val="3370FF"/>
      </w:rPr>
    </w:lvl>
  </w:abstractNum>
  <w:abstractNum w:abstractNumId="197">
    <w:nsid w:val="25B654F3"/>
    <w:multiLevelType w:val="singleLevel"/>
    <w:tmpl w:val="25B654F3"/>
    <w:lvl w:ilvl="0" w:tentative="0">
      <w:start w:val="0"/>
      <w:numFmt w:val="bullet"/>
      <w:lvlText w:val="￮"/>
      <w:lvlJc w:val="left"/>
      <w:rPr>
        <w:color w:val="3370FF"/>
      </w:rPr>
    </w:lvl>
  </w:abstractNum>
  <w:abstractNum w:abstractNumId="198">
    <w:nsid w:val="269945CE"/>
    <w:multiLevelType w:val="singleLevel"/>
    <w:tmpl w:val="269945CE"/>
    <w:lvl w:ilvl="0" w:tentative="0">
      <w:start w:val="0"/>
      <w:numFmt w:val="bullet"/>
      <w:lvlText w:val="•"/>
      <w:lvlJc w:val="left"/>
      <w:rPr>
        <w:color w:val="3370FF"/>
      </w:rPr>
    </w:lvl>
  </w:abstractNum>
  <w:abstractNum w:abstractNumId="199">
    <w:nsid w:val="274D3D9B"/>
    <w:multiLevelType w:val="singleLevel"/>
    <w:tmpl w:val="274D3D9B"/>
    <w:lvl w:ilvl="0" w:tentative="0">
      <w:start w:val="0"/>
      <w:numFmt w:val="bullet"/>
      <w:lvlText w:val="•"/>
      <w:lvlJc w:val="left"/>
      <w:rPr>
        <w:color w:val="3370FF"/>
      </w:rPr>
    </w:lvl>
  </w:abstractNum>
  <w:abstractNum w:abstractNumId="200">
    <w:nsid w:val="2A8F537B"/>
    <w:multiLevelType w:val="singleLevel"/>
    <w:tmpl w:val="2A8F537B"/>
    <w:lvl w:ilvl="0" w:tentative="0">
      <w:start w:val="0"/>
      <w:numFmt w:val="bullet"/>
      <w:lvlText w:val="￮"/>
      <w:lvlJc w:val="left"/>
      <w:rPr>
        <w:color w:val="3370FF"/>
      </w:rPr>
    </w:lvl>
  </w:abstractNum>
  <w:abstractNum w:abstractNumId="201">
    <w:nsid w:val="2B3F3F89"/>
    <w:multiLevelType w:val="singleLevel"/>
    <w:tmpl w:val="2B3F3F89"/>
    <w:lvl w:ilvl="0" w:tentative="0">
      <w:start w:val="0"/>
      <w:numFmt w:val="bullet"/>
      <w:lvlText w:val="•"/>
      <w:lvlJc w:val="left"/>
      <w:rPr>
        <w:color w:val="3370FF"/>
      </w:rPr>
    </w:lvl>
  </w:abstractNum>
  <w:abstractNum w:abstractNumId="202">
    <w:nsid w:val="2C9424EE"/>
    <w:multiLevelType w:val="singleLevel"/>
    <w:tmpl w:val="2C9424EE"/>
    <w:lvl w:ilvl="0" w:tentative="0">
      <w:start w:val="4"/>
      <w:numFmt w:val="decimal"/>
      <w:lvlText w:val="%1."/>
      <w:lvlJc w:val="left"/>
      <w:rPr>
        <w:color w:val="3370FF"/>
      </w:rPr>
    </w:lvl>
  </w:abstractNum>
  <w:abstractNum w:abstractNumId="203">
    <w:nsid w:val="2ED48100"/>
    <w:multiLevelType w:val="singleLevel"/>
    <w:tmpl w:val="2ED48100"/>
    <w:lvl w:ilvl="0" w:tentative="0">
      <w:start w:val="22"/>
      <w:numFmt w:val="decimal"/>
      <w:lvlText w:val="%1."/>
      <w:lvlJc w:val="left"/>
      <w:rPr>
        <w:color w:val="3370FF"/>
      </w:rPr>
    </w:lvl>
  </w:abstractNum>
  <w:abstractNum w:abstractNumId="204">
    <w:nsid w:val="2F2D79CE"/>
    <w:multiLevelType w:val="singleLevel"/>
    <w:tmpl w:val="2F2D79CE"/>
    <w:lvl w:ilvl="0" w:tentative="0">
      <w:start w:val="0"/>
      <w:numFmt w:val="bullet"/>
      <w:lvlText w:val="•"/>
      <w:lvlJc w:val="left"/>
      <w:rPr>
        <w:color w:val="3370FF"/>
      </w:rPr>
    </w:lvl>
  </w:abstractNum>
  <w:abstractNum w:abstractNumId="205">
    <w:nsid w:val="30A0AC00"/>
    <w:multiLevelType w:val="singleLevel"/>
    <w:tmpl w:val="30A0AC00"/>
    <w:lvl w:ilvl="0" w:tentative="0">
      <w:start w:val="0"/>
      <w:numFmt w:val="bullet"/>
      <w:lvlText w:val="•"/>
      <w:lvlJc w:val="left"/>
      <w:rPr>
        <w:color w:val="3370FF"/>
      </w:rPr>
    </w:lvl>
  </w:abstractNum>
  <w:abstractNum w:abstractNumId="206">
    <w:nsid w:val="30FC5B15"/>
    <w:multiLevelType w:val="singleLevel"/>
    <w:tmpl w:val="30FC5B15"/>
    <w:lvl w:ilvl="0" w:tentative="0">
      <w:start w:val="0"/>
      <w:numFmt w:val="bullet"/>
      <w:lvlText w:val="•"/>
      <w:lvlJc w:val="left"/>
      <w:rPr>
        <w:color w:val="3370FF"/>
      </w:rPr>
    </w:lvl>
  </w:abstractNum>
  <w:abstractNum w:abstractNumId="207">
    <w:nsid w:val="311F749C"/>
    <w:multiLevelType w:val="singleLevel"/>
    <w:tmpl w:val="311F749C"/>
    <w:lvl w:ilvl="0" w:tentative="0">
      <w:start w:val="2"/>
      <w:numFmt w:val="decimal"/>
      <w:lvlText w:val="%1."/>
      <w:lvlJc w:val="left"/>
      <w:rPr>
        <w:color w:val="3370FF"/>
      </w:rPr>
    </w:lvl>
  </w:abstractNum>
  <w:abstractNum w:abstractNumId="208">
    <w:nsid w:val="322D85CA"/>
    <w:multiLevelType w:val="singleLevel"/>
    <w:tmpl w:val="322D85CA"/>
    <w:lvl w:ilvl="0" w:tentative="0">
      <w:start w:val="0"/>
      <w:numFmt w:val="bullet"/>
      <w:lvlText w:val="•"/>
      <w:lvlJc w:val="left"/>
      <w:rPr>
        <w:color w:val="3370FF"/>
      </w:rPr>
    </w:lvl>
  </w:abstractNum>
  <w:abstractNum w:abstractNumId="209">
    <w:nsid w:val="3287CD95"/>
    <w:multiLevelType w:val="singleLevel"/>
    <w:tmpl w:val="3287CD95"/>
    <w:lvl w:ilvl="0" w:tentative="0">
      <w:start w:val="1"/>
      <w:numFmt w:val="decimal"/>
      <w:lvlText w:val="%1."/>
      <w:lvlJc w:val="left"/>
      <w:rPr>
        <w:color w:val="3370FF"/>
      </w:rPr>
    </w:lvl>
  </w:abstractNum>
  <w:abstractNum w:abstractNumId="210">
    <w:nsid w:val="329A4FD1"/>
    <w:multiLevelType w:val="singleLevel"/>
    <w:tmpl w:val="329A4FD1"/>
    <w:lvl w:ilvl="0" w:tentative="0">
      <w:start w:val="0"/>
      <w:numFmt w:val="bullet"/>
      <w:lvlText w:val="•"/>
      <w:lvlJc w:val="left"/>
      <w:rPr>
        <w:color w:val="3370FF"/>
      </w:rPr>
    </w:lvl>
  </w:abstractNum>
  <w:abstractNum w:abstractNumId="211">
    <w:nsid w:val="32A7AF2D"/>
    <w:multiLevelType w:val="singleLevel"/>
    <w:tmpl w:val="32A7AF2D"/>
    <w:lvl w:ilvl="0" w:tentative="0">
      <w:start w:val="0"/>
      <w:numFmt w:val="bullet"/>
      <w:lvlText w:val="•"/>
      <w:lvlJc w:val="left"/>
      <w:rPr>
        <w:color w:val="3370FF"/>
      </w:rPr>
    </w:lvl>
  </w:abstractNum>
  <w:abstractNum w:abstractNumId="212">
    <w:nsid w:val="333E8B90"/>
    <w:multiLevelType w:val="singleLevel"/>
    <w:tmpl w:val="333E8B90"/>
    <w:lvl w:ilvl="0" w:tentative="0">
      <w:start w:val="3"/>
      <w:numFmt w:val="decimal"/>
      <w:lvlText w:val="%1."/>
      <w:lvlJc w:val="left"/>
      <w:rPr>
        <w:color w:val="3370FF"/>
      </w:rPr>
    </w:lvl>
  </w:abstractNum>
  <w:abstractNum w:abstractNumId="213">
    <w:nsid w:val="35E83B33"/>
    <w:multiLevelType w:val="singleLevel"/>
    <w:tmpl w:val="35E83B33"/>
    <w:lvl w:ilvl="0" w:tentative="0">
      <w:start w:val="0"/>
      <w:numFmt w:val="bullet"/>
      <w:lvlText w:val="•"/>
      <w:lvlJc w:val="left"/>
      <w:rPr>
        <w:color w:val="3370FF"/>
      </w:rPr>
    </w:lvl>
  </w:abstractNum>
  <w:abstractNum w:abstractNumId="214">
    <w:nsid w:val="35ECE9CB"/>
    <w:multiLevelType w:val="singleLevel"/>
    <w:tmpl w:val="35ECE9CB"/>
    <w:lvl w:ilvl="0" w:tentative="0">
      <w:start w:val="0"/>
      <w:numFmt w:val="bullet"/>
      <w:lvlText w:val="•"/>
      <w:lvlJc w:val="left"/>
      <w:rPr>
        <w:color w:val="3370FF"/>
      </w:rPr>
    </w:lvl>
  </w:abstractNum>
  <w:abstractNum w:abstractNumId="215">
    <w:nsid w:val="3664A4D1"/>
    <w:multiLevelType w:val="singleLevel"/>
    <w:tmpl w:val="3664A4D1"/>
    <w:lvl w:ilvl="0" w:tentative="0">
      <w:start w:val="0"/>
      <w:numFmt w:val="bullet"/>
      <w:lvlText w:val="•"/>
      <w:lvlJc w:val="left"/>
      <w:rPr>
        <w:color w:val="3370FF"/>
      </w:rPr>
    </w:lvl>
  </w:abstractNum>
  <w:abstractNum w:abstractNumId="216">
    <w:nsid w:val="38EAC418"/>
    <w:multiLevelType w:val="singleLevel"/>
    <w:tmpl w:val="38EAC418"/>
    <w:lvl w:ilvl="0" w:tentative="0">
      <w:start w:val="0"/>
      <w:numFmt w:val="bullet"/>
      <w:lvlText w:val="•"/>
      <w:lvlJc w:val="left"/>
      <w:rPr>
        <w:color w:val="3370FF"/>
      </w:rPr>
    </w:lvl>
  </w:abstractNum>
  <w:abstractNum w:abstractNumId="217">
    <w:nsid w:val="39A0D9AC"/>
    <w:multiLevelType w:val="singleLevel"/>
    <w:tmpl w:val="39A0D9AC"/>
    <w:lvl w:ilvl="0" w:tentative="0">
      <w:start w:val="0"/>
      <w:numFmt w:val="bullet"/>
      <w:lvlText w:val="•"/>
      <w:lvlJc w:val="left"/>
      <w:rPr>
        <w:color w:val="3370FF"/>
      </w:rPr>
    </w:lvl>
  </w:abstractNum>
  <w:abstractNum w:abstractNumId="218">
    <w:nsid w:val="3A7FBA26"/>
    <w:multiLevelType w:val="singleLevel"/>
    <w:tmpl w:val="3A7FBA26"/>
    <w:lvl w:ilvl="0" w:tentative="0">
      <w:start w:val="0"/>
      <w:numFmt w:val="bullet"/>
      <w:lvlText w:val="•"/>
      <w:lvlJc w:val="left"/>
      <w:rPr>
        <w:color w:val="3370FF"/>
      </w:rPr>
    </w:lvl>
  </w:abstractNum>
  <w:abstractNum w:abstractNumId="219">
    <w:nsid w:val="3B8127DF"/>
    <w:multiLevelType w:val="singleLevel"/>
    <w:tmpl w:val="3B8127DF"/>
    <w:lvl w:ilvl="0" w:tentative="0">
      <w:start w:val="0"/>
      <w:numFmt w:val="bullet"/>
      <w:lvlText w:val="•"/>
      <w:lvlJc w:val="left"/>
      <w:rPr>
        <w:color w:val="3370FF"/>
      </w:rPr>
    </w:lvl>
  </w:abstractNum>
  <w:abstractNum w:abstractNumId="220">
    <w:nsid w:val="3D950AF9"/>
    <w:multiLevelType w:val="singleLevel"/>
    <w:tmpl w:val="3D950AF9"/>
    <w:lvl w:ilvl="0" w:tentative="0">
      <w:start w:val="0"/>
      <w:numFmt w:val="bullet"/>
      <w:lvlText w:val="•"/>
      <w:lvlJc w:val="left"/>
      <w:rPr>
        <w:color w:val="3370FF"/>
      </w:rPr>
    </w:lvl>
  </w:abstractNum>
  <w:abstractNum w:abstractNumId="221">
    <w:nsid w:val="3F1717E6"/>
    <w:multiLevelType w:val="singleLevel"/>
    <w:tmpl w:val="3F1717E6"/>
    <w:lvl w:ilvl="0" w:tentative="0">
      <w:start w:val="15"/>
      <w:numFmt w:val="decimal"/>
      <w:lvlText w:val="%1."/>
      <w:lvlJc w:val="left"/>
      <w:rPr>
        <w:color w:val="3370FF"/>
      </w:rPr>
    </w:lvl>
  </w:abstractNum>
  <w:abstractNum w:abstractNumId="222">
    <w:nsid w:val="3FE315B6"/>
    <w:multiLevelType w:val="singleLevel"/>
    <w:tmpl w:val="3FE315B6"/>
    <w:lvl w:ilvl="0" w:tentative="0">
      <w:start w:val="0"/>
      <w:numFmt w:val="bullet"/>
      <w:lvlText w:val="•"/>
      <w:lvlJc w:val="left"/>
      <w:rPr>
        <w:color w:val="3370FF"/>
      </w:rPr>
    </w:lvl>
  </w:abstractNum>
  <w:abstractNum w:abstractNumId="223">
    <w:nsid w:val="408860E8"/>
    <w:multiLevelType w:val="singleLevel"/>
    <w:tmpl w:val="408860E8"/>
    <w:lvl w:ilvl="0" w:tentative="0">
      <w:start w:val="0"/>
      <w:numFmt w:val="bullet"/>
      <w:lvlText w:val="•"/>
      <w:lvlJc w:val="left"/>
      <w:rPr>
        <w:color w:val="3370FF"/>
      </w:rPr>
    </w:lvl>
  </w:abstractNum>
  <w:abstractNum w:abstractNumId="224">
    <w:nsid w:val="40B249F9"/>
    <w:multiLevelType w:val="singleLevel"/>
    <w:tmpl w:val="40B249F9"/>
    <w:lvl w:ilvl="0" w:tentative="0">
      <w:start w:val="0"/>
      <w:numFmt w:val="bullet"/>
      <w:lvlText w:val="•"/>
      <w:lvlJc w:val="left"/>
      <w:rPr>
        <w:color w:val="3370FF"/>
      </w:rPr>
    </w:lvl>
  </w:abstractNum>
  <w:abstractNum w:abstractNumId="225">
    <w:nsid w:val="40F245EA"/>
    <w:multiLevelType w:val="singleLevel"/>
    <w:tmpl w:val="40F245EA"/>
    <w:lvl w:ilvl="0" w:tentative="0">
      <w:start w:val="0"/>
      <w:numFmt w:val="bullet"/>
      <w:lvlText w:val="•"/>
      <w:lvlJc w:val="left"/>
      <w:rPr>
        <w:color w:val="3370FF"/>
      </w:rPr>
    </w:lvl>
  </w:abstractNum>
  <w:abstractNum w:abstractNumId="226">
    <w:nsid w:val="4258023A"/>
    <w:multiLevelType w:val="singleLevel"/>
    <w:tmpl w:val="4258023A"/>
    <w:lvl w:ilvl="0" w:tentative="0">
      <w:start w:val="0"/>
      <w:numFmt w:val="bullet"/>
      <w:lvlText w:val="•"/>
      <w:lvlJc w:val="left"/>
      <w:rPr>
        <w:color w:val="3370FF"/>
      </w:rPr>
    </w:lvl>
  </w:abstractNum>
  <w:abstractNum w:abstractNumId="227">
    <w:nsid w:val="429CD0B5"/>
    <w:multiLevelType w:val="singleLevel"/>
    <w:tmpl w:val="429CD0B5"/>
    <w:lvl w:ilvl="0" w:tentative="0">
      <w:start w:val="0"/>
      <w:numFmt w:val="bullet"/>
      <w:lvlText w:val="•"/>
      <w:lvlJc w:val="left"/>
      <w:rPr>
        <w:color w:val="3370FF"/>
      </w:rPr>
    </w:lvl>
  </w:abstractNum>
  <w:abstractNum w:abstractNumId="228">
    <w:nsid w:val="43D68054"/>
    <w:multiLevelType w:val="singleLevel"/>
    <w:tmpl w:val="43D68054"/>
    <w:lvl w:ilvl="0" w:tentative="0">
      <w:start w:val="4"/>
      <w:numFmt w:val="decimal"/>
      <w:lvlText w:val="%1."/>
      <w:lvlJc w:val="left"/>
      <w:rPr>
        <w:color w:val="3370FF"/>
      </w:rPr>
    </w:lvl>
  </w:abstractNum>
  <w:abstractNum w:abstractNumId="229">
    <w:nsid w:val="446EAEE1"/>
    <w:multiLevelType w:val="singleLevel"/>
    <w:tmpl w:val="446EAEE1"/>
    <w:lvl w:ilvl="0" w:tentative="0">
      <w:start w:val="0"/>
      <w:numFmt w:val="bullet"/>
      <w:lvlText w:val="•"/>
      <w:lvlJc w:val="left"/>
      <w:rPr>
        <w:color w:val="3370FF"/>
      </w:rPr>
    </w:lvl>
  </w:abstractNum>
  <w:abstractNum w:abstractNumId="230">
    <w:nsid w:val="46A08BB8"/>
    <w:multiLevelType w:val="singleLevel"/>
    <w:tmpl w:val="46A08BB8"/>
    <w:lvl w:ilvl="0" w:tentative="0">
      <w:start w:val="0"/>
      <w:numFmt w:val="bullet"/>
      <w:lvlText w:val="•"/>
      <w:lvlJc w:val="left"/>
      <w:rPr>
        <w:color w:val="3370FF"/>
      </w:rPr>
    </w:lvl>
  </w:abstractNum>
  <w:abstractNum w:abstractNumId="231">
    <w:nsid w:val="4A51D704"/>
    <w:multiLevelType w:val="singleLevel"/>
    <w:tmpl w:val="4A51D704"/>
    <w:lvl w:ilvl="0" w:tentative="0">
      <w:start w:val="0"/>
      <w:numFmt w:val="bullet"/>
      <w:lvlText w:val="•"/>
      <w:lvlJc w:val="left"/>
      <w:rPr>
        <w:color w:val="3370FF"/>
      </w:rPr>
    </w:lvl>
  </w:abstractNum>
  <w:abstractNum w:abstractNumId="232">
    <w:nsid w:val="4A5718B2"/>
    <w:multiLevelType w:val="singleLevel"/>
    <w:tmpl w:val="4A5718B2"/>
    <w:lvl w:ilvl="0" w:tentative="0">
      <w:start w:val="14"/>
      <w:numFmt w:val="decimal"/>
      <w:lvlText w:val="%1."/>
      <w:lvlJc w:val="left"/>
      <w:rPr>
        <w:color w:val="3370FF"/>
      </w:rPr>
    </w:lvl>
  </w:abstractNum>
  <w:abstractNum w:abstractNumId="233">
    <w:nsid w:val="4AD1D84F"/>
    <w:multiLevelType w:val="singleLevel"/>
    <w:tmpl w:val="4AD1D84F"/>
    <w:lvl w:ilvl="0" w:tentative="0">
      <w:start w:val="0"/>
      <w:numFmt w:val="bullet"/>
      <w:lvlText w:val="•"/>
      <w:lvlJc w:val="left"/>
      <w:rPr>
        <w:color w:val="3370FF"/>
      </w:rPr>
    </w:lvl>
  </w:abstractNum>
  <w:abstractNum w:abstractNumId="234">
    <w:nsid w:val="4C1BAE26"/>
    <w:multiLevelType w:val="singleLevel"/>
    <w:tmpl w:val="4C1BAE26"/>
    <w:lvl w:ilvl="0" w:tentative="0">
      <w:start w:val="0"/>
      <w:numFmt w:val="bullet"/>
      <w:lvlText w:val="•"/>
      <w:lvlJc w:val="left"/>
      <w:rPr>
        <w:color w:val="3370FF"/>
      </w:rPr>
    </w:lvl>
  </w:abstractNum>
  <w:abstractNum w:abstractNumId="235">
    <w:nsid w:val="4C3D7A74"/>
    <w:multiLevelType w:val="singleLevel"/>
    <w:tmpl w:val="4C3D7A74"/>
    <w:lvl w:ilvl="0" w:tentative="0">
      <w:start w:val="0"/>
      <w:numFmt w:val="bullet"/>
      <w:lvlText w:val="•"/>
      <w:lvlJc w:val="left"/>
      <w:rPr>
        <w:color w:val="3370FF"/>
      </w:rPr>
    </w:lvl>
  </w:abstractNum>
  <w:abstractNum w:abstractNumId="236">
    <w:nsid w:val="4CD1E351"/>
    <w:multiLevelType w:val="singleLevel"/>
    <w:tmpl w:val="4CD1E351"/>
    <w:lvl w:ilvl="0" w:tentative="0">
      <w:start w:val="0"/>
      <w:numFmt w:val="bullet"/>
      <w:lvlText w:val="•"/>
      <w:lvlJc w:val="left"/>
      <w:rPr>
        <w:color w:val="3370FF"/>
      </w:rPr>
    </w:lvl>
  </w:abstractNum>
  <w:abstractNum w:abstractNumId="237">
    <w:nsid w:val="4D4DC07F"/>
    <w:multiLevelType w:val="singleLevel"/>
    <w:tmpl w:val="4D4DC07F"/>
    <w:lvl w:ilvl="0" w:tentative="0">
      <w:start w:val="0"/>
      <w:numFmt w:val="bullet"/>
      <w:lvlText w:val="•"/>
      <w:lvlJc w:val="left"/>
      <w:rPr>
        <w:color w:val="3370FF"/>
      </w:rPr>
    </w:lvl>
  </w:abstractNum>
  <w:abstractNum w:abstractNumId="238">
    <w:nsid w:val="4D63189B"/>
    <w:multiLevelType w:val="singleLevel"/>
    <w:tmpl w:val="4D63189B"/>
    <w:lvl w:ilvl="0" w:tentative="0">
      <w:start w:val="0"/>
      <w:numFmt w:val="bullet"/>
      <w:lvlText w:val="•"/>
      <w:lvlJc w:val="left"/>
      <w:rPr>
        <w:color w:val="3370FF"/>
      </w:rPr>
    </w:lvl>
  </w:abstractNum>
  <w:abstractNum w:abstractNumId="239">
    <w:nsid w:val="4D94DA66"/>
    <w:multiLevelType w:val="singleLevel"/>
    <w:tmpl w:val="4D94DA66"/>
    <w:lvl w:ilvl="0" w:tentative="0">
      <w:start w:val="5"/>
      <w:numFmt w:val="decimal"/>
      <w:lvlText w:val="%1."/>
      <w:lvlJc w:val="left"/>
      <w:rPr>
        <w:color w:val="3370FF"/>
      </w:rPr>
    </w:lvl>
  </w:abstractNum>
  <w:abstractNum w:abstractNumId="240">
    <w:nsid w:val="4E709187"/>
    <w:multiLevelType w:val="singleLevel"/>
    <w:tmpl w:val="4E709187"/>
    <w:lvl w:ilvl="0" w:tentative="0">
      <w:start w:val="0"/>
      <w:numFmt w:val="bullet"/>
      <w:lvlText w:val="•"/>
      <w:lvlJc w:val="left"/>
      <w:rPr>
        <w:color w:val="3370FF"/>
      </w:rPr>
    </w:lvl>
  </w:abstractNum>
  <w:abstractNum w:abstractNumId="241">
    <w:nsid w:val="4EA76503"/>
    <w:multiLevelType w:val="singleLevel"/>
    <w:tmpl w:val="4EA76503"/>
    <w:lvl w:ilvl="0" w:tentative="0">
      <w:start w:val="0"/>
      <w:numFmt w:val="bullet"/>
      <w:lvlText w:val="•"/>
      <w:lvlJc w:val="left"/>
      <w:rPr>
        <w:color w:val="3370FF"/>
      </w:rPr>
    </w:lvl>
  </w:abstractNum>
  <w:abstractNum w:abstractNumId="242">
    <w:nsid w:val="4F00C6B4"/>
    <w:multiLevelType w:val="singleLevel"/>
    <w:tmpl w:val="4F00C6B4"/>
    <w:lvl w:ilvl="0" w:tentative="0">
      <w:start w:val="0"/>
      <w:numFmt w:val="bullet"/>
      <w:lvlText w:val="•"/>
      <w:lvlJc w:val="left"/>
      <w:rPr>
        <w:color w:val="3370FF"/>
      </w:rPr>
    </w:lvl>
  </w:abstractNum>
  <w:abstractNum w:abstractNumId="243">
    <w:nsid w:val="4FA7FC34"/>
    <w:multiLevelType w:val="singleLevel"/>
    <w:tmpl w:val="4FA7FC34"/>
    <w:lvl w:ilvl="0" w:tentative="0">
      <w:start w:val="0"/>
      <w:numFmt w:val="bullet"/>
      <w:lvlText w:val="•"/>
      <w:lvlJc w:val="left"/>
      <w:rPr>
        <w:color w:val="3370FF"/>
      </w:rPr>
    </w:lvl>
  </w:abstractNum>
  <w:abstractNum w:abstractNumId="244">
    <w:nsid w:val="4FB438A5"/>
    <w:multiLevelType w:val="singleLevel"/>
    <w:tmpl w:val="4FB438A5"/>
    <w:lvl w:ilvl="0" w:tentative="0">
      <w:start w:val="0"/>
      <w:numFmt w:val="bullet"/>
      <w:lvlText w:val="•"/>
      <w:lvlJc w:val="left"/>
      <w:rPr>
        <w:color w:val="3370FF"/>
      </w:rPr>
    </w:lvl>
  </w:abstractNum>
  <w:abstractNum w:abstractNumId="245">
    <w:nsid w:val="51C4BC33"/>
    <w:multiLevelType w:val="singleLevel"/>
    <w:tmpl w:val="51C4BC33"/>
    <w:lvl w:ilvl="0" w:tentative="0">
      <w:start w:val="0"/>
      <w:numFmt w:val="bullet"/>
      <w:lvlText w:val="•"/>
      <w:lvlJc w:val="left"/>
      <w:rPr>
        <w:color w:val="3370FF"/>
      </w:rPr>
    </w:lvl>
  </w:abstractNum>
  <w:abstractNum w:abstractNumId="246">
    <w:nsid w:val="54701CA1"/>
    <w:multiLevelType w:val="singleLevel"/>
    <w:tmpl w:val="54701CA1"/>
    <w:lvl w:ilvl="0" w:tentative="0">
      <w:start w:val="0"/>
      <w:numFmt w:val="bullet"/>
      <w:lvlText w:val="￮"/>
      <w:lvlJc w:val="left"/>
      <w:rPr>
        <w:color w:val="3370FF"/>
      </w:rPr>
    </w:lvl>
  </w:abstractNum>
  <w:abstractNum w:abstractNumId="247">
    <w:nsid w:val="568750A4"/>
    <w:multiLevelType w:val="singleLevel"/>
    <w:tmpl w:val="568750A4"/>
    <w:lvl w:ilvl="0" w:tentative="0">
      <w:start w:val="13"/>
      <w:numFmt w:val="decimal"/>
      <w:lvlText w:val="%1."/>
      <w:lvlJc w:val="left"/>
      <w:rPr>
        <w:color w:val="3370FF"/>
      </w:rPr>
    </w:lvl>
  </w:abstractNum>
  <w:abstractNum w:abstractNumId="248">
    <w:nsid w:val="57DED440"/>
    <w:multiLevelType w:val="singleLevel"/>
    <w:tmpl w:val="57DED440"/>
    <w:lvl w:ilvl="0" w:tentative="0">
      <w:start w:val="11"/>
      <w:numFmt w:val="decimal"/>
      <w:lvlText w:val="%1."/>
      <w:lvlJc w:val="left"/>
      <w:rPr>
        <w:color w:val="3370FF"/>
      </w:rPr>
    </w:lvl>
  </w:abstractNum>
  <w:abstractNum w:abstractNumId="249">
    <w:nsid w:val="58765686"/>
    <w:multiLevelType w:val="singleLevel"/>
    <w:tmpl w:val="58765686"/>
    <w:lvl w:ilvl="0" w:tentative="0">
      <w:start w:val="1"/>
      <w:numFmt w:val="decimal"/>
      <w:lvlText w:val="%1."/>
      <w:lvlJc w:val="left"/>
      <w:rPr>
        <w:color w:val="3370FF"/>
      </w:rPr>
    </w:lvl>
  </w:abstractNum>
  <w:abstractNum w:abstractNumId="250">
    <w:nsid w:val="598DAF6D"/>
    <w:multiLevelType w:val="singleLevel"/>
    <w:tmpl w:val="598DAF6D"/>
    <w:lvl w:ilvl="0" w:tentative="0">
      <w:start w:val="0"/>
      <w:numFmt w:val="bullet"/>
      <w:lvlText w:val="•"/>
      <w:lvlJc w:val="left"/>
      <w:rPr>
        <w:color w:val="3370FF"/>
      </w:rPr>
    </w:lvl>
  </w:abstractNum>
  <w:abstractNum w:abstractNumId="251">
    <w:nsid w:val="59ADCABA"/>
    <w:multiLevelType w:val="singleLevel"/>
    <w:tmpl w:val="59ADCABA"/>
    <w:lvl w:ilvl="0" w:tentative="0">
      <w:start w:val="0"/>
      <w:numFmt w:val="bullet"/>
      <w:lvlText w:val="•"/>
      <w:lvlJc w:val="left"/>
      <w:rPr>
        <w:color w:val="3370FF"/>
      </w:rPr>
    </w:lvl>
  </w:abstractNum>
  <w:abstractNum w:abstractNumId="252">
    <w:nsid w:val="59EEFD2A"/>
    <w:multiLevelType w:val="singleLevel"/>
    <w:tmpl w:val="59EEFD2A"/>
    <w:lvl w:ilvl="0" w:tentative="0">
      <w:start w:val="0"/>
      <w:numFmt w:val="bullet"/>
      <w:lvlText w:val="•"/>
      <w:lvlJc w:val="left"/>
      <w:rPr>
        <w:color w:val="3370FF"/>
      </w:rPr>
    </w:lvl>
  </w:abstractNum>
  <w:abstractNum w:abstractNumId="253">
    <w:nsid w:val="5A241D34"/>
    <w:multiLevelType w:val="singleLevel"/>
    <w:tmpl w:val="5A241D34"/>
    <w:lvl w:ilvl="0" w:tentative="0">
      <w:start w:val="0"/>
      <w:numFmt w:val="bullet"/>
      <w:lvlText w:val="￮"/>
      <w:lvlJc w:val="left"/>
      <w:rPr>
        <w:color w:val="3370FF"/>
      </w:rPr>
    </w:lvl>
  </w:abstractNum>
  <w:abstractNum w:abstractNumId="254">
    <w:nsid w:val="5A8377A7"/>
    <w:multiLevelType w:val="singleLevel"/>
    <w:tmpl w:val="5A8377A7"/>
    <w:lvl w:ilvl="0" w:tentative="0">
      <w:start w:val="1"/>
      <w:numFmt w:val="decimal"/>
      <w:lvlText w:val="%1."/>
      <w:lvlJc w:val="left"/>
      <w:rPr>
        <w:color w:val="3370FF"/>
      </w:rPr>
    </w:lvl>
  </w:abstractNum>
  <w:abstractNum w:abstractNumId="255">
    <w:nsid w:val="5E29AB5A"/>
    <w:multiLevelType w:val="singleLevel"/>
    <w:tmpl w:val="5E29AB5A"/>
    <w:lvl w:ilvl="0" w:tentative="0">
      <w:start w:val="0"/>
      <w:numFmt w:val="bullet"/>
      <w:lvlText w:val="￮"/>
      <w:lvlJc w:val="left"/>
      <w:rPr>
        <w:color w:val="3370FF"/>
      </w:rPr>
    </w:lvl>
  </w:abstractNum>
  <w:abstractNum w:abstractNumId="256">
    <w:nsid w:val="5F098F1B"/>
    <w:multiLevelType w:val="singleLevel"/>
    <w:tmpl w:val="5F098F1B"/>
    <w:lvl w:ilvl="0" w:tentative="0">
      <w:start w:val="6"/>
      <w:numFmt w:val="decimal"/>
      <w:lvlText w:val="%1."/>
      <w:lvlJc w:val="left"/>
      <w:rPr>
        <w:color w:val="3370FF"/>
      </w:rPr>
    </w:lvl>
  </w:abstractNum>
  <w:abstractNum w:abstractNumId="257">
    <w:nsid w:val="5FCE4367"/>
    <w:multiLevelType w:val="singleLevel"/>
    <w:tmpl w:val="5FCE4367"/>
    <w:lvl w:ilvl="0" w:tentative="0">
      <w:start w:val="0"/>
      <w:numFmt w:val="bullet"/>
      <w:lvlText w:val="•"/>
      <w:lvlJc w:val="left"/>
      <w:rPr>
        <w:color w:val="3370FF"/>
      </w:rPr>
    </w:lvl>
  </w:abstractNum>
  <w:abstractNum w:abstractNumId="258">
    <w:nsid w:val="5FFFB1A7"/>
    <w:multiLevelType w:val="singleLevel"/>
    <w:tmpl w:val="5FFFB1A7"/>
    <w:lvl w:ilvl="0" w:tentative="0">
      <w:start w:val="0"/>
      <w:numFmt w:val="bullet"/>
      <w:lvlText w:val="￮"/>
      <w:lvlJc w:val="left"/>
      <w:rPr>
        <w:color w:val="3370FF"/>
      </w:rPr>
    </w:lvl>
  </w:abstractNum>
  <w:abstractNum w:abstractNumId="259">
    <w:nsid w:val="60382F6E"/>
    <w:multiLevelType w:val="singleLevel"/>
    <w:tmpl w:val="60382F6E"/>
    <w:lvl w:ilvl="0" w:tentative="0">
      <w:start w:val="0"/>
      <w:numFmt w:val="bullet"/>
      <w:lvlText w:val="•"/>
      <w:lvlJc w:val="left"/>
      <w:rPr>
        <w:color w:val="3370FF"/>
      </w:rPr>
    </w:lvl>
  </w:abstractNum>
  <w:abstractNum w:abstractNumId="260">
    <w:nsid w:val="610EFE5C"/>
    <w:multiLevelType w:val="singleLevel"/>
    <w:tmpl w:val="610EFE5C"/>
    <w:lvl w:ilvl="0" w:tentative="0">
      <w:start w:val="0"/>
      <w:numFmt w:val="bullet"/>
      <w:lvlText w:val="•"/>
      <w:lvlJc w:val="left"/>
      <w:rPr>
        <w:color w:val="3370FF"/>
      </w:rPr>
    </w:lvl>
  </w:abstractNum>
  <w:abstractNum w:abstractNumId="261">
    <w:nsid w:val="629F7852"/>
    <w:multiLevelType w:val="singleLevel"/>
    <w:tmpl w:val="629F7852"/>
    <w:lvl w:ilvl="0" w:tentative="0">
      <w:start w:val="0"/>
      <w:numFmt w:val="bullet"/>
      <w:lvlText w:val="•"/>
      <w:lvlJc w:val="left"/>
      <w:rPr>
        <w:color w:val="3370FF"/>
      </w:rPr>
    </w:lvl>
  </w:abstractNum>
  <w:abstractNum w:abstractNumId="262">
    <w:nsid w:val="63B12E74"/>
    <w:multiLevelType w:val="singleLevel"/>
    <w:tmpl w:val="63B12E74"/>
    <w:lvl w:ilvl="0" w:tentative="0">
      <w:start w:val="0"/>
      <w:numFmt w:val="bullet"/>
      <w:lvlText w:val="•"/>
      <w:lvlJc w:val="left"/>
      <w:rPr>
        <w:color w:val="3370FF"/>
      </w:rPr>
    </w:lvl>
  </w:abstractNum>
  <w:abstractNum w:abstractNumId="263">
    <w:nsid w:val="64574ED8"/>
    <w:multiLevelType w:val="singleLevel"/>
    <w:tmpl w:val="64574ED8"/>
    <w:lvl w:ilvl="0" w:tentative="0">
      <w:start w:val="4"/>
      <w:numFmt w:val="decimal"/>
      <w:lvlText w:val="%1."/>
      <w:lvlJc w:val="left"/>
      <w:rPr>
        <w:color w:val="3370FF"/>
      </w:rPr>
    </w:lvl>
  </w:abstractNum>
  <w:abstractNum w:abstractNumId="264">
    <w:nsid w:val="64C0CB79"/>
    <w:multiLevelType w:val="singleLevel"/>
    <w:tmpl w:val="64C0CB79"/>
    <w:lvl w:ilvl="0" w:tentative="0">
      <w:start w:val="0"/>
      <w:numFmt w:val="bullet"/>
      <w:lvlText w:val="•"/>
      <w:lvlJc w:val="left"/>
      <w:rPr>
        <w:color w:val="3370FF"/>
      </w:rPr>
    </w:lvl>
  </w:abstractNum>
  <w:abstractNum w:abstractNumId="265">
    <w:nsid w:val="651422BE"/>
    <w:multiLevelType w:val="singleLevel"/>
    <w:tmpl w:val="651422BE"/>
    <w:lvl w:ilvl="0" w:tentative="0">
      <w:start w:val="0"/>
      <w:numFmt w:val="bullet"/>
      <w:lvlText w:val="•"/>
      <w:lvlJc w:val="left"/>
      <w:rPr>
        <w:color w:val="3370FF"/>
      </w:rPr>
    </w:lvl>
  </w:abstractNum>
  <w:abstractNum w:abstractNumId="266">
    <w:nsid w:val="659EB354"/>
    <w:multiLevelType w:val="singleLevel"/>
    <w:tmpl w:val="659EB354"/>
    <w:lvl w:ilvl="0" w:tentative="0">
      <w:start w:val="0"/>
      <w:numFmt w:val="bullet"/>
      <w:lvlText w:val="•"/>
      <w:lvlJc w:val="left"/>
      <w:rPr>
        <w:color w:val="3370FF"/>
      </w:rPr>
    </w:lvl>
  </w:abstractNum>
  <w:abstractNum w:abstractNumId="267">
    <w:nsid w:val="65CD0074"/>
    <w:multiLevelType w:val="singleLevel"/>
    <w:tmpl w:val="65CD0074"/>
    <w:lvl w:ilvl="0" w:tentative="0">
      <w:start w:val="0"/>
      <w:numFmt w:val="bullet"/>
      <w:lvlText w:val="•"/>
      <w:lvlJc w:val="left"/>
      <w:rPr>
        <w:color w:val="3370FF"/>
      </w:rPr>
    </w:lvl>
  </w:abstractNum>
  <w:abstractNum w:abstractNumId="268">
    <w:nsid w:val="68B298F7"/>
    <w:multiLevelType w:val="singleLevel"/>
    <w:tmpl w:val="68B298F7"/>
    <w:lvl w:ilvl="0" w:tentative="0">
      <w:start w:val="0"/>
      <w:numFmt w:val="bullet"/>
      <w:lvlText w:val="•"/>
      <w:lvlJc w:val="left"/>
      <w:rPr>
        <w:color w:val="3370FF"/>
      </w:rPr>
    </w:lvl>
  </w:abstractNum>
  <w:abstractNum w:abstractNumId="269">
    <w:nsid w:val="6AFC2A1C"/>
    <w:multiLevelType w:val="singleLevel"/>
    <w:tmpl w:val="6AFC2A1C"/>
    <w:lvl w:ilvl="0" w:tentative="0">
      <w:start w:val="0"/>
      <w:numFmt w:val="bullet"/>
      <w:lvlText w:val="•"/>
      <w:lvlJc w:val="left"/>
      <w:rPr>
        <w:color w:val="3370FF"/>
      </w:rPr>
    </w:lvl>
  </w:abstractNum>
  <w:abstractNum w:abstractNumId="270">
    <w:nsid w:val="6C0BE2D1"/>
    <w:multiLevelType w:val="singleLevel"/>
    <w:tmpl w:val="6C0BE2D1"/>
    <w:lvl w:ilvl="0" w:tentative="0">
      <w:start w:val="0"/>
      <w:numFmt w:val="bullet"/>
      <w:lvlText w:val="•"/>
      <w:lvlJc w:val="left"/>
      <w:rPr>
        <w:color w:val="3370FF"/>
      </w:rPr>
    </w:lvl>
  </w:abstractNum>
  <w:abstractNum w:abstractNumId="271">
    <w:nsid w:val="6D423078"/>
    <w:multiLevelType w:val="singleLevel"/>
    <w:tmpl w:val="6D423078"/>
    <w:lvl w:ilvl="0" w:tentative="0">
      <w:start w:val="0"/>
      <w:numFmt w:val="bullet"/>
      <w:lvlText w:val="•"/>
      <w:lvlJc w:val="left"/>
      <w:rPr>
        <w:color w:val="3370FF"/>
      </w:rPr>
    </w:lvl>
  </w:abstractNum>
  <w:abstractNum w:abstractNumId="272">
    <w:nsid w:val="6E840AC9"/>
    <w:multiLevelType w:val="singleLevel"/>
    <w:tmpl w:val="6E840AC9"/>
    <w:lvl w:ilvl="0" w:tentative="0">
      <w:start w:val="3"/>
      <w:numFmt w:val="decimal"/>
      <w:lvlText w:val="%1."/>
      <w:lvlJc w:val="left"/>
      <w:rPr>
        <w:color w:val="3370FF"/>
      </w:rPr>
    </w:lvl>
  </w:abstractNum>
  <w:abstractNum w:abstractNumId="273">
    <w:nsid w:val="700FDCEF"/>
    <w:multiLevelType w:val="singleLevel"/>
    <w:tmpl w:val="700FDCEF"/>
    <w:lvl w:ilvl="0" w:tentative="0">
      <w:start w:val="0"/>
      <w:numFmt w:val="bullet"/>
      <w:lvlText w:val="•"/>
      <w:lvlJc w:val="left"/>
      <w:rPr>
        <w:color w:val="3370FF"/>
      </w:rPr>
    </w:lvl>
  </w:abstractNum>
  <w:abstractNum w:abstractNumId="274">
    <w:nsid w:val="70AE371C"/>
    <w:multiLevelType w:val="singleLevel"/>
    <w:tmpl w:val="70AE371C"/>
    <w:lvl w:ilvl="0" w:tentative="0">
      <w:start w:val="22"/>
      <w:numFmt w:val="decimal"/>
      <w:lvlText w:val="%1."/>
      <w:lvlJc w:val="left"/>
      <w:rPr>
        <w:color w:val="3370FF"/>
      </w:rPr>
    </w:lvl>
  </w:abstractNum>
  <w:abstractNum w:abstractNumId="275">
    <w:nsid w:val="70F95E71"/>
    <w:multiLevelType w:val="singleLevel"/>
    <w:tmpl w:val="70F95E71"/>
    <w:lvl w:ilvl="0" w:tentative="0">
      <w:start w:val="0"/>
      <w:numFmt w:val="bullet"/>
      <w:lvlText w:val="•"/>
      <w:lvlJc w:val="left"/>
      <w:rPr>
        <w:color w:val="3370FF"/>
      </w:rPr>
    </w:lvl>
  </w:abstractNum>
  <w:abstractNum w:abstractNumId="276">
    <w:nsid w:val="72183CF9"/>
    <w:multiLevelType w:val="singleLevel"/>
    <w:tmpl w:val="72183CF9"/>
    <w:lvl w:ilvl="0" w:tentative="0">
      <w:start w:val="0"/>
      <w:numFmt w:val="bullet"/>
      <w:lvlText w:val="￮"/>
      <w:lvlJc w:val="left"/>
      <w:rPr>
        <w:color w:val="3370FF"/>
      </w:rPr>
    </w:lvl>
  </w:abstractNum>
  <w:abstractNum w:abstractNumId="277">
    <w:nsid w:val="7321C756"/>
    <w:multiLevelType w:val="singleLevel"/>
    <w:tmpl w:val="7321C756"/>
    <w:lvl w:ilvl="0" w:tentative="0">
      <w:start w:val="21"/>
      <w:numFmt w:val="decimal"/>
      <w:lvlText w:val="%1."/>
      <w:lvlJc w:val="left"/>
      <w:rPr>
        <w:color w:val="3370FF"/>
      </w:rPr>
    </w:lvl>
  </w:abstractNum>
  <w:abstractNum w:abstractNumId="278">
    <w:nsid w:val="744F3566"/>
    <w:multiLevelType w:val="singleLevel"/>
    <w:tmpl w:val="744F3566"/>
    <w:lvl w:ilvl="0" w:tentative="0">
      <w:start w:val="0"/>
      <w:numFmt w:val="bullet"/>
      <w:lvlText w:val="•"/>
      <w:lvlJc w:val="left"/>
      <w:rPr>
        <w:color w:val="3370FF"/>
      </w:rPr>
    </w:lvl>
  </w:abstractNum>
  <w:abstractNum w:abstractNumId="279">
    <w:nsid w:val="7499D7B3"/>
    <w:multiLevelType w:val="singleLevel"/>
    <w:tmpl w:val="7499D7B3"/>
    <w:lvl w:ilvl="0" w:tentative="0">
      <w:start w:val="0"/>
      <w:numFmt w:val="bullet"/>
      <w:lvlText w:val="•"/>
      <w:lvlJc w:val="left"/>
      <w:rPr>
        <w:color w:val="3370FF"/>
      </w:rPr>
    </w:lvl>
  </w:abstractNum>
  <w:abstractNum w:abstractNumId="280">
    <w:nsid w:val="74C28B35"/>
    <w:multiLevelType w:val="singleLevel"/>
    <w:tmpl w:val="74C28B35"/>
    <w:lvl w:ilvl="0" w:tentative="0">
      <w:start w:val="0"/>
      <w:numFmt w:val="bullet"/>
      <w:lvlText w:val="￮"/>
      <w:lvlJc w:val="left"/>
      <w:rPr>
        <w:color w:val="3370FF"/>
      </w:rPr>
    </w:lvl>
  </w:abstractNum>
  <w:abstractNum w:abstractNumId="281">
    <w:nsid w:val="76A26DF9"/>
    <w:multiLevelType w:val="singleLevel"/>
    <w:tmpl w:val="76A26DF9"/>
    <w:lvl w:ilvl="0" w:tentative="0">
      <w:start w:val="7"/>
      <w:numFmt w:val="decimal"/>
      <w:lvlText w:val="%1."/>
      <w:lvlJc w:val="left"/>
      <w:rPr>
        <w:color w:val="3370FF"/>
      </w:rPr>
    </w:lvl>
  </w:abstractNum>
  <w:abstractNum w:abstractNumId="282">
    <w:nsid w:val="773C851D"/>
    <w:multiLevelType w:val="singleLevel"/>
    <w:tmpl w:val="773C851D"/>
    <w:lvl w:ilvl="0" w:tentative="0">
      <w:start w:val="15"/>
      <w:numFmt w:val="decimal"/>
      <w:lvlText w:val="%1."/>
      <w:lvlJc w:val="left"/>
      <w:rPr>
        <w:color w:val="3370FF"/>
      </w:rPr>
    </w:lvl>
  </w:abstractNum>
  <w:abstractNum w:abstractNumId="283">
    <w:nsid w:val="77633216"/>
    <w:multiLevelType w:val="singleLevel"/>
    <w:tmpl w:val="77633216"/>
    <w:lvl w:ilvl="0" w:tentative="0">
      <w:start w:val="0"/>
      <w:numFmt w:val="bullet"/>
      <w:lvlText w:val="•"/>
      <w:lvlJc w:val="left"/>
      <w:rPr>
        <w:color w:val="3370FF"/>
      </w:rPr>
    </w:lvl>
  </w:abstractNum>
  <w:abstractNum w:abstractNumId="284">
    <w:nsid w:val="77ECEA79"/>
    <w:multiLevelType w:val="singleLevel"/>
    <w:tmpl w:val="77ECEA79"/>
    <w:lvl w:ilvl="0" w:tentative="0">
      <w:start w:val="0"/>
      <w:numFmt w:val="bullet"/>
      <w:lvlText w:val="•"/>
      <w:lvlJc w:val="left"/>
      <w:rPr>
        <w:color w:val="3370FF"/>
      </w:rPr>
    </w:lvl>
  </w:abstractNum>
  <w:abstractNum w:abstractNumId="285">
    <w:nsid w:val="79AA4FA4"/>
    <w:multiLevelType w:val="singleLevel"/>
    <w:tmpl w:val="79AA4FA4"/>
    <w:lvl w:ilvl="0" w:tentative="0">
      <w:start w:val="0"/>
      <w:numFmt w:val="bullet"/>
      <w:lvlText w:val="•"/>
      <w:lvlJc w:val="left"/>
      <w:rPr>
        <w:color w:val="3370FF"/>
      </w:rPr>
    </w:lvl>
  </w:abstractNum>
  <w:abstractNum w:abstractNumId="286">
    <w:nsid w:val="7B1E29B8"/>
    <w:multiLevelType w:val="singleLevel"/>
    <w:tmpl w:val="7B1E29B8"/>
    <w:lvl w:ilvl="0" w:tentative="0">
      <w:start w:val="2"/>
      <w:numFmt w:val="decimal"/>
      <w:lvlText w:val="%1."/>
      <w:lvlJc w:val="left"/>
      <w:rPr>
        <w:color w:val="3370FF"/>
      </w:rPr>
    </w:lvl>
  </w:abstractNum>
  <w:abstractNum w:abstractNumId="287">
    <w:nsid w:val="7C246926"/>
    <w:multiLevelType w:val="singleLevel"/>
    <w:tmpl w:val="7C246926"/>
    <w:lvl w:ilvl="0" w:tentative="0">
      <w:start w:val="0"/>
      <w:numFmt w:val="bullet"/>
      <w:lvlText w:val="•"/>
      <w:lvlJc w:val="left"/>
      <w:rPr>
        <w:color w:val="3370FF"/>
      </w:rPr>
    </w:lvl>
  </w:abstractNum>
  <w:abstractNum w:abstractNumId="288">
    <w:nsid w:val="7DEC2089"/>
    <w:multiLevelType w:val="singleLevel"/>
    <w:tmpl w:val="7DEC2089"/>
    <w:lvl w:ilvl="0" w:tentative="0">
      <w:start w:val="2"/>
      <w:numFmt w:val="decimal"/>
      <w:lvlText w:val="%1."/>
      <w:lvlJc w:val="left"/>
      <w:rPr>
        <w:color w:val="3370FF"/>
      </w:rPr>
    </w:lvl>
  </w:abstractNum>
  <w:num w:numId="1">
    <w:abstractNumId w:val="146"/>
  </w:num>
  <w:num w:numId="2">
    <w:abstractNumId w:val="97"/>
  </w:num>
  <w:num w:numId="3">
    <w:abstractNumId w:val="251"/>
  </w:num>
  <w:num w:numId="4">
    <w:abstractNumId w:val="81"/>
  </w:num>
  <w:num w:numId="5">
    <w:abstractNumId w:val="67"/>
  </w:num>
  <w:num w:numId="6">
    <w:abstractNumId w:val="154"/>
  </w:num>
  <w:num w:numId="7">
    <w:abstractNumId w:val="197"/>
  </w:num>
  <w:num w:numId="8">
    <w:abstractNumId w:val="276"/>
  </w:num>
  <w:num w:numId="9">
    <w:abstractNumId w:val="149"/>
  </w:num>
  <w:num w:numId="10">
    <w:abstractNumId w:val="15"/>
  </w:num>
  <w:num w:numId="11">
    <w:abstractNumId w:val="200"/>
  </w:num>
  <w:num w:numId="12">
    <w:abstractNumId w:val="253"/>
  </w:num>
  <w:num w:numId="13">
    <w:abstractNumId w:val="90"/>
  </w:num>
  <w:num w:numId="14">
    <w:abstractNumId w:val="237"/>
  </w:num>
  <w:num w:numId="15">
    <w:abstractNumId w:val="136"/>
  </w:num>
  <w:num w:numId="16">
    <w:abstractNumId w:val="193"/>
  </w:num>
  <w:num w:numId="17">
    <w:abstractNumId w:val="108"/>
  </w:num>
  <w:num w:numId="18">
    <w:abstractNumId w:val="104"/>
  </w:num>
  <w:num w:numId="19">
    <w:abstractNumId w:val="31"/>
  </w:num>
  <w:num w:numId="20">
    <w:abstractNumId w:val="234"/>
  </w:num>
  <w:num w:numId="21">
    <w:abstractNumId w:val="259"/>
  </w:num>
  <w:num w:numId="22">
    <w:abstractNumId w:val="167"/>
  </w:num>
  <w:num w:numId="23">
    <w:abstractNumId w:val="230"/>
  </w:num>
  <w:num w:numId="24">
    <w:abstractNumId w:val="59"/>
  </w:num>
  <w:num w:numId="25">
    <w:abstractNumId w:val="287"/>
  </w:num>
  <w:num w:numId="26">
    <w:abstractNumId w:val="284"/>
  </w:num>
  <w:num w:numId="27">
    <w:abstractNumId w:val="79"/>
  </w:num>
  <w:num w:numId="28">
    <w:abstractNumId w:val="261"/>
  </w:num>
  <w:num w:numId="29">
    <w:abstractNumId w:val="16"/>
  </w:num>
  <w:num w:numId="30">
    <w:abstractNumId w:val="217"/>
  </w:num>
  <w:num w:numId="31">
    <w:abstractNumId w:val="4"/>
  </w:num>
  <w:num w:numId="32">
    <w:abstractNumId w:val="249"/>
  </w:num>
  <w:num w:numId="33">
    <w:abstractNumId w:val="288"/>
  </w:num>
  <w:num w:numId="34">
    <w:abstractNumId w:val="1"/>
  </w:num>
  <w:num w:numId="35">
    <w:abstractNumId w:val="192"/>
  </w:num>
  <w:num w:numId="36">
    <w:abstractNumId w:val="239"/>
  </w:num>
  <w:num w:numId="37">
    <w:abstractNumId w:val="139"/>
  </w:num>
  <w:num w:numId="38">
    <w:abstractNumId w:val="113"/>
  </w:num>
  <w:num w:numId="39">
    <w:abstractNumId w:val="206"/>
  </w:num>
  <w:num w:numId="40">
    <w:abstractNumId w:val="285"/>
  </w:num>
  <w:num w:numId="41">
    <w:abstractNumId w:val="74"/>
  </w:num>
  <w:num w:numId="42">
    <w:abstractNumId w:val="13"/>
  </w:num>
  <w:num w:numId="43">
    <w:abstractNumId w:val="70"/>
  </w:num>
  <w:num w:numId="44">
    <w:abstractNumId w:val="255"/>
  </w:num>
  <w:num w:numId="45">
    <w:abstractNumId w:val="3"/>
  </w:num>
  <w:num w:numId="46">
    <w:abstractNumId w:val="181"/>
  </w:num>
  <w:num w:numId="47">
    <w:abstractNumId w:val="9"/>
  </w:num>
  <w:num w:numId="48">
    <w:abstractNumId w:val="258"/>
  </w:num>
  <w:num w:numId="49">
    <w:abstractNumId w:val="280"/>
  </w:num>
  <w:num w:numId="50">
    <w:abstractNumId w:val="235"/>
  </w:num>
  <w:num w:numId="51">
    <w:abstractNumId w:val="208"/>
  </w:num>
  <w:num w:numId="52">
    <w:abstractNumId w:val="267"/>
  </w:num>
  <w:num w:numId="53">
    <w:abstractNumId w:val="158"/>
  </w:num>
  <w:num w:numId="54">
    <w:abstractNumId w:val="164"/>
  </w:num>
  <w:num w:numId="55">
    <w:abstractNumId w:val="103"/>
  </w:num>
  <w:num w:numId="56">
    <w:abstractNumId w:val="211"/>
  </w:num>
  <w:num w:numId="57">
    <w:abstractNumId w:val="186"/>
  </w:num>
  <w:num w:numId="58">
    <w:abstractNumId w:val="126"/>
  </w:num>
  <w:num w:numId="59">
    <w:abstractNumId w:val="191"/>
  </w:num>
  <w:num w:numId="60">
    <w:abstractNumId w:val="64"/>
  </w:num>
  <w:num w:numId="61">
    <w:abstractNumId w:val="224"/>
  </w:num>
  <w:num w:numId="62">
    <w:abstractNumId w:val="169"/>
  </w:num>
  <w:num w:numId="63">
    <w:abstractNumId w:val="213"/>
  </w:num>
  <w:num w:numId="64">
    <w:abstractNumId w:val="152"/>
  </w:num>
  <w:num w:numId="65">
    <w:abstractNumId w:val="84"/>
  </w:num>
  <w:num w:numId="66">
    <w:abstractNumId w:val="174"/>
  </w:num>
  <w:num w:numId="67">
    <w:abstractNumId w:val="62"/>
  </w:num>
  <w:num w:numId="68">
    <w:abstractNumId w:val="219"/>
  </w:num>
  <w:num w:numId="69">
    <w:abstractNumId w:val="42"/>
  </w:num>
  <w:num w:numId="70">
    <w:abstractNumId w:val="138"/>
  </w:num>
  <w:num w:numId="71">
    <w:abstractNumId w:val="205"/>
  </w:num>
  <w:num w:numId="72">
    <w:abstractNumId w:val="144"/>
  </w:num>
  <w:num w:numId="73">
    <w:abstractNumId w:val="179"/>
  </w:num>
  <w:num w:numId="74">
    <w:abstractNumId w:val="273"/>
  </w:num>
  <w:num w:numId="75">
    <w:abstractNumId w:val="116"/>
  </w:num>
  <w:num w:numId="76">
    <w:abstractNumId w:val="86"/>
  </w:num>
  <w:num w:numId="77">
    <w:abstractNumId w:val="41"/>
  </w:num>
  <w:num w:numId="78">
    <w:abstractNumId w:val="283"/>
  </w:num>
  <w:num w:numId="79">
    <w:abstractNumId w:val="105"/>
  </w:num>
  <w:num w:numId="80">
    <w:abstractNumId w:val="69"/>
  </w:num>
  <w:num w:numId="81">
    <w:abstractNumId w:val="204"/>
  </w:num>
  <w:num w:numId="82">
    <w:abstractNumId w:val="119"/>
  </w:num>
  <w:num w:numId="83">
    <w:abstractNumId w:val="26"/>
  </w:num>
  <w:num w:numId="84">
    <w:abstractNumId w:val="252"/>
  </w:num>
  <w:num w:numId="85">
    <w:abstractNumId w:val="77"/>
  </w:num>
  <w:num w:numId="86">
    <w:abstractNumId w:val="58"/>
  </w:num>
  <w:num w:numId="87">
    <w:abstractNumId w:val="19"/>
  </w:num>
  <w:num w:numId="88">
    <w:abstractNumId w:val="34"/>
  </w:num>
  <w:num w:numId="89">
    <w:abstractNumId w:val="51"/>
  </w:num>
  <w:num w:numId="90">
    <w:abstractNumId w:val="14"/>
  </w:num>
  <w:num w:numId="91">
    <w:abstractNumId w:val="184"/>
  </w:num>
  <w:num w:numId="92">
    <w:abstractNumId w:val="78"/>
  </w:num>
  <w:num w:numId="93">
    <w:abstractNumId w:val="176"/>
  </w:num>
  <w:num w:numId="94">
    <w:abstractNumId w:val="98"/>
  </w:num>
  <w:num w:numId="95">
    <w:abstractNumId w:val="268"/>
  </w:num>
  <w:num w:numId="96">
    <w:abstractNumId w:val="0"/>
  </w:num>
  <w:num w:numId="97">
    <w:abstractNumId w:val="76"/>
  </w:num>
  <w:num w:numId="98">
    <w:abstractNumId w:val="137"/>
  </w:num>
  <w:num w:numId="99">
    <w:abstractNumId w:val="236"/>
  </w:num>
  <w:num w:numId="100">
    <w:abstractNumId w:val="172"/>
  </w:num>
  <w:num w:numId="101">
    <w:abstractNumId w:val="29"/>
  </w:num>
  <w:num w:numId="102">
    <w:abstractNumId w:val="112"/>
  </w:num>
  <w:num w:numId="103">
    <w:abstractNumId w:val="182"/>
  </w:num>
  <w:num w:numId="104">
    <w:abstractNumId w:val="231"/>
  </w:num>
  <w:num w:numId="105">
    <w:abstractNumId w:val="50"/>
  </w:num>
  <w:num w:numId="106">
    <w:abstractNumId w:val="260"/>
  </w:num>
  <w:num w:numId="107">
    <w:abstractNumId w:val="2"/>
  </w:num>
  <w:num w:numId="108">
    <w:abstractNumId w:val="7"/>
  </w:num>
  <w:num w:numId="109">
    <w:abstractNumId w:val="147"/>
  </w:num>
  <w:num w:numId="110">
    <w:abstractNumId w:val="38"/>
  </w:num>
  <w:num w:numId="111">
    <w:abstractNumId w:val="82"/>
  </w:num>
  <w:num w:numId="112">
    <w:abstractNumId w:val="91"/>
  </w:num>
  <w:num w:numId="113">
    <w:abstractNumId w:val="135"/>
  </w:num>
  <w:num w:numId="114">
    <w:abstractNumId w:val="257"/>
  </w:num>
  <w:num w:numId="115">
    <w:abstractNumId w:val="131"/>
  </w:num>
  <w:num w:numId="116">
    <w:abstractNumId w:val="246"/>
  </w:num>
  <w:num w:numId="117">
    <w:abstractNumId w:val="189"/>
  </w:num>
  <w:num w:numId="118">
    <w:abstractNumId w:val="24"/>
  </w:num>
  <w:num w:numId="119">
    <w:abstractNumId w:val="153"/>
  </w:num>
  <w:num w:numId="120">
    <w:abstractNumId w:val="37"/>
  </w:num>
  <w:num w:numId="121">
    <w:abstractNumId w:val="201"/>
  </w:num>
  <w:num w:numId="122">
    <w:abstractNumId w:val="245"/>
  </w:num>
  <w:num w:numId="123">
    <w:abstractNumId w:val="96"/>
  </w:num>
  <w:num w:numId="124">
    <w:abstractNumId w:val="30"/>
  </w:num>
  <w:num w:numId="125">
    <w:abstractNumId w:val="195"/>
  </w:num>
  <w:num w:numId="126">
    <w:abstractNumId w:val="225"/>
  </w:num>
  <w:num w:numId="127">
    <w:abstractNumId w:val="173"/>
  </w:num>
  <w:num w:numId="128">
    <w:abstractNumId w:val="238"/>
  </w:num>
  <w:num w:numId="129">
    <w:abstractNumId w:val="244"/>
  </w:num>
  <w:num w:numId="130">
    <w:abstractNumId w:val="190"/>
  </w:num>
  <w:num w:numId="131">
    <w:abstractNumId w:val="117"/>
  </w:num>
  <w:num w:numId="132">
    <w:abstractNumId w:val="35"/>
  </w:num>
  <w:num w:numId="133">
    <w:abstractNumId w:val="218"/>
  </w:num>
  <w:num w:numId="134">
    <w:abstractNumId w:val="222"/>
  </w:num>
  <w:num w:numId="135">
    <w:abstractNumId w:val="166"/>
  </w:num>
  <w:num w:numId="136">
    <w:abstractNumId w:val="271"/>
  </w:num>
  <w:num w:numId="137">
    <w:abstractNumId w:val="114"/>
  </w:num>
  <w:num w:numId="138">
    <w:abstractNumId w:val="188"/>
  </w:num>
  <w:num w:numId="139">
    <w:abstractNumId w:val="162"/>
  </w:num>
  <w:num w:numId="140">
    <w:abstractNumId w:val="122"/>
  </w:num>
  <w:num w:numId="141">
    <w:abstractNumId w:val="128"/>
  </w:num>
  <w:num w:numId="142">
    <w:abstractNumId w:val="102"/>
  </w:num>
  <w:num w:numId="143">
    <w:abstractNumId w:val="226"/>
  </w:num>
  <w:num w:numId="144">
    <w:abstractNumId w:val="134"/>
  </w:num>
  <w:num w:numId="145">
    <w:abstractNumId w:val="22"/>
  </w:num>
  <w:num w:numId="146">
    <w:abstractNumId w:val="127"/>
  </w:num>
  <w:num w:numId="147">
    <w:abstractNumId w:val="148"/>
  </w:num>
  <w:num w:numId="148">
    <w:abstractNumId w:val="92"/>
  </w:num>
  <w:num w:numId="149">
    <w:abstractNumId w:val="216"/>
  </w:num>
  <w:num w:numId="150">
    <w:abstractNumId w:val="269"/>
  </w:num>
  <w:num w:numId="151">
    <w:abstractNumId w:val="106"/>
  </w:num>
  <w:num w:numId="152">
    <w:abstractNumId w:val="49"/>
  </w:num>
  <w:num w:numId="153">
    <w:abstractNumId w:val="6"/>
  </w:num>
  <w:num w:numId="154">
    <w:abstractNumId w:val="57"/>
  </w:num>
  <w:num w:numId="155">
    <w:abstractNumId w:val="160"/>
  </w:num>
  <w:num w:numId="156">
    <w:abstractNumId w:val="63"/>
  </w:num>
  <w:num w:numId="157">
    <w:abstractNumId w:val="129"/>
  </w:num>
  <w:num w:numId="158">
    <w:abstractNumId w:val="196"/>
  </w:num>
  <w:num w:numId="159">
    <w:abstractNumId w:val="233"/>
  </w:num>
  <w:num w:numId="160">
    <w:abstractNumId w:val="61"/>
  </w:num>
  <w:num w:numId="161">
    <w:abstractNumId w:val="220"/>
  </w:num>
  <w:num w:numId="162">
    <w:abstractNumId w:val="183"/>
  </w:num>
  <w:num w:numId="163">
    <w:abstractNumId w:val="177"/>
  </w:num>
  <w:num w:numId="164">
    <w:abstractNumId w:val="141"/>
  </w:num>
  <w:num w:numId="165">
    <w:abstractNumId w:val="214"/>
  </w:num>
  <w:num w:numId="166">
    <w:abstractNumId w:val="83"/>
  </w:num>
  <w:num w:numId="167">
    <w:abstractNumId w:val="243"/>
  </w:num>
  <w:num w:numId="168">
    <w:abstractNumId w:val="223"/>
  </w:num>
  <w:num w:numId="169">
    <w:abstractNumId w:val="199"/>
  </w:num>
  <w:num w:numId="170">
    <w:abstractNumId w:val="125"/>
  </w:num>
  <w:num w:numId="171">
    <w:abstractNumId w:val="48"/>
  </w:num>
  <w:num w:numId="172">
    <w:abstractNumId w:val="279"/>
  </w:num>
  <w:num w:numId="173">
    <w:abstractNumId w:val="198"/>
  </w:num>
  <w:num w:numId="174">
    <w:abstractNumId w:val="270"/>
  </w:num>
  <w:num w:numId="175">
    <w:abstractNumId w:val="20"/>
  </w:num>
  <w:num w:numId="176">
    <w:abstractNumId w:val="266"/>
  </w:num>
  <w:num w:numId="177">
    <w:abstractNumId w:val="95"/>
  </w:num>
  <w:num w:numId="178">
    <w:abstractNumId w:val="262"/>
  </w:num>
  <w:num w:numId="179">
    <w:abstractNumId w:val="210"/>
  </w:num>
  <w:num w:numId="180">
    <w:abstractNumId w:val="278"/>
  </w:num>
  <w:num w:numId="181">
    <w:abstractNumId w:val="275"/>
  </w:num>
  <w:num w:numId="182">
    <w:abstractNumId w:val="101"/>
  </w:num>
  <w:num w:numId="183">
    <w:abstractNumId w:val="130"/>
  </w:num>
  <w:num w:numId="184">
    <w:abstractNumId w:val="143"/>
  </w:num>
  <w:num w:numId="185">
    <w:abstractNumId w:val="18"/>
  </w:num>
  <w:num w:numId="186">
    <w:abstractNumId w:val="65"/>
  </w:num>
  <w:num w:numId="187">
    <w:abstractNumId w:val="227"/>
  </w:num>
  <w:num w:numId="188">
    <w:abstractNumId w:val="66"/>
  </w:num>
  <w:num w:numId="189">
    <w:abstractNumId w:val="264"/>
  </w:num>
  <w:num w:numId="190">
    <w:abstractNumId w:val="242"/>
  </w:num>
  <w:num w:numId="191">
    <w:abstractNumId w:val="254"/>
  </w:num>
  <w:num w:numId="192">
    <w:abstractNumId w:val="75"/>
  </w:num>
  <w:num w:numId="193">
    <w:abstractNumId w:val="212"/>
  </w:num>
  <w:num w:numId="194">
    <w:abstractNumId w:val="121"/>
  </w:num>
  <w:num w:numId="195">
    <w:abstractNumId w:val="185"/>
  </w:num>
  <w:num w:numId="196">
    <w:abstractNumId w:val="5"/>
  </w:num>
  <w:num w:numId="197">
    <w:abstractNumId w:val="55"/>
  </w:num>
  <w:num w:numId="198">
    <w:abstractNumId w:val="175"/>
  </w:num>
  <w:num w:numId="199">
    <w:abstractNumId w:val="241"/>
  </w:num>
  <w:num w:numId="200">
    <w:abstractNumId w:val="265"/>
  </w:num>
  <w:num w:numId="201">
    <w:abstractNumId w:val="71"/>
  </w:num>
  <w:num w:numId="202">
    <w:abstractNumId w:val="36"/>
  </w:num>
  <w:num w:numId="203">
    <w:abstractNumId w:val="180"/>
  </w:num>
  <w:num w:numId="204">
    <w:abstractNumId w:val="142"/>
  </w:num>
  <w:num w:numId="205">
    <w:abstractNumId w:val="72"/>
  </w:num>
  <w:num w:numId="206">
    <w:abstractNumId w:val="60"/>
  </w:num>
  <w:num w:numId="207">
    <w:abstractNumId w:val="163"/>
  </w:num>
  <w:num w:numId="208">
    <w:abstractNumId w:val="168"/>
  </w:num>
  <w:num w:numId="209">
    <w:abstractNumId w:val="215"/>
  </w:num>
  <w:num w:numId="210">
    <w:abstractNumId w:val="150"/>
  </w:num>
  <w:num w:numId="211">
    <w:abstractNumId w:val="27"/>
  </w:num>
  <w:num w:numId="212">
    <w:abstractNumId w:val="250"/>
  </w:num>
  <w:num w:numId="213">
    <w:abstractNumId w:val="39"/>
  </w:num>
  <w:num w:numId="214">
    <w:abstractNumId w:val="11"/>
  </w:num>
  <w:num w:numId="215">
    <w:abstractNumId w:val="240"/>
  </w:num>
  <w:num w:numId="216">
    <w:abstractNumId w:val="33"/>
  </w:num>
  <w:num w:numId="217">
    <w:abstractNumId w:val="159"/>
  </w:num>
  <w:num w:numId="218">
    <w:abstractNumId w:val="124"/>
  </w:num>
  <w:num w:numId="219">
    <w:abstractNumId w:val="32"/>
  </w:num>
  <w:num w:numId="220">
    <w:abstractNumId w:val="21"/>
  </w:num>
  <w:num w:numId="221">
    <w:abstractNumId w:val="94"/>
  </w:num>
  <w:num w:numId="222">
    <w:abstractNumId w:val="23"/>
  </w:num>
  <w:num w:numId="223">
    <w:abstractNumId w:val="52"/>
  </w:num>
  <w:num w:numId="224">
    <w:abstractNumId w:val="229"/>
  </w:num>
  <w:num w:numId="225">
    <w:abstractNumId w:val="88"/>
  </w:num>
  <w:num w:numId="226">
    <w:abstractNumId w:val="187"/>
  </w:num>
  <w:num w:numId="227">
    <w:abstractNumId w:val="115"/>
  </w:num>
  <w:num w:numId="228">
    <w:abstractNumId w:val="118"/>
  </w:num>
  <w:num w:numId="229">
    <w:abstractNumId w:val="209"/>
  </w:num>
  <w:num w:numId="230">
    <w:abstractNumId w:val="133"/>
  </w:num>
  <w:num w:numId="231">
    <w:abstractNumId w:val="43"/>
  </w:num>
  <w:num w:numId="232">
    <w:abstractNumId w:val="228"/>
  </w:num>
  <w:num w:numId="233">
    <w:abstractNumId w:val="93"/>
  </w:num>
  <w:num w:numId="234">
    <w:abstractNumId w:val="286"/>
  </w:num>
  <w:num w:numId="235">
    <w:abstractNumId w:val="107"/>
  </w:num>
  <w:num w:numId="236">
    <w:abstractNumId w:val="17"/>
  </w:num>
  <w:num w:numId="237">
    <w:abstractNumId w:val="207"/>
  </w:num>
  <w:num w:numId="238">
    <w:abstractNumId w:val="155"/>
  </w:num>
  <w:num w:numId="239">
    <w:abstractNumId w:val="202"/>
  </w:num>
  <w:num w:numId="240">
    <w:abstractNumId w:val="53"/>
  </w:num>
  <w:num w:numId="241">
    <w:abstractNumId w:val="256"/>
  </w:num>
  <w:num w:numId="242">
    <w:abstractNumId w:val="46"/>
  </w:num>
  <w:num w:numId="243">
    <w:abstractNumId w:val="140"/>
  </w:num>
  <w:num w:numId="244">
    <w:abstractNumId w:val="87"/>
  </w:num>
  <w:num w:numId="245">
    <w:abstractNumId w:val="151"/>
  </w:num>
  <w:num w:numId="246">
    <w:abstractNumId w:val="248"/>
  </w:num>
  <w:num w:numId="247">
    <w:abstractNumId w:val="178"/>
  </w:num>
  <w:num w:numId="248">
    <w:abstractNumId w:val="247"/>
  </w:num>
  <w:num w:numId="249">
    <w:abstractNumId w:val="8"/>
  </w:num>
  <w:num w:numId="250">
    <w:abstractNumId w:val="282"/>
  </w:num>
  <w:num w:numId="251">
    <w:abstractNumId w:val="109"/>
  </w:num>
  <w:num w:numId="252">
    <w:abstractNumId w:val="12"/>
  </w:num>
  <w:num w:numId="253">
    <w:abstractNumId w:val="110"/>
  </w:num>
  <w:num w:numId="254">
    <w:abstractNumId w:val="111"/>
  </w:num>
  <w:num w:numId="255">
    <w:abstractNumId w:val="100"/>
  </w:num>
  <w:num w:numId="256">
    <w:abstractNumId w:val="120"/>
  </w:num>
  <w:num w:numId="257">
    <w:abstractNumId w:val="274"/>
  </w:num>
  <w:num w:numId="258">
    <w:abstractNumId w:val="99"/>
  </w:num>
  <w:num w:numId="259">
    <w:abstractNumId w:val="145"/>
  </w:num>
  <w:num w:numId="260">
    <w:abstractNumId w:val="171"/>
  </w:num>
  <w:num w:numId="261">
    <w:abstractNumId w:val="54"/>
  </w:num>
  <w:num w:numId="262">
    <w:abstractNumId w:val="194"/>
  </w:num>
  <w:num w:numId="263">
    <w:abstractNumId w:val="156"/>
  </w:num>
  <w:num w:numId="264">
    <w:abstractNumId w:val="165"/>
  </w:num>
  <w:num w:numId="265">
    <w:abstractNumId w:val="272"/>
  </w:num>
  <w:num w:numId="266">
    <w:abstractNumId w:val="263"/>
  </w:num>
  <w:num w:numId="267">
    <w:abstractNumId w:val="157"/>
  </w:num>
  <w:num w:numId="268">
    <w:abstractNumId w:val="45"/>
  </w:num>
  <w:num w:numId="269">
    <w:abstractNumId w:val="281"/>
  </w:num>
  <w:num w:numId="270">
    <w:abstractNumId w:val="89"/>
  </w:num>
  <w:num w:numId="271">
    <w:abstractNumId w:val="28"/>
  </w:num>
  <w:num w:numId="272">
    <w:abstractNumId w:val="85"/>
  </w:num>
  <w:num w:numId="273">
    <w:abstractNumId w:val="68"/>
  </w:num>
  <w:num w:numId="274">
    <w:abstractNumId w:val="47"/>
  </w:num>
  <w:num w:numId="275">
    <w:abstractNumId w:val="56"/>
  </w:num>
  <w:num w:numId="276">
    <w:abstractNumId w:val="232"/>
  </w:num>
  <w:num w:numId="277">
    <w:abstractNumId w:val="221"/>
  </w:num>
  <w:num w:numId="278">
    <w:abstractNumId w:val="132"/>
  </w:num>
  <w:num w:numId="279">
    <w:abstractNumId w:val="40"/>
  </w:num>
  <w:num w:numId="280">
    <w:abstractNumId w:val="80"/>
  </w:num>
  <w:num w:numId="281">
    <w:abstractNumId w:val="44"/>
  </w:num>
  <w:num w:numId="282">
    <w:abstractNumId w:val="123"/>
  </w:num>
  <w:num w:numId="283">
    <w:abstractNumId w:val="277"/>
  </w:num>
  <w:num w:numId="284">
    <w:abstractNumId w:val="203"/>
  </w:num>
  <w:num w:numId="285">
    <w:abstractNumId w:val="73"/>
  </w:num>
  <w:num w:numId="286">
    <w:abstractNumId w:val="161"/>
  </w:num>
  <w:num w:numId="287">
    <w:abstractNumId w:val="10"/>
  </w:num>
  <w:num w:numId="288">
    <w:abstractNumId w:val="170"/>
  </w:num>
  <w:num w:numId="2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435227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50</Pages>
  <Words>21774</Words>
  <Characters>25743</Characters>
  <TotalTime>0</TotalTime>
  <ScaleCrop>false</ScaleCrop>
  <LinksUpToDate>false</LinksUpToDate>
  <CharactersWithSpaces>26341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2025-12-28T11:53:00Z</dcterms:created>
  <dc:creator>Apache POI</dc:creator>
  <cp:lastModifiedBy>一缕清风</cp:lastModifiedBy>
  <dcterms:modified xsi:type="dcterms:W3CDTF">2025-12-28T12:10:08Z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1596D408DB5B4AD5BFB2DC57A94541FD_12</vt:lpwstr>
  </property>
</Properties>
</file>