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A2C27">
      <w:pPr>
        <w:spacing w:before="480" w:after="480" w:line="288" w:lineRule="auto"/>
        <w:ind w:left="0"/>
      </w:pPr>
      <w:r>
        <w:rPr>
          <w:rFonts w:ascii="Arial" w:hAnsi="Arial" w:eastAsia="等线" w:cs="Arial"/>
          <w:b/>
          <w:sz w:val="52"/>
        </w:rPr>
        <w:t>Chapter 5 Securities Underwriting: The Process and the Team Players</w:t>
      </w:r>
    </w:p>
    <w:p w14:paraId="37D7E8E9">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总览</w:t>
      </w:r>
      <w:bookmarkEnd w:id="0"/>
    </w:p>
    <w:p w14:paraId="3CF273B2">
      <w:pPr>
        <w:spacing w:before="120" w:after="120" w:line="288" w:lineRule="auto"/>
        <w:ind w:left="0"/>
        <w:jc w:val="left"/>
      </w:pPr>
      <w:r>
        <w:rPr>
          <w:rFonts w:ascii="Arial" w:hAnsi="Arial" w:eastAsia="等线" w:cs="Arial"/>
          <w:sz w:val="22"/>
        </w:rPr>
        <w:t>本文将系统介绍：</w:t>
      </w:r>
    </w:p>
    <w:p w14:paraId="10A310A9">
      <w:pPr>
        <w:numPr>
          <w:ilvl w:val="0"/>
          <w:numId w:val="1"/>
        </w:numPr>
        <w:spacing w:before="120" w:after="120" w:line="288" w:lineRule="auto"/>
        <w:ind w:left="0"/>
        <w:jc w:val="left"/>
      </w:pPr>
      <w:r>
        <w:rPr>
          <w:rFonts w:ascii="Arial" w:hAnsi="Arial" w:eastAsia="等线" w:cs="Arial"/>
          <w:sz w:val="22"/>
        </w:rPr>
        <w:t>股票与债券发行的整体流程，涵盖的各个关键阶段。</w:t>
      </w:r>
    </w:p>
    <w:p w14:paraId="2FE196C9">
      <w:pPr>
        <w:numPr>
          <w:ilvl w:val="0"/>
          <w:numId w:val="2"/>
        </w:numPr>
        <w:spacing w:before="120" w:after="120" w:line="288" w:lineRule="auto"/>
        <w:ind w:left="0"/>
        <w:jc w:val="left"/>
      </w:pPr>
      <w:r>
        <w:rPr>
          <w:rFonts w:ascii="Arial" w:hAnsi="Arial" w:eastAsia="等线" w:cs="Arial"/>
          <w:sz w:val="22"/>
        </w:rPr>
        <w:t>相关市场参与者的角色与职责。</w:t>
      </w:r>
    </w:p>
    <w:p w14:paraId="43C1B2DA">
      <w:pPr>
        <w:numPr>
          <w:ilvl w:val="0"/>
          <w:numId w:val="3"/>
        </w:numPr>
        <w:spacing w:before="120" w:after="120" w:line="288" w:lineRule="auto"/>
        <w:ind w:left="0"/>
        <w:jc w:val="left"/>
      </w:pPr>
      <w:r>
        <w:rPr>
          <w:rFonts w:ascii="Arial" w:hAnsi="Arial" w:eastAsia="等线" w:cs="Arial"/>
          <w:sz w:val="22"/>
        </w:rPr>
        <w:t>证券发行密切相关的法规内容。</w:t>
      </w:r>
    </w:p>
    <w:p w14:paraId="67CA610E">
      <w:pPr>
        <w:numPr>
          <w:ilvl w:val="0"/>
          <w:numId w:val="4"/>
        </w:numPr>
        <w:spacing w:before="120" w:after="120" w:line="288" w:lineRule="auto"/>
        <w:ind w:left="0"/>
        <w:jc w:val="left"/>
      </w:pPr>
      <w:r>
        <w:rPr>
          <w:rFonts w:ascii="Arial" w:hAnsi="Arial" w:eastAsia="等线" w:cs="Arial"/>
          <w:sz w:val="22"/>
        </w:rPr>
        <w:t>实际发行中常见的几种发行（Offering）类型。</w:t>
      </w:r>
    </w:p>
    <w:p w14:paraId="7A5D2189">
      <w:pPr>
        <w:spacing w:before="120" w:after="120" w:line="288" w:lineRule="auto"/>
        <w:ind w:left="0"/>
        <w:jc w:val="left"/>
      </w:pPr>
    </w:p>
    <w:p w14:paraId="301D7897">
      <w:pPr>
        <w:spacing w:before="120" w:after="120" w:line="288" w:lineRule="auto"/>
        <w:ind w:left="0"/>
        <w:jc w:val="left"/>
      </w:pPr>
      <w:r>
        <w:rPr>
          <w:rFonts w:ascii="Arial" w:hAnsi="Arial" w:eastAsia="等线" w:cs="Arial"/>
          <w:sz w:val="22"/>
        </w:rPr>
        <w:t>所列均为考试的重点知识点，文中穿插练习题目，文末附有参考答案，帮助大家巩固理解、检验掌握情况。</w:t>
      </w:r>
    </w:p>
    <w:p w14:paraId="7FA80117">
      <w:pPr>
        <w:spacing w:before="120" w:after="120" w:line="288" w:lineRule="auto"/>
        <w:ind w:left="0"/>
        <w:jc w:val="left"/>
      </w:pPr>
    </w:p>
    <w:p w14:paraId="34230958">
      <w:pPr>
        <w:spacing w:before="120" w:after="120" w:line="288" w:lineRule="auto"/>
        <w:ind w:left="0"/>
        <w:jc w:val="left"/>
      </w:pPr>
      <w:r>
        <w:rPr>
          <w:rFonts w:ascii="Arial" w:hAnsi="Arial" w:eastAsia="等线" w:cs="Arial"/>
          <w:sz w:val="22"/>
        </w:rPr>
        <w:t>建议大家在学习过程中多关注题目及答案中的英文表述，逐步适应考试语言风格。正式考试中需要长时间阅读英文题干，因此应从日常练习中培养英文阅读理解的能力。</w:t>
      </w:r>
    </w:p>
    <w:p w14:paraId="6F3E9137">
      <w:pPr>
        <w:spacing w:before="120" w:after="120" w:line="288" w:lineRule="auto"/>
        <w:ind w:left="0"/>
        <w:jc w:val="left"/>
      </w:pPr>
    </w:p>
    <w:p w14:paraId="180FD4E0">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知识点梳理</w:t>
      </w:r>
      <w:bookmarkEnd w:id="1"/>
    </w:p>
    <w:p w14:paraId="3294BBAB">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将新发行的证券推向市场</w:t>
      </w:r>
      <w:bookmarkEnd w:id="2"/>
    </w:p>
    <w:p w14:paraId="20C3E7F0">
      <w:pPr>
        <w:spacing w:before="300" w:after="120" w:line="288" w:lineRule="auto"/>
        <w:ind w:left="0"/>
        <w:jc w:val="left"/>
        <w:outlineLvl w:val="2"/>
      </w:pPr>
      <w:bookmarkStart w:id="3" w:name="heading_3"/>
      <w:r>
        <w:rPr>
          <w:rFonts w:ascii="Arial" w:hAnsi="Arial" w:eastAsia="等线" w:cs="Arial"/>
          <w:color w:val="3370FF"/>
          <w:sz w:val="30"/>
        </w:rPr>
        <w:t xml:space="preserve">2.1.1 </w:t>
      </w:r>
      <w:r>
        <w:rPr>
          <w:rFonts w:ascii="Arial" w:hAnsi="Arial" w:eastAsia="等线" w:cs="Arial"/>
          <w:b/>
          <w:sz w:val="30"/>
        </w:rPr>
        <w:t>股票发行过程</w:t>
      </w:r>
      <w:bookmarkEnd w:id="3"/>
    </w:p>
    <w:p w14:paraId="4E9EFF15">
      <w:pPr>
        <w:spacing w:before="120" w:after="120" w:line="288" w:lineRule="auto"/>
        <w:ind w:left="0"/>
        <w:jc w:val="left"/>
      </w:pPr>
      <w:r>
        <w:rPr>
          <w:rFonts w:ascii="Arial" w:hAnsi="Arial" w:eastAsia="等线" w:cs="Arial"/>
          <w:sz w:val="22"/>
        </w:rPr>
        <w:t>股票发行整体流程按涉及如下几个步骤：</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92269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7A4B6F5">
            <w:pPr>
              <w:spacing w:before="120" w:after="120" w:line="288" w:lineRule="auto"/>
              <w:jc w:val="left"/>
            </w:pPr>
            <w:r>
              <w:rPr>
                <w:rFonts w:ascii="Consolas" w:hAnsi="Consolas" w:eastAsia="Consolas" w:cs="Consolas"/>
                <w:color w:val="646A73"/>
                <w:sz w:val="22"/>
              </w:rPr>
              <w:t>Go</w:t>
            </w:r>
            <w:r>
              <w:rPr>
                <w:rFonts w:ascii="Consolas" w:hAnsi="Consolas" w:eastAsia="Consolas" w:cs="Consolas"/>
                <w:color w:val="646A73"/>
                <w:sz w:val="22"/>
              </w:rPr>
              <w:br w:type="textWrapping"/>
            </w:r>
            <w:r>
              <w:rPr>
                <w:rFonts w:ascii="Consolas" w:hAnsi="Consolas" w:eastAsia="Consolas" w:cs="Consolas"/>
                <w:sz w:val="22"/>
              </w:rPr>
              <w:t>Register Security with SEC</w:t>
            </w:r>
            <w:r>
              <w:rPr>
                <w:rFonts w:ascii="Consolas" w:hAnsi="Consolas" w:eastAsia="Consolas" w:cs="Consolas"/>
                <w:sz w:val="22"/>
              </w:rPr>
              <w:br w:type="textWrapping"/>
            </w:r>
            <w:r>
              <w:rPr>
                <w:rFonts w:ascii="Consolas" w:hAnsi="Consolas" w:eastAsia="Consolas" w:cs="Consolas"/>
                <w:sz w:val="22"/>
              </w:rPr>
              <w:t>Awaiting Approval</w:t>
            </w:r>
            <w:r>
              <w:rPr>
                <w:rFonts w:ascii="Consolas" w:hAnsi="Consolas" w:eastAsia="Consolas" w:cs="Consolas"/>
                <w:sz w:val="22"/>
              </w:rPr>
              <w:br w:type="textWrapping"/>
            </w:r>
            <w:r>
              <w:rPr>
                <w:rFonts w:ascii="Consolas" w:hAnsi="Consolas" w:eastAsia="Consolas" w:cs="Consolas"/>
                <w:sz w:val="22"/>
              </w:rPr>
              <w:t>Due-diligence Meeting（尽职会议）</w:t>
            </w:r>
            <w:r>
              <w:rPr>
                <w:rFonts w:ascii="Consolas" w:hAnsi="Consolas" w:eastAsia="Consolas" w:cs="Consolas"/>
                <w:sz w:val="22"/>
              </w:rPr>
              <w:br w:type="textWrapping"/>
            </w:r>
            <w:r>
              <w:rPr>
                <w:rFonts w:ascii="Consolas" w:hAnsi="Consolas" w:eastAsia="Consolas" w:cs="Consolas"/>
                <w:sz w:val="22"/>
              </w:rPr>
              <w:t>Registering with the State</w:t>
            </w:r>
            <w:r>
              <w:rPr>
                <w:rFonts w:ascii="Consolas" w:hAnsi="Consolas" w:eastAsia="Consolas" w:cs="Consolas"/>
                <w:sz w:val="22"/>
              </w:rPr>
              <w:br w:type="textWrapping"/>
            </w:r>
            <w:r>
              <w:rPr>
                <w:rFonts w:ascii="Consolas" w:hAnsi="Consolas" w:eastAsia="Consolas" w:cs="Consolas"/>
                <w:sz w:val="22"/>
              </w:rPr>
              <w:t>After IPO</w:t>
            </w:r>
          </w:p>
        </w:tc>
      </w:tr>
    </w:tbl>
    <w:p w14:paraId="1CC30F28">
      <w:pPr>
        <w:spacing w:before="120" w:after="120" w:line="288" w:lineRule="auto"/>
        <w:ind w:left="0"/>
        <w:jc w:val="left"/>
      </w:pPr>
      <w:r>
        <w:rPr>
          <w:rFonts w:ascii="Arial" w:hAnsi="Arial" w:eastAsia="等线" w:cs="Arial"/>
          <w:sz w:val="22"/>
        </w:rPr>
        <w:t>下面来介绍每一步骤包含的重点知识点。</w:t>
      </w:r>
    </w:p>
    <w:p w14:paraId="5029ADE2">
      <w:pPr>
        <w:spacing w:before="260" w:after="120" w:line="288" w:lineRule="auto"/>
        <w:ind w:left="0"/>
        <w:jc w:val="left"/>
        <w:outlineLvl w:val="3"/>
      </w:pPr>
      <w:bookmarkStart w:id="4" w:name="heading_4"/>
      <w:r>
        <w:rPr>
          <w:rFonts w:ascii="Arial" w:hAnsi="Arial" w:eastAsia="等线" w:cs="Arial"/>
          <w:color w:val="3370FF"/>
          <w:sz w:val="28"/>
        </w:rPr>
        <w:t xml:space="preserve">2.1.1.1 </w:t>
      </w:r>
      <w:r>
        <w:rPr>
          <w:rFonts w:ascii="Arial" w:hAnsi="Arial" w:eastAsia="等线" w:cs="Arial"/>
          <w:b/>
          <w:sz w:val="28"/>
        </w:rPr>
        <w:t>向 SEC 注册证券</w:t>
      </w:r>
      <w:bookmarkEnd w:id="4"/>
    </w:p>
    <w:p w14:paraId="0E890802">
      <w:pPr>
        <w:spacing w:before="120" w:after="120" w:line="288" w:lineRule="auto"/>
        <w:ind w:left="0"/>
        <w:jc w:val="left"/>
      </w:pPr>
      <w:r>
        <w:rPr>
          <w:rFonts w:ascii="Arial" w:hAnsi="Arial" w:eastAsia="等线" w:cs="Arial"/>
          <w:sz w:val="22"/>
        </w:rPr>
        <w:t>除非证券豁免注册（exempt from registration ），否则当一家公司想要上市（向公众投资者出售股票）时，必须向美国证券交易委员会（SEC）提交注册声明（Registration Statement）和招股说明书（Prospectus）。</w:t>
      </w:r>
    </w:p>
    <w:p w14:paraId="047D3A5F">
      <w:pPr>
        <w:spacing w:before="120" w:after="120" w:line="288" w:lineRule="auto"/>
        <w:ind w:left="0"/>
        <w:jc w:val="left"/>
      </w:pPr>
    </w:p>
    <w:p w14:paraId="624396DA">
      <w:pPr>
        <w:spacing w:before="120" w:after="120" w:line="288" w:lineRule="auto"/>
        <w:ind w:left="0"/>
        <w:jc w:val="left"/>
      </w:pPr>
      <w:r>
        <w:rPr>
          <w:rFonts w:ascii="Arial" w:hAnsi="Arial" w:eastAsia="等线" w:cs="Arial"/>
          <w:sz w:val="22"/>
        </w:rPr>
        <w:t>注册声明表分为两类：A 表（Schedule A）和 B 表（Schedule B）。</w:t>
      </w:r>
    </w:p>
    <w:p w14:paraId="6CE8AA25">
      <w:pPr>
        <w:numPr>
          <w:ilvl w:val="0"/>
          <w:numId w:val="5"/>
        </w:numPr>
        <w:spacing w:before="120" w:after="120" w:line="288" w:lineRule="auto"/>
        <w:ind w:left="0"/>
        <w:jc w:val="left"/>
      </w:pPr>
      <w:r>
        <w:rPr>
          <w:rFonts w:ascii="Arial" w:hAnsi="Arial" w:eastAsia="等线" w:cs="Arial"/>
          <w:sz w:val="22"/>
        </w:rPr>
        <w:t>Schedule A：适用于公司发行的证券（corporate securities）</w:t>
      </w:r>
    </w:p>
    <w:p w14:paraId="3437AD74">
      <w:pPr>
        <w:numPr>
          <w:ilvl w:val="0"/>
          <w:numId w:val="6"/>
        </w:numPr>
        <w:spacing w:before="120" w:after="120" w:line="288" w:lineRule="auto"/>
        <w:ind w:left="0"/>
        <w:jc w:val="left"/>
      </w:pPr>
      <w:r>
        <w:rPr>
          <w:rFonts w:ascii="Arial" w:hAnsi="Arial" w:eastAsia="等线" w:cs="Arial"/>
          <w:sz w:val="22"/>
        </w:rPr>
        <w:t>Schedule B：适用于市政债券（municipal bonds）</w:t>
      </w:r>
    </w:p>
    <w:p w14:paraId="33DC031B">
      <w:pPr>
        <w:spacing w:before="120" w:after="120" w:line="288" w:lineRule="auto"/>
        <w:ind w:left="0"/>
        <w:jc w:val="left"/>
      </w:pPr>
    </w:p>
    <w:p w14:paraId="655B2F42">
      <w:pPr>
        <w:spacing w:before="120" w:after="120" w:line="288" w:lineRule="auto"/>
        <w:ind w:left="0"/>
        <w:jc w:val="left"/>
      </w:pPr>
      <w:r>
        <w:rPr>
          <w:rFonts w:ascii="Arial" w:hAnsi="Arial" w:eastAsia="等线" w:cs="Arial"/>
          <w:sz w:val="22"/>
        </w:rPr>
        <w:t>以下是 A 表的内容：</w:t>
      </w:r>
    </w:p>
    <w:p w14:paraId="59C0B6F5">
      <w:pPr>
        <w:numPr>
          <w:ilvl w:val="0"/>
          <w:numId w:val="7"/>
        </w:numPr>
        <w:spacing w:before="120" w:after="120" w:line="288" w:lineRule="auto"/>
        <w:ind w:left="0"/>
        <w:jc w:val="left"/>
      </w:pPr>
      <w:r>
        <w:rPr>
          <w:rFonts w:ascii="Arial" w:hAnsi="Arial" w:eastAsia="等线" w:cs="Arial"/>
          <w:sz w:val="22"/>
        </w:rPr>
        <w:t>发行人的名称、地址和业务说明。</w:t>
      </w:r>
    </w:p>
    <w:p w14:paraId="0228B955">
      <w:pPr>
        <w:numPr>
          <w:ilvl w:val="0"/>
          <w:numId w:val="8"/>
        </w:numPr>
        <w:spacing w:before="120" w:after="120" w:line="288" w:lineRule="auto"/>
        <w:ind w:left="0"/>
        <w:jc w:val="left"/>
      </w:pPr>
      <w:r>
        <w:rPr>
          <w:rFonts w:ascii="Arial" w:hAnsi="Arial" w:eastAsia="等线" w:cs="Arial"/>
          <w:sz w:val="22"/>
        </w:rPr>
        <w:t>公司章程（Company’s Articles of Incorporation）除非事先提供。</w:t>
      </w:r>
    </w:p>
    <w:p w14:paraId="04F2E2A1">
      <w:pPr>
        <w:numPr>
          <w:ilvl w:val="0"/>
          <w:numId w:val="9"/>
        </w:numPr>
        <w:spacing w:before="120" w:after="120" w:line="288" w:lineRule="auto"/>
        <w:ind w:left="0"/>
        <w:jc w:val="left"/>
      </w:pPr>
      <w:r>
        <w:rPr>
          <w:rFonts w:ascii="Arial" w:hAnsi="Arial" w:eastAsia="等线" w:cs="Arial"/>
          <w:sz w:val="22"/>
        </w:rPr>
        <w:t>承销商的名称和地址，以及他们将从销售中直接或间接获得的所有佣金或折扣。</w:t>
      </w:r>
    </w:p>
    <w:p w14:paraId="3DA7ADB2">
      <w:pPr>
        <w:numPr>
          <w:ilvl w:val="0"/>
          <w:numId w:val="10"/>
        </w:numPr>
        <w:spacing w:before="120" w:after="120" w:line="288" w:lineRule="auto"/>
        <w:ind w:left="0"/>
        <w:jc w:val="left"/>
      </w:pPr>
      <w:r>
        <w:rPr>
          <w:rFonts w:ascii="Arial" w:hAnsi="Arial" w:eastAsia="等线" w:cs="Arial"/>
          <w:sz w:val="22"/>
        </w:rPr>
        <w:t>证券向公众发行的价格。</w:t>
      </w:r>
    </w:p>
    <w:p w14:paraId="5D06DB61">
      <w:pPr>
        <w:numPr>
          <w:ilvl w:val="0"/>
          <w:numId w:val="11"/>
        </w:numPr>
        <w:spacing w:before="120" w:after="120" w:line="288" w:lineRule="auto"/>
        <w:ind w:left="0"/>
        <w:jc w:val="left"/>
      </w:pPr>
      <w:r>
        <w:rPr>
          <w:rFonts w:ascii="Arial" w:hAnsi="Arial" w:eastAsia="等线" w:cs="Arial"/>
          <w:sz w:val="22"/>
        </w:rPr>
        <w:t>所有公司管理人员的姓名和地址，例如高级职员、董事以及任何持有公司10%以上证券的人（以及他们持有的公司证券数量）</w:t>
      </w:r>
    </w:p>
    <w:p w14:paraId="18BCADFF">
      <w:pPr>
        <w:numPr>
          <w:ilvl w:val="0"/>
          <w:numId w:val="12"/>
        </w:numPr>
        <w:spacing w:before="120" w:after="120" w:line="288" w:lineRule="auto"/>
        <w:ind w:left="0"/>
        <w:jc w:val="left"/>
      </w:pPr>
      <w:r>
        <w:rPr>
          <w:rFonts w:ascii="Arial" w:hAnsi="Arial" w:eastAsia="等线" w:cs="Arial"/>
          <w:sz w:val="22"/>
        </w:rPr>
        <w:t>拟发行证券的预计销售净收益以及收益的用途，包括（初期的）财产或拟收购的其他业务（如有）。</w:t>
      </w:r>
    </w:p>
    <w:p w14:paraId="219F0351">
      <w:pPr>
        <w:numPr>
          <w:ilvl w:val="0"/>
          <w:numId w:val="13"/>
        </w:numPr>
        <w:spacing w:before="120" w:after="120" w:line="288" w:lineRule="auto"/>
        <w:ind w:left="0"/>
        <w:jc w:val="left"/>
      </w:pPr>
      <w:r>
        <w:rPr>
          <w:rFonts w:ascii="Arial" w:hAnsi="Arial" w:eastAsia="等线" w:cs="Arial"/>
          <w:sz w:val="22"/>
        </w:rPr>
        <w:t>公司资本额（company’s capitalization）：所有与融资相关的债务和股权。</w:t>
      </w:r>
    </w:p>
    <w:p w14:paraId="3BDC9B09">
      <w:pPr>
        <w:numPr>
          <w:ilvl w:val="0"/>
          <w:numId w:val="14"/>
        </w:numPr>
        <w:spacing w:before="120" w:after="120" w:line="288" w:lineRule="auto"/>
        <w:ind w:left="0"/>
        <w:jc w:val="left"/>
      </w:pPr>
      <w:r>
        <w:rPr>
          <w:rFonts w:ascii="Arial" w:hAnsi="Arial" w:eastAsia="等线" w:cs="Arial"/>
          <w:sz w:val="22"/>
        </w:rPr>
        <w:t>完整的财务报表（financial statements），包括资产负债表（ balance sheets）和损益表（income statements）。</w:t>
      </w:r>
    </w:p>
    <w:p w14:paraId="58A7AC73">
      <w:pPr>
        <w:numPr>
          <w:ilvl w:val="0"/>
          <w:numId w:val="15"/>
        </w:numPr>
        <w:spacing w:before="120" w:after="120" w:line="288" w:lineRule="auto"/>
        <w:ind w:left="0"/>
        <w:jc w:val="left"/>
      </w:pPr>
      <w:r>
        <w:rPr>
          <w:rFonts w:ascii="Arial" w:hAnsi="Arial" w:eastAsia="等线" w:cs="Arial"/>
          <w:sz w:val="22"/>
        </w:rPr>
        <w:t>任何可能对公司产生影响的法律诉讼。</w:t>
      </w:r>
    </w:p>
    <w:p w14:paraId="728C0FD6">
      <w:pPr>
        <w:numPr>
          <w:ilvl w:val="0"/>
          <w:numId w:val="16"/>
        </w:numPr>
        <w:spacing w:before="120" w:after="120" w:line="288" w:lineRule="auto"/>
        <w:ind w:left="0"/>
        <w:jc w:val="left"/>
      </w:pPr>
      <w:r>
        <w:rPr>
          <w:rFonts w:ascii="Arial" w:hAnsi="Arial" w:eastAsia="等线" w:cs="Arial"/>
          <w:sz w:val="22"/>
        </w:rPr>
        <w:t>发行人在过去两年内出售任何证券所产生的任何净收益，以及承销商的详细信息。</w:t>
      </w:r>
    </w:p>
    <w:p w14:paraId="2A1E6235">
      <w:pPr>
        <w:numPr>
          <w:ilvl w:val="0"/>
          <w:numId w:val="17"/>
        </w:numPr>
        <w:spacing w:before="120" w:after="120" w:line="288" w:lineRule="auto"/>
        <w:ind w:left="0"/>
        <w:jc w:val="left"/>
      </w:pPr>
      <w:r>
        <w:rPr>
          <w:rFonts w:ascii="Arial" w:hAnsi="Arial" w:eastAsia="等线" w:cs="Arial"/>
          <w:sz w:val="22"/>
        </w:rPr>
        <w:t>为该发行的合法性提供担保的律师的姓名和地址，以及他们关于该发行合法性的意见书副本。</w:t>
      </w:r>
    </w:p>
    <w:p w14:paraId="761A3F7E">
      <w:pPr>
        <w:numPr>
          <w:ilvl w:val="0"/>
          <w:numId w:val="18"/>
        </w:numPr>
        <w:spacing w:before="120" w:after="120" w:line="288" w:lineRule="auto"/>
        <w:ind w:left="0"/>
        <w:jc w:val="left"/>
      </w:pPr>
      <w:r>
        <w:rPr>
          <w:rFonts w:ascii="Arial" w:hAnsi="Arial" w:eastAsia="等线" w:cs="Arial"/>
          <w:sz w:val="22"/>
        </w:rPr>
        <w:t>任何可能影响所发售证券的协议（Agreements）或契约（Indentures）。</w:t>
      </w:r>
    </w:p>
    <w:p w14:paraId="4ABB6FBC">
      <w:pPr>
        <w:spacing w:before="120" w:after="120" w:line="288" w:lineRule="auto"/>
        <w:ind w:left="0"/>
        <w:jc w:val="left"/>
      </w:pPr>
    </w:p>
    <w:p w14:paraId="4041B590">
      <w:pPr>
        <w:spacing w:before="120" w:after="120" w:line="288" w:lineRule="auto"/>
        <w:ind w:left="0"/>
        <w:jc w:val="left"/>
      </w:pPr>
      <w:r>
        <w:rPr>
          <w:rFonts w:ascii="Arial" w:hAnsi="Arial" w:eastAsia="等线" w:cs="Arial"/>
          <w:sz w:val="22"/>
        </w:rPr>
        <w:t>通常情况下，SEC 注册一项新的证券发行大约需要4到6周，发行公司可以使用一种叫作货架注册（Shelf Registration）的方式。通过这种方式，公司可以一次性向SEC注册未来计划发行的一批证券，然后“放在货架上”，在</w:t>
      </w:r>
      <w:r>
        <w:rPr>
          <w:rFonts w:ascii="Arial" w:hAnsi="Arial" w:eastAsia="等线" w:cs="Arial"/>
          <w:b/>
          <w:sz w:val="22"/>
        </w:rPr>
        <w:t>未来三年</w:t>
      </w:r>
      <w:r>
        <w:rPr>
          <w:rFonts w:ascii="Arial" w:hAnsi="Arial" w:eastAsia="等线" w:cs="Arial"/>
          <w:sz w:val="22"/>
        </w:rPr>
        <w:t>内根据市场条件分批出售，无需每次都重新提交注册文件。这种方式让公司在需要资金时能更快速、灵活地进行融资。</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0005807E">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6CFE0505">
            <w:pPr>
              <w:spacing w:before="120" w:after="120" w:line="288" w:lineRule="auto"/>
              <w:ind w:left="0"/>
              <w:jc w:val="left"/>
            </w:pPr>
            <w:r>
              <w:rPr>
                <w:rFonts w:ascii="Arial" w:hAnsi="Arial" w:eastAsia="等线" w:cs="Arial"/>
                <w:sz w:val="22"/>
              </w:rPr>
              <w:t>Shelf Registration 是根据 SEC Rule 415 制定的，也被称为 Shelf Offering，属于 Primary Offering 的一种。</w:t>
            </w:r>
          </w:p>
        </w:tc>
      </w:tr>
    </w:tbl>
    <w:p w14:paraId="59929A68"/>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047B964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PrEx>
        <w:tc>
          <w:tcPr>
            <w:tcW w:w="8280" w:type="dxa"/>
            <w:shd w:val="clear" w:color="auto" w:fill="F0FBEF"/>
            <w:tcMar>
              <w:top w:w="60" w:type="dxa"/>
              <w:left w:w="120" w:type="dxa"/>
              <w:bottom w:w="30" w:type="dxa"/>
              <w:right w:w="120" w:type="dxa"/>
            </w:tcMar>
          </w:tcPr>
          <w:p w14:paraId="04DD95F0">
            <w:pPr>
              <w:numPr>
                <w:ilvl w:val="0"/>
                <w:numId w:val="19"/>
              </w:numPr>
              <w:spacing w:before="120" w:after="120" w:line="288" w:lineRule="auto"/>
              <w:ind w:left="0"/>
              <w:jc w:val="left"/>
            </w:pPr>
            <w:r>
              <w:rPr>
                <w:rFonts w:ascii="Arial" w:hAnsi="Arial" w:eastAsia="等线" w:cs="Arial"/>
                <w:sz w:val="22"/>
              </w:rPr>
              <w:t>What is the underwriting arrangement that allows an issuer whose stock is already trading publicly to time the sales of an additional issue?</w:t>
            </w:r>
          </w:p>
          <w:p w14:paraId="2F922EB0">
            <w:pPr>
              <w:spacing w:before="120" w:after="120" w:line="288" w:lineRule="auto"/>
              <w:ind w:left="453"/>
              <w:jc w:val="left"/>
            </w:pPr>
            <w:r>
              <w:rPr>
                <w:rFonts w:ascii="Arial" w:hAnsi="Arial" w:eastAsia="等线" w:cs="Arial"/>
                <w:sz w:val="22"/>
              </w:rPr>
              <w:t>(A) shelf registration</w:t>
            </w:r>
          </w:p>
          <w:p w14:paraId="17A3DF6D">
            <w:pPr>
              <w:spacing w:before="120" w:after="120" w:line="288" w:lineRule="auto"/>
              <w:ind w:left="453"/>
              <w:jc w:val="left"/>
            </w:pPr>
            <w:r>
              <w:rPr>
                <w:rFonts w:ascii="Arial" w:hAnsi="Arial" w:eastAsia="等线" w:cs="Arial"/>
                <w:sz w:val="22"/>
              </w:rPr>
              <w:t>(B) a standby underwriting</w:t>
            </w:r>
          </w:p>
          <w:p w14:paraId="3C12BA9F">
            <w:pPr>
              <w:spacing w:before="120" w:after="120" w:line="288" w:lineRule="auto"/>
              <w:ind w:left="453"/>
              <w:jc w:val="left"/>
            </w:pPr>
            <w:r>
              <w:rPr>
                <w:rFonts w:ascii="Arial" w:hAnsi="Arial" w:eastAsia="等线" w:cs="Arial"/>
                <w:sz w:val="22"/>
              </w:rPr>
              <w:t>(C) a negotiated offering</w:t>
            </w:r>
          </w:p>
          <w:p w14:paraId="75C44729">
            <w:pPr>
              <w:spacing w:before="120" w:after="120" w:line="288" w:lineRule="auto"/>
              <w:ind w:left="453"/>
              <w:jc w:val="left"/>
            </w:pPr>
            <w:r>
              <w:rPr>
                <w:rFonts w:ascii="Arial" w:hAnsi="Arial" w:eastAsia="等线" w:cs="Arial"/>
                <w:sz w:val="22"/>
              </w:rPr>
              <w:t>(D) an Eastern account underwriting</w:t>
            </w:r>
          </w:p>
          <w:p w14:paraId="6EF89331">
            <w:pPr>
              <w:spacing w:before="120" w:after="120" w:line="288" w:lineRule="auto"/>
              <w:ind w:left="0"/>
              <w:jc w:val="left"/>
            </w:pPr>
          </w:p>
          <w:p w14:paraId="269F30A1">
            <w:pPr>
              <w:numPr>
                <w:ilvl w:val="0"/>
                <w:numId w:val="20"/>
              </w:numPr>
              <w:spacing w:before="120" w:after="120" w:line="288" w:lineRule="auto"/>
              <w:ind w:left="0"/>
              <w:jc w:val="left"/>
            </w:pPr>
            <w:r>
              <w:rPr>
                <w:rFonts w:ascii="Arial" w:hAnsi="Arial" w:eastAsia="等线" w:cs="Arial"/>
                <w:sz w:val="22"/>
              </w:rPr>
              <w:t>SEC Rule 415 outlines rules for</w:t>
            </w:r>
          </w:p>
          <w:p w14:paraId="47D64C8F">
            <w:pPr>
              <w:spacing w:before="120" w:after="120" w:line="288" w:lineRule="auto"/>
              <w:ind w:left="453"/>
              <w:jc w:val="left"/>
            </w:pPr>
            <w:r>
              <w:rPr>
                <w:rFonts w:ascii="Arial" w:hAnsi="Arial" w:eastAsia="等线" w:cs="Arial"/>
                <w:sz w:val="22"/>
              </w:rPr>
              <w:t>(A) primary offerings</w:t>
            </w:r>
          </w:p>
          <w:p w14:paraId="7A4296FA">
            <w:pPr>
              <w:spacing w:before="120" w:after="120" w:line="288" w:lineRule="auto"/>
              <w:ind w:left="453"/>
              <w:jc w:val="left"/>
            </w:pPr>
            <w:r>
              <w:rPr>
                <w:rFonts w:ascii="Arial" w:hAnsi="Arial" w:eastAsia="等线" w:cs="Arial"/>
                <w:sz w:val="22"/>
              </w:rPr>
              <w:t>(B) shelf offerings</w:t>
            </w:r>
          </w:p>
          <w:p w14:paraId="05504356">
            <w:pPr>
              <w:spacing w:before="120" w:after="120" w:line="288" w:lineRule="auto"/>
              <w:ind w:left="453"/>
              <w:jc w:val="left"/>
            </w:pPr>
            <w:r>
              <w:rPr>
                <w:rFonts w:ascii="Arial" w:hAnsi="Arial" w:eastAsia="等线" w:cs="Arial"/>
                <w:sz w:val="22"/>
              </w:rPr>
              <w:t>(C) secondary offerings</w:t>
            </w:r>
          </w:p>
          <w:p w14:paraId="3CECF887">
            <w:pPr>
              <w:spacing w:before="120" w:after="120" w:line="288" w:lineRule="auto"/>
              <w:ind w:left="453"/>
              <w:jc w:val="left"/>
            </w:pPr>
            <w:r>
              <w:rPr>
                <w:rFonts w:ascii="Arial" w:hAnsi="Arial" w:eastAsia="等线" w:cs="Arial"/>
                <w:sz w:val="22"/>
              </w:rPr>
              <w:t>(D) IPOs</w:t>
            </w:r>
          </w:p>
        </w:tc>
      </w:tr>
    </w:tbl>
    <w:p w14:paraId="642A0683">
      <w:pPr>
        <w:spacing w:before="260" w:after="120" w:line="288" w:lineRule="auto"/>
        <w:ind w:left="0"/>
        <w:jc w:val="left"/>
        <w:outlineLvl w:val="3"/>
      </w:pPr>
      <w:bookmarkStart w:id="5" w:name="heading_5"/>
      <w:r>
        <w:rPr>
          <w:rFonts w:ascii="Arial" w:hAnsi="Arial" w:eastAsia="等线" w:cs="Arial"/>
          <w:color w:val="3370FF"/>
          <w:sz w:val="28"/>
        </w:rPr>
        <w:t xml:space="preserve">2.1.1.2 </w:t>
      </w:r>
      <w:r>
        <w:rPr>
          <w:rFonts w:ascii="Arial" w:hAnsi="Arial" w:eastAsia="等线" w:cs="Arial"/>
          <w:b/>
          <w:sz w:val="28"/>
        </w:rPr>
        <w:t>等待批准：冷静期</w:t>
      </w:r>
      <w:bookmarkEnd w:id="5"/>
    </w:p>
    <w:p w14:paraId="65910CE0">
      <w:pPr>
        <w:spacing w:before="120" w:after="120" w:line="288" w:lineRule="auto"/>
        <w:ind w:left="0"/>
        <w:jc w:val="left"/>
      </w:pPr>
      <w:r>
        <w:rPr>
          <w:rFonts w:ascii="Arial" w:hAnsi="Arial" w:eastAsia="等线" w:cs="Arial"/>
          <w:sz w:val="22"/>
        </w:rPr>
        <w:t>自 SEC 接收注册声明起的20天内称为冷静期（Cooling-off Period）。</w:t>
      </w:r>
    </w:p>
    <w:p w14:paraId="2EDD06DF">
      <w:pPr>
        <w:spacing w:before="120" w:after="120" w:line="288" w:lineRule="auto"/>
        <w:ind w:left="0"/>
        <w:jc w:val="left"/>
      </w:pPr>
    </w:p>
    <w:p w14:paraId="67FAA602">
      <w:pPr>
        <w:spacing w:before="120" w:after="120" w:line="288" w:lineRule="auto"/>
        <w:ind w:left="0"/>
        <w:jc w:val="left"/>
      </w:pPr>
      <w:r>
        <w:rPr>
          <w:rFonts w:ascii="Arial" w:hAnsi="Arial" w:eastAsia="等线" w:cs="Arial"/>
          <w:sz w:val="22"/>
        </w:rPr>
        <w:t>发行人向 SEC 提交注册申明（registration statement）（提交日  filing date）后，20天的冷静期便开始了。在这20天（有时会更长）的期间内，SEC 会对注册申明进行审查。</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6FCC06CE">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708F9CC1">
            <w:pPr>
              <w:spacing w:before="120" w:after="120" w:line="288" w:lineRule="auto"/>
              <w:ind w:left="0"/>
              <w:jc w:val="left"/>
            </w:pPr>
            <w:r>
              <w:rPr>
                <w:rFonts w:ascii="Arial" w:hAnsi="Arial" w:eastAsia="等线" w:cs="Arial"/>
                <w:sz w:val="22"/>
              </w:rPr>
              <w:t>SEC 及任何自律组织（self-regulatory organization）均不批准任何发行（approves an issue）。SEC 仅批准该发行可供出售（only clears the issue for sale）。此外，SEC不负责确保注册声明中包含的信息完整、真实或准确。</w:t>
            </w:r>
          </w:p>
          <w:p w14:paraId="038D15B6">
            <w:pPr>
              <w:spacing w:before="120" w:after="120" w:line="288" w:lineRule="auto"/>
              <w:ind w:left="0"/>
              <w:jc w:val="left"/>
            </w:pPr>
          </w:p>
          <w:p w14:paraId="719A42B4">
            <w:pPr>
              <w:spacing w:before="120" w:after="120" w:line="288" w:lineRule="auto"/>
              <w:ind w:left="0"/>
              <w:jc w:val="left"/>
            </w:pPr>
            <w:r>
              <w:rPr>
                <w:rFonts w:ascii="Arial" w:hAnsi="Arial" w:eastAsia="等线" w:cs="Arial"/>
                <w:sz w:val="22"/>
              </w:rPr>
              <w:t>即 SEC 只负责审核及处理注册申明，通过上市申请是交易所（纽交所或纳斯达克）负责。</w:t>
            </w:r>
          </w:p>
        </w:tc>
      </w:tr>
    </w:tbl>
    <w:p w14:paraId="25244815"/>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B5D7521">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61A59DE6">
            <w:pPr>
              <w:spacing w:before="120" w:after="120" w:line="288" w:lineRule="auto"/>
              <w:ind w:left="0"/>
              <w:jc w:val="left"/>
            </w:pPr>
            <w:r>
              <w:rPr>
                <w:rFonts w:ascii="Arial" w:hAnsi="Arial" w:eastAsia="等线" w:cs="Arial"/>
                <w:sz w:val="22"/>
              </w:rPr>
              <w:t>习题：</w:t>
            </w:r>
          </w:p>
          <w:p w14:paraId="43C52563">
            <w:pPr>
              <w:numPr>
                <w:ilvl w:val="0"/>
                <w:numId w:val="21"/>
              </w:numPr>
              <w:spacing w:before="120" w:after="120" w:line="288" w:lineRule="auto"/>
              <w:ind w:left="0"/>
              <w:jc w:val="left"/>
            </w:pPr>
            <w:r>
              <w:rPr>
                <w:rFonts w:ascii="Arial" w:hAnsi="Arial" w:eastAsia="等线" w:cs="Arial"/>
                <w:sz w:val="22"/>
              </w:rPr>
              <w:t>The cooling-off period for a new issue lasts approximately how many days?</w:t>
            </w:r>
          </w:p>
          <w:p w14:paraId="74081274">
            <w:pPr>
              <w:spacing w:before="120" w:after="120" w:line="288" w:lineRule="auto"/>
              <w:ind w:left="453"/>
              <w:jc w:val="left"/>
            </w:pPr>
            <w:r>
              <w:rPr>
                <w:rFonts w:ascii="Arial" w:hAnsi="Arial" w:eastAsia="等线" w:cs="Arial"/>
                <w:sz w:val="22"/>
              </w:rPr>
              <w:t>(A) 20</w:t>
            </w:r>
          </w:p>
          <w:p w14:paraId="54A568BF">
            <w:pPr>
              <w:spacing w:before="120" w:after="120" w:line="288" w:lineRule="auto"/>
              <w:ind w:left="453"/>
              <w:jc w:val="left"/>
            </w:pPr>
            <w:r>
              <w:rPr>
                <w:rFonts w:ascii="Arial" w:hAnsi="Arial" w:eastAsia="等线" w:cs="Arial"/>
                <w:sz w:val="22"/>
              </w:rPr>
              <w:t>(B) 30</w:t>
            </w:r>
          </w:p>
          <w:p w14:paraId="31BB1D86">
            <w:pPr>
              <w:spacing w:before="120" w:after="120" w:line="288" w:lineRule="auto"/>
              <w:ind w:left="453"/>
              <w:jc w:val="left"/>
            </w:pPr>
            <w:r>
              <w:rPr>
                <w:rFonts w:ascii="Arial" w:hAnsi="Arial" w:eastAsia="等线" w:cs="Arial"/>
                <w:sz w:val="22"/>
              </w:rPr>
              <w:t>(C) 40</w:t>
            </w:r>
          </w:p>
          <w:p w14:paraId="54DBCA0F">
            <w:pPr>
              <w:spacing w:before="120" w:after="120" w:line="288" w:lineRule="auto"/>
              <w:ind w:left="453"/>
              <w:jc w:val="left"/>
            </w:pPr>
            <w:r>
              <w:rPr>
                <w:rFonts w:ascii="Arial" w:hAnsi="Arial" w:eastAsia="等线" w:cs="Arial"/>
                <w:sz w:val="22"/>
              </w:rPr>
              <w:t>(D) 60</w:t>
            </w:r>
          </w:p>
        </w:tc>
      </w:tr>
    </w:tbl>
    <w:p w14:paraId="2F4FF33A">
      <w:pPr>
        <w:spacing w:before="120" w:after="120" w:line="288" w:lineRule="auto"/>
        <w:ind w:left="0"/>
        <w:jc w:val="left"/>
      </w:pPr>
      <w:r>
        <w:rPr>
          <w:rFonts w:ascii="Arial" w:hAnsi="Arial" w:eastAsia="等线" w:cs="Arial"/>
          <w:sz w:val="22"/>
        </w:rPr>
        <w:t>在冷静期，承销商可以从投资者那里获取购买意向（indications of interest）。代理商（Agents）则急于从潜在购买者（prospective purchasers）那里获得认购意向。</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798FEEA">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1414BD23">
            <w:pPr>
              <w:spacing w:before="120" w:after="120" w:line="288" w:lineRule="auto"/>
              <w:ind w:left="0"/>
              <w:jc w:val="left"/>
            </w:pPr>
            <w:r>
              <w:rPr>
                <w:rFonts w:ascii="Arial" w:hAnsi="Arial" w:eastAsia="等线" w:cs="Arial"/>
                <w:sz w:val="22"/>
              </w:rPr>
              <w:t>购买意向对客户或承销商不具有约束力（not binding on customers or underwriters）。客户始终有权改变主意，而承销商可能没有足够的股份来满足所有潜在买家的需求。</w:t>
            </w:r>
          </w:p>
        </w:tc>
      </w:tr>
    </w:tbl>
    <w:p w14:paraId="61316D1F">
      <w:pPr>
        <w:numPr>
          <w:ilvl w:val="0"/>
          <w:numId w:val="22"/>
        </w:numPr>
        <w:spacing w:before="120" w:after="120" w:line="288" w:lineRule="auto"/>
        <w:ind w:left="0"/>
        <w:jc w:val="left"/>
      </w:pPr>
      <w:r>
        <w:rPr>
          <w:rFonts w:ascii="Arial" w:hAnsi="Arial" w:eastAsia="等线" w:cs="Arial"/>
          <w:sz w:val="22"/>
        </w:rPr>
        <w:t>宣传材料 -- 墓碑广告（tombstone ads）</w:t>
      </w:r>
    </w:p>
    <w:p w14:paraId="4BD72B2F">
      <w:pPr>
        <w:numPr>
          <w:ilvl w:val="0"/>
          <w:numId w:val="23"/>
        </w:numPr>
        <w:spacing w:before="120" w:after="120" w:line="288" w:lineRule="auto"/>
        <w:ind w:left="453"/>
        <w:jc w:val="left"/>
      </w:pPr>
      <w:r>
        <w:rPr>
          <w:rFonts w:ascii="Arial" w:hAnsi="Arial" w:eastAsia="等线" w:cs="Arial"/>
          <w:sz w:val="22"/>
        </w:rPr>
        <w:t>冷静期唯一允许的广告；</w:t>
      </w:r>
    </w:p>
    <w:p w14:paraId="3A4151BD">
      <w:pPr>
        <w:numPr>
          <w:ilvl w:val="0"/>
          <w:numId w:val="24"/>
        </w:numPr>
        <w:spacing w:before="120" w:after="120" w:line="288" w:lineRule="auto"/>
        <w:ind w:left="453"/>
        <w:jc w:val="left"/>
      </w:pPr>
      <w:r>
        <w:rPr>
          <w:rFonts w:ascii="Arial" w:hAnsi="Arial" w:eastAsia="等线" w:cs="Arial"/>
          <w:sz w:val="22"/>
        </w:rPr>
        <w:t>注意不是 SEC 强制要求的，也无需向 SEC 提交；</w:t>
      </w:r>
    </w:p>
    <w:p w14:paraId="32529881">
      <w:pPr>
        <w:numPr>
          <w:ilvl w:val="0"/>
          <w:numId w:val="25"/>
        </w:numPr>
        <w:spacing w:before="120" w:after="120" w:line="288" w:lineRule="auto"/>
        <w:ind w:left="453"/>
        <w:jc w:val="left"/>
      </w:pPr>
      <w:r>
        <w:rPr>
          <w:rFonts w:ascii="Arial" w:hAnsi="Arial" w:eastAsia="等线" w:cs="Arial"/>
          <w:sz w:val="22"/>
        </w:rPr>
        <w:t>墓碑广告包含关于新发行证券的简单事实陈述：发行人名称、证券类型、可售股票或债券数量、承销商名称等；</w:t>
      </w:r>
    </w:p>
    <w:p w14:paraId="1F591372">
      <w:pPr>
        <w:numPr>
          <w:ilvl w:val="0"/>
          <w:numId w:val="26"/>
        </w:numPr>
        <w:spacing w:before="120" w:after="120" w:line="288" w:lineRule="auto"/>
        <w:ind w:left="453"/>
        <w:jc w:val="left"/>
      </w:pPr>
      <w:r>
        <w:rPr>
          <w:rFonts w:ascii="Arial" w:hAnsi="Arial" w:eastAsia="等线" w:cs="Arial"/>
          <w:sz w:val="22"/>
        </w:rPr>
        <w:t>墓碑广告通常会向投资者提供如何获取招股说明书的信息；</w:t>
      </w:r>
    </w:p>
    <w:p w14:paraId="39872D7E">
      <w:pPr>
        <w:numPr>
          <w:ilvl w:val="0"/>
          <w:numId w:val="27"/>
        </w:numPr>
        <w:spacing w:before="120" w:after="120" w:line="288" w:lineRule="auto"/>
        <w:ind w:left="453"/>
        <w:jc w:val="left"/>
      </w:pPr>
      <w:r>
        <w:rPr>
          <w:rFonts w:ascii="Arial" w:hAnsi="Arial" w:eastAsia="等线" w:cs="Arial"/>
          <w:b/>
          <w:sz w:val="22"/>
        </w:rPr>
        <w:t>墓碑广告可能包含也可能不包含所发售证券的价格。</w:t>
      </w:r>
      <w:r>
        <w:rPr>
          <w:rFonts w:ascii="Arial" w:hAnsi="Arial" w:eastAsia="等线" w:cs="Arial"/>
          <w:sz w:val="22"/>
        </w:rPr>
        <w:t>注意这里可能会有题目问墓碑广告一定会有上市价格信息吗？</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24695E0">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6005B4A1">
            <w:pPr>
              <w:spacing w:before="120" w:after="120" w:line="288" w:lineRule="auto"/>
              <w:ind w:left="0"/>
              <w:jc w:val="left"/>
            </w:pPr>
            <w:r>
              <w:rPr>
                <w:rFonts w:ascii="Arial" w:hAnsi="Arial" w:eastAsia="等线" w:cs="Arial"/>
                <w:sz w:val="22"/>
              </w:rPr>
              <w:t>习题：</w:t>
            </w:r>
          </w:p>
          <w:p w14:paraId="51C80564">
            <w:pPr>
              <w:numPr>
                <w:ilvl w:val="0"/>
                <w:numId w:val="28"/>
              </w:numPr>
              <w:spacing w:before="120" w:after="120" w:line="288" w:lineRule="auto"/>
              <w:ind w:left="0"/>
              <w:jc w:val="left"/>
            </w:pPr>
            <w:r>
              <w:rPr>
                <w:rFonts w:ascii="Arial" w:hAnsi="Arial" w:eastAsia="等线" w:cs="Arial"/>
                <w:sz w:val="22"/>
              </w:rPr>
              <w:t>Which of the following may be included in a tombstone advertisement?</w:t>
            </w:r>
          </w:p>
          <w:p w14:paraId="77C37C4C">
            <w:pPr>
              <w:spacing w:before="120" w:after="120" w:line="288" w:lineRule="auto"/>
              <w:ind w:left="453"/>
              <w:jc w:val="left"/>
            </w:pPr>
            <w:r>
              <w:rPr>
                <w:rFonts w:ascii="Arial" w:hAnsi="Arial" w:eastAsia="等线" w:cs="Arial"/>
                <w:sz w:val="22"/>
              </w:rPr>
              <w:t>(A) The number of securities to be sold</w:t>
            </w:r>
          </w:p>
          <w:p w14:paraId="24173446">
            <w:pPr>
              <w:spacing w:before="120" w:after="120" w:line="288" w:lineRule="auto"/>
              <w:ind w:left="453"/>
              <w:jc w:val="left"/>
            </w:pPr>
            <w:r>
              <w:rPr>
                <w:rFonts w:ascii="Arial" w:hAnsi="Arial" w:eastAsia="等线" w:cs="Arial"/>
                <w:sz w:val="22"/>
              </w:rPr>
              <w:t>(B) The issuer’s name</w:t>
            </w:r>
          </w:p>
          <w:p w14:paraId="402330E5">
            <w:pPr>
              <w:spacing w:before="120" w:after="120" w:line="288" w:lineRule="auto"/>
              <w:ind w:left="453"/>
              <w:jc w:val="left"/>
            </w:pPr>
            <w:r>
              <w:rPr>
                <w:rFonts w:ascii="Arial" w:hAnsi="Arial" w:eastAsia="等线" w:cs="Arial"/>
                <w:sz w:val="22"/>
              </w:rPr>
              <w:t>(C) All underwriters’ names</w:t>
            </w:r>
          </w:p>
          <w:p w14:paraId="31223F80">
            <w:pPr>
              <w:spacing w:before="120" w:after="120" w:line="288" w:lineRule="auto"/>
              <w:ind w:left="453"/>
              <w:jc w:val="left"/>
            </w:pPr>
            <w:r>
              <w:rPr>
                <w:rFonts w:ascii="Arial" w:hAnsi="Arial" w:eastAsia="等线" w:cs="Arial"/>
                <w:sz w:val="22"/>
              </w:rPr>
              <w:t>(D) All of the above</w:t>
            </w:r>
          </w:p>
        </w:tc>
      </w:tr>
    </w:tbl>
    <w:p w14:paraId="3DFA1F8A">
      <w:pPr>
        <w:spacing w:before="120" w:after="120" w:line="288" w:lineRule="auto"/>
        <w:ind w:left="0"/>
        <w:jc w:val="left"/>
      </w:pPr>
      <w:r>
        <w:rPr>
          <w:rFonts w:ascii="Arial" w:hAnsi="Arial" w:eastAsia="等线" w:cs="Arial"/>
          <w:sz w:val="22"/>
        </w:rPr>
        <w:t>冷静期内，承销商可以通过初步招股说明书（preliminary prospectus）去获取客户的兴趣。</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6CDE2270">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53322FD5">
            <w:pPr>
              <w:spacing w:before="120" w:after="120" w:line="288" w:lineRule="auto"/>
              <w:ind w:left="0"/>
              <w:jc w:val="left"/>
            </w:pPr>
            <w:r>
              <w:rPr>
                <w:rFonts w:ascii="Arial" w:hAnsi="Arial" w:eastAsia="等线" w:cs="Arial"/>
                <w:sz w:val="22"/>
              </w:rPr>
              <w:t>习题：</w:t>
            </w:r>
          </w:p>
          <w:p w14:paraId="66614B5F">
            <w:pPr>
              <w:numPr>
                <w:ilvl w:val="0"/>
                <w:numId w:val="29"/>
              </w:numPr>
              <w:spacing w:before="120" w:after="120" w:line="288" w:lineRule="auto"/>
              <w:ind w:left="0"/>
              <w:jc w:val="left"/>
            </w:pPr>
            <w:r>
              <w:rPr>
                <w:rFonts w:ascii="Arial" w:hAnsi="Arial" w:eastAsia="等线" w:cs="Arial"/>
                <w:sz w:val="22"/>
              </w:rPr>
              <w:t>All of the following are included in the preliminary prospectus EXCEPT</w:t>
            </w:r>
          </w:p>
          <w:p w14:paraId="111BA2C4">
            <w:pPr>
              <w:spacing w:before="120" w:after="120" w:line="288" w:lineRule="auto"/>
              <w:ind w:left="453"/>
              <w:jc w:val="left"/>
            </w:pPr>
            <w:r>
              <w:rPr>
                <w:rFonts w:ascii="Arial" w:hAnsi="Arial" w:eastAsia="等线" w:cs="Arial"/>
                <w:sz w:val="22"/>
              </w:rPr>
              <w:t>I. the public offering price</w:t>
            </w:r>
          </w:p>
          <w:p w14:paraId="11F85018">
            <w:pPr>
              <w:spacing w:before="120" w:after="120" w:line="288" w:lineRule="auto"/>
              <w:ind w:left="453"/>
              <w:jc w:val="left"/>
            </w:pPr>
            <w:r>
              <w:rPr>
                <w:rFonts w:ascii="Arial" w:hAnsi="Arial" w:eastAsia="等线" w:cs="Arial"/>
                <w:sz w:val="22"/>
              </w:rPr>
              <w:t>II. the financial history of the issuer</w:t>
            </w:r>
          </w:p>
          <w:p w14:paraId="2365AD26">
            <w:pPr>
              <w:spacing w:before="120" w:after="120" w:line="288" w:lineRule="auto"/>
              <w:ind w:left="453"/>
              <w:jc w:val="left"/>
            </w:pPr>
            <w:r>
              <w:rPr>
                <w:rFonts w:ascii="Arial" w:hAnsi="Arial" w:eastAsia="等线" w:cs="Arial"/>
                <w:sz w:val="22"/>
              </w:rPr>
              <w:t>III. the effective date</w:t>
            </w:r>
          </w:p>
          <w:p w14:paraId="5AB13A79">
            <w:pPr>
              <w:spacing w:before="120" w:after="120" w:line="288" w:lineRule="auto"/>
              <w:ind w:left="453"/>
              <w:jc w:val="left"/>
            </w:pPr>
            <w:r>
              <w:rPr>
                <w:rFonts w:ascii="Arial" w:hAnsi="Arial" w:eastAsia="等线" w:cs="Arial"/>
                <w:sz w:val="22"/>
              </w:rPr>
              <w:t>(A) I only</w:t>
            </w:r>
          </w:p>
          <w:p w14:paraId="2DFDA283">
            <w:pPr>
              <w:spacing w:before="120" w:after="120" w:line="288" w:lineRule="auto"/>
              <w:ind w:left="453"/>
              <w:jc w:val="left"/>
            </w:pPr>
            <w:r>
              <w:rPr>
                <w:rFonts w:ascii="Arial" w:hAnsi="Arial" w:eastAsia="等线" w:cs="Arial"/>
                <w:sz w:val="22"/>
              </w:rPr>
              <w:t>(B) I and II</w:t>
            </w:r>
          </w:p>
          <w:p w14:paraId="78376094">
            <w:pPr>
              <w:spacing w:before="120" w:after="120" w:line="288" w:lineRule="auto"/>
              <w:ind w:left="453"/>
              <w:jc w:val="left"/>
            </w:pPr>
            <w:r>
              <w:rPr>
                <w:rFonts w:ascii="Arial" w:hAnsi="Arial" w:eastAsia="等线" w:cs="Arial"/>
                <w:sz w:val="22"/>
              </w:rPr>
              <w:t>(C) II and III</w:t>
            </w:r>
          </w:p>
          <w:p w14:paraId="65387FEA">
            <w:pPr>
              <w:spacing w:before="120" w:after="120" w:line="288" w:lineRule="auto"/>
              <w:ind w:left="453"/>
              <w:jc w:val="left"/>
            </w:pPr>
            <w:r>
              <w:rPr>
                <w:rFonts w:ascii="Arial" w:hAnsi="Arial" w:eastAsia="等线" w:cs="Arial"/>
                <w:sz w:val="22"/>
              </w:rPr>
              <w:t>(D) I and III</w:t>
            </w:r>
          </w:p>
          <w:p w14:paraId="56AA4496">
            <w:pPr>
              <w:numPr>
                <w:ilvl w:val="0"/>
                <w:numId w:val="30"/>
              </w:numPr>
              <w:spacing w:before="120" w:after="120" w:line="288" w:lineRule="auto"/>
              <w:ind w:left="0"/>
              <w:jc w:val="left"/>
            </w:pPr>
            <w:r>
              <w:rPr>
                <w:rFonts w:ascii="Arial" w:hAnsi="Arial" w:eastAsia="等线" w:cs="Arial"/>
                <w:sz w:val="22"/>
              </w:rPr>
              <w:t>All of the following would be found in a final prospectus EXCEPT</w:t>
            </w:r>
          </w:p>
          <w:p w14:paraId="347CB68E">
            <w:pPr>
              <w:spacing w:before="120" w:after="120" w:line="288" w:lineRule="auto"/>
              <w:ind w:left="453"/>
              <w:jc w:val="left"/>
            </w:pPr>
            <w:r>
              <w:rPr>
                <w:rFonts w:ascii="Arial" w:hAnsi="Arial" w:eastAsia="等线" w:cs="Arial"/>
                <w:sz w:val="22"/>
              </w:rPr>
              <w:t>(A) the issuer’s business plan and what they intend to do with the proceeds of sale</w:t>
            </w:r>
          </w:p>
          <w:p w14:paraId="6D05BF9C">
            <w:pPr>
              <w:spacing w:before="120" w:after="120" w:line="288" w:lineRule="auto"/>
              <w:ind w:left="453"/>
              <w:jc w:val="left"/>
            </w:pPr>
            <w:r>
              <w:rPr>
                <w:rFonts w:ascii="Arial" w:hAnsi="Arial" w:eastAsia="等线" w:cs="Arial"/>
                <w:sz w:val="22"/>
              </w:rPr>
              <w:t>(B) the underwriter’s agreement</w:t>
            </w:r>
          </w:p>
          <w:p w14:paraId="4F578C96">
            <w:pPr>
              <w:spacing w:before="120" w:after="120" w:line="288" w:lineRule="auto"/>
              <w:ind w:left="453"/>
              <w:jc w:val="left"/>
            </w:pPr>
            <w:r>
              <w:rPr>
                <w:rFonts w:ascii="Arial" w:hAnsi="Arial" w:eastAsia="等线" w:cs="Arial"/>
                <w:sz w:val="22"/>
              </w:rPr>
              <w:t>(C) the effective date</w:t>
            </w:r>
          </w:p>
          <w:p w14:paraId="6A785294">
            <w:pPr>
              <w:spacing w:before="120" w:after="120" w:line="288" w:lineRule="auto"/>
              <w:ind w:left="453"/>
              <w:jc w:val="left"/>
            </w:pPr>
            <w:r>
              <w:rPr>
                <w:rFonts w:ascii="Arial" w:hAnsi="Arial" w:eastAsia="等线" w:cs="Arial"/>
                <w:sz w:val="22"/>
              </w:rPr>
              <w:t>(D) the offering price</w:t>
            </w:r>
          </w:p>
          <w:p w14:paraId="2F3F08EE">
            <w:pPr>
              <w:numPr>
                <w:ilvl w:val="0"/>
                <w:numId w:val="31"/>
              </w:numPr>
              <w:spacing w:before="120" w:after="120" w:line="288" w:lineRule="auto"/>
              <w:ind w:left="0"/>
              <w:jc w:val="left"/>
            </w:pPr>
            <w:r>
              <w:rPr>
                <w:rFonts w:ascii="Arial" w:hAnsi="Arial" w:eastAsia="等线" w:cs="Arial"/>
                <w:sz w:val="22"/>
              </w:rPr>
              <w:t>Pluto Broker-Dealer is offering an IPO that will not be listed on the NYSE, NASDAQ, or any other exchange. How long after the effective date must Pluto provide a final prospectus to all purchasers?</w:t>
            </w:r>
          </w:p>
          <w:p w14:paraId="61DB5942">
            <w:pPr>
              <w:spacing w:before="120" w:after="120" w:line="288" w:lineRule="auto"/>
              <w:ind w:left="453"/>
              <w:jc w:val="left"/>
            </w:pPr>
            <w:r>
              <w:rPr>
                <w:rFonts w:ascii="Arial" w:hAnsi="Arial" w:eastAsia="等线" w:cs="Arial"/>
                <w:sz w:val="22"/>
              </w:rPr>
              <w:t>(A) 20 days</w:t>
            </w:r>
          </w:p>
          <w:p w14:paraId="7D19F12C">
            <w:pPr>
              <w:spacing w:before="120" w:after="120" w:line="288" w:lineRule="auto"/>
              <w:ind w:left="453"/>
              <w:jc w:val="left"/>
            </w:pPr>
            <w:r>
              <w:rPr>
                <w:rFonts w:ascii="Arial" w:hAnsi="Arial" w:eastAsia="等线" w:cs="Arial"/>
                <w:sz w:val="22"/>
              </w:rPr>
              <w:t>(B) 30 days</w:t>
            </w:r>
          </w:p>
          <w:p w14:paraId="57E9C7BC">
            <w:pPr>
              <w:spacing w:before="120" w:after="120" w:line="288" w:lineRule="auto"/>
              <w:ind w:left="453"/>
              <w:jc w:val="left"/>
            </w:pPr>
            <w:r>
              <w:rPr>
                <w:rFonts w:ascii="Arial" w:hAnsi="Arial" w:eastAsia="等线" w:cs="Arial"/>
                <w:sz w:val="22"/>
              </w:rPr>
              <w:t>(C) 40 days</w:t>
            </w:r>
          </w:p>
          <w:p w14:paraId="16FECBBB">
            <w:pPr>
              <w:spacing w:before="120" w:after="120" w:line="288" w:lineRule="auto"/>
              <w:ind w:left="453"/>
              <w:jc w:val="left"/>
            </w:pPr>
            <w:r>
              <w:rPr>
                <w:rFonts w:ascii="Arial" w:hAnsi="Arial" w:eastAsia="等线" w:cs="Arial"/>
                <w:sz w:val="22"/>
              </w:rPr>
              <w:t>(D) 90 days</w:t>
            </w:r>
          </w:p>
        </w:tc>
      </w:tr>
    </w:tbl>
    <w:p w14:paraId="3818FD34">
      <w:pPr>
        <w:spacing w:before="260" w:after="120" w:line="288" w:lineRule="auto"/>
        <w:ind w:left="0"/>
        <w:jc w:val="left"/>
        <w:outlineLvl w:val="3"/>
      </w:pPr>
      <w:bookmarkStart w:id="6" w:name="heading_6"/>
      <w:r>
        <w:rPr>
          <w:rFonts w:ascii="Arial" w:hAnsi="Arial" w:eastAsia="等线" w:cs="Arial"/>
          <w:color w:val="3370FF"/>
          <w:sz w:val="28"/>
        </w:rPr>
        <w:t xml:space="preserve">2.1.1.3 </w:t>
      </w:r>
      <w:r>
        <w:rPr>
          <w:rFonts w:ascii="Arial" w:hAnsi="Arial" w:eastAsia="等线" w:cs="Arial"/>
          <w:b/>
          <w:sz w:val="28"/>
        </w:rPr>
        <w:t>尽职调查会议（Due-diligence Meeting）</w:t>
      </w:r>
      <w:bookmarkEnd w:id="6"/>
    </w:p>
    <w:p w14:paraId="76A18B14">
      <w:pPr>
        <w:spacing w:before="120" w:after="120" w:line="288" w:lineRule="auto"/>
        <w:ind w:left="0"/>
        <w:jc w:val="left"/>
      </w:pPr>
      <w:r>
        <w:rPr>
          <w:rFonts w:ascii="Arial" w:hAnsi="Arial" w:eastAsia="等线" w:cs="Arial"/>
          <w:sz w:val="22"/>
        </w:rPr>
        <w:t>冷静期结束后会召开尽职会议，发行人会给承销商等提供必要的信息并接受提问，目的是确保所有相关方了解发行细节，证明招股说明书无虚假或遗漏。</w:t>
      </w:r>
    </w:p>
    <w:p w14:paraId="2AAEB7CB">
      <w:pPr>
        <w:spacing w:before="260" w:after="120" w:line="288" w:lineRule="auto"/>
        <w:ind w:left="0"/>
        <w:jc w:val="left"/>
        <w:outlineLvl w:val="3"/>
      </w:pPr>
      <w:bookmarkStart w:id="7" w:name="heading_7"/>
      <w:r>
        <w:rPr>
          <w:rFonts w:ascii="Arial" w:hAnsi="Arial" w:eastAsia="等线" w:cs="Arial"/>
          <w:color w:val="3370FF"/>
          <w:sz w:val="28"/>
        </w:rPr>
        <w:t xml:space="preserve">2.1.1.4 </w:t>
      </w:r>
      <w:r>
        <w:rPr>
          <w:rFonts w:ascii="Arial" w:hAnsi="Arial" w:eastAsia="等线" w:cs="Arial"/>
          <w:b/>
          <w:sz w:val="28"/>
        </w:rPr>
        <w:t>各州注册（Registering with the state）</w:t>
      </w:r>
      <w:bookmarkEnd w:id="7"/>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FAAB798">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32C50A2D">
            <w:pPr>
              <w:spacing w:before="120" w:after="120" w:line="288" w:lineRule="auto"/>
              <w:ind w:left="0"/>
              <w:jc w:val="left"/>
            </w:pPr>
            <w:r>
              <w:rPr>
                <w:rFonts w:ascii="Arial" w:hAnsi="Arial" w:eastAsia="等线" w:cs="Arial"/>
                <w:sz w:val="22"/>
              </w:rPr>
              <w:t>根据蓝天法（blue sky laws），发行者不光要在 SEC 注册，也需要在股票发行的每个州注册。</w:t>
            </w:r>
          </w:p>
        </w:tc>
      </w:tr>
    </w:tbl>
    <w:p w14:paraId="1C88B3AC">
      <w:pPr>
        <w:spacing w:before="120" w:after="120" w:line="288" w:lineRule="auto"/>
        <w:ind w:left="0"/>
        <w:jc w:val="left"/>
      </w:pPr>
      <w:r>
        <w:rPr>
          <w:rFonts w:ascii="Arial" w:hAnsi="Arial" w:eastAsia="等线" w:cs="Arial"/>
          <w:sz w:val="22"/>
        </w:rPr>
        <w:t>有几种注册方式：</w:t>
      </w:r>
    </w:p>
    <w:p w14:paraId="311B1E0A">
      <w:pPr>
        <w:numPr>
          <w:ilvl w:val="0"/>
          <w:numId w:val="32"/>
        </w:numPr>
        <w:spacing w:before="120" w:after="120" w:line="288" w:lineRule="auto"/>
        <w:ind w:left="0"/>
        <w:jc w:val="left"/>
      </w:pPr>
      <w:r>
        <w:rPr>
          <w:rFonts w:ascii="Arial" w:hAnsi="Arial" w:eastAsia="等线" w:cs="Arial"/>
          <w:sz w:val="22"/>
        </w:rPr>
        <w:t>通知注册（Notification）：也叫备案注册（Filing），是成熟公司最简单的注册形式。此前在某州发售过证券的公司可以更新其先前的申请。</w:t>
      </w:r>
    </w:p>
    <w:p w14:paraId="6A9F0F11">
      <w:pPr>
        <w:numPr>
          <w:ilvl w:val="0"/>
          <w:numId w:val="33"/>
        </w:numPr>
        <w:spacing w:before="120" w:after="120" w:line="288" w:lineRule="auto"/>
        <w:ind w:left="0"/>
        <w:jc w:val="left"/>
      </w:pPr>
      <w:r>
        <w:rPr>
          <w:rFonts w:ascii="Arial" w:hAnsi="Arial" w:eastAsia="等线" w:cs="Arial"/>
          <w:sz w:val="22"/>
        </w:rPr>
        <w:t>协调注册（Coordination）：这种方法包括同时向 SEC 和各州注册。SEC 通过通知所有将发售证券的州，帮助公司遵守蓝天法。这种注册类型通常用于首次公开募股（IPO）。</w:t>
      </w:r>
    </w:p>
    <w:p w14:paraId="18859B04">
      <w:pPr>
        <w:numPr>
          <w:ilvl w:val="0"/>
          <w:numId w:val="34"/>
        </w:numPr>
        <w:spacing w:before="120" w:after="120" w:line="288" w:lineRule="auto"/>
        <w:ind w:left="0"/>
        <w:jc w:val="left"/>
      </w:pPr>
      <w:r>
        <w:rPr>
          <w:rFonts w:ascii="Arial" w:hAnsi="Arial" w:eastAsia="等线" w:cs="Arial"/>
          <w:sz w:val="22"/>
        </w:rPr>
        <w:t>资格注册（Qualification）：公司使用这种注册方式来处理那些豁免 SEC 注册但需要通过州管理员（State Administrator）在州内注册的证券。</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2DF1BF0">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365D4780">
            <w:pPr>
              <w:spacing w:before="120" w:after="120" w:line="288" w:lineRule="auto"/>
              <w:ind w:left="0"/>
              <w:jc w:val="left"/>
            </w:pPr>
            <w:r>
              <w:rPr>
                <w:rFonts w:ascii="Arial" w:hAnsi="Arial" w:eastAsia="等线" w:cs="Arial"/>
                <w:sz w:val="22"/>
              </w:rPr>
              <w:t>习题：</w:t>
            </w:r>
          </w:p>
          <w:p w14:paraId="3E990D23">
            <w:pPr>
              <w:numPr>
                <w:ilvl w:val="0"/>
                <w:numId w:val="35"/>
              </w:numPr>
              <w:spacing w:before="120" w:after="120" w:line="288" w:lineRule="auto"/>
              <w:ind w:left="0"/>
              <w:jc w:val="left"/>
            </w:pPr>
            <w:r>
              <w:rPr>
                <w:rFonts w:ascii="Arial" w:hAnsi="Arial" w:eastAsia="等线" w:cs="Arial"/>
                <w:sz w:val="22"/>
              </w:rPr>
              <w:t>All of the following are types of blue-sky registration EXCEPT</w:t>
            </w:r>
          </w:p>
          <w:p w14:paraId="6C9D54BB">
            <w:pPr>
              <w:spacing w:before="120" w:after="120" w:line="288" w:lineRule="auto"/>
              <w:ind w:left="453"/>
              <w:jc w:val="left"/>
            </w:pPr>
            <w:r>
              <w:rPr>
                <w:rFonts w:ascii="Arial" w:hAnsi="Arial" w:eastAsia="等线" w:cs="Arial"/>
                <w:sz w:val="22"/>
              </w:rPr>
              <w:t>(A) registration by cooperation</w:t>
            </w:r>
          </w:p>
          <w:p w14:paraId="48B75DA2">
            <w:pPr>
              <w:spacing w:before="120" w:after="120" w:line="288" w:lineRule="auto"/>
              <w:ind w:left="453"/>
              <w:jc w:val="left"/>
            </w:pPr>
            <w:r>
              <w:rPr>
                <w:rFonts w:ascii="Arial" w:hAnsi="Arial" w:eastAsia="等线" w:cs="Arial"/>
                <w:sz w:val="22"/>
              </w:rPr>
              <w:t>(B) registration by coordination</w:t>
            </w:r>
          </w:p>
          <w:p w14:paraId="7F422937">
            <w:pPr>
              <w:spacing w:before="120" w:after="120" w:line="288" w:lineRule="auto"/>
              <w:ind w:left="453"/>
              <w:jc w:val="left"/>
            </w:pPr>
            <w:r>
              <w:rPr>
                <w:rFonts w:ascii="Arial" w:hAnsi="Arial" w:eastAsia="等线" w:cs="Arial"/>
                <w:sz w:val="22"/>
              </w:rPr>
              <w:t>(C) registration by qualification</w:t>
            </w:r>
          </w:p>
          <w:p w14:paraId="11173642">
            <w:pPr>
              <w:spacing w:before="120" w:after="120" w:line="288" w:lineRule="auto"/>
              <w:ind w:left="453"/>
              <w:jc w:val="left"/>
            </w:pPr>
            <w:r>
              <w:rPr>
                <w:rFonts w:ascii="Arial" w:hAnsi="Arial" w:eastAsia="等线" w:cs="Arial"/>
                <w:sz w:val="22"/>
              </w:rPr>
              <w:t>(D) registration by filing</w:t>
            </w:r>
          </w:p>
        </w:tc>
      </w:tr>
    </w:tbl>
    <w:p w14:paraId="4A219EEF"/>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6EF44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1CCA968A">
            <w:pPr>
              <w:spacing w:before="120" w:after="120" w:line="288" w:lineRule="auto"/>
              <w:ind w:left="0"/>
              <w:jc w:val="left"/>
            </w:pPr>
            <w:r>
              <w:rPr>
                <w:rFonts w:ascii="Arial" w:hAnsi="Arial" w:eastAsia="等线" w:cs="Arial"/>
                <w:sz w:val="22"/>
              </w:rPr>
              <w:t>蓝天法是州层面的证券法律，其监管权归属于各州的证券监管机构（state securities regulators）。</w:t>
            </w:r>
          </w:p>
        </w:tc>
      </w:tr>
    </w:tbl>
    <w:p w14:paraId="2D431738">
      <w:pPr>
        <w:spacing w:before="260" w:after="120" w:line="288" w:lineRule="auto"/>
        <w:ind w:left="0"/>
        <w:jc w:val="left"/>
        <w:outlineLvl w:val="3"/>
      </w:pPr>
      <w:bookmarkStart w:id="8" w:name="heading_8"/>
      <w:r>
        <w:rPr>
          <w:rFonts w:ascii="Arial" w:hAnsi="Arial" w:eastAsia="等线" w:cs="Arial"/>
          <w:color w:val="3370FF"/>
          <w:sz w:val="28"/>
        </w:rPr>
        <w:t xml:space="preserve">2.1.1.5 </w:t>
      </w:r>
      <w:r>
        <w:rPr>
          <w:rFonts w:ascii="Arial" w:hAnsi="Arial" w:eastAsia="等线" w:cs="Arial"/>
          <w:b/>
          <w:sz w:val="28"/>
        </w:rPr>
        <w:t>After IPO</w:t>
      </w:r>
      <w:bookmarkEnd w:id="8"/>
    </w:p>
    <w:p w14:paraId="0BF4DA36">
      <w:pPr>
        <w:spacing w:before="120" w:after="120" w:line="288" w:lineRule="auto"/>
        <w:ind w:left="0"/>
        <w:jc w:val="left"/>
      </w:pPr>
      <w:r>
        <w:rPr>
          <w:rFonts w:ascii="Arial" w:hAnsi="Arial" w:eastAsia="等线" w:cs="Arial"/>
          <w:sz w:val="22"/>
        </w:rPr>
        <w:t>注册机构（Registrar ）和过户代理（Transfer Agent）这两个角色紧密相关，有时由同一家金融机构担任，但它们的功能有明确区分。</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25"/>
        <w:gridCol w:w="2670"/>
        <w:gridCol w:w="3570"/>
      </w:tblGrid>
      <w:tr w14:paraId="501079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24C681D5">
            <w:pPr>
              <w:spacing w:before="120" w:after="120" w:line="288" w:lineRule="auto"/>
              <w:ind w:left="0"/>
              <w:jc w:val="left"/>
            </w:pPr>
            <w:r>
              <w:rPr>
                <w:rFonts w:ascii="Arial" w:hAnsi="Arial" w:eastAsia="等线" w:cs="Arial"/>
                <w:b/>
                <w:sz w:val="22"/>
              </w:rPr>
              <w:t>角色</w:t>
            </w:r>
          </w:p>
        </w:tc>
        <w:tc>
          <w:tcPr>
            <w:tcW w:w="2670" w:type="dxa"/>
            <w:tcMar>
              <w:top w:w="60" w:type="dxa"/>
              <w:left w:w="120" w:type="dxa"/>
              <w:bottom w:w="30" w:type="dxa"/>
              <w:right w:w="120" w:type="dxa"/>
            </w:tcMar>
          </w:tcPr>
          <w:p w14:paraId="71C614C1">
            <w:pPr>
              <w:spacing w:before="120" w:after="120" w:line="288" w:lineRule="auto"/>
              <w:ind w:left="0"/>
              <w:jc w:val="left"/>
            </w:pPr>
            <w:r>
              <w:rPr>
                <w:rFonts w:ascii="Arial" w:hAnsi="Arial" w:eastAsia="等线" w:cs="Arial"/>
                <w:b/>
                <w:sz w:val="22"/>
              </w:rPr>
              <w:t>定义</w:t>
            </w:r>
          </w:p>
        </w:tc>
        <w:tc>
          <w:tcPr>
            <w:tcW w:w="3570" w:type="dxa"/>
            <w:tcMar>
              <w:top w:w="60" w:type="dxa"/>
              <w:left w:w="120" w:type="dxa"/>
              <w:bottom w:w="30" w:type="dxa"/>
              <w:right w:w="120" w:type="dxa"/>
            </w:tcMar>
          </w:tcPr>
          <w:p w14:paraId="1DE0AB45">
            <w:pPr>
              <w:spacing w:before="120" w:after="120" w:line="288" w:lineRule="auto"/>
              <w:ind w:left="0"/>
              <w:jc w:val="left"/>
            </w:pPr>
            <w:r>
              <w:rPr>
                <w:rFonts w:ascii="Arial" w:hAnsi="Arial" w:eastAsia="等线" w:cs="Arial"/>
                <w:b/>
                <w:sz w:val="22"/>
              </w:rPr>
              <w:t>职责</w:t>
            </w:r>
          </w:p>
        </w:tc>
      </w:tr>
      <w:tr w14:paraId="542595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0313AB2E">
            <w:pPr>
              <w:spacing w:before="120" w:after="120" w:line="288" w:lineRule="auto"/>
              <w:ind w:left="0"/>
              <w:jc w:val="left"/>
            </w:pPr>
            <w:r>
              <w:rPr>
                <w:rFonts w:ascii="Arial" w:hAnsi="Arial" w:eastAsia="等线" w:cs="Arial"/>
                <w:sz w:val="22"/>
              </w:rPr>
              <w:t>注册机构（Registrar）</w:t>
            </w:r>
          </w:p>
          <w:p w14:paraId="34932B06">
            <w:pPr>
              <w:spacing w:before="120" w:after="120" w:line="288" w:lineRule="auto"/>
              <w:ind w:left="0"/>
              <w:jc w:val="left"/>
            </w:pPr>
          </w:p>
        </w:tc>
        <w:tc>
          <w:tcPr>
            <w:tcW w:w="2670" w:type="dxa"/>
            <w:tcMar>
              <w:top w:w="60" w:type="dxa"/>
              <w:left w:w="120" w:type="dxa"/>
              <w:bottom w:w="30" w:type="dxa"/>
              <w:right w:w="120" w:type="dxa"/>
            </w:tcMar>
          </w:tcPr>
          <w:p w14:paraId="04621E51">
            <w:pPr>
              <w:spacing w:before="120" w:after="120" w:line="288" w:lineRule="auto"/>
              <w:ind w:left="0"/>
              <w:jc w:val="left"/>
            </w:pPr>
            <w:r>
              <w:rPr>
                <w:rFonts w:ascii="Arial" w:hAnsi="Arial" w:eastAsia="等线" w:cs="Arial"/>
                <w:sz w:val="22"/>
              </w:rPr>
              <w:t>由发行公司正式任命，负责维护其证券（如股票）官方总账的权威机构。</w:t>
            </w:r>
          </w:p>
        </w:tc>
        <w:tc>
          <w:tcPr>
            <w:tcW w:w="3570" w:type="dxa"/>
            <w:tcMar>
              <w:top w:w="60" w:type="dxa"/>
              <w:left w:w="120" w:type="dxa"/>
              <w:bottom w:w="30" w:type="dxa"/>
              <w:right w:w="120" w:type="dxa"/>
            </w:tcMar>
          </w:tcPr>
          <w:p w14:paraId="0F88ECE0">
            <w:pPr>
              <w:spacing w:before="120" w:after="120" w:line="288" w:lineRule="auto"/>
              <w:ind w:left="0"/>
              <w:jc w:val="left"/>
            </w:pPr>
            <w:r>
              <w:rPr>
                <w:rFonts w:ascii="Arial" w:hAnsi="Arial" w:eastAsia="等线" w:cs="Arial"/>
                <w:b/>
                <w:sz w:val="22"/>
              </w:rPr>
              <w:t>管总数。</w:t>
            </w:r>
            <w:r>
              <w:rPr>
                <w:rFonts w:ascii="Arial" w:hAnsi="Arial" w:eastAsia="等线" w:cs="Arial"/>
                <w:sz w:val="22"/>
              </w:rPr>
              <w:t>确保公司发行的股份总数准确无误，防止股份超额发行。</w:t>
            </w:r>
          </w:p>
        </w:tc>
      </w:tr>
      <w:tr w14:paraId="57BE7F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59A73722">
            <w:pPr>
              <w:spacing w:before="120" w:after="120" w:line="288" w:lineRule="auto"/>
              <w:ind w:left="0"/>
              <w:jc w:val="left"/>
            </w:pPr>
            <w:r>
              <w:rPr>
                <w:rFonts w:ascii="Arial" w:hAnsi="Arial" w:eastAsia="等线" w:cs="Arial"/>
                <w:sz w:val="22"/>
              </w:rPr>
              <w:t>过户代理（Transfer Agent）</w:t>
            </w:r>
          </w:p>
        </w:tc>
        <w:tc>
          <w:tcPr>
            <w:tcW w:w="2670" w:type="dxa"/>
            <w:tcMar>
              <w:top w:w="60" w:type="dxa"/>
              <w:left w:w="120" w:type="dxa"/>
              <w:bottom w:w="30" w:type="dxa"/>
              <w:right w:w="120" w:type="dxa"/>
            </w:tcMar>
          </w:tcPr>
          <w:p w14:paraId="11B8E773">
            <w:pPr>
              <w:spacing w:before="120" w:after="120" w:line="288" w:lineRule="auto"/>
              <w:ind w:left="0"/>
              <w:jc w:val="left"/>
            </w:pPr>
            <w:r>
              <w:rPr>
                <w:rFonts w:ascii="Arial" w:hAnsi="Arial" w:eastAsia="等线" w:cs="Arial"/>
                <w:sz w:val="22"/>
              </w:rPr>
              <w:t>由发行公司任命，负责处理证券所有权变更及相关股东事务的运营机构。</w:t>
            </w:r>
          </w:p>
          <w:p w14:paraId="36BF314A">
            <w:pPr>
              <w:spacing w:before="120" w:after="120" w:line="288" w:lineRule="auto"/>
              <w:ind w:left="0"/>
              <w:jc w:val="left"/>
            </w:pPr>
          </w:p>
        </w:tc>
        <w:tc>
          <w:tcPr>
            <w:tcW w:w="3570" w:type="dxa"/>
            <w:tcMar>
              <w:top w:w="60" w:type="dxa"/>
              <w:left w:w="120" w:type="dxa"/>
              <w:bottom w:w="30" w:type="dxa"/>
              <w:right w:w="120" w:type="dxa"/>
            </w:tcMar>
          </w:tcPr>
          <w:p w14:paraId="2DED4FE1">
            <w:pPr>
              <w:spacing w:before="120" w:after="120" w:line="288" w:lineRule="auto"/>
              <w:ind w:left="0"/>
              <w:jc w:val="left"/>
            </w:pPr>
            <w:r>
              <w:rPr>
                <w:rFonts w:ascii="Arial" w:hAnsi="Arial" w:eastAsia="等线" w:cs="Arial"/>
                <w:b/>
                <w:sz w:val="22"/>
              </w:rPr>
              <w:t>管变动。</w:t>
            </w:r>
            <w:r>
              <w:rPr>
                <w:rFonts w:ascii="Arial" w:hAnsi="Arial" w:eastAsia="等线" w:cs="Arial"/>
                <w:sz w:val="22"/>
              </w:rPr>
              <w:t>处理股份买卖过户、股息发放、股东沟通（比如 sending out proxies 向股东分发代理投票授权文件）等具体操作。</w:t>
            </w:r>
          </w:p>
        </w:tc>
      </w:tr>
    </w:tbl>
    <w:p w14:paraId="79EE4CF1"/>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1FA2B8EF">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5B6CB14C">
            <w:pPr>
              <w:numPr>
                <w:ilvl w:val="0"/>
                <w:numId w:val="36"/>
              </w:numPr>
              <w:spacing w:before="120" w:after="120" w:line="288" w:lineRule="auto"/>
              <w:ind w:left="0"/>
              <w:jc w:val="left"/>
            </w:pPr>
            <w:r>
              <w:rPr>
                <w:rFonts w:ascii="Arial" w:hAnsi="Arial" w:eastAsia="等线" w:cs="Arial"/>
                <w:sz w:val="22"/>
              </w:rPr>
              <w:t>Which of the following is TRUE?</w:t>
            </w:r>
          </w:p>
          <w:p w14:paraId="0D4ECCAB">
            <w:pPr>
              <w:spacing w:before="120" w:after="120" w:line="288" w:lineRule="auto"/>
              <w:ind w:left="0"/>
              <w:jc w:val="left"/>
            </w:pPr>
            <w:r>
              <w:rPr>
                <w:rFonts w:ascii="Arial" w:hAnsi="Arial" w:eastAsia="等线" w:cs="Arial"/>
                <w:sz w:val="22"/>
              </w:rPr>
              <w:t>I. The registrar is responsible for making sure that a corporation’s outstanding shares do not exceed the quantity of authorized shares.</w:t>
            </w:r>
          </w:p>
          <w:p w14:paraId="0806228C">
            <w:pPr>
              <w:spacing w:before="120" w:after="120" w:line="288" w:lineRule="auto"/>
              <w:ind w:left="0"/>
              <w:jc w:val="left"/>
            </w:pPr>
            <w:r>
              <w:rPr>
                <w:rFonts w:ascii="Arial" w:hAnsi="Arial" w:eastAsia="等线" w:cs="Arial"/>
                <w:sz w:val="22"/>
              </w:rPr>
              <w:t>II. The transfer agent is responsible for making sure that a corporation’s outstanding shares do not exceed the quantity of authorized shares.</w:t>
            </w:r>
          </w:p>
          <w:p w14:paraId="3890E26F">
            <w:pPr>
              <w:spacing w:before="120" w:after="120" w:line="288" w:lineRule="auto"/>
              <w:ind w:left="0"/>
              <w:jc w:val="left"/>
            </w:pPr>
            <w:r>
              <w:rPr>
                <w:rFonts w:ascii="Arial" w:hAnsi="Arial" w:eastAsia="等线" w:cs="Arial"/>
                <w:sz w:val="22"/>
              </w:rPr>
              <w:t>III. The registrar maintains records of a corporation’s stock and bond owners plus mails and cancels old certificates as necessary.</w:t>
            </w:r>
          </w:p>
          <w:p w14:paraId="79581F38">
            <w:pPr>
              <w:spacing w:before="120" w:after="120" w:line="288" w:lineRule="auto"/>
              <w:ind w:left="0"/>
              <w:jc w:val="left"/>
            </w:pPr>
            <w:r>
              <w:rPr>
                <w:rFonts w:ascii="Arial" w:hAnsi="Arial" w:eastAsia="等线" w:cs="Arial"/>
                <w:sz w:val="22"/>
              </w:rPr>
              <w:t>IV. The transfer agent maintains records of a corporation’s stock and bond owners plus mails and cancels old certificates as necessary.</w:t>
            </w:r>
          </w:p>
          <w:p w14:paraId="1DEC6200">
            <w:pPr>
              <w:spacing w:before="120" w:after="120" w:line="288" w:lineRule="auto"/>
              <w:ind w:left="0"/>
              <w:jc w:val="left"/>
            </w:pPr>
            <w:r>
              <w:rPr>
                <w:rFonts w:ascii="Arial" w:hAnsi="Arial" w:eastAsia="等线" w:cs="Arial"/>
                <w:sz w:val="22"/>
              </w:rPr>
              <w:t>(A) I and III</w:t>
            </w:r>
          </w:p>
          <w:p w14:paraId="2E5E6FB8">
            <w:pPr>
              <w:spacing w:before="120" w:after="120" w:line="288" w:lineRule="auto"/>
              <w:ind w:left="0"/>
              <w:jc w:val="left"/>
            </w:pPr>
            <w:r>
              <w:rPr>
                <w:rFonts w:ascii="Arial" w:hAnsi="Arial" w:eastAsia="等线" w:cs="Arial"/>
                <w:sz w:val="22"/>
              </w:rPr>
              <w:t>(B) I and IV</w:t>
            </w:r>
          </w:p>
          <w:p w14:paraId="35AEF051">
            <w:pPr>
              <w:spacing w:before="120" w:after="120" w:line="288" w:lineRule="auto"/>
              <w:ind w:left="0"/>
              <w:jc w:val="left"/>
            </w:pPr>
            <w:r>
              <w:rPr>
                <w:rFonts w:ascii="Arial" w:hAnsi="Arial" w:eastAsia="等线" w:cs="Arial"/>
                <w:sz w:val="22"/>
              </w:rPr>
              <w:t>(C) II and III</w:t>
            </w:r>
          </w:p>
          <w:p w14:paraId="5BCA59DE">
            <w:pPr>
              <w:spacing w:before="120" w:after="120" w:line="288" w:lineRule="auto"/>
              <w:ind w:left="0"/>
              <w:jc w:val="left"/>
            </w:pPr>
            <w:r>
              <w:rPr>
                <w:rFonts w:ascii="Arial" w:hAnsi="Arial" w:eastAsia="等线" w:cs="Arial"/>
                <w:sz w:val="22"/>
              </w:rPr>
              <w:t>(D) II and IV</w:t>
            </w:r>
          </w:p>
        </w:tc>
      </w:tr>
    </w:tbl>
    <w:p w14:paraId="469ACF10">
      <w:pPr>
        <w:spacing w:before="300" w:after="120" w:line="288" w:lineRule="auto"/>
        <w:ind w:left="0"/>
        <w:jc w:val="left"/>
        <w:outlineLvl w:val="2"/>
      </w:pPr>
      <w:bookmarkStart w:id="9" w:name="heading_9"/>
      <w:r>
        <w:rPr>
          <w:rFonts w:ascii="Arial" w:hAnsi="Arial" w:eastAsia="等线" w:cs="Arial"/>
          <w:color w:val="3370FF"/>
          <w:sz w:val="30"/>
        </w:rPr>
        <w:t xml:space="preserve">2.1.2 </w:t>
      </w:r>
      <w:r>
        <w:rPr>
          <w:rFonts w:ascii="Arial" w:hAnsi="Arial" w:eastAsia="等线" w:cs="Arial"/>
          <w:b/>
          <w:sz w:val="30"/>
        </w:rPr>
        <w:t>相关参与者</w:t>
      </w:r>
      <w:bookmarkEnd w:id="9"/>
    </w:p>
    <w:p w14:paraId="7DF7119E">
      <w:pPr>
        <w:spacing w:before="120" w:after="120" w:line="288" w:lineRule="auto"/>
        <w:ind w:left="0"/>
        <w:jc w:val="left"/>
      </w:pPr>
      <w:r>
        <w:rPr>
          <w:rFonts w:ascii="Arial" w:hAnsi="Arial" w:eastAsia="等线" w:cs="Arial"/>
          <w:sz w:val="22"/>
        </w:rPr>
        <w:t>在证券发行过程中涉及多个机构和角色协同工作。这些参与者共同构成了“承销体系”，负责发行的设计、定价、销售和风险承担等关键环节。</w:t>
      </w:r>
    </w:p>
    <w:p w14:paraId="56F96535">
      <w:pPr>
        <w:spacing w:before="120" w:after="120" w:line="288" w:lineRule="auto"/>
        <w:ind w:left="0"/>
        <w:jc w:val="left"/>
      </w:pPr>
    </w:p>
    <w:p w14:paraId="181918E9">
      <w:pPr>
        <w:spacing w:before="120" w:after="120" w:line="288" w:lineRule="auto"/>
        <w:ind w:left="0"/>
        <w:jc w:val="left"/>
      </w:pPr>
      <w:r>
        <w:rPr>
          <w:rFonts w:ascii="Arial" w:hAnsi="Arial" w:eastAsia="等线" w:cs="Arial"/>
          <w:sz w:val="22"/>
        </w:rPr>
        <w:t>这些关键参与者包括：</w:t>
      </w:r>
    </w:p>
    <w:p w14:paraId="2E761D83">
      <w:pPr>
        <w:numPr>
          <w:ilvl w:val="0"/>
          <w:numId w:val="37"/>
        </w:numPr>
        <w:spacing w:before="120" w:after="120" w:line="288" w:lineRule="auto"/>
        <w:ind w:left="0"/>
        <w:jc w:val="left"/>
      </w:pPr>
      <w:r>
        <w:rPr>
          <w:rFonts w:ascii="Arial" w:hAnsi="Arial" w:eastAsia="等线" w:cs="Arial"/>
          <w:sz w:val="22"/>
        </w:rPr>
        <w:t>投资银行（Investment Banking Firm）</w:t>
      </w:r>
    </w:p>
    <w:p w14:paraId="209A175A">
      <w:pPr>
        <w:numPr>
          <w:ilvl w:val="0"/>
          <w:numId w:val="38"/>
        </w:numPr>
        <w:spacing w:before="120" w:after="120" w:line="288" w:lineRule="auto"/>
        <w:ind w:left="0"/>
        <w:jc w:val="left"/>
      </w:pPr>
      <w:r>
        <w:rPr>
          <w:rFonts w:ascii="Arial" w:hAnsi="Arial" w:eastAsia="等线" w:cs="Arial"/>
          <w:sz w:val="22"/>
        </w:rPr>
        <w:t>承销商（Underwriters）</w:t>
      </w:r>
    </w:p>
    <w:p w14:paraId="08C6D07D">
      <w:pPr>
        <w:numPr>
          <w:ilvl w:val="0"/>
          <w:numId w:val="39"/>
        </w:numPr>
        <w:spacing w:before="120" w:after="120" w:line="288" w:lineRule="auto"/>
        <w:ind w:left="0"/>
        <w:jc w:val="left"/>
      </w:pPr>
      <w:r>
        <w:rPr>
          <w:rFonts w:ascii="Arial" w:hAnsi="Arial" w:eastAsia="等线" w:cs="Arial"/>
          <w:sz w:val="22"/>
        </w:rPr>
        <w:t>主承销商（Managing underwriters）</w:t>
      </w:r>
    </w:p>
    <w:p w14:paraId="2CBECAC3">
      <w:pPr>
        <w:numPr>
          <w:ilvl w:val="0"/>
          <w:numId w:val="40"/>
        </w:numPr>
        <w:spacing w:before="120" w:after="120" w:line="288" w:lineRule="auto"/>
        <w:ind w:left="0"/>
        <w:jc w:val="left"/>
      </w:pPr>
      <w:r>
        <w:rPr>
          <w:rFonts w:ascii="Arial" w:hAnsi="Arial" w:eastAsia="等线" w:cs="Arial"/>
          <w:sz w:val="22"/>
        </w:rPr>
        <w:t>联合承销团（Syndicate）</w:t>
      </w:r>
    </w:p>
    <w:p w14:paraId="70C884C8">
      <w:pPr>
        <w:numPr>
          <w:ilvl w:val="0"/>
          <w:numId w:val="41"/>
        </w:numPr>
        <w:spacing w:before="120" w:after="120" w:line="288" w:lineRule="auto"/>
        <w:ind w:left="0"/>
        <w:jc w:val="left"/>
      </w:pPr>
      <w:r>
        <w:rPr>
          <w:rFonts w:ascii="Arial" w:hAnsi="Arial" w:eastAsia="等线" w:cs="Arial"/>
          <w:sz w:val="22"/>
        </w:rPr>
        <w:t>销售团（Selling Group）</w:t>
      </w:r>
    </w:p>
    <w:p w14:paraId="7FA11C8D">
      <w:pPr>
        <w:spacing w:before="120" w:after="120" w:line="288" w:lineRule="auto"/>
        <w:ind w:left="0"/>
        <w:jc w:val="left"/>
      </w:pPr>
    </w:p>
    <w:p w14:paraId="591A20A7">
      <w:pPr>
        <w:spacing w:before="120" w:after="120" w:line="288" w:lineRule="auto"/>
        <w:ind w:left="0"/>
        <w:jc w:val="left"/>
      </w:pPr>
      <w:r>
        <w:rPr>
          <w:rFonts w:ascii="Arial" w:hAnsi="Arial" w:eastAsia="等线" w:cs="Arial"/>
          <w:sz w:val="22"/>
        </w:rPr>
        <w:t>不同角色在整个发行流程中承担不同的职责与风险，下面将逐一介绍这些参与者的定义、功能及考试重点。</w:t>
      </w:r>
    </w:p>
    <w:p w14:paraId="0003C136">
      <w:pPr>
        <w:spacing w:before="260" w:after="120" w:line="288" w:lineRule="auto"/>
        <w:ind w:left="0"/>
        <w:jc w:val="left"/>
        <w:outlineLvl w:val="3"/>
      </w:pPr>
      <w:bookmarkStart w:id="10" w:name="heading_10"/>
      <w:r>
        <w:rPr>
          <w:rFonts w:ascii="Arial" w:hAnsi="Arial" w:eastAsia="等线" w:cs="Arial"/>
          <w:color w:val="3370FF"/>
          <w:sz w:val="28"/>
        </w:rPr>
        <w:t xml:space="preserve">2.1.2.1 </w:t>
      </w:r>
      <w:r>
        <w:rPr>
          <w:rFonts w:ascii="Arial" w:hAnsi="Arial" w:eastAsia="等线" w:cs="Arial"/>
          <w:b/>
          <w:sz w:val="28"/>
        </w:rPr>
        <w:t>投资银行（Investment Banking Firm）</w:t>
      </w:r>
      <w:bookmarkEnd w:id="10"/>
    </w:p>
    <w:p w14:paraId="4284FE75">
      <w:pPr>
        <w:spacing w:before="120" w:after="120" w:line="288" w:lineRule="auto"/>
        <w:ind w:left="0"/>
        <w:jc w:val="left"/>
      </w:pPr>
      <w:r>
        <w:rPr>
          <w:rFonts w:ascii="Arial" w:hAnsi="Arial" w:eastAsia="等线" w:cs="Arial"/>
          <w:sz w:val="22"/>
        </w:rPr>
        <w:t>brains of the operation，重要决策如定价，发行多少等由他们来定</w:t>
      </w:r>
    </w:p>
    <w:p w14:paraId="7A52599C">
      <w:pPr>
        <w:spacing w:before="120" w:after="120" w:line="288" w:lineRule="auto"/>
        <w:ind w:left="0"/>
        <w:jc w:val="left"/>
      </w:pPr>
    </w:p>
    <w:p w14:paraId="476F6DC9">
      <w:pPr>
        <w:spacing w:before="260" w:after="120" w:line="288" w:lineRule="auto"/>
        <w:ind w:left="0"/>
        <w:jc w:val="left"/>
        <w:outlineLvl w:val="3"/>
      </w:pPr>
      <w:bookmarkStart w:id="11" w:name="heading_11"/>
      <w:r>
        <w:rPr>
          <w:rFonts w:ascii="Arial" w:hAnsi="Arial" w:eastAsia="等线" w:cs="Arial"/>
          <w:color w:val="3370FF"/>
          <w:sz w:val="28"/>
        </w:rPr>
        <w:t xml:space="preserve">2.1.2.2 </w:t>
      </w:r>
      <w:r>
        <w:rPr>
          <w:rFonts w:ascii="Arial" w:hAnsi="Arial" w:eastAsia="等线" w:cs="Arial"/>
          <w:b/>
          <w:sz w:val="28"/>
        </w:rPr>
        <w:t>承销商（Underwriter）</w:t>
      </w:r>
      <w:bookmarkEnd w:id="11"/>
    </w:p>
    <w:p w14:paraId="39E0D9F4">
      <w:pPr>
        <w:spacing w:before="120" w:after="120" w:line="288" w:lineRule="auto"/>
        <w:ind w:left="0"/>
        <w:jc w:val="left"/>
      </w:pPr>
      <w:r>
        <w:rPr>
          <w:rFonts w:ascii="Arial" w:hAnsi="Arial" w:eastAsia="等线" w:cs="Arial"/>
          <w:sz w:val="22"/>
        </w:rPr>
        <w:t>承销商是帮助发行人向公众发行新证券的经纪交易商（broker–dealer）。他们承担财务风险，因此会因承担该风险而获得额外费用。</w:t>
      </w:r>
    </w:p>
    <w:p w14:paraId="333A95E8">
      <w:pPr>
        <w:spacing w:before="120" w:after="120" w:line="288" w:lineRule="auto"/>
        <w:ind w:left="0"/>
        <w:jc w:val="left"/>
      </w:pPr>
    </w:p>
    <w:p w14:paraId="0CFAF5E3">
      <w:pPr>
        <w:spacing w:before="120" w:after="120" w:line="288" w:lineRule="auto"/>
        <w:ind w:left="0"/>
        <w:jc w:val="left"/>
      </w:pPr>
      <w:r>
        <w:rPr>
          <w:rFonts w:ascii="Arial" w:hAnsi="Arial" w:eastAsia="等线" w:cs="Arial"/>
          <w:sz w:val="22"/>
        </w:rPr>
        <w:t>承销商从发行人处购买证券，再以可观的利润出售给公众。</w:t>
      </w:r>
    </w:p>
    <w:p w14:paraId="6A295B59">
      <w:pPr>
        <w:spacing w:before="120" w:after="120" w:line="288" w:lineRule="auto"/>
        <w:ind w:left="0"/>
        <w:jc w:val="left"/>
      </w:pPr>
    </w:p>
    <w:p w14:paraId="366DF7E3">
      <w:pPr>
        <w:spacing w:before="120" w:after="120" w:line="288" w:lineRule="auto"/>
        <w:ind w:left="0"/>
        <w:jc w:val="left"/>
      </w:pPr>
      <w:r>
        <w:rPr>
          <w:rFonts w:ascii="Arial" w:hAnsi="Arial" w:eastAsia="等线" w:cs="Arial"/>
          <w:sz w:val="22"/>
        </w:rPr>
        <w:t>当发行人聘请承销商（交易商）向公众出售其证券时，双方必须签署承销协议（underwriting agreement）。承销协议除其他内容外，还会概述分销方式（Method of Distribution）。</w:t>
      </w:r>
    </w:p>
    <w:p w14:paraId="2FE83A45">
      <w:pPr>
        <w:spacing w:before="120" w:after="120" w:line="288" w:lineRule="auto"/>
        <w:ind w:left="0"/>
        <w:jc w:val="left"/>
      </w:pPr>
    </w:p>
    <w:p w14:paraId="729FA152">
      <w:pPr>
        <w:numPr>
          <w:ilvl w:val="0"/>
          <w:numId w:val="42"/>
        </w:numPr>
        <w:spacing w:before="120" w:after="120" w:line="288" w:lineRule="auto"/>
        <w:ind w:left="0"/>
        <w:jc w:val="left"/>
      </w:pPr>
      <w:r>
        <w:rPr>
          <w:rFonts w:ascii="Arial" w:hAnsi="Arial" w:eastAsia="等线" w:cs="Arial"/>
          <w:sz w:val="22"/>
        </w:rPr>
        <w:t>包销承诺（Firm Commitment Underwriting）</w:t>
      </w:r>
    </w:p>
    <w:p w14:paraId="155FAADB">
      <w:pPr>
        <w:spacing w:before="120" w:after="120" w:line="288" w:lineRule="auto"/>
        <w:ind w:left="0"/>
        <w:jc w:val="left"/>
      </w:pPr>
      <w:r>
        <w:rPr>
          <w:rFonts w:ascii="Arial" w:hAnsi="Arial" w:eastAsia="等线" w:cs="Arial"/>
          <w:sz w:val="22"/>
        </w:rPr>
        <w:t>承销商同意以约定价格从发行人手中买入全部证券，即使卖不完，承销商也必须购买所有证券。</w:t>
      </w:r>
    </w:p>
    <w:p w14:paraId="522A8AC9">
      <w:pPr>
        <w:spacing w:before="120" w:after="120" w:line="288" w:lineRule="auto"/>
        <w:ind w:left="0"/>
        <w:jc w:val="left"/>
      </w:pPr>
    </w:p>
    <w:p w14:paraId="14D6D020">
      <w:pPr>
        <w:spacing w:before="120" w:after="120" w:line="288" w:lineRule="auto"/>
        <w:ind w:left="0"/>
        <w:jc w:val="left"/>
      </w:pPr>
      <w:r>
        <w:rPr>
          <w:rFonts w:ascii="Arial" w:hAnsi="Arial" w:eastAsia="等线" w:cs="Arial"/>
          <w:sz w:val="22"/>
        </w:rPr>
        <w:t>另一种类型的包销发行是备用包销（Standby Underwriting）。备用承销商（standby underwriter）与发行人签订协议，当发行人进行配股发行时，如果有公众未认购的股票，备用承销商将购入这些股票。</w:t>
      </w:r>
    </w:p>
    <w:p w14:paraId="66781683">
      <w:pPr>
        <w:spacing w:before="120" w:after="120" w:line="288" w:lineRule="auto"/>
        <w:ind w:left="0"/>
        <w:jc w:val="left"/>
      </w:pPr>
    </w:p>
    <w:p w14:paraId="6F1098BE">
      <w:pPr>
        <w:numPr>
          <w:ilvl w:val="0"/>
          <w:numId w:val="43"/>
        </w:numPr>
        <w:spacing w:before="120" w:after="120" w:line="288" w:lineRule="auto"/>
        <w:ind w:left="0"/>
        <w:jc w:val="left"/>
      </w:pPr>
      <w:r>
        <w:rPr>
          <w:rFonts w:ascii="Arial" w:hAnsi="Arial" w:eastAsia="等线" w:cs="Arial"/>
          <w:sz w:val="22"/>
        </w:rPr>
        <w:t>尽力承销（Best-efforts underwriting）</w:t>
      </w:r>
    </w:p>
    <w:p w14:paraId="0FC3DDB3">
      <w:pPr>
        <w:spacing w:before="120" w:after="120" w:line="288" w:lineRule="auto"/>
        <w:ind w:left="0"/>
        <w:jc w:val="left"/>
      </w:pPr>
      <w:r>
        <w:rPr>
          <w:rFonts w:ascii="Arial" w:hAnsi="Arial" w:eastAsia="等线" w:cs="Arial"/>
          <w:sz w:val="22"/>
        </w:rPr>
        <w:t>分为下面两种方式，区别在于全卖还是部分卖：</w:t>
      </w:r>
    </w:p>
    <w:p w14:paraId="198DD27A">
      <w:pPr>
        <w:numPr>
          <w:ilvl w:val="0"/>
          <w:numId w:val="44"/>
        </w:numPr>
        <w:spacing w:before="120" w:after="120" w:line="288" w:lineRule="auto"/>
        <w:ind w:left="0"/>
        <w:jc w:val="left"/>
      </w:pPr>
      <w:r>
        <w:rPr>
          <w:rFonts w:ascii="Arial" w:hAnsi="Arial" w:eastAsia="等线" w:cs="Arial"/>
          <w:sz w:val="22"/>
        </w:rPr>
        <w:t>All-or-None (AON): all securities must sold by deadline; otherwise deal canceled.</w:t>
      </w:r>
    </w:p>
    <w:p w14:paraId="57F2DCD3">
      <w:pPr>
        <w:numPr>
          <w:ilvl w:val="0"/>
          <w:numId w:val="45"/>
        </w:numPr>
        <w:spacing w:before="120" w:after="120" w:line="288" w:lineRule="auto"/>
        <w:ind w:left="0"/>
        <w:jc w:val="left"/>
      </w:pPr>
      <w:r>
        <w:rPr>
          <w:rFonts w:ascii="Arial" w:hAnsi="Arial" w:eastAsia="等线" w:cs="Arial"/>
          <w:sz w:val="22"/>
        </w:rPr>
        <w:t>Mini-max: Syndicate has to sell a certain minimum amount of securities or the offering is cancelled.</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1D939BD">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649FB7D9">
            <w:pPr>
              <w:numPr>
                <w:ilvl w:val="0"/>
                <w:numId w:val="46"/>
              </w:numPr>
              <w:spacing w:before="120" w:after="120" w:line="288" w:lineRule="auto"/>
              <w:ind w:left="0"/>
              <w:jc w:val="left"/>
            </w:pPr>
            <w:r>
              <w:rPr>
                <w:rFonts w:ascii="Arial" w:hAnsi="Arial" w:eastAsia="等线" w:cs="Arial"/>
                <w:sz w:val="22"/>
              </w:rPr>
              <w:t>Which of the following agreements specify that any unsold securities are retained by the underwriters?</w:t>
            </w:r>
          </w:p>
          <w:p w14:paraId="206FFAC7">
            <w:pPr>
              <w:spacing w:before="120" w:after="120" w:line="288" w:lineRule="auto"/>
              <w:ind w:left="453"/>
              <w:jc w:val="left"/>
            </w:pPr>
            <w:r>
              <w:rPr>
                <w:rFonts w:ascii="Arial" w:hAnsi="Arial" w:eastAsia="等线" w:cs="Arial"/>
                <w:sz w:val="22"/>
              </w:rPr>
              <w:t>I. Firm commitment</w:t>
            </w:r>
          </w:p>
          <w:p w14:paraId="05EEEB74">
            <w:pPr>
              <w:spacing w:before="120" w:after="120" w:line="288" w:lineRule="auto"/>
              <w:ind w:left="453"/>
              <w:jc w:val="left"/>
            </w:pPr>
            <w:r>
              <w:rPr>
                <w:rFonts w:ascii="Arial" w:hAnsi="Arial" w:eastAsia="等线" w:cs="Arial"/>
                <w:sz w:val="22"/>
              </w:rPr>
              <w:t>II. All-or-none</w:t>
            </w:r>
          </w:p>
          <w:p w14:paraId="66C0FCAF">
            <w:pPr>
              <w:spacing w:before="120" w:after="120" w:line="288" w:lineRule="auto"/>
              <w:ind w:left="453"/>
              <w:jc w:val="left"/>
            </w:pPr>
            <w:r>
              <w:rPr>
                <w:rFonts w:ascii="Arial" w:hAnsi="Arial" w:eastAsia="等线" w:cs="Arial"/>
                <w:sz w:val="22"/>
              </w:rPr>
              <w:t>III. Best efforts</w:t>
            </w:r>
          </w:p>
          <w:p w14:paraId="767DA2B1">
            <w:pPr>
              <w:spacing w:before="120" w:after="120" w:line="288" w:lineRule="auto"/>
              <w:ind w:left="453"/>
              <w:jc w:val="left"/>
            </w:pPr>
            <w:r>
              <w:rPr>
                <w:rFonts w:ascii="Arial" w:hAnsi="Arial" w:eastAsia="等线" w:cs="Arial"/>
                <w:sz w:val="22"/>
              </w:rPr>
              <w:t>IV. Mini-max</w:t>
            </w:r>
          </w:p>
          <w:p w14:paraId="5995DE08">
            <w:pPr>
              <w:spacing w:before="120" w:after="120" w:line="288" w:lineRule="auto"/>
              <w:ind w:left="453"/>
              <w:jc w:val="left"/>
            </w:pPr>
            <w:r>
              <w:rPr>
                <w:rFonts w:ascii="Arial" w:hAnsi="Arial" w:eastAsia="等线" w:cs="Arial"/>
                <w:sz w:val="22"/>
              </w:rPr>
              <w:t>(A) I only</w:t>
            </w:r>
          </w:p>
          <w:p w14:paraId="367AF3E4">
            <w:pPr>
              <w:spacing w:before="120" w:after="120" w:line="288" w:lineRule="auto"/>
              <w:ind w:left="453"/>
              <w:jc w:val="left"/>
            </w:pPr>
            <w:r>
              <w:rPr>
                <w:rFonts w:ascii="Arial" w:hAnsi="Arial" w:eastAsia="等线" w:cs="Arial"/>
                <w:sz w:val="22"/>
              </w:rPr>
              <w:t>(B) II only</w:t>
            </w:r>
          </w:p>
          <w:p w14:paraId="333FD44F">
            <w:pPr>
              <w:spacing w:before="120" w:after="120" w:line="288" w:lineRule="auto"/>
              <w:ind w:left="453"/>
              <w:jc w:val="left"/>
            </w:pPr>
            <w:r>
              <w:rPr>
                <w:rFonts w:ascii="Arial" w:hAnsi="Arial" w:eastAsia="等线" w:cs="Arial"/>
                <w:sz w:val="22"/>
              </w:rPr>
              <w:t>(C) I, II, and IV</w:t>
            </w:r>
          </w:p>
          <w:p w14:paraId="2A23D74F">
            <w:pPr>
              <w:spacing w:before="120" w:after="120" w:line="288" w:lineRule="auto"/>
              <w:ind w:left="453"/>
              <w:jc w:val="left"/>
            </w:pPr>
            <w:r>
              <w:rPr>
                <w:rFonts w:ascii="Arial" w:hAnsi="Arial" w:eastAsia="等线" w:cs="Arial"/>
                <w:sz w:val="22"/>
              </w:rPr>
              <w:t>(D) II, III, and IV</w:t>
            </w:r>
          </w:p>
        </w:tc>
      </w:tr>
    </w:tbl>
    <w:p w14:paraId="2F734436">
      <w:pPr>
        <w:spacing w:before="260" w:after="120" w:line="288" w:lineRule="auto"/>
        <w:ind w:left="0"/>
        <w:jc w:val="left"/>
        <w:outlineLvl w:val="3"/>
      </w:pPr>
      <w:bookmarkStart w:id="12" w:name="heading_12"/>
      <w:r>
        <w:rPr>
          <w:rFonts w:ascii="Arial" w:hAnsi="Arial" w:eastAsia="等线" w:cs="Arial"/>
          <w:color w:val="3370FF"/>
          <w:sz w:val="28"/>
        </w:rPr>
        <w:t xml:space="preserve">2.1.2.3 </w:t>
      </w:r>
      <w:r>
        <w:rPr>
          <w:rFonts w:ascii="Arial" w:hAnsi="Arial" w:eastAsia="等线" w:cs="Arial"/>
          <w:b/>
          <w:sz w:val="28"/>
        </w:rPr>
        <w:t>主承销商（Managing/Lead underwriter）</w:t>
      </w:r>
      <w:bookmarkEnd w:id="12"/>
    </w:p>
    <w:p w14:paraId="0DC6BD45">
      <w:pPr>
        <w:spacing w:before="120" w:after="120" w:line="288" w:lineRule="auto"/>
        <w:ind w:left="0"/>
        <w:jc w:val="left"/>
      </w:pPr>
      <w:r>
        <w:rPr>
          <w:rFonts w:ascii="Arial" w:hAnsi="Arial" w:eastAsia="等线" w:cs="Arial"/>
          <w:sz w:val="22"/>
        </w:rPr>
        <w:t>主承销商（辛迪加经理）是负责组建辛迪加并直接与发行人打交道的公司。主承销商每售出一股股票都会获得经济补偿。</w:t>
      </w:r>
    </w:p>
    <w:p w14:paraId="069BC73D">
      <w:pPr>
        <w:spacing w:before="120" w:after="120" w:line="288" w:lineRule="auto"/>
        <w:ind w:left="0"/>
        <w:jc w:val="left"/>
      </w:pPr>
    </w:p>
    <w:p w14:paraId="1B9EFE62">
      <w:pPr>
        <w:spacing w:before="120" w:after="120" w:line="288" w:lineRule="auto"/>
        <w:ind w:left="0"/>
        <w:jc w:val="left"/>
      </w:pPr>
      <w:r>
        <w:rPr>
          <w:rFonts w:ascii="Arial" w:hAnsi="Arial" w:eastAsia="等线" w:cs="Arial"/>
          <w:sz w:val="22"/>
        </w:rPr>
        <w:t>主承销商有责任确保招股说明书中的信息准确无误。请记住，SEC 只是审查招股说明书和注册声明，以确保所有必要的信息都已涵盖。SEC 不批准或担保任何发行（approve or guarantee any issue）。</w:t>
      </w:r>
    </w:p>
    <w:p w14:paraId="363425D0">
      <w:pPr>
        <w:spacing w:before="120" w:after="120" w:line="288" w:lineRule="auto"/>
        <w:ind w:left="0"/>
        <w:jc w:val="left"/>
      </w:pPr>
    </w:p>
    <w:p w14:paraId="075A9EEC">
      <w:pPr>
        <w:spacing w:before="260" w:after="120" w:line="288" w:lineRule="auto"/>
        <w:ind w:left="0"/>
        <w:jc w:val="left"/>
        <w:outlineLvl w:val="3"/>
      </w:pPr>
      <w:bookmarkStart w:id="13" w:name="heading_13"/>
      <w:r>
        <w:rPr>
          <w:rFonts w:ascii="Arial" w:hAnsi="Arial" w:eastAsia="等线" w:cs="Arial"/>
          <w:color w:val="3370FF"/>
          <w:sz w:val="28"/>
        </w:rPr>
        <w:t xml:space="preserve">2.1.2.4 </w:t>
      </w:r>
      <w:r>
        <w:rPr>
          <w:rFonts w:ascii="Arial" w:hAnsi="Arial" w:eastAsia="等线" w:cs="Arial"/>
          <w:b/>
          <w:sz w:val="28"/>
        </w:rPr>
        <w:t>辛迪加（Syndicate）</w:t>
      </w:r>
      <w:bookmarkEnd w:id="13"/>
    </w:p>
    <w:p w14:paraId="135CF8DF">
      <w:pPr>
        <w:numPr>
          <w:ilvl w:val="0"/>
          <w:numId w:val="47"/>
        </w:numPr>
        <w:spacing w:before="120" w:after="120" w:line="288" w:lineRule="auto"/>
        <w:ind w:left="0"/>
        <w:jc w:val="left"/>
      </w:pPr>
      <w:r>
        <w:rPr>
          <w:rFonts w:ascii="Arial" w:hAnsi="Arial" w:eastAsia="等线" w:cs="Arial"/>
          <w:sz w:val="22"/>
        </w:rPr>
        <w:t>联合承销团，证券发行的“买家”，先从公司手中买入证券，再卖给公众。</w:t>
      </w:r>
    </w:p>
    <w:p w14:paraId="2EDB6EF1">
      <w:pPr>
        <w:numPr>
          <w:ilvl w:val="0"/>
          <w:numId w:val="48"/>
        </w:numPr>
        <w:spacing w:before="120" w:after="120" w:line="288" w:lineRule="auto"/>
        <w:ind w:left="0"/>
        <w:jc w:val="left"/>
      </w:pPr>
      <w:r>
        <w:rPr>
          <w:rFonts w:ascii="Arial" w:hAnsi="Arial" w:eastAsia="等线" w:cs="Arial"/>
          <w:sz w:val="22"/>
        </w:rPr>
        <w:t>成员分工：</w:t>
      </w:r>
    </w:p>
    <w:p w14:paraId="7189D5A2">
      <w:pPr>
        <w:numPr>
          <w:ilvl w:val="0"/>
          <w:numId w:val="49"/>
        </w:numPr>
        <w:spacing w:before="120" w:after="120" w:line="288" w:lineRule="auto"/>
        <w:ind w:left="453"/>
        <w:jc w:val="left"/>
      </w:pPr>
      <w:r>
        <w:rPr>
          <w:rFonts w:ascii="Arial" w:hAnsi="Arial" w:eastAsia="等线" w:cs="Arial"/>
          <w:sz w:val="22"/>
        </w:rPr>
        <w:t>Syndicate Manager（主承销商）：领导整个承销过程。</w:t>
      </w:r>
    </w:p>
    <w:p w14:paraId="22BF434A">
      <w:pPr>
        <w:numPr>
          <w:ilvl w:val="0"/>
          <w:numId w:val="50"/>
        </w:numPr>
        <w:spacing w:before="120" w:after="120" w:line="288" w:lineRule="auto"/>
        <w:ind w:left="453"/>
        <w:jc w:val="left"/>
      </w:pPr>
      <w:r>
        <w:rPr>
          <w:rFonts w:ascii="Arial" w:hAnsi="Arial" w:eastAsia="等线" w:cs="Arial"/>
          <w:sz w:val="22"/>
        </w:rPr>
        <w:t>Syndicate Members（联合承销商）：参与销售并承担相应比例的风险。</w:t>
      </w:r>
    </w:p>
    <w:p w14:paraId="41C9EFF2">
      <w:pPr>
        <w:numPr>
          <w:ilvl w:val="0"/>
          <w:numId w:val="51"/>
        </w:numPr>
        <w:spacing w:before="120" w:after="120" w:line="288" w:lineRule="auto"/>
        <w:ind w:left="0"/>
        <w:jc w:val="left"/>
      </w:pPr>
      <w:r>
        <w:rPr>
          <w:rFonts w:ascii="Arial" w:hAnsi="Arial" w:eastAsia="等线" w:cs="Arial"/>
          <w:sz w:val="22"/>
        </w:rPr>
        <w:t>当发行量巨大的时候包含多个 underwriter。</w:t>
      </w:r>
    </w:p>
    <w:p w14:paraId="78F61DC9">
      <w:pPr>
        <w:numPr>
          <w:ilvl w:val="0"/>
          <w:numId w:val="52"/>
        </w:numPr>
        <w:spacing w:before="120" w:after="120" w:line="288" w:lineRule="auto"/>
        <w:ind w:left="0"/>
        <w:jc w:val="left"/>
      </w:pPr>
      <w:r>
        <w:rPr>
          <w:rFonts w:ascii="Arial" w:hAnsi="Arial" w:eastAsia="等线" w:cs="Arial"/>
          <w:sz w:val="22"/>
        </w:rPr>
        <w:t>职责包括：</w:t>
      </w:r>
    </w:p>
    <w:p w14:paraId="5D82B877">
      <w:pPr>
        <w:numPr>
          <w:ilvl w:val="0"/>
          <w:numId w:val="53"/>
        </w:numPr>
        <w:spacing w:before="120" w:after="120" w:line="288" w:lineRule="auto"/>
        <w:ind w:left="453"/>
        <w:jc w:val="left"/>
      </w:pPr>
      <w:r>
        <w:rPr>
          <w:rFonts w:ascii="Arial" w:hAnsi="Arial" w:eastAsia="等线" w:cs="Arial"/>
          <w:sz w:val="22"/>
        </w:rPr>
        <w:t>建立订单簿（build an order book）：在发行前收集投资者的意向申购数量。</w:t>
      </w:r>
    </w:p>
    <w:p w14:paraId="00D9856A">
      <w:pPr>
        <w:numPr>
          <w:ilvl w:val="0"/>
          <w:numId w:val="54"/>
        </w:numPr>
        <w:spacing w:before="120" w:after="120" w:line="288" w:lineRule="auto"/>
        <w:ind w:left="453"/>
        <w:jc w:val="left"/>
      </w:pPr>
      <w:r>
        <w:rPr>
          <w:rFonts w:ascii="Arial" w:hAnsi="Arial" w:eastAsia="等线" w:cs="Arial"/>
          <w:sz w:val="22"/>
        </w:rPr>
        <w:t>分配证券（allocate the stock）：根据投资者需求和公司目标，把股票分配给不同投资者。</w:t>
      </w:r>
    </w:p>
    <w:p w14:paraId="4BE16A73">
      <w:pPr>
        <w:spacing w:before="260" w:after="120" w:line="288" w:lineRule="auto"/>
        <w:ind w:left="0"/>
        <w:jc w:val="left"/>
        <w:outlineLvl w:val="3"/>
      </w:pPr>
      <w:bookmarkStart w:id="14" w:name="heading_14"/>
      <w:r>
        <w:rPr>
          <w:rFonts w:ascii="Arial" w:hAnsi="Arial" w:eastAsia="等线" w:cs="Arial"/>
          <w:color w:val="3370FF"/>
          <w:sz w:val="28"/>
        </w:rPr>
        <w:t xml:space="preserve">2.1.2.5 </w:t>
      </w:r>
      <w:r>
        <w:rPr>
          <w:rFonts w:ascii="Arial" w:hAnsi="Arial" w:eastAsia="等线" w:cs="Arial"/>
          <w:b/>
          <w:sz w:val="28"/>
        </w:rPr>
        <w:t>销售团（Selling group）</w:t>
      </w:r>
      <w:bookmarkEnd w:id="14"/>
    </w:p>
    <w:p w14:paraId="57CD99FF">
      <w:pPr>
        <w:spacing w:before="120" w:after="120" w:line="288" w:lineRule="auto"/>
        <w:ind w:left="0"/>
        <w:jc w:val="left"/>
      </w:pPr>
      <w:r>
        <w:rPr>
          <w:rFonts w:ascii="Arial" w:hAnsi="Arial" w:eastAsia="等线" w:cs="Arial"/>
          <w:sz w:val="22"/>
        </w:rPr>
        <w:t>如果辛迪加成员在销售证券时需要更多帮助，他们可以招募销售团成员。</w:t>
      </w:r>
    </w:p>
    <w:p w14:paraId="4B196BFC">
      <w:pPr>
        <w:spacing w:before="120" w:after="120" w:line="288" w:lineRule="auto"/>
        <w:ind w:left="0"/>
        <w:jc w:val="left"/>
      </w:pPr>
    </w:p>
    <w:p w14:paraId="39A4B3B8">
      <w:pPr>
        <w:spacing w:before="120" w:after="120" w:line="288" w:lineRule="auto"/>
        <w:ind w:left="0"/>
        <w:jc w:val="left"/>
      </w:pPr>
      <w:r>
        <w:rPr>
          <w:rFonts w:ascii="Arial" w:hAnsi="Arial" w:eastAsia="等线" w:cs="Arial"/>
          <w:sz w:val="22"/>
        </w:rPr>
        <w:t>这些成员是不属于辛迪加的经纪公司。销售团成员协助向公众分销股票，但不承担财务承诺（即不从发行人处购买股票），因此在向公众出售股票时，每股获得的收益较少。</w:t>
      </w:r>
    </w:p>
    <w:p w14:paraId="6FF97C31">
      <w:pPr>
        <w:spacing w:before="120" w:after="120" w:line="288" w:lineRule="auto"/>
        <w:ind w:left="0"/>
        <w:jc w:val="left"/>
      </w:pPr>
    </w:p>
    <w:p w14:paraId="6025D6A0">
      <w:pPr>
        <w:spacing w:before="120" w:after="120" w:line="288" w:lineRule="auto"/>
        <w:ind w:left="0"/>
        <w:jc w:val="left"/>
      </w:pPr>
      <w:r>
        <w:rPr>
          <w:rFonts w:ascii="Arial" w:hAnsi="Arial" w:eastAsia="等线" w:cs="Arial"/>
          <w:sz w:val="22"/>
        </w:rPr>
        <w:t>角色：非承销成员，仅协助销售，不承担风险。</w:t>
      </w:r>
    </w:p>
    <w:p w14:paraId="4DFEC576">
      <w:pPr>
        <w:spacing w:before="120" w:after="120" w:line="288" w:lineRule="auto"/>
        <w:ind w:left="0"/>
        <w:jc w:val="left"/>
      </w:pPr>
    </w:p>
    <w:p w14:paraId="4F353CD3">
      <w:pPr>
        <w:spacing w:before="260" w:after="120" w:line="288" w:lineRule="auto"/>
        <w:ind w:left="0"/>
        <w:jc w:val="left"/>
        <w:outlineLvl w:val="3"/>
      </w:pPr>
      <w:bookmarkStart w:id="15" w:name="heading_15"/>
      <w:r>
        <w:rPr>
          <w:rFonts w:ascii="Arial" w:hAnsi="Arial" w:eastAsia="等线" w:cs="Arial"/>
          <w:color w:val="3370FF"/>
          <w:sz w:val="28"/>
        </w:rPr>
        <w:t xml:space="preserve">2.1.2.6 </w:t>
      </w:r>
      <w:r>
        <w:rPr>
          <w:rFonts w:ascii="Arial" w:hAnsi="Arial" w:eastAsia="等线" w:cs="Arial"/>
          <w:b/>
          <w:sz w:val="28"/>
        </w:rPr>
        <w:t>承销方式补充：Negotiated vs. Competitive Offering</w:t>
      </w:r>
      <w:bookmarkEnd w:id="15"/>
    </w:p>
    <w:p w14:paraId="71387FE9">
      <w:pPr>
        <w:numPr>
          <w:ilvl w:val="0"/>
          <w:numId w:val="55"/>
        </w:numPr>
        <w:spacing w:before="120" w:after="120" w:line="288" w:lineRule="auto"/>
        <w:ind w:left="0"/>
        <w:jc w:val="left"/>
      </w:pPr>
      <w:r>
        <w:rPr>
          <w:rFonts w:ascii="Arial" w:hAnsi="Arial" w:eastAsia="等线" w:cs="Arial"/>
          <w:sz w:val="22"/>
        </w:rPr>
        <w:t>协商承销：Negotiated Offering</w:t>
      </w:r>
    </w:p>
    <w:p w14:paraId="55D59450">
      <w:pPr>
        <w:numPr>
          <w:ilvl w:val="0"/>
          <w:numId w:val="56"/>
        </w:numPr>
        <w:spacing w:before="120" w:after="120" w:line="288" w:lineRule="auto"/>
        <w:ind w:left="453"/>
        <w:jc w:val="left"/>
      </w:pPr>
      <w:r>
        <w:rPr>
          <w:rFonts w:ascii="Arial" w:hAnsi="Arial" w:eastAsia="等线" w:cs="Arial"/>
          <w:sz w:val="22"/>
        </w:rPr>
        <w:t>issuer直接指定underwriter，常见于公司债、IPO 等。</w:t>
      </w:r>
    </w:p>
    <w:p w14:paraId="2A8A9D75">
      <w:pPr>
        <w:numPr>
          <w:ilvl w:val="0"/>
          <w:numId w:val="57"/>
        </w:numPr>
        <w:spacing w:before="120" w:after="120" w:line="288" w:lineRule="auto"/>
        <w:ind w:left="453"/>
        <w:jc w:val="left"/>
      </w:pPr>
      <w:r>
        <w:rPr>
          <w:rFonts w:ascii="Arial" w:hAnsi="Arial" w:eastAsia="等线" w:cs="Arial"/>
          <w:sz w:val="22"/>
        </w:rPr>
        <w:t>优点：灵活性高、沟通成本低</w:t>
      </w:r>
    </w:p>
    <w:p w14:paraId="610CF2F3">
      <w:pPr>
        <w:numPr>
          <w:ilvl w:val="0"/>
          <w:numId w:val="58"/>
        </w:numPr>
        <w:spacing w:before="120" w:after="120" w:line="288" w:lineRule="auto"/>
        <w:ind w:left="0"/>
        <w:jc w:val="left"/>
      </w:pPr>
      <w:r>
        <w:rPr>
          <w:rFonts w:ascii="Arial" w:hAnsi="Arial" w:eastAsia="等线" w:cs="Arial"/>
          <w:sz w:val="22"/>
        </w:rPr>
        <w:t>竞价承销：Competitive Offering：</w:t>
      </w:r>
    </w:p>
    <w:p w14:paraId="498FFF8D">
      <w:pPr>
        <w:numPr>
          <w:ilvl w:val="0"/>
          <w:numId w:val="59"/>
        </w:numPr>
        <w:spacing w:before="120" w:after="120" w:line="288" w:lineRule="auto"/>
        <w:ind w:left="453"/>
        <w:jc w:val="left"/>
      </w:pPr>
      <w:r>
        <w:rPr>
          <w:rFonts w:ascii="Arial" w:hAnsi="Arial" w:eastAsia="等线" w:cs="Arial"/>
          <w:sz w:val="22"/>
        </w:rPr>
        <w:t>发行人向多个underwriter公开征集投标，选择最优报价</w:t>
      </w:r>
    </w:p>
    <w:p w14:paraId="650B46F3">
      <w:pPr>
        <w:numPr>
          <w:ilvl w:val="0"/>
          <w:numId w:val="60"/>
        </w:numPr>
        <w:spacing w:before="120" w:after="120" w:line="288" w:lineRule="auto"/>
        <w:ind w:left="453"/>
        <w:jc w:val="left"/>
      </w:pPr>
      <w:r>
        <w:rPr>
          <w:rFonts w:ascii="Arial" w:hAnsi="Arial" w:eastAsia="等线" w:cs="Arial"/>
          <w:sz w:val="22"/>
        </w:rPr>
        <w:t>常应用于市政债券（Municipal General Obligation Bonds）</w:t>
      </w:r>
    </w:p>
    <w:p w14:paraId="2C8B909E">
      <w:pPr>
        <w:numPr>
          <w:ilvl w:val="0"/>
          <w:numId w:val="61"/>
        </w:numPr>
        <w:spacing w:before="120" w:after="120" w:line="288" w:lineRule="auto"/>
        <w:ind w:left="907"/>
        <w:jc w:val="left"/>
      </w:pPr>
      <w:r>
        <w:rPr>
          <w:rFonts w:ascii="Arial" w:hAnsi="Arial" w:eastAsia="等线" w:cs="Arial"/>
          <w:sz w:val="22"/>
        </w:rPr>
        <w:t>原因：使用纳税人资金，需公开透明以选出最低成本承销商</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7A5975C">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2B194636">
            <w:pPr>
              <w:spacing w:before="120" w:after="120" w:line="288" w:lineRule="auto"/>
              <w:ind w:left="0"/>
              <w:jc w:val="left"/>
            </w:pPr>
            <w:r>
              <w:rPr>
                <w:rFonts w:ascii="Arial" w:hAnsi="Arial" w:eastAsia="等线" w:cs="Arial"/>
                <w:sz w:val="22"/>
              </w:rPr>
              <w:t>辅助记忆：需要花纳税人钱的就要让 underwriters 竞价，选最适合的，用 Competitive Offering。</w:t>
            </w:r>
          </w:p>
        </w:tc>
      </w:tr>
    </w:tbl>
    <w:p w14:paraId="1CADB789">
      <w:pPr>
        <w:spacing w:before="120" w:after="120" w:line="288" w:lineRule="auto"/>
        <w:ind w:left="0"/>
        <w:jc w:val="left"/>
      </w:pPr>
    </w:p>
    <w:p w14:paraId="4496EC0C">
      <w:pPr>
        <w:spacing w:before="300" w:after="120" w:line="288" w:lineRule="auto"/>
        <w:ind w:left="0"/>
        <w:jc w:val="left"/>
        <w:outlineLvl w:val="2"/>
      </w:pPr>
      <w:bookmarkStart w:id="16" w:name="heading_16"/>
      <w:r>
        <w:rPr>
          <w:rFonts w:ascii="Arial" w:hAnsi="Arial" w:eastAsia="等线" w:cs="Arial"/>
          <w:color w:val="3370FF"/>
          <w:sz w:val="30"/>
        </w:rPr>
        <w:t xml:space="preserve">2.1.3 </w:t>
      </w:r>
      <w:r>
        <w:rPr>
          <w:rFonts w:ascii="Arial" w:hAnsi="Arial" w:eastAsia="等线" w:cs="Arial"/>
          <w:b/>
          <w:sz w:val="30"/>
        </w:rPr>
        <w:t>招股说明书</w:t>
      </w:r>
      <w:bookmarkEnd w:id="16"/>
    </w:p>
    <w:p w14:paraId="68EE2BE0">
      <w:pPr>
        <w:spacing w:before="120" w:after="120" w:line="288" w:lineRule="auto"/>
        <w:ind w:left="0"/>
        <w:jc w:val="left"/>
      </w:pPr>
      <w:r>
        <w:rPr>
          <w:rFonts w:ascii="Arial" w:hAnsi="Arial" w:eastAsia="等线" w:cs="Arial"/>
          <w:sz w:val="22"/>
        </w:rPr>
        <w:t>招股说明书可用于了解发行和发行人的核心信息（getting the skinny on the issue and issuer）。</w:t>
      </w:r>
    </w:p>
    <w:p w14:paraId="6219A74E">
      <w:pPr>
        <w:spacing w:before="260" w:after="120" w:line="288" w:lineRule="auto"/>
        <w:ind w:left="0"/>
        <w:jc w:val="left"/>
        <w:outlineLvl w:val="3"/>
      </w:pPr>
      <w:bookmarkStart w:id="17" w:name="heading_17"/>
      <w:r>
        <w:rPr>
          <w:rFonts w:ascii="Arial" w:hAnsi="Arial" w:eastAsia="等线" w:cs="Arial"/>
          <w:color w:val="3370FF"/>
          <w:sz w:val="28"/>
        </w:rPr>
        <w:t xml:space="preserve">2.1.3.1 </w:t>
      </w:r>
      <w:r>
        <w:rPr>
          <w:rFonts w:ascii="Arial" w:hAnsi="Arial" w:eastAsia="等线" w:cs="Arial"/>
          <w:b/>
          <w:sz w:val="28"/>
        </w:rPr>
        <w:t>初步招股说明书</w:t>
      </w:r>
      <w:bookmarkEnd w:id="17"/>
    </w:p>
    <w:p w14:paraId="3C1C0278">
      <w:pPr>
        <w:spacing w:before="120" w:after="120" w:line="288" w:lineRule="auto"/>
        <w:ind w:left="0"/>
        <w:jc w:val="left"/>
      </w:pPr>
      <w:r>
        <w:rPr>
          <w:rFonts w:ascii="Arial" w:hAnsi="Arial" w:eastAsia="等线" w:cs="Arial"/>
          <w:sz w:val="22"/>
        </w:rPr>
        <w:t>初步招股说明书（Preliminary prospectus）又称红鲱鱼（Red Herring），因封面印有红字警示语。</w:t>
      </w:r>
    </w:p>
    <w:p w14:paraId="42F1EA4B">
      <w:pPr>
        <w:spacing w:before="120" w:after="120" w:line="288" w:lineRule="auto"/>
        <w:ind w:left="0"/>
        <w:jc w:val="left"/>
      </w:pPr>
    </w:p>
    <w:p w14:paraId="25ED24ED">
      <w:pPr>
        <w:spacing w:before="120" w:after="120" w:line="288" w:lineRule="auto"/>
        <w:ind w:left="0"/>
        <w:jc w:val="left"/>
      </w:pPr>
      <w:r>
        <w:rPr>
          <w:rFonts w:ascii="Arial" w:hAnsi="Arial" w:eastAsia="等线" w:cs="Arial"/>
          <w:sz w:val="22"/>
        </w:rPr>
        <w:t>发行人会准备一份初步招股说明书（有时会在承销商的帮助下完成），并与注册声明一同提交。在向 SEC 注册期间（即冷静期），这份初步招股说明书必须可供潜在购买者查阅。</w:t>
      </w:r>
    </w:p>
    <w:p w14:paraId="2868F7A8">
      <w:pPr>
        <w:spacing w:before="120" w:after="120" w:line="288" w:lineRule="auto"/>
        <w:ind w:left="0"/>
        <w:jc w:val="left"/>
      </w:pPr>
    </w:p>
    <w:p w14:paraId="23215D86">
      <w:pPr>
        <w:spacing w:before="120" w:after="120" w:line="288" w:lineRule="auto"/>
        <w:ind w:left="0"/>
        <w:jc w:val="left"/>
      </w:pPr>
      <w:r>
        <w:rPr>
          <w:rFonts w:ascii="Arial" w:hAnsi="Arial" w:eastAsia="等线" w:cs="Arial"/>
          <w:sz w:val="22"/>
        </w:rPr>
        <w:t>初步招股说明书内容较为简略，但包含了关于发行人和此次发行的所有关键信息，如募资用途，公司历史等。不过不包括最终公开发行价格（POP，public offering price）和注册生效日期（effective date）。</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29FB8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51E20909">
            <w:pPr>
              <w:spacing w:before="120" w:after="120" w:line="288" w:lineRule="auto"/>
              <w:ind w:left="0"/>
              <w:jc w:val="left"/>
            </w:pPr>
            <w:r>
              <w:rPr>
                <w:rFonts w:ascii="Arial" w:hAnsi="Arial" w:eastAsia="等线" w:cs="Arial"/>
                <w:sz w:val="22"/>
              </w:rPr>
              <w:t>在注册生效前，经纪交易商（Broker Dealer）不得接受新发行证券的付款。</w:t>
            </w:r>
          </w:p>
        </w:tc>
      </w:tr>
    </w:tbl>
    <w:p w14:paraId="52906333">
      <w:pPr>
        <w:spacing w:before="260" w:after="120" w:line="288" w:lineRule="auto"/>
        <w:ind w:left="0"/>
        <w:jc w:val="left"/>
        <w:outlineLvl w:val="3"/>
      </w:pPr>
      <w:bookmarkStart w:id="18" w:name="heading_18"/>
      <w:r>
        <w:rPr>
          <w:rFonts w:ascii="Arial" w:hAnsi="Arial" w:eastAsia="等线" w:cs="Arial"/>
          <w:color w:val="3370FF"/>
          <w:sz w:val="28"/>
        </w:rPr>
        <w:t xml:space="preserve">2.1.3.2 </w:t>
      </w:r>
      <w:r>
        <w:rPr>
          <w:rFonts w:ascii="Arial" w:hAnsi="Arial" w:eastAsia="等线" w:cs="Arial"/>
          <w:b/>
          <w:sz w:val="28"/>
        </w:rPr>
        <w:t>最终招股说明书</w:t>
      </w:r>
      <w:bookmarkEnd w:id="18"/>
    </w:p>
    <w:p w14:paraId="4C31F958">
      <w:pPr>
        <w:spacing w:before="120" w:after="120" w:line="288" w:lineRule="auto"/>
        <w:ind w:left="0"/>
        <w:jc w:val="left"/>
      </w:pPr>
      <w:r>
        <w:rPr>
          <w:rFonts w:ascii="Arial" w:hAnsi="Arial" w:eastAsia="等线" w:cs="Arial"/>
          <w:sz w:val="22"/>
        </w:rPr>
        <w:t>最终招股说明书（Final Prospectus）包含比如 final public offering price 和 effective date，但是不包含：承销协议（Underwriting Agreement）等内部文件。</w:t>
      </w:r>
    </w:p>
    <w:p w14:paraId="71C6D842">
      <w:pPr>
        <w:spacing w:before="120" w:after="120" w:line="288" w:lineRule="auto"/>
        <w:ind w:left="0"/>
        <w:jc w:val="left"/>
      </w:pPr>
    </w:p>
    <w:p w14:paraId="08CEFB96">
      <w:pPr>
        <w:spacing w:before="120" w:after="120" w:line="288" w:lineRule="auto"/>
        <w:ind w:left="0"/>
        <w:jc w:val="left"/>
      </w:pPr>
      <w:r>
        <w:rPr>
          <w:rFonts w:ascii="Arial" w:hAnsi="Arial" w:eastAsia="等线" w:cs="Arial"/>
          <w:sz w:val="22"/>
        </w:rPr>
        <w:t>最终招股说明书是发行人在冷静期即将结束时编制的法律文件，包含有关发行人和新发行证券的重要信息。所有潜在的该证券购买者都必须能够获取这份最终招股说明书。</w:t>
      </w:r>
    </w:p>
    <w:p w14:paraId="239783CF">
      <w:pPr>
        <w:spacing w:before="120" w:after="120" w:line="288" w:lineRule="auto"/>
        <w:ind w:left="0"/>
        <w:jc w:val="left"/>
      </w:pPr>
    </w:p>
    <w:p w14:paraId="335495E9">
      <w:pPr>
        <w:spacing w:before="120" w:after="120" w:line="288" w:lineRule="auto"/>
        <w:ind w:left="0"/>
        <w:jc w:val="left"/>
      </w:pPr>
      <w:r>
        <w:rPr>
          <w:rFonts w:ascii="Arial" w:hAnsi="Arial" w:eastAsia="等线" w:cs="Arial"/>
          <w:sz w:val="22"/>
        </w:rPr>
        <w:t>它包括：</w:t>
      </w:r>
    </w:p>
    <w:p w14:paraId="66A90932">
      <w:pPr>
        <w:numPr>
          <w:ilvl w:val="0"/>
          <w:numId w:val="62"/>
        </w:numPr>
        <w:spacing w:before="120" w:after="120" w:line="288" w:lineRule="auto"/>
        <w:ind w:left="0"/>
        <w:jc w:val="left"/>
      </w:pPr>
      <w:r>
        <w:rPr>
          <w:rFonts w:ascii="Arial" w:hAnsi="Arial" w:eastAsia="等线" w:cs="Arial"/>
          <w:sz w:val="22"/>
        </w:rPr>
        <w:t>最终发行价格（final offering price）</w:t>
      </w:r>
    </w:p>
    <w:p w14:paraId="39C6F8C9">
      <w:pPr>
        <w:numPr>
          <w:ilvl w:val="0"/>
          <w:numId w:val="63"/>
        </w:numPr>
        <w:spacing w:before="120" w:after="120" w:line="288" w:lineRule="auto"/>
        <w:ind w:left="0"/>
        <w:jc w:val="left"/>
      </w:pPr>
      <w:r>
        <w:rPr>
          <w:rFonts w:ascii="Arial" w:hAnsi="Arial" w:eastAsia="等线" w:cs="Arial"/>
          <w:sz w:val="22"/>
        </w:rPr>
        <w:t>承销商利差（spread）：承销商每股赚取的利润。</w:t>
      </w:r>
    </w:p>
    <w:p w14:paraId="72307D8A">
      <w:pPr>
        <w:numPr>
          <w:ilvl w:val="0"/>
          <w:numId w:val="64"/>
        </w:numPr>
        <w:spacing w:before="120" w:after="120" w:line="288" w:lineRule="auto"/>
        <w:ind w:left="0"/>
        <w:jc w:val="left"/>
      </w:pPr>
      <w:r>
        <w:rPr>
          <w:rFonts w:ascii="Arial" w:hAnsi="Arial" w:eastAsia="等线" w:cs="Arial"/>
          <w:sz w:val="22"/>
        </w:rPr>
        <w:t>生效日期（effective date）：SEC 批准注册声明的日期。</w:t>
      </w:r>
    </w:p>
    <w:p w14:paraId="5DC9ACE6">
      <w:pPr>
        <w:numPr>
          <w:ilvl w:val="0"/>
          <w:numId w:val="65"/>
        </w:numPr>
        <w:spacing w:before="120" w:after="120" w:line="288" w:lineRule="auto"/>
        <w:ind w:left="0"/>
        <w:jc w:val="left"/>
      </w:pPr>
      <w:r>
        <w:rPr>
          <w:rFonts w:ascii="Arial" w:hAnsi="Arial" w:eastAsia="等线" w:cs="Arial"/>
          <w:sz w:val="22"/>
        </w:rPr>
        <w:t>其他关键信息。</w:t>
      </w:r>
    </w:p>
    <w:p w14:paraId="0F14CB8B">
      <w:pPr>
        <w:spacing w:before="120" w:after="120" w:line="288" w:lineRule="auto"/>
        <w:ind w:left="0"/>
        <w:jc w:val="left"/>
      </w:pPr>
    </w:p>
    <w:p w14:paraId="5EBF20FC">
      <w:pPr>
        <w:spacing w:before="120" w:after="120" w:line="288" w:lineRule="auto"/>
        <w:ind w:left="0"/>
        <w:jc w:val="left"/>
      </w:pPr>
      <w:r>
        <w:rPr>
          <w:rFonts w:ascii="Arial" w:hAnsi="Arial" w:eastAsia="等线" w:cs="Arial"/>
          <w:sz w:val="22"/>
        </w:rPr>
        <w:t>最终招股说明书需在生效日期（effective date）后的一段时间内查阅：</w:t>
      </w:r>
    </w:p>
    <w:p w14:paraId="17B8910D">
      <w:pPr>
        <w:numPr>
          <w:ilvl w:val="0"/>
          <w:numId w:val="66"/>
        </w:numPr>
        <w:spacing w:before="120" w:after="120" w:line="288" w:lineRule="auto"/>
        <w:ind w:left="0"/>
        <w:jc w:val="left"/>
      </w:pPr>
      <w:r>
        <w:rPr>
          <w:rFonts w:ascii="Arial" w:hAnsi="Arial" w:eastAsia="等线" w:cs="Arial"/>
          <w:sz w:val="22"/>
        </w:rPr>
        <w:t xml:space="preserve">IPO: </w:t>
      </w:r>
    </w:p>
    <w:p w14:paraId="3BF62603">
      <w:pPr>
        <w:numPr>
          <w:ilvl w:val="0"/>
          <w:numId w:val="67"/>
        </w:numPr>
        <w:spacing w:before="120" w:after="120" w:line="288" w:lineRule="auto"/>
        <w:ind w:left="453"/>
        <w:jc w:val="left"/>
      </w:pPr>
      <w:r>
        <w:rPr>
          <w:rFonts w:ascii="Arial" w:hAnsi="Arial" w:eastAsia="等线" w:cs="Arial"/>
          <w:sz w:val="22"/>
        </w:rPr>
        <w:t>On exchange：25天</w:t>
      </w:r>
    </w:p>
    <w:p w14:paraId="52E683F0">
      <w:pPr>
        <w:numPr>
          <w:ilvl w:val="0"/>
          <w:numId w:val="68"/>
        </w:numPr>
        <w:spacing w:before="120" w:after="120" w:line="288" w:lineRule="auto"/>
        <w:ind w:left="453"/>
        <w:jc w:val="left"/>
      </w:pPr>
      <w:r>
        <w:rPr>
          <w:rFonts w:ascii="Arial" w:hAnsi="Arial" w:eastAsia="等线" w:cs="Arial"/>
          <w:sz w:val="22"/>
        </w:rPr>
        <w:t>Not on exchange：90天</w:t>
      </w:r>
    </w:p>
    <w:p w14:paraId="6E192A62">
      <w:pPr>
        <w:numPr>
          <w:ilvl w:val="0"/>
          <w:numId w:val="69"/>
        </w:numPr>
        <w:spacing w:before="120" w:after="120" w:line="288" w:lineRule="auto"/>
        <w:ind w:left="0"/>
        <w:jc w:val="left"/>
      </w:pPr>
      <w:r>
        <w:rPr>
          <w:rFonts w:ascii="Arial" w:hAnsi="Arial" w:eastAsia="等线" w:cs="Arial"/>
          <w:sz w:val="22"/>
        </w:rPr>
        <w:t>非 IPO：</w:t>
      </w:r>
    </w:p>
    <w:p w14:paraId="520CC13D">
      <w:pPr>
        <w:numPr>
          <w:ilvl w:val="0"/>
          <w:numId w:val="70"/>
        </w:numPr>
        <w:spacing w:before="120" w:after="120" w:line="288" w:lineRule="auto"/>
        <w:ind w:left="453"/>
        <w:jc w:val="left"/>
      </w:pPr>
      <w:r>
        <w:rPr>
          <w:rFonts w:ascii="Arial" w:hAnsi="Arial" w:eastAsia="等线" w:cs="Arial"/>
          <w:sz w:val="22"/>
        </w:rPr>
        <w:t>On exchange：No Requirement</w:t>
      </w:r>
    </w:p>
    <w:p w14:paraId="627D0A05">
      <w:pPr>
        <w:numPr>
          <w:ilvl w:val="0"/>
          <w:numId w:val="71"/>
        </w:numPr>
        <w:spacing w:before="120" w:after="120" w:line="288" w:lineRule="auto"/>
        <w:ind w:left="453"/>
        <w:jc w:val="left"/>
      </w:pPr>
      <w:r>
        <w:rPr>
          <w:rFonts w:ascii="Arial" w:hAnsi="Arial" w:eastAsia="等线" w:cs="Arial"/>
          <w:sz w:val="22"/>
        </w:rPr>
        <w:t>Not on exchange：40天</w:t>
      </w:r>
    </w:p>
    <w:p w14:paraId="2D4C33D6">
      <w:pPr>
        <w:spacing w:before="120" w:after="120" w:line="288" w:lineRule="auto"/>
        <w:ind w:left="0"/>
        <w:jc w:val="left"/>
      </w:pPr>
    </w:p>
    <w:p w14:paraId="5D711A99">
      <w:pPr>
        <w:spacing w:before="320" w:after="120" w:line="288" w:lineRule="auto"/>
        <w:ind w:left="0"/>
        <w:jc w:val="left"/>
        <w:outlineLvl w:val="1"/>
      </w:pPr>
      <w:bookmarkStart w:id="19" w:name="heading_19"/>
      <w:r>
        <w:rPr>
          <w:rFonts w:ascii="Arial" w:hAnsi="Arial" w:eastAsia="等线" w:cs="Arial"/>
          <w:color w:val="3370FF"/>
          <w:sz w:val="32"/>
        </w:rPr>
        <w:t xml:space="preserve">2.2 </w:t>
      </w:r>
      <w:r>
        <w:rPr>
          <w:rFonts w:ascii="Arial" w:hAnsi="Arial" w:eastAsia="等线" w:cs="Arial"/>
          <w:b/>
          <w:sz w:val="32"/>
        </w:rPr>
        <w:t>常见证券发行类型（Types of Securities Offerings）</w:t>
      </w:r>
      <w:bookmarkEnd w:id="1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65"/>
        <w:gridCol w:w="915"/>
        <w:gridCol w:w="4050"/>
        <w:gridCol w:w="1665"/>
      </w:tblGrid>
      <w:tr w14:paraId="3B630C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50BA477D">
            <w:pPr>
              <w:spacing w:before="120" w:after="120" w:line="288" w:lineRule="auto"/>
              <w:ind w:left="0"/>
              <w:jc w:val="left"/>
            </w:pPr>
            <w:r>
              <w:rPr>
                <w:rFonts w:ascii="Arial" w:hAnsi="Arial" w:eastAsia="等线" w:cs="Arial"/>
                <w:b/>
                <w:sz w:val="22"/>
              </w:rPr>
              <w:t>类型</w:t>
            </w:r>
          </w:p>
        </w:tc>
        <w:tc>
          <w:tcPr>
            <w:tcW w:w="915" w:type="dxa"/>
            <w:tcMar>
              <w:top w:w="60" w:type="dxa"/>
              <w:left w:w="120" w:type="dxa"/>
              <w:bottom w:w="30" w:type="dxa"/>
              <w:right w:w="120" w:type="dxa"/>
            </w:tcMar>
          </w:tcPr>
          <w:p w14:paraId="2FEC8FED">
            <w:pPr>
              <w:spacing w:before="120" w:after="120" w:line="288" w:lineRule="auto"/>
              <w:ind w:left="0"/>
              <w:jc w:val="left"/>
            </w:pPr>
            <w:r>
              <w:rPr>
                <w:rFonts w:ascii="Arial" w:hAnsi="Arial" w:eastAsia="等线" w:cs="Arial"/>
                <w:b/>
                <w:sz w:val="22"/>
              </w:rPr>
              <w:t>名称</w:t>
            </w:r>
          </w:p>
        </w:tc>
        <w:tc>
          <w:tcPr>
            <w:tcW w:w="4050" w:type="dxa"/>
            <w:tcMar>
              <w:top w:w="60" w:type="dxa"/>
              <w:left w:w="120" w:type="dxa"/>
              <w:bottom w:w="30" w:type="dxa"/>
              <w:right w:w="120" w:type="dxa"/>
            </w:tcMar>
          </w:tcPr>
          <w:p w14:paraId="186A46A9">
            <w:pPr>
              <w:spacing w:before="120" w:after="120" w:line="288" w:lineRule="auto"/>
              <w:ind w:left="0"/>
              <w:jc w:val="left"/>
            </w:pPr>
            <w:r>
              <w:rPr>
                <w:rFonts w:ascii="Arial" w:hAnsi="Arial" w:eastAsia="等线" w:cs="Arial"/>
                <w:b/>
                <w:sz w:val="22"/>
              </w:rPr>
              <w:t>定义</w:t>
            </w:r>
          </w:p>
        </w:tc>
        <w:tc>
          <w:tcPr>
            <w:tcW w:w="1665" w:type="dxa"/>
            <w:tcMar>
              <w:top w:w="60" w:type="dxa"/>
              <w:left w:w="120" w:type="dxa"/>
              <w:bottom w:w="30" w:type="dxa"/>
              <w:right w:w="120" w:type="dxa"/>
            </w:tcMar>
          </w:tcPr>
          <w:p w14:paraId="7B1928DD">
            <w:pPr>
              <w:spacing w:before="120" w:after="120" w:line="288" w:lineRule="auto"/>
              <w:ind w:left="0"/>
              <w:jc w:val="left"/>
            </w:pPr>
            <w:r>
              <w:rPr>
                <w:rFonts w:ascii="Arial" w:hAnsi="Arial" w:eastAsia="等线" w:cs="Arial"/>
                <w:b/>
                <w:sz w:val="22"/>
              </w:rPr>
              <w:t>谁受益</w:t>
            </w:r>
          </w:p>
        </w:tc>
      </w:tr>
      <w:tr w14:paraId="19A9CE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099551D9">
            <w:pPr>
              <w:spacing w:before="120" w:after="120" w:line="288" w:lineRule="auto"/>
              <w:ind w:left="0"/>
              <w:jc w:val="left"/>
            </w:pPr>
            <w:r>
              <w:rPr>
                <w:rFonts w:ascii="Arial" w:hAnsi="Arial" w:eastAsia="等线" w:cs="Arial"/>
                <w:sz w:val="22"/>
              </w:rPr>
              <w:t>IPO</w:t>
            </w:r>
          </w:p>
        </w:tc>
        <w:tc>
          <w:tcPr>
            <w:tcW w:w="915" w:type="dxa"/>
            <w:tcMar>
              <w:top w:w="60" w:type="dxa"/>
              <w:left w:w="120" w:type="dxa"/>
              <w:bottom w:w="30" w:type="dxa"/>
              <w:right w:w="120" w:type="dxa"/>
            </w:tcMar>
          </w:tcPr>
          <w:p w14:paraId="50CBF0E7">
            <w:pPr>
              <w:spacing w:before="120" w:after="120" w:line="288" w:lineRule="auto"/>
              <w:ind w:left="0"/>
              <w:jc w:val="left"/>
            </w:pPr>
            <w:r>
              <w:rPr>
                <w:rFonts w:ascii="Arial" w:hAnsi="Arial" w:eastAsia="等线" w:cs="Arial"/>
                <w:sz w:val="22"/>
              </w:rPr>
              <w:t>首次公开发行</w:t>
            </w:r>
          </w:p>
        </w:tc>
        <w:tc>
          <w:tcPr>
            <w:tcW w:w="4050" w:type="dxa"/>
            <w:tcMar>
              <w:top w:w="60" w:type="dxa"/>
              <w:left w:w="120" w:type="dxa"/>
              <w:bottom w:w="30" w:type="dxa"/>
              <w:right w:w="120" w:type="dxa"/>
            </w:tcMar>
          </w:tcPr>
          <w:p w14:paraId="10DC2A47">
            <w:pPr>
              <w:spacing w:before="120" w:after="120" w:line="288" w:lineRule="auto"/>
              <w:ind w:left="0"/>
              <w:jc w:val="left"/>
            </w:pPr>
            <w:r>
              <w:rPr>
                <w:rFonts w:ascii="Arial" w:hAnsi="Arial" w:eastAsia="等线" w:cs="Arial"/>
                <w:sz w:val="22"/>
              </w:rPr>
              <w:t>公司首次向公众发行股票（Initial Public Offerings），为 Primary Offering 的一种形式。</w:t>
            </w:r>
          </w:p>
        </w:tc>
        <w:tc>
          <w:tcPr>
            <w:tcW w:w="1665" w:type="dxa"/>
            <w:tcMar>
              <w:top w:w="60" w:type="dxa"/>
              <w:left w:w="120" w:type="dxa"/>
              <w:bottom w:w="30" w:type="dxa"/>
              <w:right w:w="120" w:type="dxa"/>
            </w:tcMar>
          </w:tcPr>
          <w:p w14:paraId="2EDD0A32">
            <w:pPr>
              <w:spacing w:before="120" w:after="120" w:line="288" w:lineRule="auto"/>
              <w:ind w:left="0"/>
              <w:jc w:val="left"/>
            </w:pPr>
            <w:r>
              <w:rPr>
                <w:rFonts w:ascii="Arial" w:hAnsi="Arial" w:eastAsia="等线" w:cs="Arial"/>
                <w:sz w:val="22"/>
              </w:rPr>
              <w:t>筹集的资金大部分流向发行人，其余部分流向承销商。</w:t>
            </w:r>
          </w:p>
        </w:tc>
      </w:tr>
      <w:tr w14:paraId="268B13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7833D7CD">
            <w:pPr>
              <w:spacing w:before="120" w:after="120" w:line="288" w:lineRule="auto"/>
              <w:ind w:left="0"/>
              <w:jc w:val="left"/>
            </w:pPr>
            <w:r>
              <w:rPr>
                <w:rFonts w:ascii="Arial" w:hAnsi="Arial" w:eastAsia="等线" w:cs="Arial"/>
                <w:sz w:val="22"/>
              </w:rPr>
              <w:t>Primary Offering</w:t>
            </w:r>
          </w:p>
        </w:tc>
        <w:tc>
          <w:tcPr>
            <w:tcW w:w="915" w:type="dxa"/>
            <w:tcMar>
              <w:top w:w="60" w:type="dxa"/>
              <w:left w:w="120" w:type="dxa"/>
              <w:bottom w:w="30" w:type="dxa"/>
              <w:right w:w="120" w:type="dxa"/>
            </w:tcMar>
          </w:tcPr>
          <w:p w14:paraId="691600A4">
            <w:pPr>
              <w:spacing w:before="120" w:after="120" w:line="288" w:lineRule="auto"/>
              <w:ind w:left="0"/>
              <w:jc w:val="left"/>
            </w:pPr>
            <w:r>
              <w:rPr>
                <w:rFonts w:ascii="Arial" w:hAnsi="Arial" w:eastAsia="等线" w:cs="Arial"/>
                <w:sz w:val="22"/>
              </w:rPr>
              <w:t>一级市场发行</w:t>
            </w:r>
          </w:p>
        </w:tc>
        <w:tc>
          <w:tcPr>
            <w:tcW w:w="4050" w:type="dxa"/>
            <w:tcMar>
              <w:top w:w="60" w:type="dxa"/>
              <w:left w:w="120" w:type="dxa"/>
              <w:bottom w:w="30" w:type="dxa"/>
              <w:right w:w="120" w:type="dxa"/>
            </w:tcMar>
          </w:tcPr>
          <w:p w14:paraId="48E87755">
            <w:pPr>
              <w:spacing w:before="120" w:after="120" w:line="288" w:lineRule="auto"/>
              <w:ind w:left="0"/>
              <w:jc w:val="left"/>
            </w:pPr>
            <w:r>
              <w:rPr>
                <w:rFonts w:ascii="Arial" w:hAnsi="Arial" w:eastAsia="等线" w:cs="Arial"/>
                <w:sz w:val="22"/>
              </w:rPr>
              <w:t>由新发行人或已发行证券的发行人发行新证券；如果公司愿意，它可以进行一次 IPO 和多次 Primary Offering。</w:t>
            </w:r>
          </w:p>
        </w:tc>
        <w:tc>
          <w:tcPr>
            <w:tcW w:w="1665" w:type="dxa"/>
            <w:tcMar>
              <w:top w:w="60" w:type="dxa"/>
              <w:left w:w="120" w:type="dxa"/>
              <w:bottom w:w="30" w:type="dxa"/>
              <w:right w:w="120" w:type="dxa"/>
            </w:tcMar>
          </w:tcPr>
          <w:p w14:paraId="751B12E9">
            <w:pPr>
              <w:spacing w:before="120" w:after="120" w:line="288" w:lineRule="auto"/>
              <w:ind w:left="0"/>
              <w:jc w:val="left"/>
            </w:pPr>
            <w:r>
              <w:rPr>
                <w:rFonts w:ascii="Arial" w:hAnsi="Arial" w:eastAsia="等线" w:cs="Arial"/>
                <w:sz w:val="22"/>
              </w:rPr>
              <w:t>公司获得资金，现有股东持股比例被稀释。</w:t>
            </w:r>
          </w:p>
        </w:tc>
      </w:tr>
      <w:tr w14:paraId="275923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374BE01B">
            <w:pPr>
              <w:spacing w:before="120" w:after="120" w:line="288" w:lineRule="auto"/>
              <w:ind w:left="0"/>
              <w:jc w:val="left"/>
            </w:pPr>
            <w:r>
              <w:rPr>
                <w:rFonts w:ascii="Arial" w:hAnsi="Arial" w:eastAsia="等线" w:cs="Arial"/>
                <w:sz w:val="22"/>
              </w:rPr>
              <w:t>Secondary Offering</w:t>
            </w:r>
          </w:p>
        </w:tc>
        <w:tc>
          <w:tcPr>
            <w:tcW w:w="915" w:type="dxa"/>
            <w:tcMar>
              <w:top w:w="60" w:type="dxa"/>
              <w:left w:w="120" w:type="dxa"/>
              <w:bottom w:w="30" w:type="dxa"/>
              <w:right w:w="120" w:type="dxa"/>
            </w:tcMar>
          </w:tcPr>
          <w:p w14:paraId="36356410">
            <w:pPr>
              <w:spacing w:before="120" w:after="120" w:line="288" w:lineRule="auto"/>
              <w:ind w:left="0"/>
              <w:jc w:val="left"/>
            </w:pPr>
            <w:r>
              <w:rPr>
                <w:rFonts w:ascii="Arial" w:hAnsi="Arial" w:eastAsia="等线" w:cs="Arial"/>
                <w:sz w:val="22"/>
              </w:rPr>
              <w:t>二级市场发行</w:t>
            </w:r>
          </w:p>
        </w:tc>
        <w:tc>
          <w:tcPr>
            <w:tcW w:w="4050" w:type="dxa"/>
            <w:tcMar>
              <w:top w:w="60" w:type="dxa"/>
              <w:left w:w="120" w:type="dxa"/>
              <w:bottom w:w="30" w:type="dxa"/>
              <w:right w:w="120" w:type="dxa"/>
            </w:tcMar>
          </w:tcPr>
          <w:p w14:paraId="5C102A9E">
            <w:pPr>
              <w:spacing w:before="120" w:after="120" w:line="288" w:lineRule="auto"/>
              <w:ind w:left="0"/>
              <w:jc w:val="left"/>
            </w:pPr>
            <w:r>
              <w:rPr>
                <w:rFonts w:ascii="Arial" w:hAnsi="Arial" w:eastAsia="等线" w:cs="Arial"/>
                <w:sz w:val="22"/>
              </w:rPr>
              <w:t>二次发行的本质是：已上市股票的再销售。如现有股东出售其所持股份，创始人、早期投资者退出。</w:t>
            </w:r>
          </w:p>
          <w:p w14:paraId="3D1B2A40">
            <w:pPr>
              <w:spacing w:before="120" w:after="120" w:line="288" w:lineRule="auto"/>
              <w:ind w:left="0"/>
              <w:jc w:val="left"/>
            </w:pPr>
          </w:p>
        </w:tc>
        <w:tc>
          <w:tcPr>
            <w:tcW w:w="1665" w:type="dxa"/>
            <w:tcMar>
              <w:top w:w="60" w:type="dxa"/>
              <w:left w:w="120" w:type="dxa"/>
              <w:bottom w:w="30" w:type="dxa"/>
              <w:right w:w="120" w:type="dxa"/>
            </w:tcMar>
          </w:tcPr>
          <w:p w14:paraId="18E85FF2">
            <w:pPr>
              <w:spacing w:before="120" w:after="120" w:line="288" w:lineRule="auto"/>
              <w:ind w:left="0"/>
              <w:jc w:val="left"/>
            </w:pPr>
            <w:r>
              <w:rPr>
                <w:rFonts w:ascii="Arial" w:hAnsi="Arial" w:eastAsia="等线" w:cs="Arial"/>
                <w:sz w:val="22"/>
              </w:rPr>
              <w:t>收益不归发行人所有（除了库存股票），归出售股票的股东所有。</w:t>
            </w:r>
          </w:p>
        </w:tc>
      </w:tr>
      <w:tr w14:paraId="65818F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63AA06A7">
            <w:pPr>
              <w:spacing w:before="120" w:after="120" w:line="288" w:lineRule="auto"/>
              <w:ind w:left="0"/>
              <w:jc w:val="left"/>
            </w:pPr>
            <w:r>
              <w:rPr>
                <w:rFonts w:ascii="Arial" w:hAnsi="Arial" w:eastAsia="等线" w:cs="Arial"/>
                <w:sz w:val="22"/>
              </w:rPr>
              <w:t>Combined(Split) Offering</w:t>
            </w:r>
          </w:p>
          <w:p w14:paraId="60848837">
            <w:pPr>
              <w:spacing w:before="120" w:after="120" w:line="288" w:lineRule="auto"/>
              <w:ind w:left="0"/>
              <w:jc w:val="left"/>
            </w:pPr>
          </w:p>
        </w:tc>
        <w:tc>
          <w:tcPr>
            <w:tcW w:w="915" w:type="dxa"/>
            <w:tcMar>
              <w:top w:w="60" w:type="dxa"/>
              <w:left w:w="120" w:type="dxa"/>
              <w:bottom w:w="30" w:type="dxa"/>
              <w:right w:w="120" w:type="dxa"/>
            </w:tcMar>
          </w:tcPr>
          <w:p w14:paraId="71F54343">
            <w:pPr>
              <w:spacing w:before="120" w:after="120" w:line="288" w:lineRule="auto"/>
              <w:ind w:left="0"/>
              <w:jc w:val="left"/>
            </w:pPr>
            <w:r>
              <w:rPr>
                <w:rFonts w:ascii="Arial" w:hAnsi="Arial" w:eastAsia="等线" w:cs="Arial"/>
                <w:sz w:val="22"/>
              </w:rPr>
              <w:t>混合/拆分发行</w:t>
            </w:r>
          </w:p>
        </w:tc>
        <w:tc>
          <w:tcPr>
            <w:tcW w:w="4050" w:type="dxa"/>
            <w:tcMar>
              <w:top w:w="60" w:type="dxa"/>
              <w:left w:w="120" w:type="dxa"/>
              <w:bottom w:w="30" w:type="dxa"/>
              <w:right w:w="120" w:type="dxa"/>
            </w:tcMar>
          </w:tcPr>
          <w:p w14:paraId="16567DD0">
            <w:pPr>
              <w:spacing w:before="120" w:after="120" w:line="288" w:lineRule="auto"/>
              <w:ind w:left="0"/>
              <w:jc w:val="left"/>
            </w:pPr>
            <w:r>
              <w:rPr>
                <w:rFonts w:ascii="Arial" w:hAnsi="Arial" w:eastAsia="等线" w:cs="Arial"/>
                <w:sz w:val="22"/>
              </w:rPr>
              <w:t>同时包含 Primary 和 Secondary 两种发行方式。包括新发行和已发行的证券。</w:t>
            </w:r>
          </w:p>
          <w:p w14:paraId="4B0B3784">
            <w:pPr>
              <w:spacing w:before="120" w:after="120" w:line="288" w:lineRule="auto"/>
              <w:ind w:left="0"/>
              <w:jc w:val="left"/>
            </w:pPr>
          </w:p>
        </w:tc>
        <w:tc>
          <w:tcPr>
            <w:tcW w:w="1665" w:type="dxa"/>
            <w:tcMar>
              <w:top w:w="60" w:type="dxa"/>
              <w:left w:w="120" w:type="dxa"/>
              <w:bottom w:w="30" w:type="dxa"/>
              <w:right w:w="120" w:type="dxa"/>
            </w:tcMar>
          </w:tcPr>
          <w:p w14:paraId="3F176658">
            <w:pPr>
              <w:spacing w:before="120" w:after="120" w:line="288" w:lineRule="auto"/>
              <w:ind w:left="0"/>
              <w:jc w:val="left"/>
            </w:pPr>
            <w:r>
              <w:rPr>
                <w:rFonts w:ascii="Arial" w:hAnsi="Arial" w:eastAsia="等线" w:cs="Arial"/>
                <w:sz w:val="22"/>
              </w:rPr>
              <w:t>收益的一部分归发行者所有，一部分归出售股票的股东所有。</w:t>
            </w:r>
          </w:p>
        </w:tc>
      </w:tr>
    </w:tbl>
    <w:p w14:paraId="0F70E120"/>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C6F243F">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28F5B980">
            <w:pPr>
              <w:spacing w:before="120" w:after="120" w:line="288" w:lineRule="auto"/>
              <w:ind w:left="0"/>
              <w:jc w:val="left"/>
            </w:pPr>
            <w:r>
              <w:rPr>
                <w:rFonts w:ascii="Arial" w:hAnsi="Arial" w:eastAsia="等线" w:cs="Arial"/>
                <w:sz w:val="22"/>
              </w:rPr>
              <w:t>注意区分：Outstanding Shares 是市场上流通的股票；Treasury Stock 是公司回购的库存股票。</w:t>
            </w:r>
          </w:p>
        </w:tc>
      </w:tr>
    </w:tbl>
    <w:p w14:paraId="1F35817E">
      <w:pPr>
        <w:spacing w:before="120" w:after="120" w:line="288" w:lineRule="auto"/>
        <w:ind w:left="0"/>
        <w:jc w:val="left"/>
      </w:pP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11D27C2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38D67B88">
            <w:pPr>
              <w:numPr>
                <w:ilvl w:val="0"/>
                <w:numId w:val="72"/>
              </w:numPr>
              <w:spacing w:before="120" w:after="120" w:line="288" w:lineRule="auto"/>
              <w:ind w:left="0"/>
              <w:jc w:val="left"/>
            </w:pPr>
            <w:r>
              <w:rPr>
                <w:rFonts w:ascii="Arial" w:hAnsi="Arial" w:eastAsia="等线" w:cs="Arial"/>
                <w:sz w:val="22"/>
              </w:rPr>
              <w:t xml:space="preserve">A corporation is offering 1 million shares of its common stock to the public. Of those shares, 600,000 are authorized but previously unissued, while insiders of the company are selling the other 400,000 shares. What type of offering is this? </w:t>
            </w:r>
          </w:p>
          <w:p w14:paraId="047CA4FF">
            <w:pPr>
              <w:spacing w:before="120" w:after="120" w:line="288" w:lineRule="auto"/>
              <w:ind w:left="0" w:firstLine="0"/>
              <w:jc w:val="left"/>
            </w:pPr>
            <w:r>
              <w:rPr>
                <w:rFonts w:ascii="Arial" w:hAnsi="Arial" w:eastAsia="等线" w:cs="Arial"/>
                <w:sz w:val="22"/>
              </w:rPr>
              <w:t>(A) IPO</w:t>
            </w:r>
          </w:p>
          <w:p w14:paraId="0DB700DE">
            <w:pPr>
              <w:spacing w:before="120" w:after="120" w:line="288" w:lineRule="auto"/>
              <w:ind w:left="0"/>
              <w:jc w:val="left"/>
            </w:pPr>
            <w:r>
              <w:rPr>
                <w:rFonts w:ascii="Arial" w:hAnsi="Arial" w:eastAsia="等线" w:cs="Arial"/>
                <w:sz w:val="22"/>
              </w:rPr>
              <w:t>(B) Primary</w:t>
            </w:r>
          </w:p>
          <w:p w14:paraId="1D9C1DA7">
            <w:pPr>
              <w:spacing w:before="120" w:after="120" w:line="288" w:lineRule="auto"/>
              <w:ind w:left="0"/>
              <w:jc w:val="left"/>
            </w:pPr>
            <w:r>
              <w:rPr>
                <w:rFonts w:ascii="Arial" w:hAnsi="Arial" w:eastAsia="等线" w:cs="Arial"/>
                <w:sz w:val="22"/>
              </w:rPr>
              <w:t>(C) Secondary</w:t>
            </w:r>
          </w:p>
          <w:p w14:paraId="7B12D22D">
            <w:pPr>
              <w:spacing w:before="120" w:after="120" w:line="288" w:lineRule="auto"/>
              <w:ind w:left="0"/>
              <w:jc w:val="left"/>
            </w:pPr>
            <w:r>
              <w:rPr>
                <w:rFonts w:ascii="Arial" w:hAnsi="Arial" w:eastAsia="等线" w:cs="Arial"/>
                <w:sz w:val="22"/>
              </w:rPr>
              <w:t>(D) Combined</w:t>
            </w:r>
          </w:p>
        </w:tc>
      </w:tr>
    </w:tbl>
    <w:p w14:paraId="1633E10F">
      <w:pPr>
        <w:spacing w:before="120" w:after="120" w:line="288" w:lineRule="auto"/>
        <w:ind w:left="0"/>
        <w:jc w:val="left"/>
      </w:pPr>
    </w:p>
    <w:p w14:paraId="30FC8980">
      <w:pPr>
        <w:spacing w:before="320" w:after="120" w:line="288" w:lineRule="auto"/>
        <w:ind w:left="0"/>
        <w:jc w:val="left"/>
        <w:outlineLvl w:val="1"/>
      </w:pPr>
      <w:bookmarkStart w:id="20" w:name="heading_20"/>
      <w:r>
        <w:rPr>
          <w:rFonts w:ascii="Arial" w:hAnsi="Arial" w:eastAsia="等线" w:cs="Arial"/>
          <w:color w:val="3370FF"/>
          <w:sz w:val="32"/>
        </w:rPr>
        <w:t xml:space="preserve">2.3 </w:t>
      </w:r>
      <w:r>
        <w:rPr>
          <w:rFonts w:ascii="Arial" w:hAnsi="Arial" w:eastAsia="等线" w:cs="Arial"/>
          <w:b/>
          <w:sz w:val="32"/>
        </w:rPr>
        <w:t>豁免情形</w:t>
      </w:r>
      <w:bookmarkEnd w:id="20"/>
    </w:p>
    <w:p w14:paraId="021DD9FC">
      <w:pPr>
        <w:spacing w:before="120" w:after="120" w:line="288" w:lineRule="auto"/>
        <w:ind w:left="0"/>
        <w:jc w:val="left"/>
      </w:pPr>
      <w:r>
        <w:rPr>
          <w:rFonts w:ascii="Arial" w:hAnsi="Arial" w:eastAsia="等线" w:cs="Arial"/>
          <w:sz w:val="22"/>
        </w:rPr>
        <w:t>某些证券因其类型或所涉及的交易类型而免于注册（Exempt from Registration）。</w:t>
      </w:r>
    </w:p>
    <w:p w14:paraId="41D8DA48">
      <w:pPr>
        <w:spacing w:before="120" w:after="120" w:line="288" w:lineRule="auto"/>
        <w:ind w:left="0"/>
        <w:jc w:val="left"/>
      </w:pPr>
    </w:p>
    <w:p w14:paraId="6FA7D7A1">
      <w:pPr>
        <w:spacing w:before="120" w:after="120" w:line="288" w:lineRule="auto"/>
        <w:ind w:left="0"/>
        <w:jc w:val="left"/>
      </w:pPr>
      <w:r>
        <w:rPr>
          <w:rFonts w:ascii="Arial" w:hAnsi="Arial" w:eastAsia="等线" w:cs="Arial"/>
          <w:sz w:val="22"/>
        </w:rPr>
        <w:t>您可能会发现，那些因发行人身份而获得豁免的证券更容易识别。对于因交易类型而豁免注册的证券，您可能需要多花一些时间去了解。</w:t>
      </w:r>
    </w:p>
    <w:p w14:paraId="3C179A5B">
      <w:pPr>
        <w:spacing w:before="120" w:after="120" w:line="288" w:lineRule="auto"/>
        <w:ind w:left="0"/>
        <w:jc w:val="left"/>
      </w:pPr>
    </w:p>
    <w:p w14:paraId="6ADA095E">
      <w:pPr>
        <w:spacing w:before="300" w:after="120" w:line="288" w:lineRule="auto"/>
        <w:ind w:left="0"/>
        <w:jc w:val="left"/>
        <w:outlineLvl w:val="2"/>
      </w:pPr>
      <w:bookmarkStart w:id="21" w:name="heading_21"/>
      <w:r>
        <w:rPr>
          <w:rFonts w:ascii="Arial" w:hAnsi="Arial" w:eastAsia="等线" w:cs="Arial"/>
          <w:color w:val="3370FF"/>
          <w:sz w:val="30"/>
        </w:rPr>
        <w:t xml:space="preserve">2.3.1 </w:t>
      </w:r>
      <w:r>
        <w:rPr>
          <w:rFonts w:ascii="Arial" w:hAnsi="Arial" w:eastAsia="等线" w:cs="Arial"/>
          <w:b/>
          <w:sz w:val="30"/>
        </w:rPr>
        <w:t>豁免证券</w:t>
      </w:r>
      <w:bookmarkEnd w:id="21"/>
    </w:p>
    <w:p w14:paraId="6E120D36">
      <w:pPr>
        <w:spacing w:before="120" w:after="120" w:line="288" w:lineRule="auto"/>
        <w:ind w:left="0"/>
        <w:jc w:val="left"/>
      </w:pPr>
      <w:r>
        <w:rPr>
          <w:rFonts w:ascii="Arial" w:hAnsi="Arial" w:eastAsia="等线" w:cs="Arial"/>
          <w:sz w:val="22"/>
        </w:rPr>
        <w:t>豁免证券（Exempt Securities）指某些证券豁免于《1933年证券法》的注册要求。</w:t>
      </w:r>
    </w:p>
    <w:p w14:paraId="5BFEE0CA">
      <w:pPr>
        <w:spacing w:before="120" w:after="120" w:line="288" w:lineRule="auto"/>
        <w:ind w:left="0"/>
        <w:jc w:val="left"/>
      </w:pPr>
    </w:p>
    <w:p w14:paraId="305EC040">
      <w:pPr>
        <w:spacing w:before="120" w:after="120" w:line="288" w:lineRule="auto"/>
        <w:ind w:left="0"/>
        <w:jc w:val="left"/>
      </w:pPr>
      <w:r>
        <w:rPr>
          <w:rFonts w:ascii="Arial" w:hAnsi="Arial" w:eastAsia="等线" w:cs="Arial"/>
          <w:sz w:val="22"/>
        </w:rPr>
        <w:t>这些证券的发行方要么具有较高的信用评级，要么受到另一个政府监管机构的某种管辖。这类证券包括：</w:t>
      </w:r>
    </w:p>
    <w:p w14:paraId="3F9CF7A3">
      <w:pPr>
        <w:numPr>
          <w:ilvl w:val="0"/>
          <w:numId w:val="73"/>
        </w:numPr>
        <w:spacing w:before="120" w:after="120" w:line="288" w:lineRule="auto"/>
        <w:ind w:left="0"/>
        <w:jc w:val="left"/>
      </w:pPr>
      <w:r>
        <w:rPr>
          <w:rFonts w:ascii="Arial" w:hAnsi="Arial" w:eastAsia="等线" w:cs="Arial"/>
          <w:sz w:val="22"/>
        </w:rPr>
        <w:t>美国政府（短期国库券、中期国库券、长期国库券等）或联邦机构（Federal Agencies）发行的证券。</w:t>
      </w:r>
    </w:p>
    <w:p w14:paraId="228D850B">
      <w:pPr>
        <w:numPr>
          <w:ilvl w:val="0"/>
          <w:numId w:val="74"/>
        </w:numPr>
        <w:spacing w:before="120" w:after="120" w:line="288" w:lineRule="auto"/>
        <w:ind w:left="0"/>
        <w:jc w:val="left"/>
      </w:pPr>
      <w:r>
        <w:rPr>
          <w:rFonts w:ascii="Arial" w:hAnsi="Arial" w:eastAsia="等线" w:cs="Arial"/>
          <w:sz w:val="22"/>
        </w:rPr>
        <w:t>市政证券（地方政府债券和票据）。</w:t>
      </w:r>
    </w:p>
    <w:p w14:paraId="29EEF148">
      <w:pPr>
        <w:numPr>
          <w:ilvl w:val="0"/>
          <w:numId w:val="75"/>
        </w:numPr>
        <w:spacing w:before="120" w:after="120" w:line="288" w:lineRule="auto"/>
        <w:ind w:left="0"/>
        <w:jc w:val="left"/>
      </w:pPr>
      <w:r>
        <w:rPr>
          <w:rFonts w:ascii="Arial" w:hAnsi="Arial" w:eastAsia="等线" w:cs="Arial"/>
          <w:sz w:val="22"/>
        </w:rPr>
        <w:t>由银行、储蓄机构和信用合作社发行的证券（Securities issued by banks, savings institutions, and credit unions）</w:t>
      </w:r>
    </w:p>
    <w:p w14:paraId="127E93E5">
      <w:pPr>
        <w:numPr>
          <w:ilvl w:val="0"/>
          <w:numId w:val="76"/>
        </w:numPr>
        <w:spacing w:before="120" w:after="120" w:line="288" w:lineRule="auto"/>
        <w:ind w:left="0"/>
        <w:jc w:val="left"/>
      </w:pPr>
      <w:r>
        <w:rPr>
          <w:rFonts w:ascii="Arial" w:hAnsi="Arial" w:eastAsia="等线" w:cs="Arial"/>
          <w:sz w:val="22"/>
        </w:rPr>
        <w:t>公用事业股票或债券（Public utility stocks or bonds）。</w:t>
      </w:r>
    </w:p>
    <w:p w14:paraId="3CCCEF5A">
      <w:pPr>
        <w:numPr>
          <w:ilvl w:val="0"/>
          <w:numId w:val="77"/>
        </w:numPr>
        <w:spacing w:before="120" w:after="120" w:line="288" w:lineRule="auto"/>
        <w:ind w:left="0"/>
        <w:jc w:val="left"/>
      </w:pPr>
      <w:r>
        <w:rPr>
          <w:rFonts w:ascii="Arial" w:hAnsi="Arial" w:eastAsia="等线" w:cs="Arial"/>
          <w:sz w:val="22"/>
        </w:rPr>
        <w:t>由宗教、教育或非营利组织发行的证券（Securities issued by religious, educational, or not-for-profit organizations）</w:t>
      </w:r>
    </w:p>
    <w:p w14:paraId="509E9F75">
      <w:pPr>
        <w:numPr>
          <w:ilvl w:val="0"/>
          <w:numId w:val="78"/>
        </w:numPr>
        <w:spacing w:before="120" w:after="120" w:line="288" w:lineRule="auto"/>
        <w:ind w:left="0"/>
        <w:jc w:val="left"/>
      </w:pPr>
      <w:r>
        <w:rPr>
          <w:rFonts w:ascii="Arial" w:hAnsi="Arial" w:eastAsia="等线" w:cs="Arial"/>
          <w:sz w:val="22"/>
        </w:rPr>
        <w:t>票据（Notes）、汇票（Bills of Exchange）、银行承兑汇票（Bankers’ Acceptances）和商业票据（Commercial Paper），这些初始期限&lt;=270天的无担保公司债务证券。</w:t>
      </w:r>
    </w:p>
    <w:p w14:paraId="008C7D2B">
      <w:pPr>
        <w:numPr>
          <w:ilvl w:val="0"/>
          <w:numId w:val="79"/>
        </w:numPr>
        <w:spacing w:before="120" w:after="120" w:line="288" w:lineRule="auto"/>
        <w:ind w:left="0"/>
        <w:jc w:val="left"/>
      </w:pPr>
      <w:r>
        <w:rPr>
          <w:rFonts w:ascii="Arial" w:hAnsi="Arial" w:eastAsia="等线" w:cs="Arial"/>
          <w:sz w:val="22"/>
        </w:rPr>
        <w:t>保险单（Insurance policies）和固定年金（Fixed Annuities）。</w:t>
      </w:r>
    </w:p>
    <w:p w14:paraId="3C9A2E1B">
      <w:pPr>
        <w:spacing w:before="120" w:after="120" w:line="288" w:lineRule="auto"/>
        <w:ind w:left="0"/>
        <w:jc w:val="left"/>
      </w:pPr>
      <w:r>
        <w:rPr>
          <w:rFonts w:ascii="Arial" w:hAnsi="Arial" w:eastAsia="等线" w:cs="Arial"/>
          <w:sz w:val="22"/>
        </w:rPr>
        <w:t>固定年金并非证券，且无需在 SEC 注册，因为发行保险公司会保证支付金额。然而，可变年金需要注册，因为其支付金额会根据独立账户中持有的证券表现而变化。有关年金和其他打包证券的更多信息，请参见第9章。</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25B53D0">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6F6B2D22">
            <w:pPr>
              <w:spacing w:before="120" w:after="120" w:line="288" w:lineRule="auto"/>
              <w:ind w:left="0"/>
              <w:jc w:val="left"/>
            </w:pPr>
            <w:r>
              <w:rPr>
                <w:rFonts w:ascii="Arial" w:hAnsi="Arial" w:eastAsia="等线" w:cs="Arial"/>
                <w:sz w:val="22"/>
              </w:rPr>
              <w:t>辅助记忆：政府发行的、有保障的、期限短的可以根据 Securities Act of 1933 免于注册。</w:t>
            </w:r>
          </w:p>
          <w:p w14:paraId="461A7B1D">
            <w:pPr>
              <w:spacing w:before="120" w:after="120" w:line="288" w:lineRule="auto"/>
              <w:ind w:left="0"/>
              <w:jc w:val="left"/>
            </w:pPr>
            <w:r>
              <w:rPr>
                <w:rFonts w:ascii="Arial" w:hAnsi="Arial" w:eastAsia="等线" w:cs="Arial"/>
                <w:sz w:val="22"/>
              </w:rPr>
              <w:t>上一小结我们学习过 Register security with SEC，还能记起内容吗？</w:t>
            </w:r>
          </w:p>
        </w:tc>
      </w:tr>
    </w:tbl>
    <w:p w14:paraId="02C088C3">
      <w:pPr>
        <w:spacing w:before="300" w:after="120" w:line="288" w:lineRule="auto"/>
        <w:ind w:left="0"/>
        <w:jc w:val="left"/>
        <w:outlineLvl w:val="2"/>
      </w:pPr>
      <w:bookmarkStart w:id="22" w:name="heading_22"/>
      <w:r>
        <w:rPr>
          <w:rFonts w:ascii="Arial" w:hAnsi="Arial" w:eastAsia="等线" w:cs="Arial"/>
          <w:color w:val="3370FF"/>
          <w:sz w:val="30"/>
        </w:rPr>
        <w:t xml:space="preserve">2.3.2 </w:t>
      </w:r>
      <w:r>
        <w:rPr>
          <w:rFonts w:ascii="Arial" w:hAnsi="Arial" w:eastAsia="等线" w:cs="Arial"/>
          <w:b/>
          <w:sz w:val="30"/>
        </w:rPr>
        <w:t>豁免交易（Exempt transactions）</w:t>
      </w:r>
      <w:bookmarkEnd w:id="22"/>
    </w:p>
    <w:p w14:paraId="25C0991E">
      <w:pPr>
        <w:spacing w:before="120" w:after="120" w:line="288" w:lineRule="auto"/>
        <w:ind w:left="0"/>
        <w:jc w:val="left"/>
      </w:pPr>
      <w:r>
        <w:rPr>
          <w:rFonts w:ascii="Arial" w:hAnsi="Arial" w:eastAsia="等线" w:cs="Arial"/>
          <w:sz w:val="22"/>
        </w:rPr>
        <w:t>由于销售性质，公司提供的某些证券可能豁免于《1933年证券法》的全部注册要求（Full Registration Requirements）。</w:t>
      </w:r>
    </w:p>
    <w:p w14:paraId="6920236D">
      <w:pPr>
        <w:spacing w:before="120" w:after="120" w:line="288" w:lineRule="auto"/>
        <w:ind w:left="0"/>
        <w:jc w:val="left"/>
      </w:pPr>
    </w:p>
    <w:p w14:paraId="00B82419">
      <w:pPr>
        <w:spacing w:before="120" w:after="120" w:line="288" w:lineRule="auto"/>
        <w:ind w:left="0"/>
        <w:jc w:val="left"/>
      </w:pPr>
      <w:r>
        <w:rPr>
          <w:rFonts w:ascii="Arial" w:hAnsi="Arial" w:eastAsia="等线" w:cs="Arial"/>
          <w:sz w:val="22"/>
        </w:rPr>
        <w:t>以下是豁免情况：</w:t>
      </w:r>
    </w:p>
    <w:p w14:paraId="2F2DF546">
      <w:pPr>
        <w:spacing w:before="120" w:after="120" w:line="288" w:lineRule="auto"/>
        <w:ind w:left="0"/>
        <w:jc w:val="left"/>
      </w:pPr>
    </w:p>
    <w:p w14:paraId="2728A493">
      <w:pPr>
        <w:numPr>
          <w:ilvl w:val="0"/>
          <w:numId w:val="80"/>
        </w:numPr>
        <w:spacing w:before="120" w:after="120" w:line="288" w:lineRule="auto"/>
        <w:ind w:left="0"/>
        <w:jc w:val="left"/>
      </w:pPr>
      <w:r>
        <w:rPr>
          <w:rFonts w:ascii="Arial" w:hAnsi="Arial" w:eastAsia="等线" w:cs="Arial"/>
          <w:b/>
          <w:sz w:val="22"/>
        </w:rPr>
        <w:t>州内发行（Intrastate Offering (Rule147)）</w:t>
      </w:r>
    </w:p>
    <w:p w14:paraId="3F31C676">
      <w:pPr>
        <w:spacing w:before="120" w:after="120" w:line="288" w:lineRule="auto"/>
        <w:ind w:left="0"/>
        <w:jc w:val="left"/>
      </w:pPr>
      <w:r>
        <w:rPr>
          <w:rFonts w:ascii="Arial" w:hAnsi="Arial" w:eastAsia="等线" w:cs="Arial"/>
          <w:sz w:val="22"/>
        </w:rPr>
        <w:t>州内发行包含80%规则。公司要符合豁免资格，必须满足以下至少一项：</w:t>
      </w:r>
    </w:p>
    <w:p w14:paraId="78DC192B">
      <w:pPr>
        <w:numPr>
          <w:ilvl w:val="0"/>
          <w:numId w:val="81"/>
        </w:numPr>
        <w:spacing w:before="120" w:after="120" w:line="288" w:lineRule="auto"/>
        <w:ind w:left="453"/>
        <w:jc w:val="left"/>
      </w:pPr>
      <w:r>
        <w:rPr>
          <w:rFonts w:ascii="Arial" w:hAnsi="Arial" w:eastAsia="等线" w:cs="Arial"/>
          <w:sz w:val="22"/>
        </w:rPr>
        <w:t>公司至少80%的资产位于该州</w:t>
      </w:r>
    </w:p>
    <w:p w14:paraId="711BEE43">
      <w:pPr>
        <w:numPr>
          <w:ilvl w:val="0"/>
          <w:numId w:val="82"/>
        </w:numPr>
        <w:spacing w:before="120" w:after="120" w:line="288" w:lineRule="auto"/>
        <w:ind w:left="453"/>
        <w:jc w:val="left"/>
      </w:pPr>
      <w:r>
        <w:rPr>
          <w:rFonts w:ascii="Arial" w:hAnsi="Arial" w:eastAsia="等线" w:cs="Arial"/>
          <w:sz w:val="22"/>
        </w:rPr>
        <w:t>公司至少80%的收入来自该州业务</w:t>
      </w:r>
    </w:p>
    <w:p w14:paraId="151BE9D1">
      <w:pPr>
        <w:numPr>
          <w:ilvl w:val="0"/>
          <w:numId w:val="83"/>
        </w:numPr>
        <w:spacing w:before="120" w:after="120" w:line="288" w:lineRule="auto"/>
        <w:ind w:left="453"/>
        <w:jc w:val="left"/>
      </w:pPr>
      <w:r>
        <w:rPr>
          <w:rFonts w:ascii="Arial" w:hAnsi="Arial" w:eastAsia="等线" w:cs="Arial"/>
          <w:sz w:val="22"/>
        </w:rPr>
        <w:t>发行所筹集资金至少80%用于发行所在州。</w:t>
      </w:r>
    </w:p>
    <w:p w14:paraId="512D556E">
      <w:pPr>
        <w:spacing w:before="120" w:after="120" w:line="288" w:lineRule="auto"/>
        <w:ind w:left="0"/>
        <w:jc w:val="left"/>
      </w:pPr>
      <w:r>
        <w:rPr>
          <w:rFonts w:ascii="Arial" w:hAnsi="Arial" w:eastAsia="等线" w:cs="Arial"/>
          <w:sz w:val="22"/>
        </w:rPr>
        <w:t>此外，公司至少50%的员工必须在发行所在州工作。这些证券仍需在州层面进行注册，且100%的购买者必须位于该州境内。</w:t>
      </w:r>
    </w:p>
    <w:p w14:paraId="71935297">
      <w:pPr>
        <w:spacing w:before="120" w:after="120" w:line="288" w:lineRule="auto"/>
        <w:ind w:left="0"/>
        <w:jc w:val="left"/>
      </w:pPr>
    </w:p>
    <w:p w14:paraId="41C2AB81">
      <w:pPr>
        <w:spacing w:before="120" w:after="120" w:line="288" w:lineRule="auto"/>
        <w:ind w:left="0"/>
        <w:jc w:val="left"/>
      </w:pPr>
      <w:r>
        <w:rPr>
          <w:rFonts w:ascii="Arial" w:hAnsi="Arial" w:eastAsia="等线" w:cs="Arial"/>
          <w:sz w:val="22"/>
        </w:rPr>
        <w:t>不要将州内发行（在一个州销售的证券）与州际发行（在多个州销售的证券）（interstate offerings）混为一谈。州际发行确实需要向 SEC 注册。</w:t>
      </w:r>
    </w:p>
    <w:p w14:paraId="6A06306E">
      <w:pPr>
        <w:spacing w:before="120" w:after="120" w:line="288" w:lineRule="auto"/>
        <w:ind w:left="0"/>
        <w:jc w:val="left"/>
      </w:pPr>
    </w:p>
    <w:p w14:paraId="2FD644F6">
      <w:pPr>
        <w:numPr>
          <w:ilvl w:val="0"/>
          <w:numId w:val="84"/>
        </w:numPr>
        <w:spacing w:before="120" w:after="120" w:line="288" w:lineRule="auto"/>
        <w:ind w:left="0"/>
        <w:jc w:val="left"/>
      </w:pPr>
      <w:r>
        <w:rPr>
          <w:rFonts w:ascii="Arial" w:hAnsi="Arial" w:eastAsia="等线" w:cs="Arial"/>
          <w:b/>
          <w:sz w:val="22"/>
        </w:rPr>
        <w:t>A 条例（Reg A, Regulation A+, or Reg A+）发行</w:t>
      </w:r>
    </w:p>
    <w:p w14:paraId="6BE1143C">
      <w:pPr>
        <w:spacing w:before="120" w:after="120" w:line="288" w:lineRule="auto"/>
        <w:ind w:left="0"/>
        <w:jc w:val="left"/>
      </w:pPr>
      <w:r>
        <w:rPr>
          <w:rFonts w:ascii="Arial" w:hAnsi="Arial" w:eastAsia="等线" w:cs="Arial"/>
          <w:sz w:val="22"/>
        </w:rPr>
        <w:t>在12个月内发行价值不超过$2000万 (一级) 或$7500万美元的证券（二级）属于A条例发行。</w:t>
      </w:r>
    </w:p>
    <w:p w14:paraId="12FB68BE">
      <w:pPr>
        <w:spacing w:before="120" w:after="120" w:line="288" w:lineRule="auto"/>
        <w:ind w:left="0"/>
        <w:jc w:val="left"/>
      </w:pPr>
    </w:p>
    <w:p w14:paraId="02A257B7">
      <w:pPr>
        <w:spacing w:before="120" w:after="120" w:line="288" w:lineRule="auto"/>
        <w:ind w:left="0"/>
        <w:jc w:val="left"/>
      </w:pPr>
      <w:r>
        <w:rPr>
          <w:rFonts w:ascii="Arial" w:hAnsi="Arial" w:eastAsia="等线" w:cs="Arial"/>
          <w:sz w:val="22"/>
        </w:rPr>
        <w:t>虽然这家公司在你看来可能规模很大，但在市场层面上它相对较小。A条例发行豁免于全面注册要求，但发行人仍需提交简化的注册声明或简明注册声明。</w:t>
      </w:r>
    </w:p>
    <w:p w14:paraId="2C1EAA40">
      <w:pPr>
        <w:spacing w:before="120" w:after="120" w:line="288" w:lineRule="auto"/>
        <w:ind w:left="0"/>
        <w:jc w:val="left"/>
      </w:pPr>
    </w:p>
    <w:p w14:paraId="7C0D8324">
      <w:pPr>
        <w:numPr>
          <w:ilvl w:val="0"/>
          <w:numId w:val="85"/>
        </w:numPr>
        <w:spacing w:before="120" w:after="120" w:line="288" w:lineRule="auto"/>
        <w:ind w:left="0"/>
        <w:jc w:val="left"/>
      </w:pPr>
      <w:r>
        <w:rPr>
          <w:rFonts w:ascii="Arial" w:hAnsi="Arial" w:eastAsia="等线" w:cs="Arial"/>
          <w:b/>
          <w:sz w:val="22"/>
        </w:rPr>
        <w:t>D 条例（Reg D）发行</w:t>
      </w:r>
    </w:p>
    <w:p w14:paraId="7A454EF5">
      <w:pPr>
        <w:spacing w:before="120" w:after="120" w:line="288" w:lineRule="auto"/>
        <w:ind w:left="0"/>
        <w:jc w:val="left"/>
      </w:pPr>
      <w:r>
        <w:rPr>
          <w:rFonts w:ascii="Arial" w:hAnsi="Arial" w:eastAsia="等线" w:cs="Arial"/>
          <w:sz w:val="22"/>
        </w:rPr>
        <w:t>也称为私募发行（private placement）或私募证券发行（private securities offering）。</w:t>
      </w:r>
    </w:p>
    <w:p w14:paraId="01F459EF">
      <w:pPr>
        <w:spacing w:before="120" w:after="120" w:line="288" w:lineRule="auto"/>
        <w:ind w:left="0"/>
        <w:jc w:val="left"/>
      </w:pPr>
    </w:p>
    <w:p w14:paraId="13E32D88">
      <w:pPr>
        <w:spacing w:before="120" w:after="120" w:line="288" w:lineRule="auto"/>
        <w:ind w:left="0"/>
        <w:jc w:val="left"/>
      </w:pPr>
      <w:r>
        <w:rPr>
          <w:rFonts w:ascii="Arial" w:hAnsi="Arial" w:eastAsia="等线" w:cs="Arial"/>
          <w:sz w:val="22"/>
        </w:rPr>
        <w:t>D 条例发行是指每年向不超过 35 名非合格投资者（unaccredited (nonaccredited) investors ）发行证券的行为。</w:t>
      </w:r>
    </w:p>
    <w:p w14:paraId="47AE4601">
      <w:pPr>
        <w:spacing w:before="120" w:after="120" w:line="288" w:lineRule="auto"/>
        <w:ind w:left="0"/>
        <w:jc w:val="left"/>
      </w:pPr>
    </w:p>
    <w:p w14:paraId="6F344406">
      <w:pPr>
        <w:spacing w:before="120" w:after="120" w:line="288" w:lineRule="auto"/>
        <w:ind w:left="0"/>
        <w:jc w:val="left"/>
      </w:pPr>
      <w:r>
        <w:rPr>
          <w:rFonts w:ascii="Arial" w:hAnsi="Arial" w:eastAsia="等线" w:cs="Arial"/>
          <w:sz w:val="22"/>
        </w:rPr>
        <w:t>通过私募发行证券的公司可以筹集无限量的资金，但在非合格投资者的数量上受到限制。D条例证券的销售需遵守Rule 144 规定的销售限制。所有非合格投资者必须满足特定的适当性要求。</w:t>
      </w:r>
    </w:p>
    <w:p w14:paraId="1C8C4181">
      <w:pPr>
        <w:spacing w:before="120" w:after="120" w:line="288" w:lineRule="auto"/>
        <w:ind w:left="0"/>
        <w:jc w:val="left"/>
      </w:pP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C38212F">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1F0784C5">
            <w:pPr>
              <w:numPr>
                <w:ilvl w:val="0"/>
                <w:numId w:val="86"/>
              </w:numPr>
              <w:spacing w:before="120" w:after="120" w:line="288" w:lineRule="auto"/>
              <w:ind w:left="0"/>
              <w:jc w:val="left"/>
            </w:pPr>
            <w:r>
              <w:rPr>
                <w:rFonts w:ascii="Arial" w:hAnsi="Arial" w:eastAsia="等线" w:cs="Arial"/>
                <w:sz w:val="22"/>
              </w:rPr>
              <w:t>什么叫注册豁免的交易？</w:t>
            </w:r>
          </w:p>
          <w:p w14:paraId="66F27E6C">
            <w:pPr>
              <w:spacing w:before="120" w:after="120" w:line="288" w:lineRule="auto"/>
              <w:ind w:left="0"/>
              <w:jc w:val="left"/>
            </w:pPr>
            <w:r>
              <w:rPr>
                <w:rFonts w:ascii="Arial" w:hAnsi="Arial" w:eastAsia="等线" w:cs="Arial"/>
                <w:sz w:val="22"/>
              </w:rPr>
              <w:t>Answer: 有些证券本来不属于“豁免证券”（比如普通公司股票），但如果它们是在某种特殊情况下进行交易（比如只卖给特定投资人、只在州内销售），那么这笔交易就可以豁免注册要求，这种交易就叫“Exempt Transaction”。</w:t>
            </w:r>
          </w:p>
          <w:p w14:paraId="115B085F">
            <w:pPr>
              <w:spacing w:before="120" w:after="120" w:line="288" w:lineRule="auto"/>
              <w:ind w:left="0"/>
              <w:jc w:val="left"/>
            </w:pPr>
          </w:p>
          <w:p w14:paraId="79969218">
            <w:pPr>
              <w:numPr>
                <w:ilvl w:val="0"/>
                <w:numId w:val="87"/>
              </w:numPr>
              <w:spacing w:before="120" w:after="120" w:line="288" w:lineRule="auto"/>
              <w:ind w:left="0"/>
              <w:jc w:val="left"/>
            </w:pPr>
            <w:r>
              <w:rPr>
                <w:rFonts w:ascii="Arial" w:hAnsi="Arial" w:eastAsia="等线" w:cs="Arial"/>
                <w:sz w:val="22"/>
              </w:rPr>
              <w:t>为什么有 Exempt Transactions？</w:t>
            </w:r>
          </w:p>
          <w:p w14:paraId="74CAF1F0">
            <w:pPr>
              <w:spacing w:before="120" w:after="120" w:line="288" w:lineRule="auto"/>
              <w:ind w:left="0"/>
              <w:jc w:val="left"/>
            </w:pPr>
            <w:r>
              <w:rPr>
                <w:rFonts w:ascii="Arial" w:hAnsi="Arial" w:eastAsia="等线" w:cs="Arial"/>
                <w:sz w:val="22"/>
              </w:rPr>
              <w:t>Answer: Securities Act of 1933 的初衷是保护公众投资者，所以要求所有公开发行的新证券必须在 SEC 注册，并披露详尽信息。但现实中，有些交易不涉及公众、交易规模小、或对象专业，就不需要这么繁琐的注册流程。因此，SEC 列出了一些豁免交易（Exempt Transactions）的情形，给予发行人更多灵活性，同时不会损害公众利益。</w:t>
            </w:r>
          </w:p>
        </w:tc>
      </w:tr>
    </w:tbl>
    <w:p w14:paraId="7E7BF4E4">
      <w:pPr>
        <w:spacing w:before="320" w:after="120" w:line="288" w:lineRule="auto"/>
        <w:ind w:left="0"/>
        <w:jc w:val="left"/>
        <w:outlineLvl w:val="1"/>
      </w:pPr>
      <w:bookmarkStart w:id="23" w:name="heading_23"/>
      <w:r>
        <w:rPr>
          <w:rFonts w:ascii="Arial" w:hAnsi="Arial" w:eastAsia="等线" w:cs="Arial"/>
          <w:color w:val="3370FF"/>
          <w:sz w:val="32"/>
        </w:rPr>
        <w:t xml:space="preserve">2.4 </w:t>
      </w:r>
      <w:r>
        <w:rPr>
          <w:rFonts w:ascii="Arial" w:hAnsi="Arial" w:eastAsia="等线" w:cs="Arial"/>
          <w:b/>
          <w:sz w:val="32"/>
        </w:rPr>
        <w:t>证券发行密切相关的法规</w:t>
      </w:r>
      <w:bookmarkEnd w:id="23"/>
    </w:p>
    <w:p w14:paraId="1A3069A5">
      <w:pPr>
        <w:spacing w:before="120" w:after="120" w:line="288" w:lineRule="auto"/>
        <w:ind w:left="0"/>
        <w:jc w:val="left"/>
      </w:pPr>
      <w:r>
        <w:rPr>
          <w:rFonts w:ascii="Arial" w:hAnsi="Arial" w:eastAsia="等线" w:cs="Arial"/>
          <w:sz w:val="22"/>
        </w:rPr>
        <w:t>证券发行与交易的过程中，美国证券市场由一系列关键法律法规进行规范。这些法规按照市场阶段与发行对象的不同，分别发挥不同的监管作用。</w:t>
      </w:r>
    </w:p>
    <w:p w14:paraId="37773129">
      <w:pPr>
        <w:spacing w:before="120" w:after="120" w:line="288" w:lineRule="auto"/>
        <w:ind w:left="0"/>
        <w:jc w:val="left"/>
      </w:pPr>
    </w:p>
    <w:p w14:paraId="5B789593">
      <w:pPr>
        <w:spacing w:before="120" w:after="120" w:line="288" w:lineRule="auto"/>
        <w:ind w:left="0"/>
        <w:jc w:val="left"/>
      </w:pPr>
      <w:r>
        <w:rPr>
          <w:rFonts w:ascii="Arial" w:hAnsi="Arial" w:eastAsia="等线" w:cs="Arial"/>
          <w:sz w:val="22"/>
        </w:rPr>
        <w:t>以下是几部考试中常见且高频考察的证券法规：</w:t>
      </w:r>
    </w:p>
    <w:p w14:paraId="4A4B271D">
      <w:pPr>
        <w:numPr>
          <w:ilvl w:val="0"/>
          <w:numId w:val="88"/>
        </w:numPr>
        <w:spacing w:before="120" w:after="120" w:line="288" w:lineRule="auto"/>
        <w:ind w:left="0"/>
        <w:jc w:val="left"/>
      </w:pPr>
      <w:r>
        <w:rPr>
          <w:rFonts w:ascii="Arial" w:hAnsi="Arial" w:eastAsia="等线" w:cs="Arial"/>
          <w:sz w:val="22"/>
        </w:rPr>
        <w:t>《1933年证券法》-- The Securities Act of 1933</w:t>
      </w:r>
    </w:p>
    <w:p w14:paraId="36D543BB">
      <w:pPr>
        <w:numPr>
          <w:ilvl w:val="0"/>
          <w:numId w:val="89"/>
        </w:numPr>
        <w:spacing w:before="120" w:after="120" w:line="288" w:lineRule="auto"/>
        <w:ind w:left="0"/>
        <w:jc w:val="left"/>
      </w:pPr>
      <w:r>
        <w:rPr>
          <w:rFonts w:ascii="Arial" w:hAnsi="Arial" w:eastAsia="等线" w:cs="Arial"/>
          <w:sz w:val="22"/>
        </w:rPr>
        <w:t>《1934年证券交易法》-- The Securities Exchange Act of 1934</w:t>
      </w:r>
    </w:p>
    <w:p w14:paraId="0A343629">
      <w:pPr>
        <w:numPr>
          <w:ilvl w:val="0"/>
          <w:numId w:val="90"/>
        </w:numPr>
        <w:spacing w:before="120" w:after="120" w:line="288" w:lineRule="auto"/>
        <w:ind w:left="0"/>
        <w:jc w:val="left"/>
      </w:pPr>
      <w:r>
        <w:rPr>
          <w:rFonts w:ascii="Arial" w:hAnsi="Arial" w:eastAsia="等线" w:cs="Arial"/>
          <w:sz w:val="22"/>
        </w:rPr>
        <w:t>《1939年信托契约法》-- The Trust Indenture Act of 1939</w:t>
      </w:r>
    </w:p>
    <w:p w14:paraId="6146D31E">
      <w:pPr>
        <w:numPr>
          <w:ilvl w:val="0"/>
          <w:numId w:val="91"/>
        </w:numPr>
        <w:spacing w:before="120" w:after="120" w:line="288" w:lineRule="auto"/>
        <w:ind w:left="0"/>
        <w:jc w:val="left"/>
      </w:pPr>
      <w:r>
        <w:rPr>
          <w:rFonts w:ascii="Arial" w:hAnsi="Arial" w:eastAsia="等线" w:cs="Arial"/>
          <w:sz w:val="22"/>
        </w:rPr>
        <w:t xml:space="preserve"> Rule 144</w:t>
      </w:r>
    </w:p>
    <w:p w14:paraId="45CD0E91">
      <w:pPr>
        <w:spacing w:before="120" w:after="120" w:line="288" w:lineRule="auto"/>
        <w:ind w:left="0"/>
        <w:jc w:val="left"/>
      </w:pPr>
    </w:p>
    <w:p w14:paraId="0E6D6C75">
      <w:pPr>
        <w:spacing w:before="300" w:after="120" w:line="288" w:lineRule="auto"/>
        <w:ind w:left="0"/>
        <w:jc w:val="left"/>
        <w:outlineLvl w:val="2"/>
      </w:pPr>
      <w:bookmarkStart w:id="24" w:name="heading_24"/>
      <w:r>
        <w:rPr>
          <w:rFonts w:ascii="Arial" w:hAnsi="Arial" w:eastAsia="等线" w:cs="Arial"/>
          <w:color w:val="3370FF"/>
          <w:sz w:val="30"/>
        </w:rPr>
        <w:t xml:space="preserve">2.4.1 </w:t>
      </w:r>
      <w:r>
        <w:rPr>
          <w:rFonts w:ascii="Arial" w:hAnsi="Arial" w:eastAsia="等线" w:cs="Arial"/>
          <w:b/>
          <w:sz w:val="30"/>
        </w:rPr>
        <w:t>Securities Act of 1933</w:t>
      </w:r>
      <w:bookmarkEnd w:id="24"/>
    </w:p>
    <w:p w14:paraId="544CAB3B">
      <w:pPr>
        <w:spacing w:before="120" w:after="120" w:line="288" w:lineRule="auto"/>
        <w:ind w:left="0"/>
        <w:jc w:val="left"/>
      </w:pPr>
      <w:r>
        <w:rPr>
          <w:rFonts w:ascii="Arial" w:hAnsi="Arial" w:eastAsia="等线" w:cs="Arial"/>
          <w:sz w:val="22"/>
        </w:rPr>
        <w:t>《1933年证券法》对公司证券的新发行进行监管。</w:t>
      </w:r>
    </w:p>
    <w:p w14:paraId="28C4BF80">
      <w:pPr>
        <w:spacing w:before="120" w:after="120" w:line="288" w:lineRule="auto"/>
        <w:ind w:left="0"/>
        <w:jc w:val="left"/>
      </w:pPr>
    </w:p>
    <w:p w14:paraId="492644E7">
      <w:pPr>
        <w:spacing w:before="120" w:after="120" w:line="288" w:lineRule="auto"/>
        <w:ind w:left="0"/>
        <w:jc w:val="left"/>
      </w:pPr>
      <w:r>
        <w:rPr>
          <w:rFonts w:ascii="Arial" w:hAnsi="Arial" w:eastAsia="等线" w:cs="Arial"/>
          <w:sz w:val="22"/>
        </w:rPr>
        <w:t>公司证券的发行人必须提供关于其自身及所发行证券的充分且公平的披露信息。该法案还包含防止欺诈（anti-fraud）和欺骗的规定。</w:t>
      </w:r>
    </w:p>
    <w:p w14:paraId="1DC99FFD">
      <w:pPr>
        <w:spacing w:before="120" w:after="120" w:line="288" w:lineRule="auto"/>
        <w:ind w:left="0"/>
        <w:jc w:val="left"/>
      </w:pPr>
    </w:p>
    <w:p w14:paraId="31001D5F">
      <w:pPr>
        <w:numPr>
          <w:ilvl w:val="0"/>
          <w:numId w:val="92"/>
        </w:numPr>
        <w:spacing w:before="120" w:after="120" w:line="288" w:lineRule="auto"/>
        <w:ind w:left="0"/>
        <w:jc w:val="left"/>
      </w:pPr>
      <w:r>
        <w:rPr>
          <w:rFonts w:ascii="Arial" w:hAnsi="Arial" w:eastAsia="等线" w:cs="Arial"/>
          <w:sz w:val="22"/>
        </w:rPr>
        <w:t>适用范围：监管一级市场（Primary Market），即新证券发行。</w:t>
      </w:r>
    </w:p>
    <w:p w14:paraId="63A899A8">
      <w:pPr>
        <w:numPr>
          <w:ilvl w:val="0"/>
          <w:numId w:val="93"/>
        </w:numPr>
        <w:spacing w:before="120" w:after="120" w:line="288" w:lineRule="auto"/>
        <w:ind w:left="0"/>
        <w:jc w:val="left"/>
      </w:pPr>
      <w:r>
        <w:rPr>
          <w:rFonts w:ascii="Arial" w:hAnsi="Arial" w:eastAsia="等线" w:cs="Arial"/>
          <w:sz w:val="22"/>
        </w:rPr>
        <w:t>核心内容：对公开发行证券进行注册、信息披露要求（disclosure provisions），但部分证券的注册和交易可豁免。</w:t>
      </w:r>
    </w:p>
    <w:p w14:paraId="67565951">
      <w:pPr>
        <w:numPr>
          <w:ilvl w:val="0"/>
          <w:numId w:val="94"/>
        </w:numPr>
        <w:spacing w:before="120" w:after="120" w:line="288" w:lineRule="auto"/>
        <w:ind w:left="0"/>
        <w:jc w:val="left"/>
      </w:pPr>
      <w:r>
        <w:rPr>
          <w:rFonts w:ascii="Arial" w:hAnsi="Arial" w:eastAsia="等线" w:cs="Arial"/>
          <w:sz w:val="22"/>
        </w:rPr>
        <w:t>豁免交易（Exempt Transactions）：</w:t>
      </w:r>
    </w:p>
    <w:p w14:paraId="57AA127E">
      <w:pPr>
        <w:numPr>
          <w:ilvl w:val="0"/>
          <w:numId w:val="95"/>
        </w:numPr>
        <w:spacing w:before="120" w:after="120" w:line="288" w:lineRule="auto"/>
        <w:ind w:left="453"/>
        <w:jc w:val="left"/>
      </w:pPr>
      <w:r>
        <w:rPr>
          <w:rFonts w:ascii="Arial" w:hAnsi="Arial" w:eastAsia="等线" w:cs="Arial"/>
          <w:sz w:val="22"/>
        </w:rPr>
        <w:t>Rule 147：州内发行（Intrastate Offering），只能在发行人所在州销售。</w:t>
      </w:r>
    </w:p>
    <w:p w14:paraId="797FB7AD">
      <w:pPr>
        <w:numPr>
          <w:ilvl w:val="0"/>
          <w:numId w:val="96"/>
        </w:numPr>
        <w:spacing w:before="120" w:after="120" w:line="288" w:lineRule="auto"/>
        <w:ind w:left="453"/>
        <w:jc w:val="left"/>
      </w:pPr>
      <w:r>
        <w:rPr>
          <w:rFonts w:ascii="Arial" w:hAnsi="Arial" w:eastAsia="等线" w:cs="Arial"/>
          <w:sz w:val="22"/>
        </w:rPr>
        <w:t>Regulation A：小额发行豁免（Tier 1 &lt;= $20 million，Tier 2 &lt;= $75 million）</w:t>
      </w:r>
    </w:p>
    <w:p w14:paraId="41099854">
      <w:pPr>
        <w:numPr>
          <w:ilvl w:val="0"/>
          <w:numId w:val="97"/>
        </w:numPr>
        <w:spacing w:before="120" w:after="120" w:line="288" w:lineRule="auto"/>
        <w:ind w:left="453"/>
        <w:jc w:val="left"/>
      </w:pPr>
      <w:r>
        <w:rPr>
          <w:rFonts w:ascii="Arial" w:hAnsi="Arial" w:eastAsia="等线" w:cs="Arial"/>
          <w:sz w:val="22"/>
        </w:rPr>
        <w:t>Regulation D：私募发行（Private Placement）</w:t>
      </w:r>
    </w:p>
    <w:p w14:paraId="5C1C46AB">
      <w:pPr>
        <w:numPr>
          <w:ilvl w:val="0"/>
          <w:numId w:val="98"/>
        </w:numPr>
        <w:spacing w:before="120" w:after="120" w:line="288" w:lineRule="auto"/>
        <w:ind w:left="907"/>
        <w:jc w:val="left"/>
      </w:pPr>
      <w:r>
        <w:rPr>
          <w:rFonts w:ascii="Arial" w:hAnsi="Arial" w:eastAsia="等线" w:cs="Arial"/>
          <w:sz w:val="22"/>
        </w:rPr>
        <w:t>最多可向 35 位非合格投资人（Unaccredited Investors）发行。</w:t>
      </w:r>
    </w:p>
    <w:p w14:paraId="3BFF3453">
      <w:pPr>
        <w:numPr>
          <w:ilvl w:val="0"/>
          <w:numId w:val="99"/>
        </w:numPr>
        <w:spacing w:before="120" w:after="120" w:line="288" w:lineRule="auto"/>
        <w:ind w:left="907"/>
        <w:jc w:val="left"/>
      </w:pPr>
      <w:r>
        <w:rPr>
          <w:rFonts w:ascii="Arial" w:hAnsi="Arial" w:eastAsia="等线" w:cs="Arial"/>
          <w:sz w:val="22"/>
        </w:rPr>
        <w:t>合格投资者（Accredited Investors）无数量限制。</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247B2267">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6B9CC065">
            <w:pPr>
              <w:spacing w:before="120" w:after="120" w:line="288" w:lineRule="auto"/>
              <w:ind w:left="0"/>
              <w:jc w:val="left"/>
            </w:pPr>
          </w:p>
          <w:p w14:paraId="463F1B62">
            <w:pPr>
              <w:numPr>
                <w:ilvl w:val="0"/>
                <w:numId w:val="100"/>
              </w:numPr>
              <w:spacing w:before="120" w:after="120" w:line="288" w:lineRule="auto"/>
              <w:ind w:left="0"/>
              <w:jc w:val="left"/>
            </w:pPr>
            <w:r>
              <w:rPr>
                <w:rFonts w:ascii="Arial" w:hAnsi="Arial" w:eastAsia="等线" w:cs="Arial"/>
                <w:sz w:val="22"/>
              </w:rPr>
              <w:t>Which federal law regulates the initial sale of stock to the public?</w:t>
            </w:r>
          </w:p>
          <w:p w14:paraId="37A2F5F7">
            <w:pPr>
              <w:spacing w:before="120" w:after="120" w:line="288" w:lineRule="auto"/>
              <w:ind w:left="453"/>
              <w:jc w:val="left"/>
            </w:pPr>
            <w:r>
              <w:rPr>
                <w:rFonts w:ascii="Arial" w:hAnsi="Arial" w:eastAsia="等线" w:cs="Arial"/>
                <w:sz w:val="22"/>
              </w:rPr>
              <w:t>(A) Securities Act of 1933</w:t>
            </w:r>
          </w:p>
          <w:p w14:paraId="15FBB448">
            <w:pPr>
              <w:spacing w:before="120" w:after="120" w:line="288" w:lineRule="auto"/>
              <w:ind w:left="453"/>
              <w:jc w:val="left"/>
            </w:pPr>
            <w:r>
              <w:rPr>
                <w:rFonts w:ascii="Arial" w:hAnsi="Arial" w:eastAsia="等线" w:cs="Arial"/>
                <w:sz w:val="22"/>
              </w:rPr>
              <w:t>(B) Securities Exchange Act of 1934</w:t>
            </w:r>
          </w:p>
          <w:p w14:paraId="7B1B1C4C">
            <w:pPr>
              <w:spacing w:before="120" w:after="120" w:line="288" w:lineRule="auto"/>
              <w:ind w:left="453"/>
              <w:jc w:val="left"/>
            </w:pPr>
            <w:r>
              <w:rPr>
                <w:rFonts w:ascii="Arial" w:hAnsi="Arial" w:eastAsia="等线" w:cs="Arial"/>
                <w:sz w:val="22"/>
              </w:rPr>
              <w:t>(C) Trust Indenture Act</w:t>
            </w:r>
          </w:p>
          <w:p w14:paraId="68ED2E41">
            <w:pPr>
              <w:spacing w:before="120" w:after="120" w:line="288" w:lineRule="auto"/>
              <w:ind w:left="453"/>
              <w:jc w:val="left"/>
            </w:pPr>
            <w:r>
              <w:rPr>
                <w:rFonts w:ascii="Arial" w:hAnsi="Arial" w:eastAsia="等线" w:cs="Arial"/>
                <w:sz w:val="22"/>
              </w:rPr>
              <w:t>(D) All of the above</w:t>
            </w:r>
          </w:p>
          <w:p w14:paraId="305B15BC">
            <w:pPr>
              <w:numPr>
                <w:ilvl w:val="0"/>
                <w:numId w:val="101"/>
              </w:numPr>
              <w:spacing w:before="120" w:after="120" w:line="288" w:lineRule="auto"/>
              <w:ind w:left="0"/>
              <w:jc w:val="left"/>
            </w:pPr>
            <w:r>
              <w:rPr>
                <w:rFonts w:ascii="Arial" w:hAnsi="Arial" w:eastAsia="等线" w:cs="Arial"/>
                <w:sz w:val="22"/>
              </w:rPr>
              <w:t>All of the following are exempt securities under the Securities Act of 1933 EXCEPT</w:t>
            </w:r>
          </w:p>
          <w:p w14:paraId="7AE204EE">
            <w:pPr>
              <w:spacing w:before="120" w:after="120" w:line="288" w:lineRule="auto"/>
              <w:ind w:left="453"/>
              <w:jc w:val="left"/>
            </w:pPr>
            <w:r>
              <w:rPr>
                <w:rFonts w:ascii="Arial" w:hAnsi="Arial" w:eastAsia="等线" w:cs="Arial"/>
                <w:sz w:val="22"/>
              </w:rPr>
              <w:t>(A) Treasury bonds</w:t>
            </w:r>
          </w:p>
          <w:p w14:paraId="7EC14C27">
            <w:pPr>
              <w:spacing w:before="120" w:after="120" w:line="288" w:lineRule="auto"/>
              <w:ind w:left="453"/>
              <w:jc w:val="left"/>
            </w:pPr>
            <w:r>
              <w:rPr>
                <w:rFonts w:ascii="Arial" w:hAnsi="Arial" w:eastAsia="等线" w:cs="Arial"/>
                <w:sz w:val="22"/>
              </w:rPr>
              <w:t>(B) municipal general obligation bonds</w:t>
            </w:r>
          </w:p>
          <w:p w14:paraId="6D89F169">
            <w:pPr>
              <w:spacing w:before="120" w:after="120" w:line="288" w:lineRule="auto"/>
              <w:ind w:left="453"/>
              <w:jc w:val="left"/>
            </w:pPr>
            <w:r>
              <w:rPr>
                <w:rFonts w:ascii="Arial" w:hAnsi="Arial" w:eastAsia="等线" w:cs="Arial"/>
                <w:sz w:val="22"/>
              </w:rPr>
              <w:t>(C) REITs（Chapter 10中详述）</w:t>
            </w:r>
          </w:p>
          <w:p w14:paraId="0D9E8EDA">
            <w:pPr>
              <w:spacing w:before="120" w:after="120" w:line="288" w:lineRule="auto"/>
              <w:ind w:left="453"/>
              <w:jc w:val="left"/>
            </w:pPr>
            <w:r>
              <w:rPr>
                <w:rFonts w:ascii="Arial" w:hAnsi="Arial" w:eastAsia="等线" w:cs="Arial"/>
                <w:sz w:val="22"/>
              </w:rPr>
              <w:t>(D) public utility stocks</w:t>
            </w:r>
          </w:p>
          <w:p w14:paraId="2E861A85">
            <w:pPr>
              <w:numPr>
                <w:ilvl w:val="0"/>
                <w:numId w:val="102"/>
              </w:numPr>
              <w:spacing w:before="120" w:after="120" w:line="288" w:lineRule="auto"/>
              <w:ind w:left="0"/>
              <w:jc w:val="left"/>
            </w:pPr>
            <w:r>
              <w:rPr>
                <w:rFonts w:ascii="Arial" w:hAnsi="Arial" w:eastAsia="等线" w:cs="Arial"/>
                <w:sz w:val="22"/>
              </w:rPr>
              <w:t>Which of the following are exempt transactions?</w:t>
            </w:r>
          </w:p>
          <w:p w14:paraId="79C25D9A">
            <w:pPr>
              <w:spacing w:before="120" w:after="120" w:line="288" w:lineRule="auto"/>
              <w:ind w:left="453"/>
              <w:jc w:val="left"/>
            </w:pPr>
            <w:r>
              <w:rPr>
                <w:rFonts w:ascii="Arial" w:hAnsi="Arial" w:eastAsia="等线" w:cs="Arial"/>
                <w:sz w:val="22"/>
              </w:rPr>
              <w:t>I. Private placements</w:t>
            </w:r>
          </w:p>
          <w:p w14:paraId="6E451EEC">
            <w:pPr>
              <w:spacing w:before="120" w:after="120" w:line="288" w:lineRule="auto"/>
              <w:ind w:left="453"/>
              <w:jc w:val="left"/>
            </w:pPr>
            <w:r>
              <w:rPr>
                <w:rFonts w:ascii="Arial" w:hAnsi="Arial" w:eastAsia="等线" w:cs="Arial"/>
                <w:sz w:val="22"/>
              </w:rPr>
              <w:t>II. Securities issued by the U.S. government</w:t>
            </w:r>
          </w:p>
          <w:p w14:paraId="2BFE0C38">
            <w:pPr>
              <w:spacing w:before="120" w:after="120" w:line="288" w:lineRule="auto"/>
              <w:ind w:left="453"/>
              <w:jc w:val="left"/>
            </w:pPr>
            <w:r>
              <w:rPr>
                <w:rFonts w:ascii="Arial" w:hAnsi="Arial" w:eastAsia="等线" w:cs="Arial"/>
                <w:sz w:val="22"/>
              </w:rPr>
              <w:t>III. Municipal bonds</w:t>
            </w:r>
          </w:p>
          <w:p w14:paraId="36D22F3F">
            <w:pPr>
              <w:spacing w:before="120" w:after="120" w:line="288" w:lineRule="auto"/>
              <w:ind w:left="453"/>
              <w:jc w:val="left"/>
            </w:pPr>
            <w:r>
              <w:rPr>
                <w:rFonts w:ascii="Arial" w:hAnsi="Arial" w:eastAsia="等线" w:cs="Arial"/>
                <w:sz w:val="22"/>
              </w:rPr>
              <w:t>IV. Intrastate offerings</w:t>
            </w:r>
          </w:p>
          <w:p w14:paraId="6EA14F3F">
            <w:pPr>
              <w:spacing w:before="120" w:after="120" w:line="288" w:lineRule="auto"/>
              <w:ind w:left="453"/>
              <w:jc w:val="left"/>
            </w:pPr>
            <w:r>
              <w:rPr>
                <w:rFonts w:ascii="Arial" w:hAnsi="Arial" w:eastAsia="等线" w:cs="Arial"/>
                <w:sz w:val="22"/>
              </w:rPr>
              <w:t>(A) II and III</w:t>
            </w:r>
          </w:p>
          <w:p w14:paraId="651ABE3B">
            <w:pPr>
              <w:spacing w:before="120" w:after="120" w:line="288" w:lineRule="auto"/>
              <w:ind w:left="453"/>
              <w:jc w:val="left"/>
            </w:pPr>
            <w:r>
              <w:rPr>
                <w:rFonts w:ascii="Arial" w:hAnsi="Arial" w:eastAsia="等线" w:cs="Arial"/>
                <w:sz w:val="22"/>
              </w:rPr>
              <w:t>(B) II, III, and IV</w:t>
            </w:r>
          </w:p>
          <w:p w14:paraId="5BB6AE2B">
            <w:pPr>
              <w:spacing w:before="120" w:after="120" w:line="288" w:lineRule="auto"/>
              <w:ind w:left="453"/>
              <w:jc w:val="left"/>
            </w:pPr>
            <w:r>
              <w:rPr>
                <w:rFonts w:ascii="Arial" w:hAnsi="Arial" w:eastAsia="等线" w:cs="Arial"/>
                <w:sz w:val="22"/>
              </w:rPr>
              <w:t>(C) I and IV</w:t>
            </w:r>
          </w:p>
          <w:p w14:paraId="6C28DEF7">
            <w:pPr>
              <w:spacing w:before="120" w:after="120" w:line="288" w:lineRule="auto"/>
              <w:ind w:left="453"/>
              <w:jc w:val="left"/>
            </w:pPr>
            <w:r>
              <w:rPr>
                <w:rFonts w:ascii="Arial" w:hAnsi="Arial" w:eastAsia="等线" w:cs="Arial"/>
                <w:sz w:val="22"/>
              </w:rPr>
              <w:t>(D) I, II, III, and IV</w:t>
            </w:r>
          </w:p>
          <w:p w14:paraId="11EB327E">
            <w:pPr>
              <w:numPr>
                <w:ilvl w:val="0"/>
                <w:numId w:val="103"/>
              </w:numPr>
              <w:spacing w:before="120" w:after="120" w:line="288" w:lineRule="auto"/>
              <w:ind w:left="0"/>
              <w:jc w:val="left"/>
            </w:pPr>
            <w:r>
              <w:rPr>
                <w:rFonts w:ascii="Arial" w:hAnsi="Arial" w:eastAsia="等线" w:cs="Arial"/>
                <w:sz w:val="22"/>
              </w:rPr>
              <w:t>A Rule 147 offering is</w:t>
            </w:r>
          </w:p>
          <w:p w14:paraId="346B3335">
            <w:pPr>
              <w:spacing w:before="120" w:after="120" w:line="288" w:lineRule="auto"/>
              <w:ind w:left="453"/>
              <w:jc w:val="left"/>
            </w:pPr>
            <w:r>
              <w:rPr>
                <w:rFonts w:ascii="Arial" w:hAnsi="Arial" w:eastAsia="等线" w:cs="Arial"/>
                <w:sz w:val="22"/>
              </w:rPr>
              <w:t>(A) an offering of securities only within the issuer’s home state</w:t>
            </w:r>
          </w:p>
          <w:p w14:paraId="6AACBDD7">
            <w:pPr>
              <w:spacing w:before="120" w:after="120" w:line="288" w:lineRule="auto"/>
              <w:ind w:left="453"/>
              <w:jc w:val="left"/>
            </w:pPr>
            <w:r>
              <w:rPr>
                <w:rFonts w:ascii="Arial" w:hAnsi="Arial" w:eastAsia="等线" w:cs="Arial"/>
                <w:sz w:val="22"/>
              </w:rPr>
              <w:t>(B) an offering of securities worth no more than $75 million within a one-year period</w:t>
            </w:r>
          </w:p>
          <w:p w14:paraId="412D9B8A">
            <w:pPr>
              <w:spacing w:before="120" w:after="120" w:line="288" w:lineRule="auto"/>
              <w:ind w:left="453"/>
              <w:jc w:val="left"/>
            </w:pPr>
            <w:r>
              <w:rPr>
                <w:rFonts w:ascii="Arial" w:hAnsi="Arial" w:eastAsia="等线" w:cs="Arial"/>
                <w:sz w:val="22"/>
              </w:rPr>
              <w:t>(C) an offering of securities to no more than 35 unaccredited investors within a one-year period</w:t>
            </w:r>
          </w:p>
          <w:p w14:paraId="7ED6ECBF">
            <w:pPr>
              <w:spacing w:before="120" w:after="120" w:line="288" w:lineRule="auto"/>
              <w:ind w:left="453"/>
              <w:jc w:val="left"/>
            </w:pPr>
            <w:r>
              <w:rPr>
                <w:rFonts w:ascii="Arial" w:hAnsi="Arial" w:eastAsia="等线" w:cs="Arial"/>
                <w:sz w:val="22"/>
              </w:rPr>
              <w:t>(D) also known as an interstate offering</w:t>
            </w:r>
          </w:p>
        </w:tc>
      </w:tr>
    </w:tbl>
    <w:p w14:paraId="045EBAC8">
      <w:pPr>
        <w:spacing w:before="260" w:after="120" w:line="288" w:lineRule="auto"/>
        <w:ind w:left="0"/>
        <w:jc w:val="left"/>
        <w:outlineLvl w:val="3"/>
      </w:pPr>
      <w:bookmarkStart w:id="25" w:name="heading_25"/>
      <w:r>
        <w:rPr>
          <w:rFonts w:ascii="Arial" w:hAnsi="Arial" w:eastAsia="等线" w:cs="Arial"/>
          <w:color w:val="3370FF"/>
          <w:sz w:val="28"/>
        </w:rPr>
        <w:t xml:space="preserve">2.4.1.1 </w:t>
      </w:r>
      <w:r>
        <w:rPr>
          <w:rFonts w:ascii="Arial" w:hAnsi="Arial" w:eastAsia="等线" w:cs="Arial"/>
          <w:b/>
          <w:sz w:val="28"/>
        </w:rPr>
        <w:t>Rule 144</w:t>
      </w:r>
      <w:bookmarkEnd w:id="25"/>
    </w:p>
    <w:p w14:paraId="175C7ECD">
      <w:pPr>
        <w:spacing w:before="120" w:after="120" w:line="288" w:lineRule="auto"/>
        <w:ind w:left="0"/>
        <w:jc w:val="left"/>
      </w:pPr>
      <w:r>
        <w:rPr>
          <w:rFonts w:ascii="Arial" w:hAnsi="Arial" w:eastAsia="等线" w:cs="Arial"/>
          <w:sz w:val="22"/>
        </w:rPr>
        <w:t>Rule 144 是 SEC 制定的一项关键规则，该规则涵盖：</w:t>
      </w:r>
    </w:p>
    <w:p w14:paraId="555F9E79">
      <w:pPr>
        <w:numPr>
          <w:ilvl w:val="0"/>
          <w:numId w:val="104"/>
        </w:numPr>
        <w:spacing w:before="120" w:after="120" w:line="288" w:lineRule="auto"/>
        <w:ind w:left="0"/>
        <w:jc w:val="left"/>
      </w:pPr>
      <w:r>
        <w:rPr>
          <w:rFonts w:ascii="Arial" w:hAnsi="Arial" w:eastAsia="等线" w:cs="Arial"/>
          <w:sz w:val="22"/>
        </w:rPr>
        <w:t>限制性股票（Restricted Securities），如通过私募发行的股票。</w:t>
      </w:r>
    </w:p>
    <w:p w14:paraId="7E90B7E2">
      <w:pPr>
        <w:numPr>
          <w:ilvl w:val="0"/>
          <w:numId w:val="105"/>
        </w:numPr>
        <w:spacing w:before="120" w:after="120" w:line="288" w:lineRule="auto"/>
        <w:ind w:left="0"/>
        <w:jc w:val="left"/>
      </w:pPr>
      <w:r>
        <w:rPr>
          <w:rFonts w:ascii="Arial" w:hAnsi="Arial" w:eastAsia="等线" w:cs="Arial"/>
          <w:sz w:val="22"/>
        </w:rPr>
        <w:t>未注册证券（Unregistered Securities）。</w:t>
      </w:r>
    </w:p>
    <w:p w14:paraId="2EE0FB22">
      <w:pPr>
        <w:numPr>
          <w:ilvl w:val="0"/>
          <w:numId w:val="106"/>
        </w:numPr>
        <w:spacing w:before="120" w:after="120" w:line="288" w:lineRule="auto"/>
        <w:ind w:left="0"/>
        <w:jc w:val="left"/>
      </w:pPr>
      <w:r>
        <w:rPr>
          <w:rFonts w:ascii="Arial" w:hAnsi="Arial" w:eastAsia="等线" w:cs="Arial"/>
          <w:sz w:val="22"/>
        </w:rPr>
        <w:t>控制类证券（Control Securities），由控制人（关联方）持有的股票，包括董事、高级管理人员或其他持有发行人10%或以上有表决权股票的人）的销售。</w:t>
      </w:r>
    </w:p>
    <w:p w14:paraId="30F0138C">
      <w:pPr>
        <w:spacing w:before="120" w:after="120" w:line="288" w:lineRule="auto"/>
        <w:ind w:left="0"/>
        <w:jc w:val="left"/>
      </w:pPr>
    </w:p>
    <w:p w14:paraId="548CA645">
      <w:pPr>
        <w:spacing w:before="120" w:after="120" w:line="288" w:lineRule="auto"/>
        <w:ind w:left="0"/>
        <w:jc w:val="left"/>
      </w:pPr>
      <w:r>
        <w:rPr>
          <w:rFonts w:ascii="Arial" w:hAnsi="Arial" w:eastAsia="等线" w:cs="Arial"/>
          <w:sz w:val="22"/>
        </w:rPr>
        <w:t>Rule 144 规定这些证券的卖方必须等待至少六个月才能向公众出售已全额支付的证券。此外，投资者一次最多可出售的数量为流通股（Outstanding Shares）的1%或前四周的平均每周交易量，以两者中较大者为准。</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49666B0">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09E94657">
            <w:pPr>
              <w:numPr>
                <w:ilvl w:val="0"/>
                <w:numId w:val="107"/>
              </w:numPr>
              <w:spacing w:before="120" w:after="120" w:line="288" w:lineRule="auto"/>
              <w:ind w:left="0"/>
              <w:jc w:val="left"/>
            </w:pPr>
            <w:r>
              <w:rPr>
                <w:rFonts w:ascii="Arial" w:hAnsi="Arial" w:eastAsia="等线" w:cs="Arial"/>
                <w:sz w:val="22"/>
              </w:rPr>
              <w:t>John Bullini is a control person who purchased shares of restricted stock and wants to sell under Rule 144. John has paid fully for the shares and has held them for more than one year. There are 1.5 million shares outstanding. Form 144 is filed on Monday, May 28, and the weekly trading volume for the restricted stock is as follows:</w:t>
            </w:r>
          </w:p>
          <w:p w14:paraId="132A781D">
            <w:pPr>
              <w:spacing w:before="120" w:after="120" w:line="288" w:lineRule="auto"/>
              <w:ind w:left="0" w:firstLine="420"/>
              <w:jc w:val="left"/>
            </w:pPr>
            <w:r>
              <w:rPr>
                <w:rFonts w:ascii="Arial" w:hAnsi="Arial" w:eastAsia="等线" w:cs="Arial"/>
                <w:sz w:val="22"/>
              </w:rPr>
              <w:t>Week Ending     |    Trading Volume</w:t>
            </w:r>
          </w:p>
          <w:p w14:paraId="5D15C9B5">
            <w:pPr>
              <w:spacing w:before="120" w:after="120" w:line="288" w:lineRule="auto"/>
              <w:ind w:left="0" w:firstLine="420"/>
              <w:jc w:val="left"/>
            </w:pPr>
            <w:r>
              <w:rPr>
                <w:rFonts w:ascii="Arial" w:hAnsi="Arial" w:eastAsia="等线" w:cs="Arial"/>
                <w:sz w:val="22"/>
              </w:rPr>
              <w:t>May 25                   16,000 shares</w:t>
            </w:r>
          </w:p>
          <w:p w14:paraId="030481FE">
            <w:pPr>
              <w:spacing w:before="120" w:after="120" w:line="288" w:lineRule="auto"/>
              <w:ind w:left="0" w:firstLine="420"/>
              <w:jc w:val="left"/>
            </w:pPr>
            <w:r>
              <w:rPr>
                <w:rFonts w:ascii="Arial" w:hAnsi="Arial" w:eastAsia="等线" w:cs="Arial"/>
                <w:sz w:val="22"/>
              </w:rPr>
              <w:t>May 18                   15,000 shares</w:t>
            </w:r>
          </w:p>
          <w:p w14:paraId="17CC9D04">
            <w:pPr>
              <w:spacing w:before="120" w:after="120" w:line="288" w:lineRule="auto"/>
              <w:ind w:left="0" w:firstLine="420"/>
              <w:jc w:val="left"/>
            </w:pPr>
            <w:r>
              <w:rPr>
                <w:rFonts w:ascii="Arial" w:hAnsi="Arial" w:eastAsia="等线" w:cs="Arial"/>
                <w:sz w:val="22"/>
              </w:rPr>
              <w:t>May 11                   17,000 shares</w:t>
            </w:r>
          </w:p>
          <w:p w14:paraId="48A14F50">
            <w:pPr>
              <w:spacing w:before="120" w:after="120" w:line="288" w:lineRule="auto"/>
              <w:ind w:left="0" w:firstLine="420"/>
              <w:jc w:val="left"/>
            </w:pPr>
            <w:r>
              <w:rPr>
                <w:rFonts w:ascii="Arial" w:hAnsi="Arial" w:eastAsia="等线" w:cs="Arial"/>
                <w:sz w:val="22"/>
              </w:rPr>
              <w:t>May 4                     15,000 shares</w:t>
            </w:r>
          </w:p>
          <w:p w14:paraId="1BB81EED">
            <w:pPr>
              <w:spacing w:before="120" w:after="120" w:line="288" w:lineRule="auto"/>
              <w:ind w:left="0" w:firstLine="420"/>
              <w:jc w:val="left"/>
            </w:pPr>
            <w:r>
              <w:rPr>
                <w:rFonts w:ascii="Arial" w:hAnsi="Arial" w:eastAsia="等线" w:cs="Arial"/>
                <w:sz w:val="22"/>
              </w:rPr>
              <w:t>April 27                   18,000 shares</w:t>
            </w:r>
          </w:p>
          <w:p w14:paraId="5E3A7733">
            <w:pPr>
              <w:spacing w:before="120" w:after="120" w:line="288" w:lineRule="auto"/>
              <w:ind w:left="0"/>
              <w:jc w:val="left"/>
            </w:pPr>
          </w:p>
          <w:p w14:paraId="7D66E58F">
            <w:pPr>
              <w:spacing w:before="120" w:after="120" w:line="288" w:lineRule="auto"/>
              <w:ind w:left="0" w:firstLine="420"/>
              <w:jc w:val="left"/>
            </w:pPr>
            <w:r>
              <w:rPr>
                <w:rFonts w:ascii="Arial" w:hAnsi="Arial" w:eastAsia="等线" w:cs="Arial"/>
                <w:sz w:val="22"/>
              </w:rPr>
              <w:t>What is the maximum number of shares John can sell with this filing?</w:t>
            </w:r>
          </w:p>
          <w:p w14:paraId="3B4D941F">
            <w:pPr>
              <w:spacing w:before="120" w:after="120" w:line="288" w:lineRule="auto"/>
              <w:ind w:left="453"/>
              <w:jc w:val="left"/>
            </w:pPr>
            <w:r>
              <w:rPr>
                <w:rFonts w:ascii="Arial" w:hAnsi="Arial" w:eastAsia="等线" w:cs="Arial"/>
                <w:sz w:val="22"/>
              </w:rPr>
              <w:t>(A) 15,000</w:t>
            </w:r>
          </w:p>
          <w:p w14:paraId="477F3336">
            <w:pPr>
              <w:spacing w:before="120" w:after="120" w:line="288" w:lineRule="auto"/>
              <w:ind w:left="453"/>
              <w:jc w:val="left"/>
            </w:pPr>
            <w:r>
              <w:rPr>
                <w:rFonts w:ascii="Arial" w:hAnsi="Arial" w:eastAsia="等线" w:cs="Arial"/>
                <w:sz w:val="22"/>
              </w:rPr>
              <w:t>(B) 15,750</w:t>
            </w:r>
          </w:p>
          <w:p w14:paraId="55054041">
            <w:pPr>
              <w:spacing w:before="120" w:after="120" w:line="288" w:lineRule="auto"/>
              <w:ind w:left="453"/>
              <w:jc w:val="left"/>
            </w:pPr>
            <w:r>
              <w:rPr>
                <w:rFonts w:ascii="Arial" w:hAnsi="Arial" w:eastAsia="等线" w:cs="Arial"/>
                <w:sz w:val="22"/>
              </w:rPr>
              <w:t>(C) 16,200</w:t>
            </w:r>
          </w:p>
          <w:p w14:paraId="2DC84C45">
            <w:pPr>
              <w:spacing w:before="120" w:after="120" w:line="288" w:lineRule="auto"/>
              <w:ind w:left="453"/>
              <w:jc w:val="left"/>
            </w:pPr>
            <w:r>
              <w:rPr>
                <w:rFonts w:ascii="Arial" w:hAnsi="Arial" w:eastAsia="等线" w:cs="Arial"/>
                <w:sz w:val="22"/>
              </w:rPr>
              <w:t>(D) 16,250</w:t>
            </w:r>
          </w:p>
        </w:tc>
      </w:tr>
    </w:tbl>
    <w:p w14:paraId="12272D56">
      <w:pPr>
        <w:spacing w:before="260" w:after="120" w:line="288" w:lineRule="auto"/>
        <w:ind w:left="0"/>
        <w:jc w:val="left"/>
        <w:outlineLvl w:val="3"/>
      </w:pPr>
      <w:bookmarkStart w:id="26" w:name="heading_26"/>
      <w:r>
        <w:rPr>
          <w:rFonts w:ascii="Arial" w:hAnsi="Arial" w:eastAsia="等线" w:cs="Arial"/>
          <w:color w:val="3370FF"/>
          <w:sz w:val="28"/>
        </w:rPr>
        <w:t xml:space="preserve">2.4.1.2 </w:t>
      </w:r>
      <w:r>
        <w:rPr>
          <w:rFonts w:ascii="Arial" w:hAnsi="Arial" w:eastAsia="等线" w:cs="Arial"/>
          <w:b/>
          <w:sz w:val="28"/>
        </w:rPr>
        <w:t>Rule 144A</w:t>
      </w:r>
      <w:bookmarkEnd w:id="26"/>
    </w:p>
    <w:p w14:paraId="528CCD3E">
      <w:pPr>
        <w:spacing w:before="120" w:after="120" w:line="288" w:lineRule="auto"/>
        <w:ind w:left="0"/>
        <w:jc w:val="left"/>
      </w:pPr>
      <w:r>
        <w:rPr>
          <w:rFonts w:ascii="Arial" w:hAnsi="Arial" w:eastAsia="等线" w:cs="Arial"/>
          <w:sz w:val="22"/>
        </w:rPr>
        <w:t>Rule 144A 是为了创建一个高效、流动的美国机构私募市场而设立的。它允许合格机构买家之间快速、大量地转售限制性证券，无需注册，也不受 Rule 144 的持有期和交易量限制。</w:t>
      </w:r>
    </w:p>
    <w:p w14:paraId="6938F418">
      <w:pPr>
        <w:spacing w:before="120" w:after="120" w:line="288" w:lineRule="auto"/>
        <w:ind w:left="0"/>
        <w:jc w:val="left"/>
      </w:pPr>
    </w:p>
    <w:p w14:paraId="37892FAC">
      <w:pPr>
        <w:spacing w:before="120" w:after="120" w:line="288" w:lineRule="auto"/>
        <w:ind w:left="0"/>
        <w:jc w:val="left"/>
      </w:pPr>
      <w:r>
        <w:rPr>
          <w:rFonts w:ascii="Arial" w:hAnsi="Arial" w:eastAsia="等线" w:cs="Arial"/>
          <w:sz w:val="22"/>
        </w:rPr>
        <w:t>该规则允许未注册的国内外证券在美国向合格机构投资者（QIBs，Qualified Institutional Buyers）出售，且无持有期（holding period）限制。</w:t>
      </w:r>
    </w:p>
    <w:p w14:paraId="71E31169">
      <w:pPr>
        <w:spacing w:before="120" w:after="120" w:line="288" w:lineRule="auto"/>
        <w:ind w:left="0"/>
        <w:jc w:val="left"/>
      </w:pPr>
    </w:p>
    <w:p w14:paraId="37C114D9">
      <w:pPr>
        <w:spacing w:before="120" w:after="120" w:line="288" w:lineRule="auto"/>
        <w:ind w:left="0"/>
        <w:jc w:val="left"/>
      </w:pPr>
      <w:r>
        <w:rPr>
          <w:rFonts w:ascii="Arial" w:hAnsi="Arial" w:eastAsia="等线" w:cs="Arial"/>
          <w:sz w:val="22"/>
        </w:rPr>
        <w:t>合格机构投资者包括保险公司、注册投资公司、注册投资顾问、养老金计划、公司、合伙企业等。</w:t>
      </w:r>
    </w:p>
    <w:p w14:paraId="5B38F0EB">
      <w:pPr>
        <w:spacing w:before="300" w:after="120" w:line="288" w:lineRule="auto"/>
        <w:ind w:left="0"/>
        <w:jc w:val="left"/>
        <w:outlineLvl w:val="2"/>
      </w:pPr>
      <w:bookmarkStart w:id="27" w:name="heading_27"/>
      <w:r>
        <w:rPr>
          <w:rFonts w:ascii="Arial" w:hAnsi="Arial" w:eastAsia="等线" w:cs="Arial"/>
          <w:color w:val="3370FF"/>
          <w:sz w:val="30"/>
        </w:rPr>
        <w:t xml:space="preserve">2.4.2 </w:t>
      </w:r>
      <w:r>
        <w:rPr>
          <w:rFonts w:ascii="Arial" w:hAnsi="Arial" w:eastAsia="等线" w:cs="Arial"/>
          <w:b/>
          <w:sz w:val="30"/>
        </w:rPr>
        <w:t>Securities Exchange Act of 1934</w:t>
      </w:r>
      <w:bookmarkEnd w:id="27"/>
    </w:p>
    <w:p w14:paraId="56B8C422">
      <w:pPr>
        <w:spacing w:before="120" w:after="120" w:line="288" w:lineRule="auto"/>
        <w:ind w:left="0"/>
        <w:jc w:val="left"/>
      </w:pPr>
      <w:r>
        <w:rPr>
          <w:rFonts w:ascii="Arial" w:hAnsi="Arial" w:eastAsia="等线" w:cs="Arial"/>
          <w:sz w:val="22"/>
        </w:rPr>
        <w:t>与《1933年证券法》（主要监管证券的一级市场发行）不同，《1934年证券交易法》主要监管证券的二级市场交易和持续监管。</w:t>
      </w:r>
    </w:p>
    <w:p w14:paraId="1A82B45F">
      <w:pPr>
        <w:spacing w:before="120" w:after="120" w:line="288" w:lineRule="auto"/>
        <w:ind w:left="0"/>
        <w:jc w:val="left"/>
      </w:pPr>
    </w:p>
    <w:p w14:paraId="63FA5ADF">
      <w:pPr>
        <w:spacing w:before="120" w:after="120" w:line="288" w:lineRule="auto"/>
        <w:ind w:left="0"/>
        <w:jc w:val="left"/>
      </w:pPr>
      <w:r>
        <w:rPr>
          <w:rFonts w:ascii="Arial" w:hAnsi="Arial" w:eastAsia="等线" w:cs="Arial"/>
          <w:sz w:val="22"/>
        </w:rPr>
        <w:t>它的核心目标是确保市场的公平、高效和透明，并保护投资者。</w:t>
      </w:r>
    </w:p>
    <w:p w14:paraId="7420E68B">
      <w:pPr>
        <w:spacing w:before="120" w:after="120" w:line="288" w:lineRule="auto"/>
        <w:ind w:left="0"/>
        <w:jc w:val="left"/>
      </w:pPr>
    </w:p>
    <w:p w14:paraId="7B2CD836">
      <w:pPr>
        <w:spacing w:before="120" w:after="120" w:line="288" w:lineRule="auto"/>
        <w:ind w:left="0"/>
        <w:jc w:val="left"/>
      </w:pPr>
      <w:r>
        <w:rPr>
          <w:rFonts w:ascii="Arial" w:hAnsi="Arial" w:eastAsia="等线" w:cs="Arial"/>
          <w:sz w:val="22"/>
        </w:rPr>
        <w:t>监管 OTC market 和 shelf distribution 交易所的流通股（非 new security），内容涵盖：</w:t>
      </w:r>
    </w:p>
    <w:p w14:paraId="54AB8F0F">
      <w:pPr>
        <w:numPr>
          <w:ilvl w:val="0"/>
          <w:numId w:val="108"/>
        </w:numPr>
        <w:spacing w:before="120" w:after="120" w:line="288" w:lineRule="auto"/>
        <w:ind w:left="0"/>
        <w:jc w:val="left"/>
      </w:pPr>
      <w:r>
        <w:rPr>
          <w:rFonts w:ascii="Arial" w:hAnsi="Arial" w:eastAsia="等线" w:cs="Arial"/>
          <w:sz w:val="22"/>
        </w:rPr>
        <w:t>保证金账户中的融资交易（The extension of credit in margin accounts）</w:t>
      </w:r>
    </w:p>
    <w:p w14:paraId="291BE1EC">
      <w:pPr>
        <w:numPr>
          <w:ilvl w:val="0"/>
          <w:numId w:val="109"/>
        </w:numPr>
        <w:spacing w:before="120" w:after="120" w:line="288" w:lineRule="auto"/>
        <w:ind w:left="0"/>
        <w:jc w:val="left"/>
      </w:pPr>
      <w:r>
        <w:rPr>
          <w:rFonts w:ascii="Arial" w:hAnsi="Arial" w:eastAsia="等线" w:cs="Arial"/>
          <w:sz w:val="22"/>
        </w:rPr>
        <w:t>内部人交易（Transactions by insiders）</w:t>
      </w:r>
    </w:p>
    <w:p w14:paraId="20A99571">
      <w:pPr>
        <w:numPr>
          <w:ilvl w:val="0"/>
          <w:numId w:val="110"/>
        </w:numPr>
        <w:spacing w:before="120" w:after="120" w:line="288" w:lineRule="auto"/>
        <w:ind w:left="0"/>
        <w:jc w:val="left"/>
      </w:pPr>
      <w:r>
        <w:rPr>
          <w:rFonts w:ascii="Arial" w:hAnsi="Arial" w:eastAsia="等线" w:cs="Arial"/>
          <w:sz w:val="22"/>
        </w:rPr>
        <w:t>客户账户管理（Customer accounts）</w:t>
      </w:r>
    </w:p>
    <w:p w14:paraId="2E1A739F">
      <w:pPr>
        <w:numPr>
          <w:ilvl w:val="0"/>
          <w:numId w:val="111"/>
        </w:numPr>
        <w:spacing w:before="120" w:after="120" w:line="288" w:lineRule="auto"/>
        <w:ind w:left="0"/>
        <w:jc w:val="left"/>
      </w:pPr>
      <w:r>
        <w:rPr>
          <w:rFonts w:ascii="Arial" w:hAnsi="Arial" w:eastAsia="等线" w:cs="Arial"/>
          <w:sz w:val="22"/>
        </w:rPr>
        <w:t>整体交易行为（Trading activities）</w:t>
      </w:r>
    </w:p>
    <w:p w14:paraId="72895B2C">
      <w:pPr>
        <w:spacing w:before="120" w:after="120" w:line="288" w:lineRule="auto"/>
        <w:ind w:left="0"/>
        <w:jc w:val="left"/>
      </w:pPr>
    </w:p>
    <w:p w14:paraId="24078391">
      <w:pPr>
        <w:spacing w:before="300" w:after="120" w:line="288" w:lineRule="auto"/>
        <w:ind w:left="0"/>
        <w:jc w:val="left"/>
        <w:outlineLvl w:val="2"/>
      </w:pPr>
      <w:bookmarkStart w:id="28" w:name="heading_28"/>
      <w:r>
        <w:rPr>
          <w:rFonts w:ascii="Arial" w:hAnsi="Arial" w:eastAsia="等线" w:cs="Arial"/>
          <w:color w:val="3370FF"/>
          <w:sz w:val="30"/>
        </w:rPr>
        <w:t xml:space="preserve">2.4.3 </w:t>
      </w:r>
      <w:r>
        <w:rPr>
          <w:rFonts w:ascii="Arial" w:hAnsi="Arial" w:eastAsia="等线" w:cs="Arial"/>
          <w:b/>
          <w:sz w:val="30"/>
        </w:rPr>
        <w:t>Trust Indenture Act</w:t>
      </w:r>
      <w:bookmarkEnd w:id="28"/>
    </w:p>
    <w:p w14:paraId="311C4773">
      <w:pPr>
        <w:spacing w:before="120" w:after="120" w:line="288" w:lineRule="auto"/>
        <w:ind w:left="0"/>
        <w:jc w:val="left"/>
      </w:pPr>
      <w:r>
        <w:rPr>
          <w:rFonts w:ascii="Arial" w:hAnsi="Arial" w:eastAsia="等线" w:cs="Arial"/>
          <w:sz w:val="22"/>
        </w:rPr>
        <w:t>《信托契约法》最初被称为《1939年信托契约法》，禁止向投资者发行没有契约（indenture）的价值超过500万美元的债券，随后这一限额提高到5000万美元。</w:t>
      </w:r>
    </w:p>
    <w:p w14:paraId="2FAD9600">
      <w:pPr>
        <w:spacing w:before="120" w:after="120" w:line="288" w:lineRule="auto"/>
        <w:ind w:left="0"/>
        <w:jc w:val="left"/>
      </w:pPr>
    </w:p>
    <w:p w14:paraId="5EBAE159">
      <w:pPr>
        <w:spacing w:before="120" w:after="120" w:line="288" w:lineRule="auto"/>
        <w:ind w:left="0"/>
        <w:jc w:val="left"/>
      </w:pPr>
      <w:r>
        <w:rPr>
          <w:rFonts w:ascii="Arial" w:hAnsi="Arial" w:eastAsia="等线" w:cs="Arial"/>
          <w:sz w:val="22"/>
        </w:rPr>
        <w:t>信托契约是一种书面协议，通过披露发行的具体细节（票面利率、到期日、任何支持债券的抵押品等）来保护投资者。根据《信托契约法》的规定，所有公司都必须聘请一名受托人，负责保护债券持有人的权利。</w:t>
      </w:r>
    </w:p>
    <w:p w14:paraId="52A4BD33">
      <w:pPr>
        <w:spacing w:before="120" w:after="120" w:line="288" w:lineRule="auto"/>
        <w:ind w:left="0"/>
        <w:jc w:val="left"/>
      </w:pPr>
    </w:p>
    <w:p w14:paraId="509794EE">
      <w:pPr>
        <w:spacing w:before="120" w:after="120" w:line="288" w:lineRule="auto"/>
        <w:ind w:left="0"/>
        <w:jc w:val="left"/>
      </w:pPr>
      <w:r>
        <w:rPr>
          <w:rFonts w:ascii="Arial" w:hAnsi="Arial" w:eastAsia="等线" w:cs="Arial"/>
          <w:sz w:val="22"/>
        </w:rPr>
        <w:t>信托契约（Trust Indenture）是一种书面协议，通过披露（disclosure）发行的具体细节（票面利率、到期日、任何支持债券的抵押品等）来保护投资者。根据《信托契约法》的规定，所有公司都必须聘请一名受托人（Trustee），负责保护债券持有人的权利。</w:t>
      </w:r>
    </w:p>
    <w:p w14:paraId="54E0C271">
      <w:pPr>
        <w:spacing w:before="120" w:after="120" w:line="288" w:lineRule="auto"/>
        <w:ind w:left="0"/>
        <w:jc w:val="left"/>
      </w:pPr>
    </w:p>
    <w:p w14:paraId="323F01F0">
      <w:pPr>
        <w:numPr>
          <w:ilvl w:val="0"/>
          <w:numId w:val="112"/>
        </w:numPr>
        <w:spacing w:before="120" w:after="120" w:line="288" w:lineRule="auto"/>
        <w:ind w:left="0"/>
        <w:jc w:val="left"/>
      </w:pPr>
      <w:r>
        <w:rPr>
          <w:rFonts w:ascii="Arial" w:hAnsi="Arial" w:eastAsia="等线" w:cs="Arial"/>
          <w:sz w:val="22"/>
        </w:rPr>
        <w:t>适用对象：公司发行的债券（Corporate Bonds），发行金额超过5000万美元。</w:t>
      </w:r>
    </w:p>
    <w:p w14:paraId="0CBB2479">
      <w:pPr>
        <w:numPr>
          <w:ilvl w:val="0"/>
          <w:numId w:val="113"/>
        </w:numPr>
        <w:spacing w:before="120" w:after="120" w:line="288" w:lineRule="auto"/>
        <w:ind w:left="0"/>
        <w:jc w:val="left"/>
      </w:pPr>
      <w:r>
        <w:rPr>
          <w:rFonts w:ascii="Arial" w:hAnsi="Arial" w:eastAsia="等线" w:cs="Arial"/>
          <w:sz w:val="22"/>
        </w:rPr>
        <w:t>适用范围</w:t>
      </w:r>
    </w:p>
    <w:p w14:paraId="15DED576">
      <w:pPr>
        <w:numPr>
          <w:ilvl w:val="0"/>
          <w:numId w:val="114"/>
        </w:numPr>
        <w:spacing w:before="120" w:after="120" w:line="288" w:lineRule="auto"/>
        <w:ind w:left="453"/>
        <w:jc w:val="left"/>
      </w:pPr>
      <w:r>
        <w:rPr>
          <w:rFonts w:ascii="Arial" w:hAnsi="Arial" w:eastAsia="等线" w:cs="Arial"/>
          <w:sz w:val="22"/>
        </w:rPr>
        <w:t>适用：Equipment Trust Bonds 等公司债 -- (Chapter 7)</w:t>
      </w:r>
    </w:p>
    <w:p w14:paraId="6BFD6E9F">
      <w:pPr>
        <w:numPr>
          <w:ilvl w:val="0"/>
          <w:numId w:val="115"/>
        </w:numPr>
        <w:spacing w:before="120" w:after="120" w:line="288" w:lineRule="auto"/>
        <w:ind w:left="453"/>
        <w:jc w:val="left"/>
      </w:pPr>
      <w:r>
        <w:rPr>
          <w:rFonts w:ascii="Arial" w:hAnsi="Arial" w:eastAsia="等线" w:cs="Arial"/>
          <w:sz w:val="22"/>
        </w:rPr>
        <w:t>不适用：</w:t>
      </w:r>
    </w:p>
    <w:p w14:paraId="608CE3D2">
      <w:pPr>
        <w:numPr>
          <w:ilvl w:val="0"/>
          <w:numId w:val="116"/>
        </w:numPr>
        <w:spacing w:before="120" w:after="120" w:line="288" w:lineRule="auto"/>
        <w:ind w:left="907"/>
        <w:jc w:val="left"/>
      </w:pPr>
      <w:r>
        <w:rPr>
          <w:rFonts w:ascii="Arial" w:hAnsi="Arial" w:eastAsia="等线" w:cs="Arial"/>
          <w:sz w:val="22"/>
        </w:rPr>
        <w:t>政府类证券(T-Bond, Municipal Bonds) -- (Chapter 7 &amp; 8)</w:t>
      </w:r>
    </w:p>
    <w:p w14:paraId="36E4D532">
      <w:pPr>
        <w:numPr>
          <w:ilvl w:val="0"/>
          <w:numId w:val="117"/>
        </w:numPr>
        <w:spacing w:before="120" w:after="120" w:line="288" w:lineRule="auto"/>
        <w:ind w:left="907"/>
        <w:jc w:val="left"/>
      </w:pPr>
      <w:r>
        <w:rPr>
          <w:rFonts w:ascii="Arial" w:hAnsi="Arial" w:eastAsia="等线" w:cs="Arial"/>
          <w:sz w:val="22"/>
        </w:rPr>
        <w:t>库存股（Treasury Stock），公司回购股份, 不属于公开发行 -- (Chapter 6)</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80A9A89">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4202EC95">
            <w:pPr>
              <w:spacing w:before="120" w:after="120" w:line="288" w:lineRule="auto"/>
              <w:ind w:left="0"/>
              <w:jc w:val="left"/>
            </w:pPr>
            <w:r>
              <w:rPr>
                <w:rFonts w:ascii="Arial" w:hAnsi="Arial" w:eastAsia="等线" w:cs="Arial"/>
                <w:sz w:val="22"/>
              </w:rPr>
              <w:t>注意区分：Treasury Bond 是联邦政府长期债券；Treasury Stock 是公司回购的股份，长得像但是含义不同。</w:t>
            </w:r>
          </w:p>
        </w:tc>
      </w:tr>
    </w:tbl>
    <w:p w14:paraId="0E81FFFE"/>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2AEA814">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0EC52A24">
            <w:pPr>
              <w:numPr>
                <w:ilvl w:val="0"/>
                <w:numId w:val="118"/>
              </w:numPr>
              <w:spacing w:before="120" w:after="120" w:line="288" w:lineRule="auto"/>
              <w:ind w:left="0"/>
              <w:jc w:val="left"/>
            </w:pPr>
            <w:r>
              <w:rPr>
                <w:rFonts w:ascii="Arial" w:hAnsi="Arial" w:eastAsia="等线" w:cs="Arial"/>
                <w:sz w:val="22"/>
              </w:rPr>
              <w:t xml:space="preserve">Which of the following securities is exempt from the Trust Indenture Act of 1939? </w:t>
            </w:r>
          </w:p>
          <w:p w14:paraId="643B6557">
            <w:pPr>
              <w:spacing w:before="120" w:after="120" w:line="288" w:lineRule="auto"/>
              <w:ind w:left="453"/>
              <w:jc w:val="left"/>
            </w:pPr>
            <w:r>
              <w:rPr>
                <w:rFonts w:ascii="Arial" w:hAnsi="Arial" w:eastAsia="等线" w:cs="Arial"/>
                <w:sz w:val="22"/>
              </w:rPr>
              <w:t>I. T-bonds</w:t>
            </w:r>
          </w:p>
          <w:p w14:paraId="48088A59">
            <w:pPr>
              <w:spacing w:before="120" w:after="120" w:line="288" w:lineRule="auto"/>
              <w:ind w:left="453"/>
              <w:jc w:val="left"/>
            </w:pPr>
            <w:r>
              <w:rPr>
                <w:rFonts w:ascii="Arial" w:hAnsi="Arial" w:eastAsia="等线" w:cs="Arial"/>
                <w:sz w:val="22"/>
              </w:rPr>
              <w:t>II. GO bonds</w:t>
            </w:r>
          </w:p>
          <w:p w14:paraId="4CB4B726">
            <w:pPr>
              <w:spacing w:before="120" w:after="120" w:line="288" w:lineRule="auto"/>
              <w:ind w:left="453"/>
              <w:jc w:val="left"/>
            </w:pPr>
            <w:r>
              <w:rPr>
                <w:rFonts w:ascii="Arial" w:hAnsi="Arial" w:eastAsia="等线" w:cs="Arial"/>
                <w:sz w:val="22"/>
              </w:rPr>
              <w:t>III. Equipment trust bonds</w:t>
            </w:r>
          </w:p>
          <w:p w14:paraId="29259C91">
            <w:pPr>
              <w:spacing w:before="120" w:after="120" w:line="288" w:lineRule="auto"/>
              <w:ind w:left="453"/>
              <w:jc w:val="left"/>
            </w:pPr>
            <w:r>
              <w:rPr>
                <w:rFonts w:ascii="Arial" w:hAnsi="Arial" w:eastAsia="等线" w:cs="Arial"/>
                <w:sz w:val="22"/>
              </w:rPr>
              <w:t>IV. Revenue bonds</w:t>
            </w:r>
          </w:p>
          <w:p w14:paraId="64CAE54D">
            <w:pPr>
              <w:spacing w:before="120" w:after="120" w:line="288" w:lineRule="auto"/>
              <w:ind w:left="453"/>
              <w:jc w:val="left"/>
            </w:pPr>
            <w:r>
              <w:rPr>
                <w:rFonts w:ascii="Arial" w:hAnsi="Arial" w:eastAsia="等线" w:cs="Arial"/>
                <w:sz w:val="22"/>
              </w:rPr>
              <w:t>(A) I only</w:t>
            </w:r>
          </w:p>
          <w:p w14:paraId="56B849A8">
            <w:pPr>
              <w:spacing w:before="120" w:after="120" w:line="288" w:lineRule="auto"/>
              <w:ind w:left="453"/>
              <w:jc w:val="left"/>
            </w:pPr>
            <w:r>
              <w:rPr>
                <w:rFonts w:ascii="Arial" w:hAnsi="Arial" w:eastAsia="等线" w:cs="Arial"/>
                <w:sz w:val="22"/>
              </w:rPr>
              <w:t>(B) II and III</w:t>
            </w:r>
          </w:p>
          <w:p w14:paraId="1C1DFFD4">
            <w:pPr>
              <w:spacing w:before="120" w:after="120" w:line="288" w:lineRule="auto"/>
              <w:ind w:left="453"/>
              <w:jc w:val="left"/>
            </w:pPr>
            <w:r>
              <w:rPr>
                <w:rFonts w:ascii="Arial" w:hAnsi="Arial" w:eastAsia="等线" w:cs="Arial"/>
                <w:sz w:val="22"/>
              </w:rPr>
              <w:t>(C) I, II, and IV</w:t>
            </w:r>
          </w:p>
          <w:p w14:paraId="29B60B71">
            <w:pPr>
              <w:spacing w:before="120" w:after="120" w:line="288" w:lineRule="auto"/>
              <w:ind w:left="453"/>
              <w:jc w:val="left"/>
            </w:pPr>
            <w:r>
              <w:rPr>
                <w:rFonts w:ascii="Arial" w:hAnsi="Arial" w:eastAsia="等线" w:cs="Arial"/>
                <w:sz w:val="22"/>
              </w:rPr>
              <w:t>(D) I, III, and IV</w:t>
            </w:r>
          </w:p>
        </w:tc>
      </w:tr>
    </w:tbl>
    <w:p w14:paraId="50327F63">
      <w:pPr>
        <w:spacing w:before="120" w:after="120" w:line="288" w:lineRule="auto"/>
        <w:ind w:left="0"/>
        <w:jc w:val="left"/>
      </w:pPr>
    </w:p>
    <w:p w14:paraId="01A7453E">
      <w:pPr>
        <w:spacing w:before="320" w:after="120" w:line="288" w:lineRule="auto"/>
        <w:ind w:left="0"/>
        <w:jc w:val="left"/>
        <w:outlineLvl w:val="1"/>
      </w:pPr>
      <w:bookmarkStart w:id="29" w:name="heading_29"/>
      <w:r>
        <w:rPr>
          <w:rFonts w:ascii="Arial" w:hAnsi="Arial" w:eastAsia="等线" w:cs="Arial"/>
          <w:color w:val="3370FF"/>
          <w:sz w:val="32"/>
        </w:rPr>
        <w:t xml:space="preserve">2.5 </w:t>
      </w:r>
      <w:r>
        <w:rPr>
          <w:rFonts w:ascii="Arial" w:hAnsi="Arial" w:eastAsia="等线" w:cs="Arial"/>
          <w:b/>
          <w:sz w:val="32"/>
        </w:rPr>
        <w:t>合格投资者</w:t>
      </w:r>
      <w:bookmarkEnd w:id="29"/>
    </w:p>
    <w:p w14:paraId="52F5B77E">
      <w:pPr>
        <w:spacing w:before="120" w:after="120" w:line="288" w:lineRule="auto"/>
        <w:ind w:left="0"/>
        <w:jc w:val="left"/>
      </w:pPr>
      <w:r>
        <w:rPr>
          <w:rFonts w:ascii="Arial" w:hAnsi="Arial" w:eastAsia="等线" w:cs="Arial"/>
          <w:sz w:val="22"/>
        </w:rPr>
        <w:t>合格投资者（Accredited Investor）被认定具备风险识别与承受能力，可参与私募产品投资。</w:t>
      </w:r>
    </w:p>
    <w:p w14:paraId="2B90C5F4">
      <w:pPr>
        <w:spacing w:before="120" w:after="120" w:line="288" w:lineRule="auto"/>
        <w:ind w:left="0"/>
        <w:jc w:val="left"/>
      </w:pPr>
    </w:p>
    <w:p w14:paraId="3C7E1EAA">
      <w:pPr>
        <w:spacing w:before="120" w:after="120" w:line="288" w:lineRule="auto"/>
        <w:ind w:left="0"/>
        <w:jc w:val="left"/>
      </w:pPr>
      <w:r>
        <w:rPr>
          <w:rFonts w:ascii="Arial" w:hAnsi="Arial" w:eastAsia="等线" w:cs="Arial"/>
          <w:sz w:val="22"/>
        </w:rPr>
        <w:t>满足以下任一条件：</w:t>
      </w:r>
    </w:p>
    <w:p w14:paraId="1A57E834">
      <w:pPr>
        <w:numPr>
          <w:ilvl w:val="0"/>
          <w:numId w:val="119"/>
        </w:numPr>
        <w:spacing w:before="120" w:after="120" w:line="288" w:lineRule="auto"/>
        <w:ind w:left="0"/>
        <w:jc w:val="left"/>
      </w:pPr>
      <w:r>
        <w:rPr>
          <w:rFonts w:ascii="Arial" w:hAnsi="Arial" w:eastAsia="等线" w:cs="Arial"/>
          <w:sz w:val="22"/>
        </w:rPr>
        <w:t>净资产达100万美元，不包括其主要住宅（Primary Residence）所拥有的权益/净值。</w:t>
      </w:r>
    </w:p>
    <w:p w14:paraId="2ABEAB69">
      <w:pPr>
        <w:numPr>
          <w:ilvl w:val="0"/>
          <w:numId w:val="120"/>
        </w:numPr>
        <w:spacing w:before="120" w:after="120" w:line="288" w:lineRule="auto"/>
        <w:ind w:left="0"/>
        <w:jc w:val="left"/>
      </w:pPr>
      <w:r>
        <w:rPr>
          <w:rFonts w:ascii="Arial" w:hAnsi="Arial" w:eastAsia="等线" w:cs="Arial"/>
          <w:sz w:val="22"/>
        </w:rPr>
        <w:t>最近两年年收入 ≥ 20万美元（单身）或 30万美元（夫妻合并），且当前年份预期收入也能达到此标准。</w:t>
      </w:r>
    </w:p>
    <w:p w14:paraId="54E69E2E">
      <w:pPr>
        <w:numPr>
          <w:ilvl w:val="0"/>
          <w:numId w:val="121"/>
        </w:numPr>
        <w:spacing w:before="120" w:after="120" w:line="288" w:lineRule="auto"/>
        <w:ind w:left="0"/>
        <w:jc w:val="left"/>
      </w:pPr>
      <w:r>
        <w:rPr>
          <w:rFonts w:ascii="Arial" w:hAnsi="Arial" w:eastAsia="等线" w:cs="Arial"/>
          <w:sz w:val="22"/>
        </w:rPr>
        <w:t>专业资质的投资者，如 Series 7（通用证券代表）、Series 65（投资顾问代表）或 Series 82（私募证券发行代表）。</w:t>
      </w:r>
    </w:p>
    <w:p w14:paraId="38CA2E96">
      <w:pPr>
        <w:numPr>
          <w:ilvl w:val="0"/>
          <w:numId w:val="122"/>
        </w:numPr>
        <w:spacing w:before="120" w:after="120" w:line="288" w:lineRule="auto"/>
        <w:ind w:left="0"/>
        <w:jc w:val="left"/>
      </w:pPr>
      <w:r>
        <w:rPr>
          <w:rFonts w:ascii="Arial" w:hAnsi="Arial" w:eastAsia="等线" w:cs="Arial"/>
          <w:sz w:val="22"/>
        </w:rPr>
        <w:t>私募发行人的内部人士（高管、董事和/或持有10%或以上流通股的股东，以及他们的直系亲属）。</w:t>
      </w:r>
    </w:p>
    <w:p w14:paraId="1EDB71F1">
      <w:pPr>
        <w:numPr>
          <w:ilvl w:val="0"/>
          <w:numId w:val="123"/>
        </w:numPr>
        <w:spacing w:before="120" w:after="120" w:line="288" w:lineRule="auto"/>
        <w:ind w:left="0"/>
        <w:jc w:val="left"/>
      </w:pPr>
      <w:r>
        <w:rPr>
          <w:rFonts w:ascii="Arial" w:hAnsi="Arial" w:eastAsia="等线" w:cs="Arial"/>
          <w:sz w:val="22"/>
        </w:rPr>
        <w:t>私募基金（对冲基金、私募股权基金等）从业人员具备专业知识和募集私募资金的能力。</w:t>
      </w:r>
    </w:p>
    <w:p w14:paraId="35AAE69B">
      <w:pPr>
        <w:numPr>
          <w:ilvl w:val="0"/>
          <w:numId w:val="124"/>
        </w:numPr>
        <w:spacing w:before="120" w:after="120" w:line="288" w:lineRule="auto"/>
        <w:ind w:left="0"/>
        <w:jc w:val="left"/>
      </w:pPr>
      <w:r>
        <w:rPr>
          <w:rFonts w:ascii="Arial" w:hAnsi="Arial" w:eastAsia="等线" w:cs="Arial"/>
          <w:sz w:val="22"/>
        </w:rPr>
        <w:t>农村商业投资公司（Rural business investment companies），筹集资金投资于农村小型企业的投资公司。</w:t>
      </w:r>
    </w:p>
    <w:p w14:paraId="1D1BC212">
      <w:pPr>
        <w:numPr>
          <w:ilvl w:val="0"/>
          <w:numId w:val="125"/>
        </w:numPr>
        <w:spacing w:before="120" w:after="120" w:line="288" w:lineRule="auto"/>
        <w:ind w:left="0"/>
        <w:jc w:val="left"/>
      </w:pPr>
      <w:r>
        <w:rPr>
          <w:rFonts w:ascii="Arial" w:hAnsi="Arial" w:eastAsia="等线" w:cs="Arial"/>
          <w:sz w:val="22"/>
        </w:rPr>
        <w:t>金融机构（Financial Institution），银行、保险公司、养老基金、注册投资公司、投资顾问、经纪商等</w:t>
      </w:r>
    </w:p>
    <w:p w14:paraId="6B8422C4">
      <w:pPr>
        <w:numPr>
          <w:ilvl w:val="0"/>
          <w:numId w:val="126"/>
        </w:numPr>
        <w:spacing w:before="120" w:after="120" w:line="288" w:lineRule="auto"/>
        <w:ind w:left="0"/>
        <w:jc w:val="left"/>
      </w:pPr>
      <w:r>
        <w:rPr>
          <w:rFonts w:ascii="Arial" w:hAnsi="Arial" w:eastAsia="等线" w:cs="Arial"/>
          <w:sz w:val="22"/>
        </w:rPr>
        <w:t>资产超过500万美元的有限责任公司（LLC）。</w:t>
      </w:r>
    </w:p>
    <w:p w14:paraId="65B79441">
      <w:pPr>
        <w:numPr>
          <w:ilvl w:val="0"/>
          <w:numId w:val="127"/>
        </w:numPr>
        <w:spacing w:before="120" w:after="120" w:line="288" w:lineRule="auto"/>
        <w:ind w:left="0"/>
        <w:jc w:val="left"/>
      </w:pPr>
      <w:r>
        <w:rPr>
          <w:rFonts w:ascii="Arial" w:hAnsi="Arial" w:eastAsia="等线" w:cs="Arial"/>
          <w:sz w:val="22"/>
        </w:rPr>
        <w:t>管理资产至少500万美元的家族办公室（Family offices）。</w:t>
      </w:r>
    </w:p>
    <w:p w14:paraId="0A037AFB">
      <w:pPr>
        <w:numPr>
          <w:ilvl w:val="0"/>
          <w:numId w:val="128"/>
        </w:numPr>
        <w:spacing w:before="120" w:after="120" w:line="288" w:lineRule="auto"/>
        <w:ind w:left="0"/>
        <w:jc w:val="left"/>
      </w:pPr>
      <w:r>
        <w:rPr>
          <w:rFonts w:ascii="Arial" w:hAnsi="Arial" w:eastAsia="等线" w:cs="Arial"/>
          <w:sz w:val="22"/>
        </w:rPr>
        <w:t>等等。</w:t>
      </w:r>
    </w:p>
    <w:p w14:paraId="0B6C8E48">
      <w:pPr>
        <w:spacing w:before="380" w:after="140" w:line="288" w:lineRule="auto"/>
        <w:ind w:left="0"/>
        <w:jc w:val="left"/>
        <w:outlineLvl w:val="0"/>
      </w:pPr>
      <w:bookmarkStart w:id="30" w:name="heading_30"/>
      <w:r>
        <w:rPr>
          <w:rFonts w:ascii="Arial" w:hAnsi="Arial" w:eastAsia="等线" w:cs="Arial"/>
          <w:color w:val="3370FF"/>
          <w:sz w:val="36"/>
        </w:rPr>
        <w:t xml:space="preserve">3. </w:t>
      </w:r>
      <w:r>
        <w:rPr>
          <w:rFonts w:ascii="Arial" w:hAnsi="Arial" w:eastAsia="等线" w:cs="Arial"/>
          <w:b/>
          <w:sz w:val="36"/>
        </w:rPr>
        <w:t>英文词汇辅助记忆</w:t>
      </w:r>
      <w:bookmarkEnd w:id="30"/>
    </w:p>
    <w:p w14:paraId="5183061B">
      <w:pPr>
        <w:spacing w:before="320" w:after="120" w:line="288" w:lineRule="auto"/>
        <w:ind w:left="0"/>
        <w:jc w:val="left"/>
        <w:outlineLvl w:val="1"/>
      </w:pPr>
      <w:bookmarkStart w:id="31" w:name="heading_31"/>
      <w:r>
        <w:rPr>
          <w:rFonts w:ascii="Arial" w:hAnsi="Arial" w:eastAsia="等线" w:cs="Arial"/>
          <w:color w:val="3370FF"/>
          <w:sz w:val="32"/>
        </w:rPr>
        <w:t xml:space="preserve">3.1 </w:t>
      </w:r>
      <w:r>
        <w:rPr>
          <w:rFonts w:ascii="Arial" w:hAnsi="Arial" w:eastAsia="等线" w:cs="Arial"/>
          <w:b/>
          <w:sz w:val="32"/>
        </w:rPr>
        <w:t>发行流程相关术语</w:t>
      </w:r>
      <w:bookmarkEnd w:id="3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2640"/>
        <w:gridCol w:w="3795"/>
      </w:tblGrid>
      <w:tr w14:paraId="54593E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3B18FE50">
            <w:pPr>
              <w:spacing w:before="120" w:after="120" w:line="288" w:lineRule="auto"/>
              <w:ind w:left="0"/>
              <w:jc w:val="left"/>
            </w:pPr>
            <w:r>
              <w:rPr>
                <w:rFonts w:ascii="Arial" w:hAnsi="Arial" w:eastAsia="等线" w:cs="Arial"/>
                <w:b/>
                <w:sz w:val="22"/>
              </w:rPr>
              <w:t>英文术语</w:t>
            </w:r>
          </w:p>
        </w:tc>
        <w:tc>
          <w:tcPr>
            <w:tcW w:w="2640" w:type="dxa"/>
            <w:tcMar>
              <w:top w:w="60" w:type="dxa"/>
              <w:left w:w="120" w:type="dxa"/>
              <w:bottom w:w="30" w:type="dxa"/>
              <w:right w:w="120" w:type="dxa"/>
            </w:tcMar>
          </w:tcPr>
          <w:p w14:paraId="0E9BEB5E">
            <w:pPr>
              <w:spacing w:before="120" w:after="120" w:line="288" w:lineRule="auto"/>
              <w:ind w:left="0"/>
              <w:jc w:val="left"/>
            </w:pPr>
            <w:r>
              <w:rPr>
                <w:rFonts w:ascii="Arial" w:hAnsi="Arial" w:eastAsia="等线" w:cs="Arial"/>
                <w:b/>
                <w:sz w:val="22"/>
              </w:rPr>
              <w:t>中文释义</w:t>
            </w:r>
          </w:p>
        </w:tc>
        <w:tc>
          <w:tcPr>
            <w:tcW w:w="3795" w:type="dxa"/>
            <w:tcMar>
              <w:top w:w="60" w:type="dxa"/>
              <w:left w:w="120" w:type="dxa"/>
              <w:bottom w:w="30" w:type="dxa"/>
              <w:right w:w="120" w:type="dxa"/>
            </w:tcMar>
          </w:tcPr>
          <w:p w14:paraId="6FDF0241">
            <w:pPr>
              <w:spacing w:before="120" w:after="120" w:line="288" w:lineRule="auto"/>
              <w:ind w:left="0"/>
              <w:jc w:val="left"/>
            </w:pPr>
            <w:r>
              <w:rPr>
                <w:rFonts w:ascii="Arial" w:hAnsi="Arial" w:eastAsia="等线" w:cs="Arial"/>
                <w:b/>
                <w:sz w:val="22"/>
              </w:rPr>
              <w:t>补充说明</w:t>
            </w:r>
          </w:p>
        </w:tc>
      </w:tr>
      <w:tr w14:paraId="7AEC4E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0325043B">
            <w:pPr>
              <w:spacing w:before="120" w:after="120" w:line="288" w:lineRule="auto"/>
              <w:ind w:left="0"/>
              <w:jc w:val="left"/>
            </w:pPr>
            <w:r>
              <w:rPr>
                <w:rFonts w:ascii="Arial" w:hAnsi="Arial" w:eastAsia="等线" w:cs="Arial"/>
                <w:sz w:val="22"/>
              </w:rPr>
              <w:t>Register with SEC</w:t>
            </w:r>
          </w:p>
        </w:tc>
        <w:tc>
          <w:tcPr>
            <w:tcW w:w="2640" w:type="dxa"/>
            <w:tcMar>
              <w:top w:w="60" w:type="dxa"/>
              <w:left w:w="120" w:type="dxa"/>
              <w:bottom w:w="30" w:type="dxa"/>
              <w:right w:w="120" w:type="dxa"/>
            </w:tcMar>
          </w:tcPr>
          <w:p w14:paraId="405D1177">
            <w:pPr>
              <w:spacing w:before="120" w:after="120" w:line="288" w:lineRule="auto"/>
              <w:ind w:left="0"/>
              <w:jc w:val="left"/>
            </w:pPr>
            <w:r>
              <w:rPr>
                <w:rFonts w:ascii="Arial" w:hAnsi="Arial" w:eastAsia="等线" w:cs="Arial"/>
                <w:sz w:val="22"/>
              </w:rPr>
              <w:t>向证券交易委员会注册</w:t>
            </w:r>
          </w:p>
        </w:tc>
        <w:tc>
          <w:tcPr>
            <w:tcW w:w="3795" w:type="dxa"/>
            <w:tcMar>
              <w:top w:w="60" w:type="dxa"/>
              <w:left w:w="120" w:type="dxa"/>
              <w:bottom w:w="30" w:type="dxa"/>
              <w:right w:w="120" w:type="dxa"/>
            </w:tcMar>
          </w:tcPr>
          <w:p w14:paraId="2753B4BF">
            <w:pPr>
              <w:spacing w:before="120" w:after="120" w:line="288" w:lineRule="auto"/>
              <w:ind w:left="0"/>
              <w:jc w:val="left"/>
            </w:pPr>
          </w:p>
        </w:tc>
      </w:tr>
      <w:tr w14:paraId="44DA16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7DA27292">
            <w:pPr>
              <w:spacing w:before="120" w:after="120" w:line="288" w:lineRule="auto"/>
              <w:ind w:left="0"/>
              <w:jc w:val="left"/>
            </w:pPr>
            <w:r>
              <w:rPr>
                <w:rFonts w:ascii="Arial" w:hAnsi="Arial" w:eastAsia="等线" w:cs="Arial"/>
                <w:sz w:val="22"/>
              </w:rPr>
              <w:t>Issuer</w:t>
            </w:r>
          </w:p>
        </w:tc>
        <w:tc>
          <w:tcPr>
            <w:tcW w:w="2640" w:type="dxa"/>
            <w:tcMar>
              <w:top w:w="60" w:type="dxa"/>
              <w:left w:w="120" w:type="dxa"/>
              <w:bottom w:w="30" w:type="dxa"/>
              <w:right w:w="120" w:type="dxa"/>
            </w:tcMar>
          </w:tcPr>
          <w:p w14:paraId="70EB1EC0">
            <w:pPr>
              <w:spacing w:before="120" w:after="120" w:line="288" w:lineRule="auto"/>
              <w:ind w:left="0"/>
              <w:jc w:val="left"/>
            </w:pPr>
            <w:r>
              <w:rPr>
                <w:rFonts w:ascii="Arial" w:hAnsi="Arial" w:eastAsia="等线" w:cs="Arial"/>
                <w:sz w:val="22"/>
              </w:rPr>
              <w:t>发行人</w:t>
            </w:r>
          </w:p>
        </w:tc>
        <w:tc>
          <w:tcPr>
            <w:tcW w:w="3795" w:type="dxa"/>
            <w:tcMar>
              <w:top w:w="60" w:type="dxa"/>
              <w:left w:w="120" w:type="dxa"/>
              <w:bottom w:w="30" w:type="dxa"/>
              <w:right w:w="120" w:type="dxa"/>
            </w:tcMar>
          </w:tcPr>
          <w:p w14:paraId="26E25EAC">
            <w:pPr>
              <w:spacing w:before="120" w:after="120" w:line="288" w:lineRule="auto"/>
              <w:ind w:left="0"/>
              <w:jc w:val="left"/>
            </w:pPr>
            <w:r>
              <w:rPr>
                <w:rFonts w:ascii="Arial" w:hAnsi="Arial" w:eastAsia="等线" w:cs="Arial"/>
                <w:sz w:val="22"/>
              </w:rPr>
              <w:t>是指发行证券的公司或实体</w:t>
            </w:r>
          </w:p>
        </w:tc>
      </w:tr>
      <w:tr w14:paraId="2C467E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3CFC3817">
            <w:pPr>
              <w:spacing w:before="120" w:after="120" w:line="288" w:lineRule="auto"/>
              <w:ind w:left="0"/>
              <w:jc w:val="left"/>
            </w:pPr>
            <w:r>
              <w:rPr>
                <w:rFonts w:ascii="Arial" w:hAnsi="Arial" w:eastAsia="等线" w:cs="Arial"/>
                <w:sz w:val="22"/>
              </w:rPr>
              <w:t>Shelf Registration</w:t>
            </w:r>
          </w:p>
        </w:tc>
        <w:tc>
          <w:tcPr>
            <w:tcW w:w="2640" w:type="dxa"/>
            <w:tcMar>
              <w:top w:w="60" w:type="dxa"/>
              <w:left w:w="120" w:type="dxa"/>
              <w:bottom w:w="30" w:type="dxa"/>
              <w:right w:w="120" w:type="dxa"/>
            </w:tcMar>
          </w:tcPr>
          <w:p w14:paraId="4611A54D">
            <w:pPr>
              <w:spacing w:before="120" w:after="120" w:line="288" w:lineRule="auto"/>
              <w:ind w:left="0"/>
              <w:jc w:val="left"/>
            </w:pPr>
            <w:r>
              <w:rPr>
                <w:rFonts w:ascii="Arial" w:hAnsi="Arial" w:eastAsia="等线" w:cs="Arial"/>
                <w:sz w:val="22"/>
              </w:rPr>
              <w:t>货架注册</w:t>
            </w:r>
          </w:p>
        </w:tc>
        <w:tc>
          <w:tcPr>
            <w:tcW w:w="3795" w:type="dxa"/>
            <w:tcMar>
              <w:top w:w="60" w:type="dxa"/>
              <w:left w:w="120" w:type="dxa"/>
              <w:bottom w:w="30" w:type="dxa"/>
              <w:right w:w="120" w:type="dxa"/>
            </w:tcMar>
          </w:tcPr>
          <w:p w14:paraId="3BC52831">
            <w:pPr>
              <w:spacing w:before="120" w:after="120" w:line="288" w:lineRule="auto"/>
              <w:ind w:left="0"/>
              <w:jc w:val="left"/>
            </w:pPr>
            <w:r>
              <w:rPr>
                <w:rFonts w:ascii="Arial" w:hAnsi="Arial" w:eastAsia="等线" w:cs="Arial"/>
                <w:sz w:val="22"/>
              </w:rPr>
              <w:t>一次注册、多次发行（Rule 415）</w:t>
            </w:r>
          </w:p>
        </w:tc>
      </w:tr>
      <w:tr w14:paraId="60EAA8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05F3699A">
            <w:pPr>
              <w:spacing w:before="120" w:after="120" w:line="288" w:lineRule="auto"/>
              <w:ind w:left="0"/>
              <w:jc w:val="left"/>
            </w:pPr>
            <w:r>
              <w:rPr>
                <w:rFonts w:ascii="Arial" w:hAnsi="Arial" w:eastAsia="等线" w:cs="Arial"/>
                <w:sz w:val="22"/>
              </w:rPr>
              <w:t>Effective Date</w:t>
            </w:r>
          </w:p>
        </w:tc>
        <w:tc>
          <w:tcPr>
            <w:tcW w:w="2640" w:type="dxa"/>
            <w:tcMar>
              <w:top w:w="60" w:type="dxa"/>
              <w:left w:w="120" w:type="dxa"/>
              <w:bottom w:w="30" w:type="dxa"/>
              <w:right w:w="120" w:type="dxa"/>
            </w:tcMar>
          </w:tcPr>
          <w:p w14:paraId="38D294E4">
            <w:pPr>
              <w:spacing w:before="120" w:after="120" w:line="288" w:lineRule="auto"/>
              <w:ind w:left="0"/>
              <w:jc w:val="left"/>
            </w:pPr>
            <w:r>
              <w:rPr>
                <w:rFonts w:ascii="Arial" w:hAnsi="Arial" w:eastAsia="等线" w:cs="Arial"/>
                <w:sz w:val="22"/>
              </w:rPr>
              <w:t xml:space="preserve">生效日 </w:t>
            </w:r>
          </w:p>
        </w:tc>
        <w:tc>
          <w:tcPr>
            <w:tcW w:w="3795" w:type="dxa"/>
            <w:tcMar>
              <w:top w:w="60" w:type="dxa"/>
              <w:left w:w="120" w:type="dxa"/>
              <w:bottom w:w="30" w:type="dxa"/>
              <w:right w:w="120" w:type="dxa"/>
            </w:tcMar>
          </w:tcPr>
          <w:p w14:paraId="4A72816E">
            <w:pPr>
              <w:spacing w:before="120" w:after="120" w:line="288" w:lineRule="auto"/>
              <w:ind w:left="0"/>
              <w:jc w:val="left"/>
            </w:pPr>
            <w:r>
              <w:rPr>
                <w:rFonts w:ascii="Arial" w:hAnsi="Arial" w:eastAsia="等线" w:cs="Arial"/>
                <w:sz w:val="22"/>
              </w:rPr>
              <w:t>SEC 批准发行注册声明的日期</w:t>
            </w:r>
          </w:p>
        </w:tc>
      </w:tr>
      <w:tr w14:paraId="050CB4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E59EB8F">
            <w:pPr>
              <w:spacing w:before="120" w:after="120" w:line="288" w:lineRule="auto"/>
              <w:ind w:left="0"/>
              <w:jc w:val="left"/>
            </w:pPr>
            <w:r>
              <w:rPr>
                <w:rFonts w:ascii="Arial" w:hAnsi="Arial" w:eastAsia="等线" w:cs="Arial"/>
                <w:sz w:val="22"/>
              </w:rPr>
              <w:t>Cooling-off Period</w:t>
            </w:r>
          </w:p>
        </w:tc>
        <w:tc>
          <w:tcPr>
            <w:tcW w:w="2640" w:type="dxa"/>
            <w:tcMar>
              <w:top w:w="60" w:type="dxa"/>
              <w:left w:w="120" w:type="dxa"/>
              <w:bottom w:w="30" w:type="dxa"/>
              <w:right w:w="120" w:type="dxa"/>
            </w:tcMar>
          </w:tcPr>
          <w:p w14:paraId="0043EB41">
            <w:pPr>
              <w:spacing w:before="120" w:after="120" w:line="288" w:lineRule="auto"/>
              <w:ind w:left="0"/>
              <w:jc w:val="left"/>
            </w:pPr>
            <w:r>
              <w:rPr>
                <w:rFonts w:ascii="Arial" w:hAnsi="Arial" w:eastAsia="等线" w:cs="Arial"/>
                <w:sz w:val="22"/>
              </w:rPr>
              <w:t>冷静期</w:t>
            </w:r>
          </w:p>
        </w:tc>
        <w:tc>
          <w:tcPr>
            <w:tcW w:w="3795" w:type="dxa"/>
            <w:tcMar>
              <w:top w:w="60" w:type="dxa"/>
              <w:left w:w="120" w:type="dxa"/>
              <w:bottom w:w="30" w:type="dxa"/>
              <w:right w:w="120" w:type="dxa"/>
            </w:tcMar>
          </w:tcPr>
          <w:p w14:paraId="3C583557">
            <w:pPr>
              <w:spacing w:before="120" w:after="120" w:line="288" w:lineRule="auto"/>
              <w:ind w:left="0"/>
              <w:jc w:val="left"/>
            </w:pPr>
            <w:r>
              <w:rPr>
                <w:rFonts w:ascii="Arial" w:hAnsi="Arial" w:eastAsia="等线" w:cs="Arial"/>
                <w:sz w:val="22"/>
              </w:rPr>
              <w:t>注册声明提交后至生效日前的20天</w:t>
            </w:r>
          </w:p>
        </w:tc>
      </w:tr>
      <w:tr w14:paraId="7C714F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5258307">
            <w:pPr>
              <w:spacing w:before="120" w:after="120" w:line="288" w:lineRule="auto"/>
              <w:ind w:left="0"/>
              <w:jc w:val="left"/>
            </w:pPr>
            <w:r>
              <w:rPr>
                <w:rFonts w:ascii="Arial" w:hAnsi="Arial" w:eastAsia="等线" w:cs="Arial"/>
                <w:sz w:val="22"/>
              </w:rPr>
              <w:t>Preliminary Prospectus</w:t>
            </w:r>
          </w:p>
        </w:tc>
        <w:tc>
          <w:tcPr>
            <w:tcW w:w="2640" w:type="dxa"/>
            <w:tcMar>
              <w:top w:w="60" w:type="dxa"/>
              <w:left w:w="120" w:type="dxa"/>
              <w:bottom w:w="30" w:type="dxa"/>
              <w:right w:w="120" w:type="dxa"/>
            </w:tcMar>
          </w:tcPr>
          <w:p w14:paraId="6A8F9F0A">
            <w:pPr>
              <w:spacing w:before="120" w:after="120" w:line="288" w:lineRule="auto"/>
              <w:ind w:left="0"/>
              <w:jc w:val="left"/>
            </w:pPr>
            <w:r>
              <w:rPr>
                <w:rFonts w:ascii="Arial" w:hAnsi="Arial" w:eastAsia="等线" w:cs="Arial"/>
                <w:sz w:val="22"/>
              </w:rPr>
              <w:t>初步招股说明书（“红鲱鱼”Red Herring）</w:t>
            </w:r>
          </w:p>
        </w:tc>
        <w:tc>
          <w:tcPr>
            <w:tcW w:w="3795" w:type="dxa"/>
            <w:tcMar>
              <w:top w:w="60" w:type="dxa"/>
              <w:left w:w="120" w:type="dxa"/>
              <w:bottom w:w="30" w:type="dxa"/>
              <w:right w:w="120" w:type="dxa"/>
            </w:tcMar>
          </w:tcPr>
          <w:p w14:paraId="2C621213">
            <w:pPr>
              <w:spacing w:before="120" w:after="120" w:line="288" w:lineRule="auto"/>
              <w:ind w:left="0"/>
              <w:jc w:val="left"/>
            </w:pPr>
            <w:r>
              <w:rPr>
                <w:rFonts w:ascii="Arial" w:hAnsi="Arial" w:eastAsia="等线" w:cs="Arial"/>
                <w:sz w:val="22"/>
              </w:rPr>
              <w:t>在冷静期发出，未包含价格和生效日</w:t>
            </w:r>
          </w:p>
        </w:tc>
      </w:tr>
      <w:tr w14:paraId="149999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3E14F935">
            <w:pPr>
              <w:spacing w:before="120" w:after="120" w:line="288" w:lineRule="auto"/>
              <w:ind w:left="0"/>
              <w:jc w:val="left"/>
            </w:pPr>
            <w:r>
              <w:rPr>
                <w:rFonts w:ascii="Arial" w:hAnsi="Arial" w:eastAsia="等线" w:cs="Arial"/>
                <w:sz w:val="22"/>
              </w:rPr>
              <w:t>Final Prospectus</w:t>
            </w:r>
          </w:p>
        </w:tc>
        <w:tc>
          <w:tcPr>
            <w:tcW w:w="2640" w:type="dxa"/>
            <w:tcMar>
              <w:top w:w="60" w:type="dxa"/>
              <w:left w:w="120" w:type="dxa"/>
              <w:bottom w:w="30" w:type="dxa"/>
              <w:right w:w="120" w:type="dxa"/>
            </w:tcMar>
          </w:tcPr>
          <w:p w14:paraId="26E4C9EF">
            <w:pPr>
              <w:spacing w:before="120" w:after="120" w:line="288" w:lineRule="auto"/>
              <w:ind w:left="0"/>
              <w:jc w:val="left"/>
            </w:pPr>
            <w:r>
              <w:rPr>
                <w:rFonts w:ascii="Arial" w:hAnsi="Arial" w:eastAsia="等线" w:cs="Arial"/>
                <w:sz w:val="22"/>
              </w:rPr>
              <w:t>最终招股说明书</w:t>
            </w:r>
          </w:p>
        </w:tc>
        <w:tc>
          <w:tcPr>
            <w:tcW w:w="3795" w:type="dxa"/>
            <w:tcMar>
              <w:top w:w="60" w:type="dxa"/>
              <w:left w:w="120" w:type="dxa"/>
              <w:bottom w:w="30" w:type="dxa"/>
              <w:right w:w="120" w:type="dxa"/>
            </w:tcMar>
          </w:tcPr>
          <w:p w14:paraId="25E6BCFF">
            <w:pPr>
              <w:spacing w:before="120" w:after="120" w:line="288" w:lineRule="auto"/>
              <w:ind w:left="0"/>
              <w:jc w:val="left"/>
            </w:pPr>
            <w:r>
              <w:rPr>
                <w:rFonts w:ascii="Arial" w:hAnsi="Arial" w:eastAsia="等线" w:cs="Arial"/>
                <w:sz w:val="22"/>
              </w:rPr>
              <w:t>包含价格、生效日等；必须在发行后提供</w:t>
            </w:r>
          </w:p>
        </w:tc>
      </w:tr>
      <w:tr w14:paraId="40C03A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63B5A24C">
            <w:pPr>
              <w:spacing w:before="120" w:after="120" w:line="288" w:lineRule="auto"/>
              <w:ind w:left="0"/>
              <w:jc w:val="left"/>
            </w:pPr>
            <w:r>
              <w:rPr>
                <w:rFonts w:ascii="Arial" w:hAnsi="Arial" w:eastAsia="等线" w:cs="Arial"/>
                <w:sz w:val="22"/>
              </w:rPr>
              <w:t>Underwriting Agreement</w:t>
            </w:r>
          </w:p>
        </w:tc>
        <w:tc>
          <w:tcPr>
            <w:tcW w:w="2640" w:type="dxa"/>
            <w:tcMar>
              <w:top w:w="60" w:type="dxa"/>
              <w:left w:w="120" w:type="dxa"/>
              <w:bottom w:w="30" w:type="dxa"/>
              <w:right w:w="120" w:type="dxa"/>
            </w:tcMar>
          </w:tcPr>
          <w:p w14:paraId="3F73FB76">
            <w:pPr>
              <w:spacing w:before="120" w:after="120" w:line="288" w:lineRule="auto"/>
              <w:ind w:left="0"/>
              <w:jc w:val="left"/>
            </w:pPr>
            <w:r>
              <w:rPr>
                <w:rFonts w:ascii="Arial" w:hAnsi="Arial" w:eastAsia="等线" w:cs="Arial"/>
                <w:sz w:val="22"/>
              </w:rPr>
              <w:t>承销协议</w:t>
            </w:r>
          </w:p>
        </w:tc>
        <w:tc>
          <w:tcPr>
            <w:tcW w:w="3795" w:type="dxa"/>
            <w:tcMar>
              <w:top w:w="60" w:type="dxa"/>
              <w:left w:w="120" w:type="dxa"/>
              <w:bottom w:w="30" w:type="dxa"/>
              <w:right w:w="120" w:type="dxa"/>
            </w:tcMar>
          </w:tcPr>
          <w:p w14:paraId="6A6849C5">
            <w:pPr>
              <w:spacing w:before="120" w:after="120" w:line="288" w:lineRule="auto"/>
              <w:ind w:left="0"/>
              <w:jc w:val="left"/>
            </w:pPr>
            <w:r>
              <w:rPr>
                <w:rFonts w:ascii="Arial" w:hAnsi="Arial" w:eastAsia="等线" w:cs="Arial"/>
                <w:sz w:val="22"/>
              </w:rPr>
              <w:t>发行人与承销商之间达成的正式合约，规定承销方式（包销/代销）、费用、数量、分配责任等</w:t>
            </w:r>
          </w:p>
        </w:tc>
      </w:tr>
      <w:tr w14:paraId="668F58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0E438CF">
            <w:pPr>
              <w:spacing w:before="120" w:after="120" w:line="288" w:lineRule="auto"/>
              <w:ind w:left="0"/>
              <w:jc w:val="left"/>
            </w:pPr>
            <w:r>
              <w:rPr>
                <w:rFonts w:ascii="Arial" w:hAnsi="Arial" w:eastAsia="等线" w:cs="Arial"/>
                <w:sz w:val="22"/>
              </w:rPr>
              <w:t>Tombstone Ad</w:t>
            </w:r>
          </w:p>
        </w:tc>
        <w:tc>
          <w:tcPr>
            <w:tcW w:w="2640" w:type="dxa"/>
            <w:tcMar>
              <w:top w:w="60" w:type="dxa"/>
              <w:left w:w="120" w:type="dxa"/>
              <w:bottom w:w="30" w:type="dxa"/>
              <w:right w:w="120" w:type="dxa"/>
            </w:tcMar>
          </w:tcPr>
          <w:p w14:paraId="04B7DB1F">
            <w:pPr>
              <w:spacing w:before="120" w:after="120" w:line="288" w:lineRule="auto"/>
              <w:ind w:left="0"/>
              <w:jc w:val="left"/>
            </w:pPr>
            <w:r>
              <w:rPr>
                <w:rFonts w:ascii="Arial" w:hAnsi="Arial" w:eastAsia="等线" w:cs="Arial"/>
                <w:sz w:val="22"/>
              </w:rPr>
              <w:t>墓碑式广告</w:t>
            </w:r>
          </w:p>
        </w:tc>
        <w:tc>
          <w:tcPr>
            <w:tcW w:w="3795" w:type="dxa"/>
            <w:tcMar>
              <w:top w:w="60" w:type="dxa"/>
              <w:left w:w="120" w:type="dxa"/>
              <w:bottom w:w="30" w:type="dxa"/>
              <w:right w:w="120" w:type="dxa"/>
            </w:tcMar>
          </w:tcPr>
          <w:p w14:paraId="2456663E">
            <w:pPr>
              <w:spacing w:before="120" w:after="120" w:line="288" w:lineRule="auto"/>
              <w:ind w:left="0"/>
              <w:jc w:val="left"/>
            </w:pPr>
            <w:r>
              <w:rPr>
                <w:rFonts w:ascii="Arial" w:hAnsi="Arial" w:eastAsia="等线" w:cs="Arial"/>
                <w:sz w:val="22"/>
              </w:rPr>
              <w:t>冷静期唯一允许的广告</w:t>
            </w:r>
          </w:p>
        </w:tc>
      </w:tr>
      <w:tr w14:paraId="54D5C9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76EF55AC">
            <w:pPr>
              <w:spacing w:before="120" w:after="120" w:line="288" w:lineRule="auto"/>
              <w:ind w:left="0"/>
              <w:jc w:val="left"/>
            </w:pPr>
            <w:r>
              <w:rPr>
                <w:rFonts w:ascii="Arial" w:hAnsi="Arial" w:eastAsia="等线" w:cs="Arial"/>
                <w:sz w:val="22"/>
              </w:rPr>
              <w:t>Blue Sky Laws</w:t>
            </w:r>
          </w:p>
        </w:tc>
        <w:tc>
          <w:tcPr>
            <w:tcW w:w="2640" w:type="dxa"/>
            <w:tcMar>
              <w:top w:w="60" w:type="dxa"/>
              <w:left w:w="120" w:type="dxa"/>
              <w:bottom w:w="30" w:type="dxa"/>
              <w:right w:w="120" w:type="dxa"/>
            </w:tcMar>
          </w:tcPr>
          <w:p w14:paraId="4E56F647">
            <w:pPr>
              <w:spacing w:before="120" w:after="120" w:line="288" w:lineRule="auto"/>
              <w:ind w:left="0"/>
              <w:jc w:val="left"/>
            </w:pPr>
            <w:r>
              <w:rPr>
                <w:rFonts w:ascii="Arial" w:hAnsi="Arial" w:eastAsia="等线" w:cs="Arial"/>
                <w:sz w:val="22"/>
              </w:rPr>
              <w:t>蓝天法案（州级证券法规）</w:t>
            </w:r>
          </w:p>
        </w:tc>
        <w:tc>
          <w:tcPr>
            <w:tcW w:w="3795" w:type="dxa"/>
            <w:tcMar>
              <w:top w:w="60" w:type="dxa"/>
              <w:left w:w="120" w:type="dxa"/>
              <w:bottom w:w="30" w:type="dxa"/>
              <w:right w:w="120" w:type="dxa"/>
            </w:tcMar>
          </w:tcPr>
          <w:p w14:paraId="0CB85133">
            <w:pPr>
              <w:spacing w:before="120" w:after="120" w:line="288" w:lineRule="auto"/>
              <w:ind w:left="0"/>
              <w:jc w:val="left"/>
            </w:pPr>
            <w:r>
              <w:rPr>
                <w:rFonts w:ascii="Arial" w:hAnsi="Arial" w:eastAsia="等线" w:cs="Arial"/>
                <w:sz w:val="22"/>
              </w:rPr>
              <w:t>要求证券注册于各发行州</w:t>
            </w:r>
          </w:p>
        </w:tc>
      </w:tr>
      <w:tr w14:paraId="7F6907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280A75B">
            <w:pPr>
              <w:spacing w:before="120" w:after="120" w:line="288" w:lineRule="auto"/>
              <w:ind w:left="0"/>
              <w:jc w:val="left"/>
            </w:pPr>
            <w:r>
              <w:rPr>
                <w:rFonts w:ascii="Arial" w:hAnsi="Arial" w:eastAsia="等线" w:cs="Arial"/>
                <w:sz w:val="22"/>
              </w:rPr>
              <w:t>Notification</w:t>
            </w:r>
          </w:p>
        </w:tc>
        <w:tc>
          <w:tcPr>
            <w:tcW w:w="2640" w:type="dxa"/>
            <w:tcMar>
              <w:top w:w="60" w:type="dxa"/>
              <w:left w:w="120" w:type="dxa"/>
              <w:bottom w:w="30" w:type="dxa"/>
              <w:right w:w="120" w:type="dxa"/>
            </w:tcMar>
          </w:tcPr>
          <w:p w14:paraId="2F4B4EB1">
            <w:pPr>
              <w:spacing w:before="120" w:after="120" w:line="288" w:lineRule="auto"/>
              <w:ind w:left="0"/>
              <w:jc w:val="left"/>
            </w:pPr>
            <w:r>
              <w:rPr>
                <w:rFonts w:ascii="Arial" w:hAnsi="Arial" w:eastAsia="等线" w:cs="Arial"/>
                <w:sz w:val="22"/>
              </w:rPr>
              <w:t>通知注册</w:t>
            </w:r>
          </w:p>
        </w:tc>
        <w:tc>
          <w:tcPr>
            <w:tcW w:w="3795" w:type="dxa"/>
            <w:tcMar>
              <w:top w:w="60" w:type="dxa"/>
              <w:left w:w="120" w:type="dxa"/>
              <w:bottom w:w="30" w:type="dxa"/>
              <w:right w:w="120" w:type="dxa"/>
            </w:tcMar>
          </w:tcPr>
          <w:p w14:paraId="196713F4">
            <w:pPr>
              <w:spacing w:before="120" w:after="120" w:line="288" w:lineRule="auto"/>
              <w:ind w:left="0"/>
              <w:jc w:val="left"/>
            </w:pPr>
            <w:r>
              <w:rPr>
                <w:rFonts w:ascii="Arial" w:hAnsi="Arial" w:eastAsia="等线" w:cs="Arial"/>
                <w:sz w:val="22"/>
              </w:rPr>
              <w:t>最简方式，适用于已有历史发行记录的公司</w:t>
            </w:r>
          </w:p>
        </w:tc>
      </w:tr>
      <w:tr w14:paraId="4EE275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3FD01C4C">
            <w:pPr>
              <w:spacing w:before="120" w:after="120" w:line="288" w:lineRule="auto"/>
              <w:ind w:left="0"/>
              <w:jc w:val="left"/>
            </w:pPr>
            <w:r>
              <w:rPr>
                <w:rFonts w:ascii="Arial" w:hAnsi="Arial" w:eastAsia="等线" w:cs="Arial"/>
                <w:sz w:val="22"/>
              </w:rPr>
              <w:t>Coordination</w:t>
            </w:r>
          </w:p>
        </w:tc>
        <w:tc>
          <w:tcPr>
            <w:tcW w:w="2640" w:type="dxa"/>
            <w:tcMar>
              <w:top w:w="60" w:type="dxa"/>
              <w:left w:w="120" w:type="dxa"/>
              <w:bottom w:w="30" w:type="dxa"/>
              <w:right w:w="120" w:type="dxa"/>
            </w:tcMar>
          </w:tcPr>
          <w:p w14:paraId="6BE10EC9">
            <w:pPr>
              <w:spacing w:before="120" w:after="120" w:line="288" w:lineRule="auto"/>
              <w:ind w:left="0"/>
              <w:jc w:val="left"/>
            </w:pPr>
            <w:r>
              <w:rPr>
                <w:rFonts w:ascii="Arial" w:hAnsi="Arial" w:eastAsia="等线" w:cs="Arial"/>
                <w:sz w:val="22"/>
              </w:rPr>
              <w:t>协调注册</w:t>
            </w:r>
          </w:p>
        </w:tc>
        <w:tc>
          <w:tcPr>
            <w:tcW w:w="3795" w:type="dxa"/>
            <w:tcMar>
              <w:top w:w="60" w:type="dxa"/>
              <w:left w:w="120" w:type="dxa"/>
              <w:bottom w:w="30" w:type="dxa"/>
              <w:right w:w="120" w:type="dxa"/>
            </w:tcMar>
          </w:tcPr>
          <w:p w14:paraId="0DB49929">
            <w:pPr>
              <w:spacing w:before="120" w:after="120" w:line="288" w:lineRule="auto"/>
              <w:ind w:left="0"/>
              <w:jc w:val="left"/>
            </w:pPr>
            <w:r>
              <w:rPr>
                <w:rFonts w:ascii="Arial" w:hAnsi="Arial" w:eastAsia="等线" w:cs="Arial"/>
                <w:sz w:val="22"/>
              </w:rPr>
              <w:t>与 SEC 同步注册，适用于 IPO</w:t>
            </w:r>
          </w:p>
        </w:tc>
      </w:tr>
      <w:tr w14:paraId="6F6802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7DFD6327">
            <w:pPr>
              <w:spacing w:before="120" w:after="120" w:line="288" w:lineRule="auto"/>
              <w:ind w:left="0"/>
              <w:jc w:val="left"/>
            </w:pPr>
            <w:r>
              <w:rPr>
                <w:rFonts w:ascii="Arial" w:hAnsi="Arial" w:eastAsia="等线" w:cs="Arial"/>
                <w:sz w:val="22"/>
              </w:rPr>
              <w:t>Qualification</w:t>
            </w:r>
          </w:p>
        </w:tc>
        <w:tc>
          <w:tcPr>
            <w:tcW w:w="2640" w:type="dxa"/>
            <w:tcMar>
              <w:top w:w="60" w:type="dxa"/>
              <w:left w:w="120" w:type="dxa"/>
              <w:bottom w:w="30" w:type="dxa"/>
              <w:right w:w="120" w:type="dxa"/>
            </w:tcMar>
          </w:tcPr>
          <w:p w14:paraId="3C74079B">
            <w:pPr>
              <w:spacing w:before="120" w:after="120" w:line="288" w:lineRule="auto"/>
              <w:ind w:left="0"/>
              <w:jc w:val="left"/>
            </w:pPr>
            <w:r>
              <w:rPr>
                <w:rFonts w:ascii="Arial" w:hAnsi="Arial" w:eastAsia="等线" w:cs="Arial"/>
                <w:sz w:val="22"/>
              </w:rPr>
              <w:t>独立注册</w:t>
            </w:r>
          </w:p>
        </w:tc>
        <w:tc>
          <w:tcPr>
            <w:tcW w:w="3795" w:type="dxa"/>
            <w:tcMar>
              <w:top w:w="60" w:type="dxa"/>
              <w:left w:w="120" w:type="dxa"/>
              <w:bottom w:w="30" w:type="dxa"/>
              <w:right w:w="120" w:type="dxa"/>
            </w:tcMar>
          </w:tcPr>
          <w:p w14:paraId="01B192D2">
            <w:pPr>
              <w:spacing w:before="120" w:after="120" w:line="288" w:lineRule="auto"/>
              <w:ind w:left="0"/>
              <w:jc w:val="left"/>
            </w:pPr>
            <w:r>
              <w:rPr>
                <w:rFonts w:ascii="Arial" w:hAnsi="Arial" w:eastAsia="等线" w:cs="Arial"/>
                <w:sz w:val="22"/>
              </w:rPr>
              <w:t>仅在州注册，未在 SEC 注册</w:t>
            </w:r>
          </w:p>
        </w:tc>
      </w:tr>
      <w:tr w14:paraId="300B5C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5088FDA3">
            <w:pPr>
              <w:spacing w:before="120" w:after="120" w:line="288" w:lineRule="auto"/>
              <w:ind w:left="0"/>
              <w:jc w:val="left"/>
            </w:pPr>
            <w:r>
              <w:rPr>
                <w:rFonts w:ascii="Arial" w:hAnsi="Arial" w:eastAsia="等线" w:cs="Arial"/>
                <w:sz w:val="22"/>
              </w:rPr>
              <w:t>Registrar</w:t>
            </w:r>
          </w:p>
        </w:tc>
        <w:tc>
          <w:tcPr>
            <w:tcW w:w="2640" w:type="dxa"/>
            <w:tcMar>
              <w:top w:w="60" w:type="dxa"/>
              <w:left w:w="120" w:type="dxa"/>
              <w:bottom w:w="30" w:type="dxa"/>
              <w:right w:w="120" w:type="dxa"/>
            </w:tcMar>
          </w:tcPr>
          <w:p w14:paraId="1B98E385">
            <w:pPr>
              <w:spacing w:before="120" w:after="120" w:line="288" w:lineRule="auto"/>
              <w:ind w:left="0"/>
              <w:jc w:val="left"/>
            </w:pPr>
            <w:r>
              <w:rPr>
                <w:rFonts w:ascii="Arial" w:hAnsi="Arial" w:eastAsia="等线" w:cs="Arial"/>
                <w:sz w:val="22"/>
              </w:rPr>
              <w:t>股份登记人</w:t>
            </w:r>
          </w:p>
        </w:tc>
        <w:tc>
          <w:tcPr>
            <w:tcW w:w="3795" w:type="dxa"/>
            <w:tcMar>
              <w:top w:w="60" w:type="dxa"/>
              <w:left w:w="120" w:type="dxa"/>
              <w:bottom w:w="30" w:type="dxa"/>
              <w:right w:w="120" w:type="dxa"/>
            </w:tcMar>
          </w:tcPr>
          <w:p w14:paraId="63208F19">
            <w:pPr>
              <w:spacing w:before="120" w:after="120" w:line="288" w:lineRule="auto"/>
              <w:ind w:left="0"/>
              <w:jc w:val="left"/>
            </w:pPr>
            <w:r>
              <w:rPr>
                <w:rFonts w:ascii="Arial" w:hAnsi="Arial" w:eastAsia="等线" w:cs="Arial"/>
                <w:sz w:val="22"/>
              </w:rPr>
              <w:t>负责记录和核对公司已发行在外的股票数量，确保公司不超发股票。</w:t>
            </w:r>
          </w:p>
        </w:tc>
      </w:tr>
      <w:tr w14:paraId="4DE4D2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A8B242E">
            <w:pPr>
              <w:spacing w:before="120" w:after="120" w:line="288" w:lineRule="auto"/>
              <w:ind w:left="0"/>
              <w:jc w:val="left"/>
            </w:pPr>
            <w:r>
              <w:rPr>
                <w:rFonts w:ascii="Arial" w:hAnsi="Arial" w:eastAsia="等线" w:cs="Arial"/>
                <w:sz w:val="22"/>
              </w:rPr>
              <w:t>Transfer Agent</w:t>
            </w:r>
          </w:p>
        </w:tc>
        <w:tc>
          <w:tcPr>
            <w:tcW w:w="2640" w:type="dxa"/>
            <w:tcMar>
              <w:top w:w="60" w:type="dxa"/>
              <w:left w:w="120" w:type="dxa"/>
              <w:bottom w:w="30" w:type="dxa"/>
              <w:right w:w="120" w:type="dxa"/>
            </w:tcMar>
          </w:tcPr>
          <w:p w14:paraId="4A1C799E">
            <w:pPr>
              <w:spacing w:before="120" w:after="120" w:line="288" w:lineRule="auto"/>
              <w:ind w:left="0"/>
              <w:jc w:val="left"/>
            </w:pPr>
            <w:r>
              <w:rPr>
                <w:rFonts w:ascii="Arial" w:hAnsi="Arial" w:eastAsia="等线" w:cs="Arial"/>
                <w:sz w:val="22"/>
              </w:rPr>
              <w:t>股票过户代理</w:t>
            </w:r>
          </w:p>
        </w:tc>
        <w:tc>
          <w:tcPr>
            <w:tcW w:w="3795" w:type="dxa"/>
            <w:tcMar>
              <w:top w:w="60" w:type="dxa"/>
              <w:left w:w="120" w:type="dxa"/>
              <w:bottom w:w="30" w:type="dxa"/>
              <w:right w:w="120" w:type="dxa"/>
            </w:tcMar>
          </w:tcPr>
          <w:p w14:paraId="5905F888">
            <w:pPr>
              <w:spacing w:before="120" w:after="120" w:line="288" w:lineRule="auto"/>
              <w:ind w:left="0"/>
              <w:jc w:val="left"/>
            </w:pPr>
            <w:r>
              <w:rPr>
                <w:rFonts w:ascii="Arial" w:hAnsi="Arial" w:eastAsia="等线" w:cs="Arial"/>
                <w:sz w:val="22"/>
              </w:rPr>
              <w:t>负责实际的股票登记、注销、转让记录管理，处理股东变更、分红支付</w:t>
            </w:r>
          </w:p>
        </w:tc>
      </w:tr>
    </w:tbl>
    <w:p w14:paraId="6BE48198">
      <w:pPr>
        <w:spacing w:before="320" w:after="120" w:line="288" w:lineRule="auto"/>
        <w:ind w:left="0"/>
        <w:jc w:val="left"/>
        <w:outlineLvl w:val="1"/>
      </w:pPr>
      <w:bookmarkStart w:id="32" w:name="heading_32"/>
      <w:r>
        <w:rPr>
          <w:rFonts w:ascii="Arial" w:hAnsi="Arial" w:eastAsia="等线" w:cs="Arial"/>
          <w:color w:val="3370FF"/>
          <w:sz w:val="32"/>
        </w:rPr>
        <w:t xml:space="preserve">3.2 </w:t>
      </w:r>
      <w:r>
        <w:rPr>
          <w:rFonts w:ascii="Arial" w:hAnsi="Arial" w:eastAsia="等线" w:cs="Arial"/>
          <w:b/>
          <w:sz w:val="32"/>
        </w:rPr>
        <w:t>参与者相关术语</w:t>
      </w:r>
      <w:bookmarkEnd w:id="3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20"/>
        <w:gridCol w:w="2490"/>
        <w:gridCol w:w="3570"/>
      </w:tblGrid>
      <w:tr w14:paraId="249036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712FB5DF">
            <w:pPr>
              <w:spacing w:before="120" w:after="120" w:line="288" w:lineRule="auto"/>
              <w:ind w:left="0"/>
              <w:jc w:val="left"/>
            </w:pPr>
            <w:r>
              <w:rPr>
                <w:rFonts w:ascii="Arial" w:hAnsi="Arial" w:eastAsia="等线" w:cs="Arial"/>
                <w:b/>
                <w:sz w:val="22"/>
              </w:rPr>
              <w:t>英文术语</w:t>
            </w:r>
          </w:p>
        </w:tc>
        <w:tc>
          <w:tcPr>
            <w:tcW w:w="2490" w:type="dxa"/>
            <w:tcMar>
              <w:top w:w="60" w:type="dxa"/>
              <w:left w:w="120" w:type="dxa"/>
              <w:bottom w:w="30" w:type="dxa"/>
              <w:right w:w="120" w:type="dxa"/>
            </w:tcMar>
          </w:tcPr>
          <w:p w14:paraId="3066FEBB">
            <w:pPr>
              <w:spacing w:before="120" w:after="120" w:line="288" w:lineRule="auto"/>
              <w:ind w:left="0"/>
              <w:jc w:val="left"/>
            </w:pPr>
            <w:r>
              <w:rPr>
                <w:rFonts w:ascii="Arial" w:hAnsi="Arial" w:eastAsia="等线" w:cs="Arial"/>
                <w:b/>
                <w:sz w:val="22"/>
              </w:rPr>
              <w:t>中文释义</w:t>
            </w:r>
          </w:p>
        </w:tc>
        <w:tc>
          <w:tcPr>
            <w:tcW w:w="3570" w:type="dxa"/>
            <w:tcMar>
              <w:top w:w="60" w:type="dxa"/>
              <w:left w:w="120" w:type="dxa"/>
              <w:bottom w:w="30" w:type="dxa"/>
              <w:right w:w="120" w:type="dxa"/>
            </w:tcMar>
          </w:tcPr>
          <w:p w14:paraId="7CDBE539">
            <w:pPr>
              <w:spacing w:before="120" w:after="120" w:line="288" w:lineRule="auto"/>
              <w:ind w:left="0"/>
              <w:jc w:val="left"/>
            </w:pPr>
            <w:r>
              <w:rPr>
                <w:rFonts w:ascii="Arial" w:hAnsi="Arial" w:eastAsia="等线" w:cs="Arial"/>
                <w:b/>
                <w:sz w:val="22"/>
              </w:rPr>
              <w:t>补充说明</w:t>
            </w:r>
          </w:p>
        </w:tc>
      </w:tr>
      <w:tr w14:paraId="4911A4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72C3B0F9">
            <w:pPr>
              <w:spacing w:before="120" w:after="120" w:line="288" w:lineRule="auto"/>
              <w:ind w:left="0"/>
              <w:jc w:val="left"/>
            </w:pPr>
            <w:r>
              <w:rPr>
                <w:rFonts w:ascii="Arial" w:hAnsi="Arial" w:eastAsia="等线" w:cs="Arial"/>
                <w:sz w:val="22"/>
              </w:rPr>
              <w:t>Investment Banker</w:t>
            </w:r>
          </w:p>
        </w:tc>
        <w:tc>
          <w:tcPr>
            <w:tcW w:w="2490" w:type="dxa"/>
            <w:tcMar>
              <w:top w:w="60" w:type="dxa"/>
              <w:left w:w="120" w:type="dxa"/>
              <w:bottom w:w="30" w:type="dxa"/>
              <w:right w:w="120" w:type="dxa"/>
            </w:tcMar>
          </w:tcPr>
          <w:p w14:paraId="2B9B6686">
            <w:pPr>
              <w:spacing w:before="120" w:after="120" w:line="288" w:lineRule="auto"/>
              <w:ind w:left="0"/>
              <w:jc w:val="left"/>
            </w:pPr>
            <w:r>
              <w:rPr>
                <w:rFonts w:ascii="Arial" w:hAnsi="Arial" w:eastAsia="等线" w:cs="Arial"/>
                <w:sz w:val="22"/>
              </w:rPr>
              <w:t>投资银行</w:t>
            </w:r>
          </w:p>
        </w:tc>
        <w:tc>
          <w:tcPr>
            <w:tcW w:w="3570" w:type="dxa"/>
            <w:tcMar>
              <w:top w:w="60" w:type="dxa"/>
              <w:left w:w="120" w:type="dxa"/>
              <w:bottom w:w="30" w:type="dxa"/>
              <w:right w:w="120" w:type="dxa"/>
            </w:tcMar>
          </w:tcPr>
          <w:p w14:paraId="4DB1DE68">
            <w:pPr>
              <w:spacing w:before="120" w:after="120" w:line="288" w:lineRule="auto"/>
              <w:ind w:left="0"/>
              <w:jc w:val="left"/>
            </w:pPr>
            <w:r>
              <w:rPr>
                <w:rFonts w:ascii="Arial" w:hAnsi="Arial" w:eastAsia="等线" w:cs="Arial"/>
                <w:sz w:val="22"/>
              </w:rPr>
              <w:t>设计发行结构、定价、主导流程</w:t>
            </w:r>
          </w:p>
        </w:tc>
      </w:tr>
      <w:tr w14:paraId="566F8F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1107A800">
            <w:pPr>
              <w:spacing w:before="120" w:after="120" w:line="288" w:lineRule="auto"/>
              <w:ind w:left="0"/>
              <w:jc w:val="left"/>
            </w:pPr>
            <w:r>
              <w:rPr>
                <w:rFonts w:ascii="Arial" w:hAnsi="Arial" w:eastAsia="等线" w:cs="Arial"/>
                <w:sz w:val="22"/>
              </w:rPr>
              <w:t>Underwriter</w:t>
            </w:r>
          </w:p>
        </w:tc>
        <w:tc>
          <w:tcPr>
            <w:tcW w:w="2490" w:type="dxa"/>
            <w:tcMar>
              <w:top w:w="60" w:type="dxa"/>
              <w:left w:w="120" w:type="dxa"/>
              <w:bottom w:w="30" w:type="dxa"/>
              <w:right w:w="120" w:type="dxa"/>
            </w:tcMar>
          </w:tcPr>
          <w:p w14:paraId="54FEA5AB">
            <w:pPr>
              <w:spacing w:before="120" w:after="120" w:line="288" w:lineRule="auto"/>
              <w:ind w:left="0"/>
              <w:jc w:val="left"/>
            </w:pPr>
            <w:r>
              <w:rPr>
                <w:rFonts w:ascii="Arial" w:hAnsi="Arial" w:eastAsia="等线" w:cs="Arial"/>
                <w:sz w:val="22"/>
              </w:rPr>
              <w:t>承销商</w:t>
            </w:r>
          </w:p>
        </w:tc>
        <w:tc>
          <w:tcPr>
            <w:tcW w:w="3570" w:type="dxa"/>
            <w:tcMar>
              <w:top w:w="60" w:type="dxa"/>
              <w:left w:w="120" w:type="dxa"/>
              <w:bottom w:w="30" w:type="dxa"/>
              <w:right w:w="120" w:type="dxa"/>
            </w:tcMar>
          </w:tcPr>
          <w:p w14:paraId="0D0E7953">
            <w:pPr>
              <w:spacing w:before="120" w:after="120" w:line="288" w:lineRule="auto"/>
              <w:ind w:left="0"/>
              <w:jc w:val="left"/>
            </w:pPr>
            <w:r>
              <w:rPr>
                <w:rFonts w:ascii="Arial" w:hAnsi="Arial" w:eastAsia="等线" w:cs="Arial"/>
                <w:sz w:val="22"/>
              </w:rPr>
              <w:t>从公司买入证券再卖给市场</w:t>
            </w:r>
          </w:p>
        </w:tc>
      </w:tr>
      <w:tr w14:paraId="5FF5A3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39DB6ECF">
            <w:pPr>
              <w:spacing w:before="120" w:after="120" w:line="288" w:lineRule="auto"/>
              <w:ind w:left="0"/>
              <w:jc w:val="left"/>
            </w:pPr>
            <w:r>
              <w:rPr>
                <w:rFonts w:ascii="Arial" w:hAnsi="Arial" w:eastAsia="等线" w:cs="Arial"/>
                <w:sz w:val="22"/>
              </w:rPr>
              <w:t>Syndicate</w:t>
            </w:r>
          </w:p>
        </w:tc>
        <w:tc>
          <w:tcPr>
            <w:tcW w:w="2490" w:type="dxa"/>
            <w:tcMar>
              <w:top w:w="60" w:type="dxa"/>
              <w:left w:w="120" w:type="dxa"/>
              <w:bottom w:w="30" w:type="dxa"/>
              <w:right w:w="120" w:type="dxa"/>
            </w:tcMar>
          </w:tcPr>
          <w:p w14:paraId="6B11A90A">
            <w:pPr>
              <w:spacing w:before="120" w:after="120" w:line="288" w:lineRule="auto"/>
              <w:ind w:left="0"/>
              <w:jc w:val="left"/>
            </w:pPr>
            <w:r>
              <w:rPr>
                <w:rFonts w:ascii="Arial" w:hAnsi="Arial" w:eastAsia="等线" w:cs="Arial"/>
                <w:sz w:val="22"/>
              </w:rPr>
              <w:t>联合承销团</w:t>
            </w:r>
          </w:p>
        </w:tc>
        <w:tc>
          <w:tcPr>
            <w:tcW w:w="3570" w:type="dxa"/>
            <w:tcMar>
              <w:top w:w="60" w:type="dxa"/>
              <w:left w:w="120" w:type="dxa"/>
              <w:bottom w:w="30" w:type="dxa"/>
              <w:right w:w="120" w:type="dxa"/>
            </w:tcMar>
          </w:tcPr>
          <w:p w14:paraId="58B9B2FC">
            <w:pPr>
              <w:spacing w:before="120" w:after="120" w:line="288" w:lineRule="auto"/>
              <w:ind w:left="0"/>
              <w:jc w:val="left"/>
            </w:pPr>
            <w:r>
              <w:rPr>
                <w:rFonts w:ascii="Arial" w:hAnsi="Arial" w:eastAsia="等线" w:cs="Arial"/>
                <w:sz w:val="22"/>
              </w:rPr>
              <w:t>多家承销商组成，共同承担销售和风险</w:t>
            </w:r>
          </w:p>
        </w:tc>
      </w:tr>
      <w:tr w14:paraId="625DE6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694F6464">
            <w:pPr>
              <w:spacing w:before="120" w:after="120" w:line="288" w:lineRule="auto"/>
              <w:ind w:left="0"/>
              <w:jc w:val="left"/>
            </w:pPr>
            <w:r>
              <w:rPr>
                <w:rFonts w:ascii="Arial" w:hAnsi="Arial" w:eastAsia="等线" w:cs="Arial"/>
                <w:sz w:val="22"/>
              </w:rPr>
              <w:t>Syndicate Manager</w:t>
            </w:r>
          </w:p>
        </w:tc>
        <w:tc>
          <w:tcPr>
            <w:tcW w:w="2490" w:type="dxa"/>
            <w:tcMar>
              <w:top w:w="60" w:type="dxa"/>
              <w:left w:w="120" w:type="dxa"/>
              <w:bottom w:w="30" w:type="dxa"/>
              <w:right w:w="120" w:type="dxa"/>
            </w:tcMar>
          </w:tcPr>
          <w:p w14:paraId="06AD6CC5">
            <w:pPr>
              <w:spacing w:before="120" w:after="120" w:line="288" w:lineRule="auto"/>
              <w:ind w:left="0"/>
              <w:jc w:val="left"/>
            </w:pPr>
            <w:r>
              <w:rPr>
                <w:rFonts w:ascii="Arial" w:hAnsi="Arial" w:eastAsia="等线" w:cs="Arial"/>
                <w:sz w:val="22"/>
              </w:rPr>
              <w:t>主承销商</w:t>
            </w:r>
          </w:p>
        </w:tc>
        <w:tc>
          <w:tcPr>
            <w:tcW w:w="3570" w:type="dxa"/>
            <w:tcMar>
              <w:top w:w="60" w:type="dxa"/>
              <w:left w:w="120" w:type="dxa"/>
              <w:bottom w:w="30" w:type="dxa"/>
              <w:right w:w="120" w:type="dxa"/>
            </w:tcMar>
          </w:tcPr>
          <w:p w14:paraId="7455E576">
            <w:pPr>
              <w:spacing w:before="120" w:after="120" w:line="288" w:lineRule="auto"/>
              <w:ind w:left="0"/>
              <w:jc w:val="left"/>
            </w:pPr>
            <w:r>
              <w:rPr>
                <w:rFonts w:ascii="Arial" w:hAnsi="Arial" w:eastAsia="等线" w:cs="Arial"/>
                <w:sz w:val="22"/>
              </w:rPr>
              <w:t>领导 Syndicate，分配任务</w:t>
            </w:r>
          </w:p>
        </w:tc>
      </w:tr>
      <w:tr w14:paraId="076DB4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3E57ED03">
            <w:pPr>
              <w:spacing w:before="120" w:after="120" w:line="288" w:lineRule="auto"/>
              <w:ind w:left="0"/>
              <w:jc w:val="left"/>
            </w:pPr>
            <w:r>
              <w:rPr>
                <w:rFonts w:ascii="Arial" w:hAnsi="Arial" w:eastAsia="等线" w:cs="Arial"/>
                <w:sz w:val="22"/>
              </w:rPr>
              <w:t>Syndicate Member</w:t>
            </w:r>
          </w:p>
        </w:tc>
        <w:tc>
          <w:tcPr>
            <w:tcW w:w="2490" w:type="dxa"/>
            <w:tcMar>
              <w:top w:w="60" w:type="dxa"/>
              <w:left w:w="120" w:type="dxa"/>
              <w:bottom w:w="30" w:type="dxa"/>
              <w:right w:w="120" w:type="dxa"/>
            </w:tcMar>
          </w:tcPr>
          <w:p w14:paraId="5171CF4E">
            <w:pPr>
              <w:spacing w:before="120" w:after="120" w:line="288" w:lineRule="auto"/>
              <w:ind w:left="0"/>
              <w:jc w:val="left"/>
            </w:pPr>
            <w:r>
              <w:rPr>
                <w:rFonts w:ascii="Arial" w:hAnsi="Arial" w:eastAsia="等线" w:cs="Arial"/>
                <w:sz w:val="22"/>
              </w:rPr>
              <w:t>联合承销商成员</w:t>
            </w:r>
          </w:p>
        </w:tc>
        <w:tc>
          <w:tcPr>
            <w:tcW w:w="3570" w:type="dxa"/>
            <w:tcMar>
              <w:top w:w="60" w:type="dxa"/>
              <w:left w:w="120" w:type="dxa"/>
              <w:bottom w:w="30" w:type="dxa"/>
              <w:right w:w="120" w:type="dxa"/>
            </w:tcMar>
          </w:tcPr>
          <w:p w14:paraId="01CA43FC">
            <w:pPr>
              <w:spacing w:before="120" w:after="120" w:line="288" w:lineRule="auto"/>
              <w:ind w:left="0"/>
              <w:jc w:val="left"/>
            </w:pPr>
            <w:r>
              <w:rPr>
                <w:rFonts w:ascii="Arial" w:hAnsi="Arial" w:eastAsia="等线" w:cs="Arial"/>
                <w:sz w:val="22"/>
              </w:rPr>
              <w:t>分担销售任务和收益</w:t>
            </w:r>
          </w:p>
        </w:tc>
      </w:tr>
      <w:tr w14:paraId="44AF69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5426CBEA">
            <w:pPr>
              <w:spacing w:before="120" w:after="120" w:line="288" w:lineRule="auto"/>
              <w:ind w:left="0"/>
              <w:jc w:val="left"/>
            </w:pPr>
            <w:r>
              <w:rPr>
                <w:rFonts w:ascii="Arial" w:hAnsi="Arial" w:eastAsia="等线" w:cs="Arial"/>
                <w:sz w:val="22"/>
              </w:rPr>
              <w:t>Selling Group</w:t>
            </w:r>
          </w:p>
        </w:tc>
        <w:tc>
          <w:tcPr>
            <w:tcW w:w="2490" w:type="dxa"/>
            <w:tcMar>
              <w:top w:w="60" w:type="dxa"/>
              <w:left w:w="120" w:type="dxa"/>
              <w:bottom w:w="30" w:type="dxa"/>
              <w:right w:w="120" w:type="dxa"/>
            </w:tcMar>
          </w:tcPr>
          <w:p w14:paraId="3ED7AD0F">
            <w:pPr>
              <w:spacing w:before="120" w:after="120" w:line="288" w:lineRule="auto"/>
              <w:ind w:left="0"/>
              <w:jc w:val="left"/>
            </w:pPr>
            <w:r>
              <w:rPr>
                <w:rFonts w:ascii="Arial" w:hAnsi="Arial" w:eastAsia="等线" w:cs="Arial"/>
                <w:sz w:val="22"/>
              </w:rPr>
              <w:t>销售团</w:t>
            </w:r>
          </w:p>
        </w:tc>
        <w:tc>
          <w:tcPr>
            <w:tcW w:w="3570" w:type="dxa"/>
            <w:tcMar>
              <w:top w:w="60" w:type="dxa"/>
              <w:left w:w="120" w:type="dxa"/>
              <w:bottom w:w="30" w:type="dxa"/>
              <w:right w:w="120" w:type="dxa"/>
            </w:tcMar>
          </w:tcPr>
          <w:p w14:paraId="01F26233">
            <w:pPr>
              <w:spacing w:before="120" w:after="120" w:line="288" w:lineRule="auto"/>
              <w:ind w:left="0"/>
              <w:jc w:val="left"/>
            </w:pPr>
            <w:r>
              <w:rPr>
                <w:rFonts w:ascii="Arial" w:hAnsi="Arial" w:eastAsia="等线" w:cs="Arial"/>
                <w:sz w:val="22"/>
              </w:rPr>
              <w:t>非承销成员，协助销售，不承担风险</w:t>
            </w:r>
          </w:p>
        </w:tc>
      </w:tr>
      <w:tr w14:paraId="26208E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6276D5DF">
            <w:pPr>
              <w:spacing w:before="120" w:after="120" w:line="288" w:lineRule="auto"/>
              <w:ind w:left="0"/>
              <w:jc w:val="left"/>
            </w:pPr>
            <w:r>
              <w:rPr>
                <w:rFonts w:ascii="Arial" w:hAnsi="Arial" w:eastAsia="等线" w:cs="Arial"/>
                <w:sz w:val="22"/>
              </w:rPr>
              <w:t>Due Diligence Meeting</w:t>
            </w:r>
          </w:p>
        </w:tc>
        <w:tc>
          <w:tcPr>
            <w:tcW w:w="2490" w:type="dxa"/>
            <w:tcMar>
              <w:top w:w="60" w:type="dxa"/>
              <w:left w:w="120" w:type="dxa"/>
              <w:bottom w:w="30" w:type="dxa"/>
              <w:right w:w="120" w:type="dxa"/>
            </w:tcMar>
          </w:tcPr>
          <w:p w14:paraId="67E67C16">
            <w:pPr>
              <w:spacing w:before="120" w:after="120" w:line="288" w:lineRule="auto"/>
              <w:ind w:left="0"/>
              <w:jc w:val="left"/>
            </w:pPr>
            <w:r>
              <w:rPr>
                <w:rFonts w:ascii="Arial" w:hAnsi="Arial" w:eastAsia="等线" w:cs="Arial"/>
                <w:sz w:val="22"/>
              </w:rPr>
              <w:t>尽职调查会议</w:t>
            </w:r>
          </w:p>
        </w:tc>
        <w:tc>
          <w:tcPr>
            <w:tcW w:w="3570" w:type="dxa"/>
            <w:tcMar>
              <w:top w:w="60" w:type="dxa"/>
              <w:left w:w="120" w:type="dxa"/>
              <w:bottom w:w="30" w:type="dxa"/>
              <w:right w:w="120" w:type="dxa"/>
            </w:tcMar>
          </w:tcPr>
          <w:p w14:paraId="49B3DC43">
            <w:pPr>
              <w:spacing w:before="120" w:after="120" w:line="288" w:lineRule="auto"/>
              <w:ind w:left="0"/>
              <w:jc w:val="left"/>
            </w:pPr>
            <w:r>
              <w:rPr>
                <w:rFonts w:ascii="Arial" w:hAnsi="Arial" w:eastAsia="等线" w:cs="Arial"/>
                <w:sz w:val="22"/>
              </w:rPr>
              <w:t>在生效前举行，确保招股文件无误</w:t>
            </w:r>
          </w:p>
        </w:tc>
      </w:tr>
      <w:tr w14:paraId="66683B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7B6919DB">
            <w:pPr>
              <w:spacing w:before="120" w:after="120" w:line="288" w:lineRule="auto"/>
              <w:ind w:left="0"/>
              <w:jc w:val="left"/>
            </w:pPr>
            <w:r>
              <w:rPr>
                <w:rFonts w:ascii="Arial" w:hAnsi="Arial" w:eastAsia="等线" w:cs="Arial"/>
                <w:sz w:val="22"/>
              </w:rPr>
              <w:t>Trustee</w:t>
            </w:r>
          </w:p>
        </w:tc>
        <w:tc>
          <w:tcPr>
            <w:tcW w:w="2490" w:type="dxa"/>
            <w:tcMar>
              <w:top w:w="60" w:type="dxa"/>
              <w:left w:w="120" w:type="dxa"/>
              <w:bottom w:w="30" w:type="dxa"/>
              <w:right w:w="120" w:type="dxa"/>
            </w:tcMar>
          </w:tcPr>
          <w:p w14:paraId="04D09E0B">
            <w:pPr>
              <w:spacing w:before="120" w:after="120" w:line="288" w:lineRule="auto"/>
              <w:ind w:left="0"/>
              <w:jc w:val="left"/>
            </w:pPr>
            <w:r>
              <w:rPr>
                <w:rFonts w:ascii="Arial" w:hAnsi="Arial" w:eastAsia="等线" w:cs="Arial"/>
                <w:sz w:val="22"/>
              </w:rPr>
              <w:t>受托人</w:t>
            </w:r>
          </w:p>
        </w:tc>
        <w:tc>
          <w:tcPr>
            <w:tcW w:w="3570" w:type="dxa"/>
            <w:tcMar>
              <w:top w:w="60" w:type="dxa"/>
              <w:left w:w="120" w:type="dxa"/>
              <w:bottom w:w="30" w:type="dxa"/>
              <w:right w:w="120" w:type="dxa"/>
            </w:tcMar>
          </w:tcPr>
          <w:p w14:paraId="1A7409CF">
            <w:pPr>
              <w:spacing w:before="120" w:after="120" w:line="288" w:lineRule="auto"/>
              <w:ind w:left="0"/>
              <w:jc w:val="left"/>
            </w:pPr>
            <w:r>
              <w:rPr>
                <w:rFonts w:ascii="Arial" w:hAnsi="Arial" w:eastAsia="等线" w:cs="Arial"/>
                <w:sz w:val="22"/>
              </w:rPr>
              <w:t>代表债券投资者，监督发行人履约（用于债券）</w:t>
            </w:r>
          </w:p>
        </w:tc>
      </w:tr>
    </w:tbl>
    <w:p w14:paraId="73503718">
      <w:pPr>
        <w:spacing w:before="320" w:after="120" w:line="288" w:lineRule="auto"/>
        <w:ind w:left="0"/>
        <w:jc w:val="left"/>
        <w:outlineLvl w:val="1"/>
      </w:pPr>
      <w:bookmarkStart w:id="33" w:name="heading_33"/>
      <w:r>
        <w:rPr>
          <w:rFonts w:ascii="Arial" w:hAnsi="Arial" w:eastAsia="等线" w:cs="Arial"/>
          <w:color w:val="3370FF"/>
          <w:sz w:val="32"/>
        </w:rPr>
        <w:t xml:space="preserve">3.3 </w:t>
      </w:r>
      <w:r>
        <w:rPr>
          <w:rFonts w:ascii="Arial" w:hAnsi="Arial" w:eastAsia="等线" w:cs="Arial"/>
          <w:b/>
          <w:sz w:val="32"/>
        </w:rPr>
        <w:t>承销方式相关术语</w:t>
      </w:r>
      <w:bookmarkEnd w:id="3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20"/>
        <w:gridCol w:w="2490"/>
        <w:gridCol w:w="3570"/>
      </w:tblGrid>
      <w:tr w14:paraId="21BA5F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4A206AE7">
            <w:pPr>
              <w:spacing w:before="120" w:after="120" w:line="288" w:lineRule="auto"/>
              <w:ind w:left="0"/>
              <w:jc w:val="left"/>
            </w:pPr>
            <w:r>
              <w:rPr>
                <w:rFonts w:ascii="Arial" w:hAnsi="Arial" w:eastAsia="等线" w:cs="Arial"/>
                <w:sz w:val="22"/>
              </w:rPr>
              <w:t>英文术语</w:t>
            </w:r>
          </w:p>
        </w:tc>
        <w:tc>
          <w:tcPr>
            <w:tcW w:w="2490" w:type="dxa"/>
            <w:tcMar>
              <w:top w:w="60" w:type="dxa"/>
              <w:left w:w="120" w:type="dxa"/>
              <w:bottom w:w="30" w:type="dxa"/>
              <w:right w:w="120" w:type="dxa"/>
            </w:tcMar>
          </w:tcPr>
          <w:p w14:paraId="515F6D37">
            <w:pPr>
              <w:spacing w:before="120" w:after="120" w:line="288" w:lineRule="auto"/>
              <w:ind w:left="0"/>
              <w:jc w:val="left"/>
            </w:pPr>
            <w:r>
              <w:rPr>
                <w:rFonts w:ascii="Arial" w:hAnsi="Arial" w:eastAsia="等线" w:cs="Arial"/>
                <w:sz w:val="22"/>
              </w:rPr>
              <w:t>中文释义</w:t>
            </w:r>
          </w:p>
        </w:tc>
        <w:tc>
          <w:tcPr>
            <w:tcW w:w="3570" w:type="dxa"/>
            <w:tcMar>
              <w:top w:w="60" w:type="dxa"/>
              <w:left w:w="120" w:type="dxa"/>
              <w:bottom w:w="30" w:type="dxa"/>
              <w:right w:w="120" w:type="dxa"/>
            </w:tcMar>
          </w:tcPr>
          <w:p w14:paraId="023E61A3">
            <w:pPr>
              <w:spacing w:before="120" w:after="120" w:line="288" w:lineRule="auto"/>
              <w:ind w:left="0"/>
              <w:jc w:val="left"/>
            </w:pPr>
            <w:r>
              <w:rPr>
                <w:rFonts w:ascii="Arial" w:hAnsi="Arial" w:eastAsia="等线" w:cs="Arial"/>
                <w:sz w:val="22"/>
              </w:rPr>
              <w:t>补充说明</w:t>
            </w:r>
          </w:p>
        </w:tc>
      </w:tr>
      <w:tr w14:paraId="389F78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44905D79">
            <w:pPr>
              <w:spacing w:before="120" w:after="120" w:line="288" w:lineRule="auto"/>
              <w:ind w:left="0"/>
              <w:jc w:val="left"/>
            </w:pPr>
            <w:r>
              <w:rPr>
                <w:rFonts w:ascii="Arial" w:hAnsi="Arial" w:eastAsia="等线" w:cs="Arial"/>
                <w:sz w:val="22"/>
              </w:rPr>
              <w:t>Firm-commitment</w:t>
            </w:r>
          </w:p>
        </w:tc>
        <w:tc>
          <w:tcPr>
            <w:tcW w:w="2490" w:type="dxa"/>
            <w:tcMar>
              <w:top w:w="60" w:type="dxa"/>
              <w:left w:w="120" w:type="dxa"/>
              <w:bottom w:w="30" w:type="dxa"/>
              <w:right w:w="120" w:type="dxa"/>
            </w:tcMar>
          </w:tcPr>
          <w:p w14:paraId="418B2B51">
            <w:pPr>
              <w:spacing w:before="120" w:after="120" w:line="288" w:lineRule="auto"/>
              <w:ind w:left="0"/>
              <w:jc w:val="left"/>
            </w:pPr>
            <w:r>
              <w:rPr>
                <w:rFonts w:ascii="Arial" w:hAnsi="Arial" w:eastAsia="等线" w:cs="Arial"/>
                <w:sz w:val="22"/>
              </w:rPr>
              <w:t>固定承销（包销）</w:t>
            </w:r>
          </w:p>
        </w:tc>
        <w:tc>
          <w:tcPr>
            <w:tcW w:w="3570" w:type="dxa"/>
            <w:tcMar>
              <w:top w:w="60" w:type="dxa"/>
              <w:left w:w="120" w:type="dxa"/>
              <w:bottom w:w="30" w:type="dxa"/>
              <w:right w:w="120" w:type="dxa"/>
            </w:tcMar>
          </w:tcPr>
          <w:p w14:paraId="65293195">
            <w:pPr>
              <w:spacing w:before="120" w:after="120" w:line="288" w:lineRule="auto"/>
              <w:ind w:left="0"/>
              <w:jc w:val="left"/>
            </w:pPr>
            <w:r>
              <w:rPr>
                <w:rFonts w:ascii="Arial" w:hAnsi="Arial" w:eastAsia="等线" w:cs="Arial"/>
                <w:sz w:val="22"/>
              </w:rPr>
              <w:t>承销商承担风险，必须全部认购证券</w:t>
            </w:r>
          </w:p>
        </w:tc>
      </w:tr>
      <w:tr w14:paraId="66559C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3CBFD96B">
            <w:pPr>
              <w:spacing w:before="120" w:after="120" w:line="288" w:lineRule="auto"/>
              <w:ind w:left="0"/>
              <w:jc w:val="left"/>
            </w:pPr>
            <w:r>
              <w:rPr>
                <w:rFonts w:ascii="Arial" w:hAnsi="Arial" w:eastAsia="等线" w:cs="Arial"/>
                <w:sz w:val="22"/>
              </w:rPr>
              <w:t>Best-efforts</w:t>
            </w:r>
          </w:p>
        </w:tc>
        <w:tc>
          <w:tcPr>
            <w:tcW w:w="2490" w:type="dxa"/>
            <w:tcMar>
              <w:top w:w="60" w:type="dxa"/>
              <w:left w:w="120" w:type="dxa"/>
              <w:bottom w:w="30" w:type="dxa"/>
              <w:right w:w="120" w:type="dxa"/>
            </w:tcMar>
          </w:tcPr>
          <w:p w14:paraId="15B5F968">
            <w:pPr>
              <w:spacing w:before="120" w:after="120" w:line="288" w:lineRule="auto"/>
              <w:ind w:left="0"/>
              <w:jc w:val="left"/>
            </w:pPr>
            <w:r>
              <w:rPr>
                <w:rFonts w:ascii="Arial" w:hAnsi="Arial" w:eastAsia="等线" w:cs="Arial"/>
                <w:sz w:val="22"/>
              </w:rPr>
              <w:t>尽力承销（代销）</w:t>
            </w:r>
          </w:p>
        </w:tc>
        <w:tc>
          <w:tcPr>
            <w:tcW w:w="3570" w:type="dxa"/>
            <w:tcMar>
              <w:top w:w="60" w:type="dxa"/>
              <w:left w:w="120" w:type="dxa"/>
              <w:bottom w:w="30" w:type="dxa"/>
              <w:right w:w="120" w:type="dxa"/>
            </w:tcMar>
          </w:tcPr>
          <w:p w14:paraId="1AC873FF">
            <w:pPr>
              <w:spacing w:before="120" w:after="120" w:line="288" w:lineRule="auto"/>
              <w:ind w:left="0"/>
              <w:jc w:val="left"/>
            </w:pPr>
            <w:r>
              <w:rPr>
                <w:rFonts w:ascii="Arial" w:hAnsi="Arial" w:eastAsia="等线" w:cs="Arial"/>
                <w:sz w:val="22"/>
              </w:rPr>
              <w:t>卖多少算多少，未售部分退回发行人</w:t>
            </w:r>
          </w:p>
        </w:tc>
      </w:tr>
      <w:tr w14:paraId="6688E2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71830BF8">
            <w:pPr>
              <w:spacing w:before="120" w:after="120" w:line="288" w:lineRule="auto"/>
              <w:ind w:left="0"/>
              <w:jc w:val="left"/>
            </w:pPr>
            <w:r>
              <w:rPr>
                <w:rFonts w:ascii="Arial" w:hAnsi="Arial" w:eastAsia="等线" w:cs="Arial"/>
                <w:sz w:val="22"/>
              </w:rPr>
              <w:t>All-or-None (AON)</w:t>
            </w:r>
          </w:p>
        </w:tc>
        <w:tc>
          <w:tcPr>
            <w:tcW w:w="2490" w:type="dxa"/>
            <w:tcMar>
              <w:top w:w="60" w:type="dxa"/>
              <w:left w:w="120" w:type="dxa"/>
              <w:bottom w:w="30" w:type="dxa"/>
              <w:right w:w="120" w:type="dxa"/>
            </w:tcMar>
          </w:tcPr>
          <w:p w14:paraId="2C1CEE8D">
            <w:pPr>
              <w:spacing w:before="120" w:after="120" w:line="288" w:lineRule="auto"/>
              <w:ind w:left="0"/>
              <w:jc w:val="left"/>
            </w:pPr>
            <w:r>
              <w:rPr>
                <w:rFonts w:ascii="Arial" w:hAnsi="Arial" w:eastAsia="等线" w:cs="Arial"/>
                <w:sz w:val="22"/>
              </w:rPr>
              <w:t>全有或全无承销</w:t>
            </w:r>
          </w:p>
        </w:tc>
        <w:tc>
          <w:tcPr>
            <w:tcW w:w="3570" w:type="dxa"/>
            <w:tcMar>
              <w:top w:w="60" w:type="dxa"/>
              <w:left w:w="120" w:type="dxa"/>
              <w:bottom w:w="30" w:type="dxa"/>
              <w:right w:w="120" w:type="dxa"/>
            </w:tcMar>
          </w:tcPr>
          <w:p w14:paraId="18998FE1">
            <w:pPr>
              <w:spacing w:before="120" w:after="120" w:line="288" w:lineRule="auto"/>
              <w:ind w:left="0"/>
              <w:jc w:val="left"/>
            </w:pPr>
            <w:r>
              <w:rPr>
                <w:rFonts w:ascii="Arial" w:hAnsi="Arial" w:eastAsia="等线" w:cs="Arial"/>
                <w:sz w:val="22"/>
              </w:rPr>
              <w:t>未能全部售出则发行取消</w:t>
            </w:r>
          </w:p>
        </w:tc>
      </w:tr>
      <w:tr w14:paraId="492213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4C2F4784">
            <w:pPr>
              <w:spacing w:before="120" w:after="120" w:line="288" w:lineRule="auto"/>
              <w:ind w:left="0"/>
              <w:jc w:val="left"/>
            </w:pPr>
            <w:r>
              <w:rPr>
                <w:rFonts w:ascii="Arial" w:hAnsi="Arial" w:eastAsia="等线" w:cs="Arial"/>
                <w:sz w:val="22"/>
              </w:rPr>
              <w:t>Mini-max</w:t>
            </w:r>
          </w:p>
        </w:tc>
        <w:tc>
          <w:tcPr>
            <w:tcW w:w="2490" w:type="dxa"/>
            <w:tcMar>
              <w:top w:w="60" w:type="dxa"/>
              <w:left w:w="120" w:type="dxa"/>
              <w:bottom w:w="30" w:type="dxa"/>
              <w:right w:w="120" w:type="dxa"/>
            </w:tcMar>
          </w:tcPr>
          <w:p w14:paraId="36A98645">
            <w:pPr>
              <w:spacing w:before="120" w:after="120" w:line="288" w:lineRule="auto"/>
              <w:ind w:left="0"/>
              <w:jc w:val="left"/>
            </w:pPr>
            <w:r>
              <w:rPr>
                <w:rFonts w:ascii="Arial" w:hAnsi="Arial" w:eastAsia="等线" w:cs="Arial"/>
                <w:sz w:val="22"/>
              </w:rPr>
              <w:t>最低-最高承销</w:t>
            </w:r>
          </w:p>
        </w:tc>
        <w:tc>
          <w:tcPr>
            <w:tcW w:w="3570" w:type="dxa"/>
            <w:tcMar>
              <w:top w:w="60" w:type="dxa"/>
              <w:left w:w="120" w:type="dxa"/>
              <w:bottom w:w="30" w:type="dxa"/>
              <w:right w:w="120" w:type="dxa"/>
            </w:tcMar>
          </w:tcPr>
          <w:p w14:paraId="079F2D75">
            <w:pPr>
              <w:spacing w:before="120" w:after="120" w:line="288" w:lineRule="auto"/>
              <w:ind w:left="0"/>
              <w:jc w:val="left"/>
            </w:pPr>
            <w:r>
              <w:rPr>
                <w:rFonts w:ascii="Arial" w:hAnsi="Arial" w:eastAsia="等线" w:cs="Arial"/>
                <w:sz w:val="22"/>
              </w:rPr>
              <w:t>达最低金额即发行，剩余部分退回</w:t>
            </w:r>
          </w:p>
        </w:tc>
      </w:tr>
      <w:tr w14:paraId="3FA735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26E6D1A6">
            <w:pPr>
              <w:spacing w:before="120" w:after="120" w:line="288" w:lineRule="auto"/>
              <w:ind w:left="0"/>
              <w:jc w:val="left"/>
            </w:pPr>
            <w:r>
              <w:rPr>
                <w:rFonts w:ascii="Arial" w:hAnsi="Arial" w:eastAsia="等线" w:cs="Arial"/>
                <w:sz w:val="22"/>
              </w:rPr>
              <w:t>Standby Underwriting</w:t>
            </w:r>
          </w:p>
        </w:tc>
        <w:tc>
          <w:tcPr>
            <w:tcW w:w="2490" w:type="dxa"/>
            <w:tcMar>
              <w:top w:w="60" w:type="dxa"/>
              <w:left w:w="120" w:type="dxa"/>
              <w:bottom w:w="30" w:type="dxa"/>
              <w:right w:w="120" w:type="dxa"/>
            </w:tcMar>
          </w:tcPr>
          <w:p w14:paraId="71AE5D95">
            <w:pPr>
              <w:spacing w:before="120" w:after="120" w:line="288" w:lineRule="auto"/>
              <w:ind w:left="0"/>
              <w:jc w:val="left"/>
            </w:pPr>
            <w:r>
              <w:rPr>
                <w:rFonts w:ascii="Arial" w:hAnsi="Arial" w:eastAsia="等线" w:cs="Arial"/>
                <w:sz w:val="22"/>
              </w:rPr>
              <w:t>后备承销</w:t>
            </w:r>
          </w:p>
        </w:tc>
        <w:tc>
          <w:tcPr>
            <w:tcW w:w="3570" w:type="dxa"/>
            <w:tcMar>
              <w:top w:w="60" w:type="dxa"/>
              <w:left w:w="120" w:type="dxa"/>
              <w:bottom w:w="30" w:type="dxa"/>
              <w:right w:w="120" w:type="dxa"/>
            </w:tcMar>
          </w:tcPr>
          <w:p w14:paraId="1CDBEA77">
            <w:pPr>
              <w:spacing w:before="120" w:after="120" w:line="288" w:lineRule="auto"/>
              <w:ind w:left="0"/>
              <w:jc w:val="left"/>
            </w:pPr>
            <w:r>
              <w:rPr>
                <w:rFonts w:ascii="Arial" w:hAnsi="Arial" w:eastAsia="等线" w:cs="Arial"/>
                <w:sz w:val="22"/>
              </w:rPr>
              <w:t>常用于配股，承销商承诺包底未认购部分</w:t>
            </w:r>
          </w:p>
        </w:tc>
      </w:tr>
      <w:tr w14:paraId="62D8EB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21752E72">
            <w:pPr>
              <w:spacing w:before="120" w:after="120" w:line="288" w:lineRule="auto"/>
              <w:ind w:left="0"/>
              <w:jc w:val="left"/>
            </w:pPr>
            <w:r>
              <w:rPr>
                <w:rFonts w:ascii="Arial" w:hAnsi="Arial" w:eastAsia="等线" w:cs="Arial"/>
                <w:sz w:val="22"/>
              </w:rPr>
              <w:t>Negotiated Offering</w:t>
            </w:r>
          </w:p>
        </w:tc>
        <w:tc>
          <w:tcPr>
            <w:tcW w:w="2490" w:type="dxa"/>
            <w:tcMar>
              <w:top w:w="60" w:type="dxa"/>
              <w:left w:w="120" w:type="dxa"/>
              <w:bottom w:w="30" w:type="dxa"/>
              <w:right w:w="120" w:type="dxa"/>
            </w:tcMar>
          </w:tcPr>
          <w:p w14:paraId="581254A1">
            <w:pPr>
              <w:spacing w:before="120" w:after="120" w:line="288" w:lineRule="auto"/>
              <w:ind w:left="0"/>
              <w:jc w:val="left"/>
            </w:pPr>
            <w:r>
              <w:rPr>
                <w:rFonts w:ascii="Arial" w:hAnsi="Arial" w:eastAsia="等线" w:cs="Arial"/>
                <w:sz w:val="22"/>
              </w:rPr>
              <w:t>协商承销</w:t>
            </w:r>
          </w:p>
        </w:tc>
        <w:tc>
          <w:tcPr>
            <w:tcW w:w="3570" w:type="dxa"/>
            <w:tcMar>
              <w:top w:w="60" w:type="dxa"/>
              <w:left w:w="120" w:type="dxa"/>
              <w:bottom w:w="30" w:type="dxa"/>
              <w:right w:w="120" w:type="dxa"/>
            </w:tcMar>
          </w:tcPr>
          <w:p w14:paraId="34DC04BF">
            <w:pPr>
              <w:spacing w:before="120" w:after="120" w:line="288" w:lineRule="auto"/>
              <w:ind w:left="0"/>
              <w:jc w:val="left"/>
            </w:pPr>
            <w:r>
              <w:rPr>
                <w:rFonts w:ascii="Arial" w:hAnsi="Arial" w:eastAsia="等线" w:cs="Arial"/>
                <w:sz w:val="22"/>
              </w:rPr>
              <w:t>发行人与承销商直接协商，常用于 IPO、公司债等</w:t>
            </w:r>
          </w:p>
        </w:tc>
      </w:tr>
      <w:tr w14:paraId="110148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60A87391">
            <w:pPr>
              <w:spacing w:before="120" w:after="120" w:line="288" w:lineRule="auto"/>
              <w:ind w:left="0"/>
              <w:jc w:val="left"/>
            </w:pPr>
            <w:r>
              <w:rPr>
                <w:rFonts w:ascii="Arial" w:hAnsi="Arial" w:eastAsia="等线" w:cs="Arial"/>
                <w:sz w:val="22"/>
              </w:rPr>
              <w:t>Competitive Offering</w:t>
            </w:r>
          </w:p>
        </w:tc>
        <w:tc>
          <w:tcPr>
            <w:tcW w:w="2490" w:type="dxa"/>
            <w:tcMar>
              <w:top w:w="60" w:type="dxa"/>
              <w:left w:w="120" w:type="dxa"/>
              <w:bottom w:w="30" w:type="dxa"/>
              <w:right w:w="120" w:type="dxa"/>
            </w:tcMar>
          </w:tcPr>
          <w:p w14:paraId="32A77317">
            <w:pPr>
              <w:spacing w:before="120" w:after="120" w:line="288" w:lineRule="auto"/>
              <w:ind w:left="0"/>
              <w:jc w:val="left"/>
            </w:pPr>
            <w:r>
              <w:rPr>
                <w:rFonts w:ascii="Arial" w:hAnsi="Arial" w:eastAsia="等线" w:cs="Arial"/>
                <w:sz w:val="22"/>
              </w:rPr>
              <w:t>竞价承销</w:t>
            </w:r>
          </w:p>
        </w:tc>
        <w:tc>
          <w:tcPr>
            <w:tcW w:w="3570" w:type="dxa"/>
            <w:tcMar>
              <w:top w:w="60" w:type="dxa"/>
              <w:left w:w="120" w:type="dxa"/>
              <w:bottom w:w="30" w:type="dxa"/>
              <w:right w:w="120" w:type="dxa"/>
            </w:tcMar>
          </w:tcPr>
          <w:p w14:paraId="58BC8B58">
            <w:pPr>
              <w:spacing w:before="120" w:after="120" w:line="288" w:lineRule="auto"/>
              <w:ind w:left="0"/>
              <w:jc w:val="left"/>
            </w:pPr>
            <w:r>
              <w:rPr>
                <w:rFonts w:ascii="Arial" w:hAnsi="Arial" w:eastAsia="等线" w:cs="Arial"/>
                <w:sz w:val="22"/>
              </w:rPr>
              <w:t>多家承销商投标，发行人选择最优报价，常用于市政债</w:t>
            </w:r>
          </w:p>
        </w:tc>
      </w:tr>
    </w:tbl>
    <w:p w14:paraId="2B25A452">
      <w:pPr>
        <w:spacing w:before="120" w:after="120" w:line="288" w:lineRule="auto"/>
        <w:ind w:left="0"/>
        <w:jc w:val="left"/>
      </w:pPr>
    </w:p>
    <w:p w14:paraId="2F179944">
      <w:pPr>
        <w:spacing w:before="320" w:after="120" w:line="288" w:lineRule="auto"/>
        <w:ind w:left="0"/>
        <w:jc w:val="left"/>
        <w:outlineLvl w:val="1"/>
      </w:pPr>
      <w:bookmarkStart w:id="34" w:name="heading_34"/>
      <w:r>
        <w:rPr>
          <w:rFonts w:ascii="Arial" w:hAnsi="Arial" w:eastAsia="等线" w:cs="Arial"/>
          <w:color w:val="3370FF"/>
          <w:sz w:val="32"/>
        </w:rPr>
        <w:t xml:space="preserve">3.4 </w:t>
      </w:r>
      <w:r>
        <w:rPr>
          <w:rFonts w:ascii="Arial" w:hAnsi="Arial" w:eastAsia="等线" w:cs="Arial"/>
          <w:b/>
          <w:sz w:val="32"/>
        </w:rPr>
        <w:t>证券发行法规相关</w:t>
      </w:r>
      <w:bookmarkEnd w:id="34"/>
    </w:p>
    <w:p w14:paraId="50814296">
      <w:pPr>
        <w:spacing w:before="120" w:after="120" w:line="288" w:lineRule="auto"/>
        <w:ind w:left="0"/>
        <w:jc w:val="left"/>
      </w:pPr>
      <w:r>
        <w:rPr>
          <w:rFonts w:ascii="Arial" w:hAnsi="Arial" w:eastAsia="等线" w:cs="Arial"/>
          <w:sz w:val="22"/>
        </w:rPr>
        <w:t>部分内容 chapter 6&amp; 7 &amp; 8 会详述，先简单了解下。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655"/>
        <w:gridCol w:w="2190"/>
        <w:gridCol w:w="3435"/>
      </w:tblGrid>
      <w:tr w14:paraId="78E425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22A6435E">
            <w:pPr>
              <w:spacing w:before="120" w:after="120" w:line="288" w:lineRule="auto"/>
              <w:ind w:left="0"/>
              <w:jc w:val="left"/>
            </w:pPr>
            <w:r>
              <w:rPr>
                <w:rFonts w:ascii="Arial" w:hAnsi="Arial" w:eastAsia="等线" w:cs="Arial"/>
                <w:b/>
                <w:sz w:val="22"/>
              </w:rPr>
              <w:t>英文术语</w:t>
            </w:r>
          </w:p>
        </w:tc>
        <w:tc>
          <w:tcPr>
            <w:tcW w:w="2190" w:type="dxa"/>
            <w:tcMar>
              <w:top w:w="60" w:type="dxa"/>
              <w:left w:w="120" w:type="dxa"/>
              <w:bottom w:w="30" w:type="dxa"/>
              <w:right w:w="120" w:type="dxa"/>
            </w:tcMar>
          </w:tcPr>
          <w:p w14:paraId="5B29ACFD">
            <w:pPr>
              <w:spacing w:before="120" w:after="120" w:line="288" w:lineRule="auto"/>
              <w:ind w:left="0"/>
              <w:jc w:val="left"/>
            </w:pPr>
            <w:r>
              <w:rPr>
                <w:rFonts w:ascii="Arial" w:hAnsi="Arial" w:eastAsia="等线" w:cs="Arial"/>
                <w:b/>
                <w:sz w:val="22"/>
              </w:rPr>
              <w:t>中文释义</w:t>
            </w:r>
          </w:p>
        </w:tc>
        <w:tc>
          <w:tcPr>
            <w:tcW w:w="3435" w:type="dxa"/>
            <w:tcMar>
              <w:top w:w="60" w:type="dxa"/>
              <w:left w:w="120" w:type="dxa"/>
              <w:bottom w:w="30" w:type="dxa"/>
              <w:right w:w="120" w:type="dxa"/>
            </w:tcMar>
          </w:tcPr>
          <w:p w14:paraId="23BFEB74">
            <w:pPr>
              <w:spacing w:before="120" w:after="120" w:line="288" w:lineRule="auto"/>
              <w:ind w:left="0"/>
              <w:jc w:val="left"/>
            </w:pPr>
            <w:r>
              <w:rPr>
                <w:rFonts w:ascii="Arial" w:hAnsi="Arial" w:eastAsia="等线" w:cs="Arial"/>
                <w:b/>
                <w:sz w:val="22"/>
              </w:rPr>
              <w:t>补充说明</w:t>
            </w:r>
          </w:p>
        </w:tc>
      </w:tr>
      <w:tr w14:paraId="6C3743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2FB75953">
            <w:pPr>
              <w:spacing w:before="120" w:after="120" w:line="288" w:lineRule="auto"/>
              <w:ind w:left="0"/>
              <w:jc w:val="left"/>
            </w:pPr>
            <w:r>
              <w:rPr>
                <w:rFonts w:ascii="Arial" w:hAnsi="Arial" w:eastAsia="等线" w:cs="Arial"/>
                <w:sz w:val="22"/>
              </w:rPr>
              <w:t>Exempt Security</w:t>
            </w:r>
          </w:p>
        </w:tc>
        <w:tc>
          <w:tcPr>
            <w:tcW w:w="2190" w:type="dxa"/>
            <w:tcMar>
              <w:top w:w="60" w:type="dxa"/>
              <w:left w:w="120" w:type="dxa"/>
              <w:bottom w:w="30" w:type="dxa"/>
              <w:right w:w="120" w:type="dxa"/>
            </w:tcMar>
          </w:tcPr>
          <w:p w14:paraId="615A2D44">
            <w:pPr>
              <w:spacing w:before="120" w:after="120" w:line="288" w:lineRule="auto"/>
              <w:ind w:left="0"/>
              <w:jc w:val="left"/>
            </w:pPr>
            <w:r>
              <w:rPr>
                <w:rFonts w:ascii="Arial" w:hAnsi="Arial" w:eastAsia="等线" w:cs="Arial"/>
                <w:sz w:val="22"/>
              </w:rPr>
              <w:t>豁免证券</w:t>
            </w:r>
          </w:p>
        </w:tc>
        <w:tc>
          <w:tcPr>
            <w:tcW w:w="3435" w:type="dxa"/>
            <w:tcMar>
              <w:top w:w="60" w:type="dxa"/>
              <w:left w:w="120" w:type="dxa"/>
              <w:bottom w:w="30" w:type="dxa"/>
              <w:right w:w="120" w:type="dxa"/>
            </w:tcMar>
          </w:tcPr>
          <w:p w14:paraId="45D5F497">
            <w:pPr>
              <w:spacing w:before="120" w:after="120" w:line="288" w:lineRule="auto"/>
              <w:ind w:left="0"/>
              <w:jc w:val="left"/>
            </w:pPr>
            <w:r>
              <w:rPr>
                <w:rFonts w:ascii="Arial" w:hAnsi="Arial" w:eastAsia="等线" w:cs="Arial"/>
                <w:sz w:val="22"/>
              </w:rPr>
              <w:t>不需要注册的证券（如政府债、银行CD、商业票据等）</w:t>
            </w:r>
          </w:p>
        </w:tc>
      </w:tr>
      <w:tr w14:paraId="6E9699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1DF82358">
            <w:pPr>
              <w:spacing w:before="120" w:after="120" w:line="288" w:lineRule="auto"/>
              <w:ind w:left="0"/>
              <w:jc w:val="left"/>
            </w:pPr>
            <w:r>
              <w:rPr>
                <w:rFonts w:ascii="Arial" w:hAnsi="Arial" w:eastAsia="等线" w:cs="Arial"/>
                <w:sz w:val="22"/>
              </w:rPr>
              <w:t>Exempt Transaction</w:t>
            </w:r>
          </w:p>
        </w:tc>
        <w:tc>
          <w:tcPr>
            <w:tcW w:w="2190" w:type="dxa"/>
            <w:tcMar>
              <w:top w:w="60" w:type="dxa"/>
              <w:left w:w="120" w:type="dxa"/>
              <w:bottom w:w="30" w:type="dxa"/>
              <w:right w:w="120" w:type="dxa"/>
            </w:tcMar>
          </w:tcPr>
          <w:p w14:paraId="17EE8E1D">
            <w:pPr>
              <w:spacing w:before="120" w:after="120" w:line="288" w:lineRule="auto"/>
              <w:ind w:left="0"/>
              <w:jc w:val="left"/>
            </w:pPr>
            <w:r>
              <w:rPr>
                <w:rFonts w:ascii="Arial" w:hAnsi="Arial" w:eastAsia="等线" w:cs="Arial"/>
                <w:sz w:val="22"/>
              </w:rPr>
              <w:t>豁免交易</w:t>
            </w:r>
          </w:p>
        </w:tc>
        <w:tc>
          <w:tcPr>
            <w:tcW w:w="3435" w:type="dxa"/>
            <w:tcMar>
              <w:top w:w="60" w:type="dxa"/>
              <w:left w:w="120" w:type="dxa"/>
              <w:bottom w:w="30" w:type="dxa"/>
              <w:right w:w="120" w:type="dxa"/>
            </w:tcMar>
          </w:tcPr>
          <w:p w14:paraId="73F254DD">
            <w:pPr>
              <w:spacing w:before="120" w:after="120" w:line="288" w:lineRule="auto"/>
              <w:ind w:left="0"/>
              <w:jc w:val="left"/>
            </w:pPr>
            <w:r>
              <w:rPr>
                <w:rFonts w:ascii="Arial" w:hAnsi="Arial" w:eastAsia="等线" w:cs="Arial"/>
                <w:sz w:val="22"/>
              </w:rPr>
              <w:t>某些非公开或特殊条件下的交易可免注册</w:t>
            </w:r>
          </w:p>
        </w:tc>
      </w:tr>
      <w:tr w14:paraId="36C822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1D9F3FA8">
            <w:pPr>
              <w:spacing w:before="120" w:after="120" w:line="288" w:lineRule="auto"/>
              <w:ind w:left="0"/>
              <w:jc w:val="left"/>
            </w:pPr>
            <w:r>
              <w:rPr>
                <w:rFonts w:ascii="Arial" w:hAnsi="Arial" w:eastAsia="等线" w:cs="Arial"/>
                <w:sz w:val="22"/>
              </w:rPr>
              <w:t>Treasury Bond (T-Bond)</w:t>
            </w:r>
          </w:p>
        </w:tc>
        <w:tc>
          <w:tcPr>
            <w:tcW w:w="2190" w:type="dxa"/>
            <w:tcMar>
              <w:top w:w="60" w:type="dxa"/>
              <w:left w:w="120" w:type="dxa"/>
              <w:bottom w:w="30" w:type="dxa"/>
              <w:right w:w="120" w:type="dxa"/>
            </w:tcMar>
          </w:tcPr>
          <w:p w14:paraId="747009E8">
            <w:pPr>
              <w:spacing w:before="120" w:after="120" w:line="288" w:lineRule="auto"/>
              <w:ind w:left="0"/>
              <w:jc w:val="left"/>
            </w:pPr>
            <w:r>
              <w:rPr>
                <w:rFonts w:ascii="Arial" w:hAnsi="Arial" w:eastAsia="等线" w:cs="Arial"/>
                <w:sz w:val="22"/>
              </w:rPr>
              <w:t>长期国债</w:t>
            </w:r>
          </w:p>
        </w:tc>
        <w:tc>
          <w:tcPr>
            <w:tcW w:w="3435" w:type="dxa"/>
            <w:tcMar>
              <w:top w:w="60" w:type="dxa"/>
              <w:left w:w="120" w:type="dxa"/>
              <w:bottom w:w="30" w:type="dxa"/>
              <w:right w:w="120" w:type="dxa"/>
            </w:tcMar>
          </w:tcPr>
          <w:p w14:paraId="2C13A9D8">
            <w:pPr>
              <w:spacing w:before="120" w:after="120" w:line="288" w:lineRule="auto"/>
              <w:ind w:left="0"/>
              <w:jc w:val="left"/>
            </w:pPr>
            <w:r>
              <w:rPr>
                <w:rFonts w:ascii="Arial" w:hAnsi="Arial" w:eastAsia="等线" w:cs="Arial"/>
                <w:sz w:val="22"/>
              </w:rPr>
              <w:t>联邦政府发行，无风险，豁免 SEC 注册</w:t>
            </w:r>
          </w:p>
        </w:tc>
      </w:tr>
      <w:tr w14:paraId="4B34DE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4A78802F">
            <w:pPr>
              <w:spacing w:before="120" w:after="120" w:line="288" w:lineRule="auto"/>
              <w:ind w:left="0"/>
              <w:jc w:val="left"/>
            </w:pPr>
            <w:r>
              <w:rPr>
                <w:rFonts w:ascii="Arial" w:hAnsi="Arial" w:eastAsia="等线" w:cs="Arial"/>
                <w:sz w:val="22"/>
              </w:rPr>
              <w:t>Treasury Note (T-Note)</w:t>
            </w:r>
          </w:p>
        </w:tc>
        <w:tc>
          <w:tcPr>
            <w:tcW w:w="2190" w:type="dxa"/>
            <w:tcMar>
              <w:top w:w="60" w:type="dxa"/>
              <w:left w:w="120" w:type="dxa"/>
              <w:bottom w:w="30" w:type="dxa"/>
              <w:right w:w="120" w:type="dxa"/>
            </w:tcMar>
          </w:tcPr>
          <w:p w14:paraId="3C880B66">
            <w:pPr>
              <w:spacing w:before="120" w:after="120" w:line="288" w:lineRule="auto"/>
              <w:ind w:left="0"/>
              <w:jc w:val="left"/>
            </w:pPr>
            <w:r>
              <w:rPr>
                <w:rFonts w:ascii="Arial" w:hAnsi="Arial" w:eastAsia="等线" w:cs="Arial"/>
                <w:sz w:val="22"/>
              </w:rPr>
              <w:t>中期国库票据</w:t>
            </w:r>
          </w:p>
        </w:tc>
        <w:tc>
          <w:tcPr>
            <w:tcW w:w="3435" w:type="dxa"/>
            <w:tcMar>
              <w:top w:w="60" w:type="dxa"/>
              <w:left w:w="120" w:type="dxa"/>
              <w:bottom w:w="30" w:type="dxa"/>
              <w:right w:w="120" w:type="dxa"/>
            </w:tcMar>
          </w:tcPr>
          <w:p w14:paraId="28C14981">
            <w:pPr>
              <w:spacing w:before="120" w:after="120" w:line="288" w:lineRule="auto"/>
              <w:ind w:left="0"/>
              <w:jc w:val="left"/>
            </w:pPr>
            <w:r>
              <w:rPr>
                <w:rFonts w:ascii="Arial" w:hAnsi="Arial" w:eastAsia="等线" w:cs="Arial"/>
                <w:sz w:val="22"/>
              </w:rPr>
              <w:t>同上</w:t>
            </w:r>
          </w:p>
        </w:tc>
      </w:tr>
      <w:tr w14:paraId="32586F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4EEA2CC6">
            <w:pPr>
              <w:spacing w:before="120" w:after="120" w:line="288" w:lineRule="auto"/>
              <w:ind w:left="0"/>
              <w:jc w:val="left"/>
            </w:pPr>
            <w:r>
              <w:rPr>
                <w:rFonts w:ascii="Arial" w:hAnsi="Arial" w:eastAsia="等线" w:cs="Arial"/>
                <w:sz w:val="22"/>
              </w:rPr>
              <w:t>Treasury Bill (T-Bill)</w:t>
            </w:r>
          </w:p>
        </w:tc>
        <w:tc>
          <w:tcPr>
            <w:tcW w:w="2190" w:type="dxa"/>
            <w:tcMar>
              <w:top w:w="60" w:type="dxa"/>
              <w:left w:w="120" w:type="dxa"/>
              <w:bottom w:w="30" w:type="dxa"/>
              <w:right w:w="120" w:type="dxa"/>
            </w:tcMar>
          </w:tcPr>
          <w:p w14:paraId="5383A9DD">
            <w:pPr>
              <w:spacing w:before="120" w:after="120" w:line="288" w:lineRule="auto"/>
              <w:ind w:left="0"/>
              <w:jc w:val="left"/>
            </w:pPr>
            <w:r>
              <w:rPr>
                <w:rFonts w:ascii="Arial" w:hAnsi="Arial" w:eastAsia="等线" w:cs="Arial"/>
                <w:sz w:val="22"/>
              </w:rPr>
              <w:t>短期国库券</w:t>
            </w:r>
          </w:p>
        </w:tc>
        <w:tc>
          <w:tcPr>
            <w:tcW w:w="3435" w:type="dxa"/>
            <w:tcMar>
              <w:top w:w="60" w:type="dxa"/>
              <w:left w:w="120" w:type="dxa"/>
              <w:bottom w:w="30" w:type="dxa"/>
              <w:right w:w="120" w:type="dxa"/>
            </w:tcMar>
          </w:tcPr>
          <w:p w14:paraId="601595C9">
            <w:pPr>
              <w:spacing w:before="120" w:after="120" w:line="288" w:lineRule="auto"/>
              <w:ind w:left="0"/>
              <w:jc w:val="left"/>
            </w:pPr>
            <w:r>
              <w:rPr>
                <w:rFonts w:ascii="Arial" w:hAnsi="Arial" w:eastAsia="等线" w:cs="Arial"/>
                <w:sz w:val="22"/>
              </w:rPr>
              <w:t>同上，期限通常小于1年</w:t>
            </w:r>
          </w:p>
        </w:tc>
      </w:tr>
      <w:tr w14:paraId="2EB5A2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66F6162C">
            <w:pPr>
              <w:spacing w:before="120" w:after="120" w:line="288" w:lineRule="auto"/>
              <w:ind w:left="0"/>
              <w:jc w:val="left"/>
            </w:pPr>
            <w:r>
              <w:rPr>
                <w:rFonts w:ascii="Arial" w:hAnsi="Arial" w:eastAsia="等线" w:cs="Arial"/>
                <w:sz w:val="22"/>
              </w:rPr>
              <w:t>TIPS（Treasury Inflation-Protected Securities）</w:t>
            </w:r>
          </w:p>
        </w:tc>
        <w:tc>
          <w:tcPr>
            <w:tcW w:w="2190" w:type="dxa"/>
            <w:tcMar>
              <w:top w:w="60" w:type="dxa"/>
              <w:left w:w="120" w:type="dxa"/>
              <w:bottom w:w="30" w:type="dxa"/>
              <w:right w:w="120" w:type="dxa"/>
            </w:tcMar>
          </w:tcPr>
          <w:p w14:paraId="644165C5">
            <w:pPr>
              <w:spacing w:before="120" w:after="120" w:line="288" w:lineRule="auto"/>
              <w:ind w:left="0"/>
              <w:jc w:val="left"/>
            </w:pPr>
            <w:r>
              <w:rPr>
                <w:rFonts w:ascii="Arial" w:hAnsi="Arial" w:eastAsia="等线" w:cs="Arial"/>
                <w:sz w:val="22"/>
              </w:rPr>
              <w:t>财政部通胀保值证券</w:t>
            </w:r>
          </w:p>
        </w:tc>
        <w:tc>
          <w:tcPr>
            <w:tcW w:w="3435" w:type="dxa"/>
            <w:tcMar>
              <w:top w:w="60" w:type="dxa"/>
              <w:left w:w="120" w:type="dxa"/>
              <w:bottom w:w="30" w:type="dxa"/>
              <w:right w:w="120" w:type="dxa"/>
            </w:tcMar>
          </w:tcPr>
          <w:p w14:paraId="23AA7A71">
            <w:pPr>
              <w:spacing w:before="120" w:after="120" w:line="288" w:lineRule="auto"/>
              <w:ind w:left="0"/>
              <w:jc w:val="left"/>
            </w:pPr>
            <w:r>
              <w:rPr>
                <w:rFonts w:ascii="Arial" w:hAnsi="Arial" w:eastAsia="等线" w:cs="Arial"/>
                <w:sz w:val="22"/>
              </w:rPr>
              <w:t>与通货膨胀指数挂钩，保护购买力</w:t>
            </w:r>
          </w:p>
        </w:tc>
      </w:tr>
      <w:tr w14:paraId="37D18A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6FF2E010">
            <w:pPr>
              <w:spacing w:before="120" w:after="120" w:line="288" w:lineRule="auto"/>
              <w:ind w:left="0"/>
              <w:jc w:val="left"/>
            </w:pPr>
            <w:r>
              <w:rPr>
                <w:rFonts w:ascii="Arial" w:hAnsi="Arial" w:eastAsia="等线" w:cs="Arial"/>
                <w:sz w:val="22"/>
              </w:rPr>
              <w:t>Municipal Bond</w:t>
            </w:r>
          </w:p>
        </w:tc>
        <w:tc>
          <w:tcPr>
            <w:tcW w:w="2190" w:type="dxa"/>
            <w:tcMar>
              <w:top w:w="60" w:type="dxa"/>
              <w:left w:w="120" w:type="dxa"/>
              <w:bottom w:w="30" w:type="dxa"/>
              <w:right w:w="120" w:type="dxa"/>
            </w:tcMar>
          </w:tcPr>
          <w:p w14:paraId="3D87FF34">
            <w:pPr>
              <w:spacing w:before="120" w:after="120" w:line="288" w:lineRule="auto"/>
              <w:ind w:left="0"/>
              <w:jc w:val="left"/>
            </w:pPr>
            <w:r>
              <w:rPr>
                <w:rFonts w:ascii="Arial" w:hAnsi="Arial" w:eastAsia="等线" w:cs="Arial"/>
                <w:sz w:val="22"/>
              </w:rPr>
              <w:t>市政债券（地方政府）</w:t>
            </w:r>
          </w:p>
        </w:tc>
        <w:tc>
          <w:tcPr>
            <w:tcW w:w="3435" w:type="dxa"/>
            <w:tcMar>
              <w:top w:w="60" w:type="dxa"/>
              <w:left w:w="120" w:type="dxa"/>
              <w:bottom w:w="30" w:type="dxa"/>
              <w:right w:w="120" w:type="dxa"/>
            </w:tcMar>
          </w:tcPr>
          <w:p w14:paraId="5EC0B2EA">
            <w:pPr>
              <w:spacing w:before="120" w:after="120" w:line="288" w:lineRule="auto"/>
              <w:ind w:left="0"/>
              <w:jc w:val="left"/>
            </w:pPr>
            <w:r>
              <w:rPr>
                <w:rFonts w:ascii="Arial" w:hAnsi="Arial" w:eastAsia="等线" w:cs="Arial"/>
                <w:sz w:val="22"/>
              </w:rPr>
              <w:t>地方政府发行，整体豁免注册</w:t>
            </w:r>
          </w:p>
        </w:tc>
      </w:tr>
      <w:tr w14:paraId="5CB146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72C5D38B">
            <w:pPr>
              <w:spacing w:before="120" w:after="120" w:line="288" w:lineRule="auto"/>
              <w:ind w:left="0"/>
              <w:jc w:val="left"/>
            </w:pPr>
            <w:r>
              <w:rPr>
                <w:rFonts w:ascii="Arial" w:hAnsi="Arial" w:eastAsia="等线" w:cs="Arial"/>
                <w:sz w:val="22"/>
              </w:rPr>
              <w:t>Public Utility Security</w:t>
            </w:r>
          </w:p>
        </w:tc>
        <w:tc>
          <w:tcPr>
            <w:tcW w:w="2190" w:type="dxa"/>
            <w:tcMar>
              <w:top w:w="60" w:type="dxa"/>
              <w:left w:w="120" w:type="dxa"/>
              <w:bottom w:w="30" w:type="dxa"/>
              <w:right w:w="120" w:type="dxa"/>
            </w:tcMar>
          </w:tcPr>
          <w:p w14:paraId="58E1504D">
            <w:pPr>
              <w:spacing w:before="120" w:after="120" w:line="288" w:lineRule="auto"/>
              <w:ind w:left="0"/>
              <w:jc w:val="left"/>
            </w:pPr>
            <w:r>
              <w:rPr>
                <w:rFonts w:ascii="Arial" w:hAnsi="Arial" w:eastAsia="等线" w:cs="Arial"/>
                <w:sz w:val="22"/>
              </w:rPr>
              <w:t>公共事业单位证券</w:t>
            </w:r>
          </w:p>
        </w:tc>
        <w:tc>
          <w:tcPr>
            <w:tcW w:w="3435" w:type="dxa"/>
            <w:tcMar>
              <w:top w:w="60" w:type="dxa"/>
              <w:left w:w="120" w:type="dxa"/>
              <w:bottom w:w="30" w:type="dxa"/>
              <w:right w:w="120" w:type="dxa"/>
            </w:tcMar>
          </w:tcPr>
          <w:p w14:paraId="4E012514">
            <w:pPr>
              <w:spacing w:before="120" w:after="120" w:line="288" w:lineRule="auto"/>
              <w:ind w:left="0"/>
              <w:jc w:val="left"/>
            </w:pPr>
            <w:r>
              <w:rPr>
                <w:rFonts w:ascii="Arial" w:hAnsi="Arial" w:eastAsia="等线" w:cs="Arial"/>
                <w:sz w:val="22"/>
              </w:rPr>
              <w:t>由电力、水务等公用公司发行</w:t>
            </w:r>
          </w:p>
        </w:tc>
      </w:tr>
      <w:tr w14:paraId="3E093E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44116F89">
            <w:pPr>
              <w:spacing w:before="120" w:after="120" w:line="288" w:lineRule="auto"/>
              <w:ind w:left="0"/>
              <w:jc w:val="left"/>
            </w:pPr>
            <w:r>
              <w:rPr>
                <w:rFonts w:ascii="Arial" w:hAnsi="Arial" w:eastAsia="等线" w:cs="Arial"/>
                <w:sz w:val="22"/>
              </w:rPr>
              <w:t>CD (Certificate of Deposit)</w:t>
            </w:r>
          </w:p>
        </w:tc>
        <w:tc>
          <w:tcPr>
            <w:tcW w:w="2190" w:type="dxa"/>
            <w:tcMar>
              <w:top w:w="60" w:type="dxa"/>
              <w:left w:w="120" w:type="dxa"/>
              <w:bottom w:w="30" w:type="dxa"/>
              <w:right w:w="120" w:type="dxa"/>
            </w:tcMar>
          </w:tcPr>
          <w:p w14:paraId="5971B6D7">
            <w:pPr>
              <w:spacing w:before="120" w:after="120" w:line="288" w:lineRule="auto"/>
              <w:ind w:left="0"/>
              <w:jc w:val="left"/>
            </w:pPr>
            <w:r>
              <w:rPr>
                <w:rFonts w:ascii="Arial" w:hAnsi="Arial" w:eastAsia="等线" w:cs="Arial"/>
                <w:sz w:val="22"/>
              </w:rPr>
              <w:t>定期存款凭证</w:t>
            </w:r>
          </w:p>
        </w:tc>
        <w:tc>
          <w:tcPr>
            <w:tcW w:w="3435" w:type="dxa"/>
            <w:tcMar>
              <w:top w:w="60" w:type="dxa"/>
              <w:left w:w="120" w:type="dxa"/>
              <w:bottom w:w="30" w:type="dxa"/>
              <w:right w:w="120" w:type="dxa"/>
            </w:tcMar>
          </w:tcPr>
          <w:p w14:paraId="17D8AC26">
            <w:pPr>
              <w:spacing w:before="120" w:after="120" w:line="288" w:lineRule="auto"/>
              <w:ind w:left="0"/>
              <w:jc w:val="left"/>
            </w:pPr>
            <w:r>
              <w:rPr>
                <w:rFonts w:ascii="Arial" w:hAnsi="Arial" w:eastAsia="等线" w:cs="Arial"/>
                <w:sz w:val="22"/>
              </w:rPr>
              <w:t>银行发行的短期融资工具，豁免注册</w:t>
            </w:r>
          </w:p>
        </w:tc>
      </w:tr>
      <w:tr w14:paraId="726618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47101402">
            <w:pPr>
              <w:spacing w:before="120" w:after="120" w:line="288" w:lineRule="auto"/>
              <w:ind w:left="0"/>
              <w:jc w:val="left"/>
            </w:pPr>
            <w:r>
              <w:rPr>
                <w:rFonts w:ascii="Arial" w:hAnsi="Arial" w:eastAsia="等线" w:cs="Arial"/>
                <w:sz w:val="22"/>
              </w:rPr>
              <w:t>Commercial Paper</w:t>
            </w:r>
          </w:p>
        </w:tc>
        <w:tc>
          <w:tcPr>
            <w:tcW w:w="2190" w:type="dxa"/>
            <w:tcMar>
              <w:top w:w="60" w:type="dxa"/>
              <w:left w:w="120" w:type="dxa"/>
              <w:bottom w:w="30" w:type="dxa"/>
              <w:right w:w="120" w:type="dxa"/>
            </w:tcMar>
          </w:tcPr>
          <w:p w14:paraId="5CC53F13">
            <w:pPr>
              <w:spacing w:before="120" w:after="120" w:line="288" w:lineRule="auto"/>
              <w:ind w:left="0"/>
              <w:jc w:val="left"/>
            </w:pPr>
            <w:r>
              <w:rPr>
                <w:rFonts w:ascii="Arial" w:hAnsi="Arial" w:eastAsia="等线" w:cs="Arial"/>
                <w:sz w:val="22"/>
              </w:rPr>
              <w:t>商业票据（≤ 270 天）</w:t>
            </w:r>
          </w:p>
        </w:tc>
        <w:tc>
          <w:tcPr>
            <w:tcW w:w="3435" w:type="dxa"/>
            <w:tcMar>
              <w:top w:w="60" w:type="dxa"/>
              <w:left w:w="120" w:type="dxa"/>
              <w:bottom w:w="30" w:type="dxa"/>
              <w:right w:w="120" w:type="dxa"/>
            </w:tcMar>
          </w:tcPr>
          <w:p w14:paraId="57AE27BC">
            <w:pPr>
              <w:spacing w:before="120" w:after="120" w:line="288" w:lineRule="auto"/>
              <w:ind w:left="0"/>
              <w:jc w:val="left"/>
            </w:pPr>
            <w:r>
              <w:rPr>
                <w:rFonts w:ascii="Arial" w:hAnsi="Arial" w:eastAsia="等线" w:cs="Arial"/>
                <w:sz w:val="22"/>
              </w:rPr>
              <w:t>企业短期融资工具，低风险，豁免注册</w:t>
            </w:r>
          </w:p>
        </w:tc>
      </w:tr>
      <w:tr w14:paraId="2D4BD5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57641BAD">
            <w:pPr>
              <w:spacing w:before="120" w:after="120" w:line="288" w:lineRule="auto"/>
              <w:ind w:left="0"/>
              <w:jc w:val="left"/>
            </w:pPr>
            <w:r>
              <w:rPr>
                <w:rFonts w:ascii="Arial" w:hAnsi="Arial" w:eastAsia="等线" w:cs="Arial"/>
                <w:sz w:val="22"/>
              </w:rPr>
              <w:t>Fixed Annuity</w:t>
            </w:r>
          </w:p>
        </w:tc>
        <w:tc>
          <w:tcPr>
            <w:tcW w:w="2190" w:type="dxa"/>
            <w:tcMar>
              <w:top w:w="60" w:type="dxa"/>
              <w:left w:w="120" w:type="dxa"/>
              <w:bottom w:w="30" w:type="dxa"/>
              <w:right w:w="120" w:type="dxa"/>
            </w:tcMar>
          </w:tcPr>
          <w:p w14:paraId="660B7489">
            <w:pPr>
              <w:spacing w:before="120" w:after="120" w:line="288" w:lineRule="auto"/>
              <w:ind w:left="0"/>
              <w:jc w:val="left"/>
            </w:pPr>
            <w:r>
              <w:rPr>
                <w:rFonts w:ascii="Arial" w:hAnsi="Arial" w:eastAsia="等线" w:cs="Arial"/>
                <w:sz w:val="22"/>
              </w:rPr>
              <w:t>固定年金</w:t>
            </w:r>
          </w:p>
        </w:tc>
        <w:tc>
          <w:tcPr>
            <w:tcW w:w="3435" w:type="dxa"/>
            <w:tcMar>
              <w:top w:w="60" w:type="dxa"/>
              <w:left w:w="120" w:type="dxa"/>
              <w:bottom w:w="30" w:type="dxa"/>
              <w:right w:w="120" w:type="dxa"/>
            </w:tcMar>
          </w:tcPr>
          <w:p w14:paraId="2427D07F">
            <w:pPr>
              <w:spacing w:before="120" w:after="120" w:line="288" w:lineRule="auto"/>
              <w:ind w:left="0"/>
              <w:jc w:val="left"/>
            </w:pPr>
            <w:r>
              <w:rPr>
                <w:rFonts w:ascii="Arial" w:hAnsi="Arial" w:eastAsia="等线" w:cs="Arial"/>
                <w:sz w:val="22"/>
              </w:rPr>
              <w:t>保险产品，不属于证券，豁免注册（非变动收益）</w:t>
            </w:r>
          </w:p>
        </w:tc>
      </w:tr>
      <w:tr w14:paraId="33501B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399B244A">
            <w:pPr>
              <w:spacing w:before="120" w:after="120" w:line="288" w:lineRule="auto"/>
              <w:ind w:left="0"/>
              <w:jc w:val="left"/>
            </w:pPr>
            <w:r>
              <w:rPr>
                <w:rFonts w:ascii="Arial" w:hAnsi="Arial" w:eastAsia="等线" w:cs="Arial"/>
                <w:sz w:val="22"/>
              </w:rPr>
              <w:t>Variable Annuity</w:t>
            </w:r>
          </w:p>
        </w:tc>
        <w:tc>
          <w:tcPr>
            <w:tcW w:w="2190" w:type="dxa"/>
            <w:tcMar>
              <w:top w:w="60" w:type="dxa"/>
              <w:left w:w="120" w:type="dxa"/>
              <w:bottom w:w="30" w:type="dxa"/>
              <w:right w:w="120" w:type="dxa"/>
            </w:tcMar>
          </w:tcPr>
          <w:p w14:paraId="6D8C7A2D">
            <w:pPr>
              <w:spacing w:before="120" w:after="120" w:line="288" w:lineRule="auto"/>
              <w:ind w:left="0"/>
              <w:jc w:val="left"/>
            </w:pPr>
            <w:r>
              <w:rPr>
                <w:rFonts w:ascii="Arial" w:hAnsi="Arial" w:eastAsia="等线" w:cs="Arial"/>
                <w:sz w:val="22"/>
              </w:rPr>
              <w:t>可变年金</w:t>
            </w:r>
          </w:p>
        </w:tc>
        <w:tc>
          <w:tcPr>
            <w:tcW w:w="3435" w:type="dxa"/>
            <w:tcMar>
              <w:top w:w="60" w:type="dxa"/>
              <w:left w:w="120" w:type="dxa"/>
              <w:bottom w:w="30" w:type="dxa"/>
              <w:right w:w="120" w:type="dxa"/>
            </w:tcMar>
          </w:tcPr>
          <w:p w14:paraId="110C76BB">
            <w:pPr>
              <w:spacing w:before="120" w:after="120" w:line="288" w:lineRule="auto"/>
              <w:ind w:left="0"/>
              <w:jc w:val="left"/>
            </w:pPr>
            <w:r>
              <w:rPr>
                <w:rFonts w:ascii="Arial" w:hAnsi="Arial" w:eastAsia="等线" w:cs="Arial"/>
                <w:sz w:val="22"/>
              </w:rPr>
              <w:t>属于证券，需 SEC 注册</w:t>
            </w:r>
          </w:p>
        </w:tc>
      </w:tr>
      <w:tr w14:paraId="08CA5A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0C40C207">
            <w:pPr>
              <w:spacing w:before="120" w:after="120" w:line="288" w:lineRule="auto"/>
              <w:ind w:left="0"/>
              <w:jc w:val="left"/>
            </w:pPr>
            <w:r>
              <w:rPr>
                <w:rFonts w:ascii="Arial" w:hAnsi="Arial" w:eastAsia="等线" w:cs="Arial"/>
                <w:sz w:val="22"/>
              </w:rPr>
              <w:t>Insider</w:t>
            </w:r>
          </w:p>
          <w:p w14:paraId="0FA70BF1">
            <w:pPr>
              <w:spacing w:before="120" w:after="120" w:line="288" w:lineRule="auto"/>
              <w:ind w:left="0"/>
              <w:jc w:val="left"/>
            </w:pPr>
          </w:p>
        </w:tc>
        <w:tc>
          <w:tcPr>
            <w:tcW w:w="2190" w:type="dxa"/>
            <w:tcMar>
              <w:top w:w="60" w:type="dxa"/>
              <w:left w:w="120" w:type="dxa"/>
              <w:bottom w:w="30" w:type="dxa"/>
              <w:right w:w="120" w:type="dxa"/>
            </w:tcMar>
          </w:tcPr>
          <w:p w14:paraId="2273FAC2">
            <w:pPr>
              <w:spacing w:before="120" w:after="120" w:line="288" w:lineRule="auto"/>
              <w:ind w:left="0"/>
              <w:jc w:val="left"/>
            </w:pPr>
            <w:r>
              <w:rPr>
                <w:rFonts w:ascii="Arial" w:hAnsi="Arial" w:eastAsia="等线" w:cs="Arial"/>
                <w:sz w:val="22"/>
              </w:rPr>
              <w:t>内部人</w:t>
            </w:r>
          </w:p>
        </w:tc>
        <w:tc>
          <w:tcPr>
            <w:tcW w:w="3435" w:type="dxa"/>
            <w:tcMar>
              <w:top w:w="60" w:type="dxa"/>
              <w:left w:w="120" w:type="dxa"/>
              <w:bottom w:w="30" w:type="dxa"/>
              <w:right w:w="120" w:type="dxa"/>
            </w:tcMar>
          </w:tcPr>
          <w:p w14:paraId="5FEE3FF0">
            <w:pPr>
              <w:spacing w:before="120" w:after="120" w:line="288" w:lineRule="auto"/>
              <w:ind w:left="0"/>
              <w:jc w:val="left"/>
            </w:pPr>
            <w:r>
              <w:rPr>
                <w:rFonts w:ascii="Arial" w:hAnsi="Arial" w:eastAsia="等线" w:cs="Arial"/>
                <w:sz w:val="22"/>
              </w:rPr>
              <w:t>指公司内部知情人士，如董事、高管或持股大量的员工，其证券交易受规则限制。通常 Insider 出售证券需遵守 Rule 144 的规定，包括持有期、披露和数量限制。</w:t>
            </w:r>
          </w:p>
        </w:tc>
      </w:tr>
      <w:tr w14:paraId="067E01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55" w:type="dxa"/>
            <w:tcMar>
              <w:top w:w="60" w:type="dxa"/>
              <w:left w:w="120" w:type="dxa"/>
              <w:bottom w:w="30" w:type="dxa"/>
              <w:right w:w="120" w:type="dxa"/>
            </w:tcMar>
          </w:tcPr>
          <w:p w14:paraId="6DEA69DD">
            <w:pPr>
              <w:spacing w:before="120" w:after="120" w:line="288" w:lineRule="auto"/>
              <w:ind w:left="0"/>
              <w:jc w:val="left"/>
            </w:pPr>
            <w:r>
              <w:rPr>
                <w:rFonts w:ascii="Arial" w:hAnsi="Arial" w:eastAsia="等线" w:cs="Arial"/>
                <w:sz w:val="22"/>
              </w:rPr>
              <w:t>Restricted Stock</w:t>
            </w:r>
          </w:p>
          <w:p w14:paraId="7F5C2E5C">
            <w:pPr>
              <w:spacing w:before="120" w:after="120" w:line="288" w:lineRule="auto"/>
              <w:ind w:left="0"/>
              <w:jc w:val="left"/>
            </w:pPr>
          </w:p>
        </w:tc>
        <w:tc>
          <w:tcPr>
            <w:tcW w:w="2190" w:type="dxa"/>
            <w:tcMar>
              <w:top w:w="60" w:type="dxa"/>
              <w:left w:w="120" w:type="dxa"/>
              <w:bottom w:w="30" w:type="dxa"/>
              <w:right w:w="120" w:type="dxa"/>
            </w:tcMar>
          </w:tcPr>
          <w:p w14:paraId="70168002">
            <w:pPr>
              <w:spacing w:before="120" w:after="120" w:line="288" w:lineRule="auto"/>
              <w:ind w:left="0"/>
              <w:jc w:val="left"/>
            </w:pPr>
            <w:r>
              <w:rPr>
                <w:rFonts w:ascii="Arial" w:hAnsi="Arial" w:eastAsia="等线" w:cs="Arial"/>
                <w:sz w:val="22"/>
              </w:rPr>
              <w:t>限售股票</w:t>
            </w:r>
          </w:p>
          <w:p w14:paraId="2AFA6E2D">
            <w:pPr>
              <w:spacing w:before="120" w:after="120" w:line="288" w:lineRule="auto"/>
              <w:ind w:left="0"/>
              <w:jc w:val="left"/>
            </w:pPr>
          </w:p>
        </w:tc>
        <w:tc>
          <w:tcPr>
            <w:tcW w:w="3435" w:type="dxa"/>
            <w:tcMar>
              <w:top w:w="60" w:type="dxa"/>
              <w:left w:w="120" w:type="dxa"/>
              <w:bottom w:w="30" w:type="dxa"/>
              <w:right w:w="120" w:type="dxa"/>
            </w:tcMar>
          </w:tcPr>
          <w:p w14:paraId="32F20920">
            <w:pPr>
              <w:spacing w:before="120" w:after="120" w:line="288" w:lineRule="auto"/>
              <w:ind w:left="0"/>
              <w:jc w:val="left"/>
            </w:pPr>
            <w:r>
              <w:rPr>
                <w:rFonts w:ascii="Arial" w:hAnsi="Arial" w:eastAsia="等线" w:cs="Arial"/>
                <w:sz w:val="22"/>
              </w:rPr>
              <w:t>指未经 SEC 注册、不能立即在公开市场出售的股票。通常来自私募发行、员工激励等。出售前需满足 Rule 144 的持有期限和销售数量等条件。</w:t>
            </w:r>
          </w:p>
        </w:tc>
      </w:tr>
    </w:tbl>
    <w:p w14:paraId="0A1A0310">
      <w:pPr>
        <w:spacing w:before="320" w:after="120" w:line="288" w:lineRule="auto"/>
        <w:ind w:left="0"/>
        <w:jc w:val="left"/>
        <w:outlineLvl w:val="1"/>
      </w:pPr>
      <w:bookmarkStart w:id="35" w:name="heading_35"/>
      <w:r>
        <w:rPr>
          <w:rFonts w:ascii="Arial" w:hAnsi="Arial" w:eastAsia="等线" w:cs="Arial"/>
          <w:color w:val="3370FF"/>
          <w:sz w:val="32"/>
        </w:rPr>
        <w:t xml:space="preserve">3.5 </w:t>
      </w:r>
      <w:r>
        <w:rPr>
          <w:rFonts w:ascii="Arial" w:hAnsi="Arial" w:eastAsia="等线" w:cs="Arial"/>
          <w:b/>
          <w:sz w:val="32"/>
        </w:rPr>
        <w:t>发行类型</w:t>
      </w:r>
      <w:bookmarkEnd w:id="3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20"/>
        <w:gridCol w:w="2355"/>
        <w:gridCol w:w="3705"/>
      </w:tblGrid>
      <w:tr w14:paraId="72F046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785D998E">
            <w:pPr>
              <w:spacing w:before="120" w:after="120" w:line="288" w:lineRule="auto"/>
              <w:ind w:left="0"/>
              <w:jc w:val="left"/>
            </w:pPr>
            <w:r>
              <w:rPr>
                <w:rFonts w:ascii="Arial" w:hAnsi="Arial" w:eastAsia="等线" w:cs="Arial"/>
                <w:b/>
                <w:sz w:val="22"/>
              </w:rPr>
              <w:t>英文术语</w:t>
            </w:r>
          </w:p>
        </w:tc>
        <w:tc>
          <w:tcPr>
            <w:tcW w:w="2355" w:type="dxa"/>
            <w:tcMar>
              <w:top w:w="60" w:type="dxa"/>
              <w:left w:w="120" w:type="dxa"/>
              <w:bottom w:w="30" w:type="dxa"/>
              <w:right w:w="120" w:type="dxa"/>
            </w:tcMar>
          </w:tcPr>
          <w:p w14:paraId="36A3322C">
            <w:pPr>
              <w:spacing w:before="120" w:after="120" w:line="288" w:lineRule="auto"/>
              <w:ind w:left="0"/>
              <w:jc w:val="left"/>
            </w:pPr>
            <w:r>
              <w:rPr>
                <w:rFonts w:ascii="Arial" w:hAnsi="Arial" w:eastAsia="等线" w:cs="Arial"/>
                <w:b/>
                <w:sz w:val="22"/>
              </w:rPr>
              <w:t>中文释义</w:t>
            </w:r>
          </w:p>
        </w:tc>
        <w:tc>
          <w:tcPr>
            <w:tcW w:w="3705" w:type="dxa"/>
            <w:tcMar>
              <w:top w:w="60" w:type="dxa"/>
              <w:left w:w="120" w:type="dxa"/>
              <w:bottom w:w="30" w:type="dxa"/>
              <w:right w:w="120" w:type="dxa"/>
            </w:tcMar>
          </w:tcPr>
          <w:p w14:paraId="0071E947">
            <w:pPr>
              <w:spacing w:before="120" w:after="120" w:line="288" w:lineRule="auto"/>
              <w:ind w:left="0"/>
              <w:jc w:val="left"/>
            </w:pPr>
            <w:r>
              <w:rPr>
                <w:rFonts w:ascii="Arial" w:hAnsi="Arial" w:eastAsia="等线" w:cs="Arial"/>
                <w:b/>
                <w:sz w:val="22"/>
              </w:rPr>
              <w:t>补充说明</w:t>
            </w:r>
          </w:p>
        </w:tc>
      </w:tr>
      <w:tr w14:paraId="5CFDF8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17A02451">
            <w:pPr>
              <w:spacing w:before="120" w:after="120" w:line="288" w:lineRule="auto"/>
              <w:ind w:left="0"/>
              <w:jc w:val="left"/>
            </w:pPr>
            <w:r>
              <w:rPr>
                <w:rFonts w:ascii="Arial" w:hAnsi="Arial" w:eastAsia="等线" w:cs="Arial"/>
                <w:sz w:val="22"/>
              </w:rPr>
              <w:t>Outstanding Shares</w:t>
            </w:r>
          </w:p>
        </w:tc>
        <w:tc>
          <w:tcPr>
            <w:tcW w:w="2355" w:type="dxa"/>
            <w:tcMar>
              <w:top w:w="60" w:type="dxa"/>
              <w:left w:w="120" w:type="dxa"/>
              <w:bottom w:w="30" w:type="dxa"/>
              <w:right w:w="120" w:type="dxa"/>
            </w:tcMar>
          </w:tcPr>
          <w:p w14:paraId="63A129B6">
            <w:pPr>
              <w:spacing w:before="120" w:after="120" w:line="288" w:lineRule="auto"/>
              <w:ind w:left="0"/>
              <w:jc w:val="left"/>
            </w:pPr>
            <w:r>
              <w:rPr>
                <w:rFonts w:ascii="Arial" w:hAnsi="Arial" w:eastAsia="等线" w:cs="Arial"/>
                <w:sz w:val="22"/>
              </w:rPr>
              <w:t>流通股</w:t>
            </w:r>
          </w:p>
        </w:tc>
        <w:tc>
          <w:tcPr>
            <w:tcW w:w="3705" w:type="dxa"/>
            <w:tcMar>
              <w:top w:w="60" w:type="dxa"/>
              <w:left w:w="120" w:type="dxa"/>
              <w:bottom w:w="30" w:type="dxa"/>
              <w:right w:w="120" w:type="dxa"/>
            </w:tcMar>
          </w:tcPr>
          <w:p w14:paraId="0516E1F0">
            <w:pPr>
              <w:spacing w:before="120" w:after="120" w:line="288" w:lineRule="auto"/>
              <w:ind w:left="0"/>
              <w:jc w:val="left"/>
            </w:pPr>
            <w:r>
              <w:rPr>
                <w:rFonts w:ascii="Arial" w:hAnsi="Arial" w:eastAsia="等线" w:cs="Arial"/>
                <w:sz w:val="22"/>
              </w:rPr>
              <w:t>已发行在外的股份，不包括公司回购的 Treasury Stock。</w:t>
            </w:r>
          </w:p>
        </w:tc>
      </w:tr>
      <w:tr w14:paraId="28EF8F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492ABF65">
            <w:pPr>
              <w:spacing w:before="120" w:after="120" w:line="288" w:lineRule="auto"/>
              <w:ind w:left="0"/>
              <w:jc w:val="left"/>
            </w:pPr>
            <w:r>
              <w:rPr>
                <w:rFonts w:ascii="Arial" w:hAnsi="Arial" w:eastAsia="等线" w:cs="Arial"/>
                <w:sz w:val="22"/>
              </w:rPr>
              <w:t>Treasury Stock</w:t>
            </w:r>
          </w:p>
        </w:tc>
        <w:tc>
          <w:tcPr>
            <w:tcW w:w="2355" w:type="dxa"/>
            <w:tcMar>
              <w:top w:w="60" w:type="dxa"/>
              <w:left w:w="120" w:type="dxa"/>
              <w:bottom w:w="30" w:type="dxa"/>
              <w:right w:w="120" w:type="dxa"/>
            </w:tcMar>
          </w:tcPr>
          <w:p w14:paraId="081130A6">
            <w:pPr>
              <w:spacing w:before="120" w:after="120" w:line="288" w:lineRule="auto"/>
              <w:ind w:left="0"/>
              <w:jc w:val="left"/>
            </w:pPr>
            <w:r>
              <w:rPr>
                <w:rFonts w:ascii="Arial" w:hAnsi="Arial" w:eastAsia="等线" w:cs="Arial"/>
                <w:sz w:val="22"/>
              </w:rPr>
              <w:t>库存股</w:t>
            </w:r>
          </w:p>
        </w:tc>
        <w:tc>
          <w:tcPr>
            <w:tcW w:w="3705" w:type="dxa"/>
            <w:tcMar>
              <w:top w:w="60" w:type="dxa"/>
              <w:left w:w="120" w:type="dxa"/>
              <w:bottom w:w="30" w:type="dxa"/>
              <w:right w:w="120" w:type="dxa"/>
            </w:tcMar>
          </w:tcPr>
          <w:p w14:paraId="0750CA63">
            <w:pPr>
              <w:spacing w:before="120" w:after="120" w:line="288" w:lineRule="auto"/>
              <w:ind w:left="0"/>
              <w:jc w:val="left"/>
            </w:pPr>
            <w:r>
              <w:rPr>
                <w:rFonts w:ascii="Arial" w:hAnsi="Arial" w:eastAsia="等线" w:cs="Arial"/>
                <w:sz w:val="22"/>
              </w:rPr>
              <w:t>公司回购股份，不再流通，不计入 Outstanding Shares。</w:t>
            </w:r>
          </w:p>
        </w:tc>
      </w:tr>
      <w:tr w14:paraId="7D6688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232457B0">
            <w:pPr>
              <w:spacing w:before="120" w:after="120" w:line="288" w:lineRule="auto"/>
              <w:ind w:left="0"/>
              <w:jc w:val="left"/>
            </w:pPr>
            <w:r>
              <w:rPr>
                <w:rFonts w:ascii="Arial" w:hAnsi="Arial" w:eastAsia="等线" w:cs="Arial"/>
                <w:sz w:val="22"/>
              </w:rPr>
              <w:t>General Obligation Bond (GO Bond)</w:t>
            </w:r>
          </w:p>
        </w:tc>
        <w:tc>
          <w:tcPr>
            <w:tcW w:w="2355" w:type="dxa"/>
            <w:tcMar>
              <w:top w:w="60" w:type="dxa"/>
              <w:left w:w="120" w:type="dxa"/>
              <w:bottom w:w="30" w:type="dxa"/>
              <w:right w:w="120" w:type="dxa"/>
            </w:tcMar>
          </w:tcPr>
          <w:p w14:paraId="4C8E30B0">
            <w:pPr>
              <w:spacing w:before="120" w:after="120" w:line="288" w:lineRule="auto"/>
              <w:ind w:left="0"/>
              <w:jc w:val="left"/>
            </w:pPr>
            <w:r>
              <w:rPr>
                <w:rFonts w:ascii="Arial" w:hAnsi="Arial" w:eastAsia="等线" w:cs="Arial"/>
                <w:sz w:val="22"/>
              </w:rPr>
              <w:t>一般责任债券</w:t>
            </w:r>
          </w:p>
        </w:tc>
        <w:tc>
          <w:tcPr>
            <w:tcW w:w="3705" w:type="dxa"/>
            <w:tcMar>
              <w:top w:w="60" w:type="dxa"/>
              <w:left w:w="120" w:type="dxa"/>
              <w:bottom w:w="30" w:type="dxa"/>
              <w:right w:w="120" w:type="dxa"/>
            </w:tcMar>
          </w:tcPr>
          <w:p w14:paraId="2198D1A9">
            <w:pPr>
              <w:spacing w:before="120" w:after="120" w:line="288" w:lineRule="auto"/>
              <w:ind w:left="0"/>
              <w:jc w:val="left"/>
            </w:pPr>
            <w:r>
              <w:rPr>
                <w:rFonts w:ascii="Arial" w:hAnsi="Arial" w:eastAsia="等线" w:cs="Arial"/>
                <w:sz w:val="22"/>
              </w:rPr>
              <w:t>以税收为担保偿还，信用质量高，需选民批准。</w:t>
            </w:r>
          </w:p>
        </w:tc>
      </w:tr>
      <w:tr w14:paraId="58DE36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17409BC8">
            <w:pPr>
              <w:spacing w:before="120" w:after="120" w:line="288" w:lineRule="auto"/>
              <w:ind w:left="0"/>
              <w:jc w:val="left"/>
            </w:pPr>
            <w:r>
              <w:rPr>
                <w:rFonts w:ascii="Arial" w:hAnsi="Arial" w:eastAsia="等线" w:cs="Arial"/>
                <w:sz w:val="22"/>
              </w:rPr>
              <w:t>Revenue Bond</w:t>
            </w:r>
          </w:p>
        </w:tc>
        <w:tc>
          <w:tcPr>
            <w:tcW w:w="2355" w:type="dxa"/>
            <w:tcMar>
              <w:top w:w="60" w:type="dxa"/>
              <w:left w:w="120" w:type="dxa"/>
              <w:bottom w:w="30" w:type="dxa"/>
              <w:right w:w="120" w:type="dxa"/>
            </w:tcMar>
          </w:tcPr>
          <w:p w14:paraId="5C836D9B">
            <w:pPr>
              <w:spacing w:before="120" w:after="120" w:line="288" w:lineRule="auto"/>
              <w:ind w:left="0"/>
              <w:jc w:val="left"/>
            </w:pPr>
            <w:r>
              <w:rPr>
                <w:rFonts w:ascii="Arial" w:hAnsi="Arial" w:eastAsia="等线" w:cs="Arial"/>
                <w:sz w:val="22"/>
              </w:rPr>
              <w:t>收益型市政债</w:t>
            </w:r>
          </w:p>
        </w:tc>
        <w:tc>
          <w:tcPr>
            <w:tcW w:w="3705" w:type="dxa"/>
            <w:tcMar>
              <w:top w:w="60" w:type="dxa"/>
              <w:left w:w="120" w:type="dxa"/>
              <w:bottom w:w="30" w:type="dxa"/>
              <w:right w:w="120" w:type="dxa"/>
            </w:tcMar>
          </w:tcPr>
          <w:p w14:paraId="5378F3D1">
            <w:pPr>
              <w:spacing w:before="120" w:after="120" w:line="288" w:lineRule="auto"/>
              <w:ind w:left="0"/>
              <w:jc w:val="left"/>
            </w:pPr>
            <w:r>
              <w:rPr>
                <w:rFonts w:ascii="Arial" w:hAnsi="Arial" w:eastAsia="等线" w:cs="Arial"/>
                <w:sz w:val="22"/>
              </w:rPr>
              <w:t>以项目收入偿还（如高速公路、体育场），风险高于 GO Bond。</w:t>
            </w:r>
          </w:p>
        </w:tc>
      </w:tr>
      <w:tr w14:paraId="203651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20" w:type="dxa"/>
            <w:tcMar>
              <w:top w:w="60" w:type="dxa"/>
              <w:left w:w="120" w:type="dxa"/>
              <w:bottom w:w="30" w:type="dxa"/>
              <w:right w:w="120" w:type="dxa"/>
            </w:tcMar>
          </w:tcPr>
          <w:p w14:paraId="41BBB354">
            <w:pPr>
              <w:spacing w:before="120" w:after="120" w:line="288" w:lineRule="auto"/>
              <w:ind w:left="0"/>
              <w:jc w:val="left"/>
            </w:pPr>
            <w:r>
              <w:rPr>
                <w:rFonts w:ascii="Arial" w:hAnsi="Arial" w:eastAsia="等线" w:cs="Arial"/>
                <w:sz w:val="22"/>
              </w:rPr>
              <w:t>Accredited Investor</w:t>
            </w:r>
          </w:p>
          <w:p w14:paraId="6C5B444F">
            <w:pPr>
              <w:spacing w:before="120" w:after="120" w:line="288" w:lineRule="auto"/>
              <w:ind w:left="0"/>
              <w:jc w:val="left"/>
            </w:pPr>
          </w:p>
        </w:tc>
        <w:tc>
          <w:tcPr>
            <w:tcW w:w="2355" w:type="dxa"/>
            <w:tcMar>
              <w:top w:w="60" w:type="dxa"/>
              <w:left w:w="120" w:type="dxa"/>
              <w:bottom w:w="30" w:type="dxa"/>
              <w:right w:w="120" w:type="dxa"/>
            </w:tcMar>
          </w:tcPr>
          <w:p w14:paraId="16D95CEE">
            <w:pPr>
              <w:spacing w:before="120" w:after="120" w:line="288" w:lineRule="auto"/>
              <w:ind w:left="0"/>
              <w:jc w:val="left"/>
            </w:pPr>
            <w:r>
              <w:rPr>
                <w:rFonts w:ascii="Arial" w:hAnsi="Arial" w:eastAsia="等线" w:cs="Arial"/>
                <w:sz w:val="22"/>
              </w:rPr>
              <w:t>合格投资者</w:t>
            </w:r>
          </w:p>
        </w:tc>
        <w:tc>
          <w:tcPr>
            <w:tcW w:w="3705" w:type="dxa"/>
            <w:tcMar>
              <w:top w:w="60" w:type="dxa"/>
              <w:left w:w="120" w:type="dxa"/>
              <w:bottom w:w="30" w:type="dxa"/>
              <w:right w:w="120" w:type="dxa"/>
            </w:tcMar>
          </w:tcPr>
          <w:p w14:paraId="06E496DB">
            <w:pPr>
              <w:spacing w:before="120" w:after="120" w:line="288" w:lineRule="auto"/>
              <w:ind w:left="0"/>
              <w:jc w:val="left"/>
            </w:pPr>
            <w:r>
              <w:rPr>
                <w:rFonts w:ascii="Arial" w:hAnsi="Arial" w:eastAsia="等线" w:cs="Arial"/>
                <w:sz w:val="22"/>
              </w:rPr>
              <w:t>满足一定净资产或收入门槛的投资者。包括：</w:t>
            </w:r>
          </w:p>
          <w:p w14:paraId="25033E8D">
            <w:pPr>
              <w:numPr>
                <w:ilvl w:val="0"/>
                <w:numId w:val="129"/>
              </w:numPr>
              <w:spacing w:before="120" w:after="120" w:line="288" w:lineRule="auto"/>
              <w:ind w:left="0"/>
              <w:jc w:val="left"/>
            </w:pPr>
            <w:r>
              <w:rPr>
                <w:rFonts w:ascii="Arial" w:hAnsi="Arial" w:eastAsia="等线" w:cs="Arial"/>
                <w:sz w:val="22"/>
              </w:rPr>
              <w:t>净资产 ≥ $1M（不含自住房）</w:t>
            </w:r>
          </w:p>
          <w:p w14:paraId="1E6AC230">
            <w:pPr>
              <w:numPr>
                <w:ilvl w:val="0"/>
                <w:numId w:val="130"/>
              </w:numPr>
              <w:spacing w:before="120" w:after="120" w:line="288" w:lineRule="auto"/>
              <w:ind w:left="0"/>
              <w:jc w:val="left"/>
            </w:pPr>
            <w:r>
              <w:rPr>
                <w:rFonts w:ascii="Arial" w:hAnsi="Arial" w:eastAsia="等线" w:cs="Arial"/>
                <w:sz w:val="22"/>
              </w:rPr>
              <w:t>最近两年年收入 ≥ $200K（或夫妻合并 ≥ $300K）</w:t>
            </w:r>
          </w:p>
          <w:p w14:paraId="749A065F">
            <w:pPr>
              <w:numPr>
                <w:ilvl w:val="0"/>
                <w:numId w:val="131"/>
              </w:numPr>
              <w:spacing w:before="120" w:after="120" w:line="288" w:lineRule="auto"/>
              <w:ind w:left="0"/>
              <w:jc w:val="left"/>
            </w:pPr>
            <w:r>
              <w:rPr>
                <w:rFonts w:ascii="Arial" w:hAnsi="Arial" w:eastAsia="等线" w:cs="Arial"/>
                <w:sz w:val="22"/>
              </w:rPr>
              <w:t>金融机构或净资产 ≥ $5M 的组织</w:t>
            </w:r>
          </w:p>
          <w:p w14:paraId="22E42D51">
            <w:pPr>
              <w:numPr>
                <w:ilvl w:val="0"/>
                <w:numId w:val="132"/>
              </w:numPr>
              <w:spacing w:before="120" w:after="120" w:line="288" w:lineRule="auto"/>
              <w:ind w:left="0"/>
              <w:jc w:val="left"/>
            </w:pPr>
            <w:r>
              <w:rPr>
                <w:rFonts w:ascii="Arial" w:hAnsi="Arial" w:eastAsia="等线" w:cs="Arial"/>
                <w:sz w:val="22"/>
              </w:rPr>
              <w:t>等等</w:t>
            </w:r>
          </w:p>
        </w:tc>
      </w:tr>
    </w:tbl>
    <w:p w14:paraId="03609635">
      <w:pPr>
        <w:spacing w:before="120" w:after="120" w:line="288" w:lineRule="auto"/>
        <w:ind w:left="0"/>
        <w:jc w:val="left"/>
      </w:pPr>
    </w:p>
    <w:p w14:paraId="13864B08">
      <w:pPr>
        <w:spacing w:before="380" w:after="140" w:line="288" w:lineRule="auto"/>
        <w:ind w:left="0"/>
        <w:jc w:val="left"/>
        <w:outlineLvl w:val="0"/>
      </w:pPr>
      <w:bookmarkStart w:id="36" w:name="heading_36"/>
      <w:r>
        <w:rPr>
          <w:rFonts w:ascii="Arial" w:hAnsi="Arial" w:eastAsia="等线" w:cs="Arial"/>
          <w:b/>
          <w:sz w:val="36"/>
        </w:rPr>
        <w:t>四、题目答案</w:t>
      </w:r>
      <w:bookmarkEnd w:id="36"/>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6B1644B8">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432A82DE">
            <w:pPr>
              <w:spacing w:before="120" w:after="120" w:line="288" w:lineRule="auto"/>
              <w:ind w:left="0"/>
              <w:jc w:val="left"/>
            </w:pPr>
          </w:p>
          <w:p w14:paraId="1EBA009E">
            <w:pPr>
              <w:numPr>
                <w:ilvl w:val="0"/>
                <w:numId w:val="133"/>
              </w:numPr>
              <w:spacing w:before="120" w:after="120" w:line="288" w:lineRule="auto"/>
              <w:ind w:left="0"/>
              <w:jc w:val="left"/>
            </w:pPr>
            <w:r>
              <w:rPr>
                <w:rFonts w:ascii="Arial" w:hAnsi="Arial" w:eastAsia="等线" w:cs="Arial"/>
                <w:sz w:val="22"/>
              </w:rPr>
              <w:t>A</w:t>
            </w:r>
          </w:p>
          <w:p w14:paraId="231EC4D9">
            <w:pPr>
              <w:spacing w:before="120" w:after="120" w:line="288" w:lineRule="auto"/>
              <w:ind w:left="0"/>
              <w:jc w:val="left"/>
            </w:pPr>
            <w:r>
              <w:rPr>
                <w:rFonts w:ascii="Arial" w:hAnsi="Arial" w:eastAsia="等线" w:cs="Arial"/>
                <w:sz w:val="22"/>
              </w:rPr>
              <w:t>A shelf registration allows the issuer to sell securities registered with the Securities and Exchange Commission (SEC) for up to three years from the effective (release) date. A shelf registration allows an issuer to time the sale of its securities with market conditions.</w:t>
            </w:r>
          </w:p>
          <w:p w14:paraId="281F6B0C">
            <w:pPr>
              <w:spacing w:before="120" w:after="120" w:line="288" w:lineRule="auto"/>
              <w:ind w:left="0"/>
              <w:jc w:val="left"/>
            </w:pPr>
            <w:r>
              <w:rPr>
                <w:rFonts w:ascii="Arial" w:hAnsi="Arial" w:eastAsia="等线" w:cs="Arial"/>
                <w:sz w:val="22"/>
              </w:rPr>
              <w:t>货架注册允许发行人出售在证券交易委员会（SEC）注册的证券，有效期为自生效（发行）之日起最长三年。货架注册允许发行人根据市场情况确定出售证券的时间。</w:t>
            </w:r>
          </w:p>
          <w:p w14:paraId="558B937B">
            <w:pPr>
              <w:spacing w:before="120" w:after="120" w:line="288" w:lineRule="auto"/>
              <w:ind w:left="0"/>
              <w:jc w:val="left"/>
            </w:pPr>
          </w:p>
          <w:p w14:paraId="7D27D49F">
            <w:pPr>
              <w:numPr>
                <w:ilvl w:val="0"/>
                <w:numId w:val="134"/>
              </w:numPr>
              <w:spacing w:before="120" w:after="120" w:line="288" w:lineRule="auto"/>
              <w:ind w:left="0"/>
              <w:jc w:val="left"/>
            </w:pPr>
            <w:r>
              <w:rPr>
                <w:rFonts w:ascii="Arial" w:hAnsi="Arial" w:eastAsia="等线" w:cs="Arial"/>
                <w:sz w:val="22"/>
              </w:rPr>
              <w:t>B. shelf offerings</w:t>
            </w:r>
          </w:p>
          <w:p w14:paraId="1C3510CB">
            <w:pPr>
              <w:spacing w:before="120" w:after="120" w:line="288" w:lineRule="auto"/>
              <w:ind w:left="453"/>
              <w:jc w:val="left"/>
            </w:pPr>
            <w:r>
              <w:rPr>
                <w:rFonts w:ascii="Arial" w:hAnsi="Arial" w:eastAsia="等线" w:cs="Arial"/>
                <w:sz w:val="22"/>
              </w:rPr>
              <w:t>The Securities and Exchange Commission (SEC) Rule 415 outlines the rules for shelf offerings (shelf registration). Typically, a company isn’t going to sell all of its shares in one shot; it may want to wait another six months, a year, or two years before selling all of its authorized shares. Under SEC Rule 415, an issuer has up to two years to sell its registered securities without having to file a new registration statement.</w:t>
            </w:r>
          </w:p>
          <w:p w14:paraId="201E230A">
            <w:pPr>
              <w:numPr>
                <w:ilvl w:val="0"/>
                <w:numId w:val="135"/>
              </w:numPr>
              <w:spacing w:before="120" w:after="120" w:line="288" w:lineRule="auto"/>
              <w:ind w:left="0"/>
              <w:jc w:val="left"/>
            </w:pPr>
            <w:r>
              <w:rPr>
                <w:rFonts w:ascii="Arial" w:hAnsi="Arial" w:eastAsia="等线" w:cs="Arial"/>
                <w:sz w:val="22"/>
              </w:rPr>
              <w:t>A. 20</w:t>
            </w:r>
          </w:p>
          <w:p w14:paraId="73595677">
            <w:pPr>
              <w:spacing w:before="120" w:after="120" w:line="288" w:lineRule="auto"/>
              <w:ind w:left="453"/>
              <w:jc w:val="left"/>
            </w:pPr>
            <w:r>
              <w:rPr>
                <w:rFonts w:ascii="Arial" w:hAnsi="Arial" w:eastAsia="等线" w:cs="Arial"/>
                <w:sz w:val="22"/>
              </w:rPr>
              <w:t>The cooling-off period is when the Securities and Exchange Commission (SEC) is reviewing a company’s registration statement before bringing new issues to market. The cooling-off period typically lasts about 20 days.</w:t>
            </w:r>
          </w:p>
          <w:p w14:paraId="424E59A1">
            <w:pPr>
              <w:numPr>
                <w:ilvl w:val="0"/>
                <w:numId w:val="136"/>
              </w:numPr>
              <w:spacing w:before="120" w:after="120" w:line="288" w:lineRule="auto"/>
              <w:ind w:left="0"/>
              <w:jc w:val="left"/>
            </w:pPr>
            <w:r>
              <w:rPr>
                <w:rFonts w:ascii="Arial" w:hAnsi="Arial" w:eastAsia="等线" w:cs="Arial"/>
                <w:sz w:val="22"/>
              </w:rPr>
              <w:t xml:space="preserve">D. </w:t>
            </w:r>
          </w:p>
          <w:p w14:paraId="75589FBA">
            <w:pPr>
              <w:spacing w:before="120" w:after="120" w:line="288" w:lineRule="auto"/>
              <w:ind w:left="453"/>
              <w:jc w:val="left"/>
            </w:pPr>
            <w:r>
              <w:rPr>
                <w:rFonts w:ascii="Arial" w:hAnsi="Arial" w:eastAsia="等线" w:cs="Arial"/>
                <w:sz w:val="22"/>
              </w:rPr>
              <w:t>Tombstone advertisements may include the name of the issuer, the type of security being offered, the offering price (or approximate offering price), the names of the underwriters, and the number of securities being offered.</w:t>
            </w:r>
          </w:p>
          <w:p w14:paraId="462F8FE5">
            <w:pPr>
              <w:numPr>
                <w:ilvl w:val="0"/>
                <w:numId w:val="137"/>
              </w:numPr>
              <w:spacing w:before="120" w:after="120" w:line="288" w:lineRule="auto"/>
              <w:ind w:left="0"/>
              <w:jc w:val="left"/>
            </w:pPr>
            <w:r>
              <w:rPr>
                <w:rFonts w:ascii="Arial" w:hAnsi="Arial" w:eastAsia="等线" w:cs="Arial"/>
                <w:sz w:val="22"/>
              </w:rPr>
              <w:t>D. I and III</w:t>
            </w:r>
          </w:p>
          <w:p w14:paraId="55ABB401">
            <w:pPr>
              <w:spacing w:before="120" w:after="120" w:line="288" w:lineRule="auto"/>
              <w:ind w:left="453"/>
              <w:jc w:val="left"/>
            </w:pPr>
            <w:r>
              <w:rPr>
                <w:rFonts w:ascii="Arial" w:hAnsi="Arial" w:eastAsia="等线" w:cs="Arial"/>
                <w:sz w:val="22"/>
              </w:rPr>
              <w:t>Remember, you’re looking for the exception in this question. The preliminary prospectus (red herring) would include such items as the financial history of the company (including financial statements) and what the company is going to do with the funds being raised. However, the preliminary prospectus doesn’t include the effective (release) date or the public offering price. The effective date and the public offering price would be included in the final prospectus.</w:t>
            </w:r>
          </w:p>
          <w:p w14:paraId="03FE7FCF">
            <w:pPr>
              <w:numPr>
                <w:ilvl w:val="0"/>
                <w:numId w:val="138"/>
              </w:numPr>
              <w:spacing w:before="120" w:after="120" w:line="288" w:lineRule="auto"/>
              <w:ind w:left="0"/>
              <w:jc w:val="left"/>
            </w:pPr>
            <w:r>
              <w:rPr>
                <w:rFonts w:ascii="Arial" w:hAnsi="Arial" w:eastAsia="等线" w:cs="Arial"/>
                <w:sz w:val="22"/>
              </w:rPr>
              <w:t>B. the underwriter’s agreement</w:t>
            </w:r>
          </w:p>
          <w:p w14:paraId="2D09BC53">
            <w:pPr>
              <w:spacing w:before="120" w:after="120" w:line="288" w:lineRule="auto"/>
              <w:ind w:left="453"/>
              <w:jc w:val="left"/>
            </w:pPr>
            <w:r>
              <w:rPr>
                <w:rFonts w:ascii="Arial" w:hAnsi="Arial" w:eastAsia="等线" w:cs="Arial"/>
                <w:sz w:val="22"/>
              </w:rPr>
              <w:t>The underwriter’s agreement (agreement among underwriters) is not a part of the final or preliminary prospectus.</w:t>
            </w:r>
          </w:p>
          <w:p w14:paraId="5110E132">
            <w:pPr>
              <w:numPr>
                <w:ilvl w:val="0"/>
                <w:numId w:val="139"/>
              </w:numPr>
              <w:spacing w:before="120" w:after="120" w:line="288" w:lineRule="auto"/>
              <w:ind w:left="0"/>
              <w:jc w:val="left"/>
            </w:pPr>
            <w:r>
              <w:rPr>
                <w:rFonts w:ascii="Arial" w:hAnsi="Arial" w:eastAsia="等线" w:cs="Arial"/>
                <w:sz w:val="22"/>
              </w:rPr>
              <w:t>D. 90 days</w:t>
            </w:r>
          </w:p>
          <w:p w14:paraId="27328B4E">
            <w:pPr>
              <w:spacing w:before="120" w:after="120" w:line="288" w:lineRule="auto"/>
              <w:ind w:left="453"/>
              <w:jc w:val="left"/>
            </w:pPr>
            <w:r>
              <w:rPr>
                <w:rFonts w:ascii="Arial" w:hAnsi="Arial" w:eastAsia="等线" w:cs="Arial"/>
                <w:sz w:val="22"/>
              </w:rPr>
              <w:t>Initial public offerings (IPOs) that aren’t sold on an exchange have a 90-day prospectus requirement.</w:t>
            </w:r>
          </w:p>
          <w:p w14:paraId="56A0F129">
            <w:pPr>
              <w:numPr>
                <w:ilvl w:val="0"/>
                <w:numId w:val="140"/>
              </w:numPr>
              <w:spacing w:before="120" w:after="120" w:line="288" w:lineRule="auto"/>
              <w:ind w:left="0"/>
              <w:jc w:val="left"/>
            </w:pPr>
            <w:r>
              <w:rPr>
                <w:rFonts w:ascii="Arial" w:hAnsi="Arial" w:eastAsia="等线" w:cs="Arial"/>
                <w:sz w:val="22"/>
              </w:rPr>
              <w:t xml:space="preserve">A. </w:t>
            </w:r>
          </w:p>
          <w:p w14:paraId="7DD11657">
            <w:pPr>
              <w:spacing w:before="120" w:after="120" w:line="288" w:lineRule="auto"/>
              <w:ind w:left="453"/>
              <w:jc w:val="left"/>
            </w:pPr>
            <w:r>
              <w:rPr>
                <w:rFonts w:ascii="Arial" w:hAnsi="Arial" w:eastAsia="等线" w:cs="Arial"/>
                <w:sz w:val="22"/>
              </w:rPr>
              <w:t>All securities sold in a state must be registered in that state (also known as blue-sky registration). Coordination, qualification, and notification (filing) are all types of state registration; registration by cooperation is not. If an agent wants to sell in a state, the security, the registered rep, and the broker–dealer must be registered in that state.</w:t>
            </w:r>
          </w:p>
          <w:p w14:paraId="2506F184">
            <w:pPr>
              <w:numPr>
                <w:ilvl w:val="0"/>
                <w:numId w:val="141"/>
              </w:numPr>
              <w:spacing w:before="120" w:after="120" w:line="288" w:lineRule="auto"/>
              <w:ind w:left="0"/>
              <w:jc w:val="left"/>
            </w:pPr>
            <w:r>
              <w:rPr>
                <w:rFonts w:ascii="Arial" w:hAnsi="Arial" w:eastAsia="等线" w:cs="Arial"/>
                <w:sz w:val="22"/>
              </w:rPr>
              <w:t>B. I and IV</w:t>
            </w:r>
          </w:p>
          <w:p w14:paraId="07FAC461">
            <w:pPr>
              <w:spacing w:before="120" w:after="120" w:line="288" w:lineRule="auto"/>
              <w:ind w:left="453"/>
              <w:jc w:val="left"/>
            </w:pPr>
            <w:r>
              <w:rPr>
                <w:rFonts w:ascii="Arial" w:hAnsi="Arial" w:eastAsia="等线" w:cs="Arial"/>
                <w:sz w:val="22"/>
              </w:rPr>
              <w:t>The nice thing about this question is that the titles registrar and transfer agent pretty much sum up what they do. The registrar works along with the transfer agent to maintain a record of stock and bondholders and to make sure that more shares aren’t outstanding than there should be. The main function of a transfer agent is to transfer things like stock certificates, bond certificates, and proxies. The transfer agent also keeps a record of stock and bondholders.</w:t>
            </w:r>
          </w:p>
          <w:p w14:paraId="1D78B716">
            <w:pPr>
              <w:numPr>
                <w:ilvl w:val="0"/>
                <w:numId w:val="142"/>
              </w:numPr>
              <w:spacing w:before="120" w:after="120" w:line="288" w:lineRule="auto"/>
              <w:ind w:left="0"/>
              <w:jc w:val="left"/>
            </w:pPr>
            <w:r>
              <w:rPr>
                <w:rFonts w:ascii="Arial" w:hAnsi="Arial" w:eastAsia="等线" w:cs="Arial"/>
                <w:sz w:val="22"/>
              </w:rPr>
              <w:t xml:space="preserve">A. </w:t>
            </w:r>
          </w:p>
          <w:p w14:paraId="7C221C60">
            <w:pPr>
              <w:spacing w:before="120" w:after="120" w:line="288" w:lineRule="auto"/>
              <w:ind w:left="453"/>
              <w:jc w:val="left"/>
            </w:pPr>
            <w:r>
              <w:rPr>
                <w:rFonts w:ascii="Arial" w:hAnsi="Arial" w:eastAsia="等线" w:cs="Arial"/>
                <w:sz w:val="22"/>
              </w:rPr>
              <w:t>In a firm-commitment underwriting, all securities left unsold are retained by the underwriters. All-or-none and mini-max are actually best-efforts underwritings.</w:t>
            </w:r>
          </w:p>
          <w:p w14:paraId="3DD2E940">
            <w:pPr>
              <w:numPr>
                <w:ilvl w:val="0"/>
                <w:numId w:val="143"/>
              </w:numPr>
              <w:spacing w:before="120" w:after="120" w:line="288" w:lineRule="auto"/>
              <w:ind w:left="0"/>
              <w:jc w:val="left"/>
            </w:pPr>
            <w:r>
              <w:rPr>
                <w:rFonts w:ascii="Arial" w:hAnsi="Arial" w:eastAsia="等线" w:cs="Arial"/>
                <w:sz w:val="22"/>
              </w:rPr>
              <w:t>D. Combined</w:t>
            </w:r>
          </w:p>
          <w:p w14:paraId="59E196A0">
            <w:pPr>
              <w:spacing w:before="120" w:after="120" w:line="288" w:lineRule="auto"/>
              <w:ind w:left="453"/>
              <w:jc w:val="left"/>
            </w:pPr>
            <w:r>
              <w:rPr>
                <w:rFonts w:ascii="Arial" w:hAnsi="Arial" w:eastAsia="等线" w:cs="Arial"/>
                <w:sz w:val="22"/>
              </w:rPr>
              <w:t>This is a combined (split) offering. The 600,000 shares that are authorized but previously unissued shares are a primary offering, and the 400,000 shares are a large block of outstanding shares, so that’s a secondary offering. When you put a primary and secondary offering together, it’s called a combined offering.</w:t>
            </w:r>
          </w:p>
          <w:p w14:paraId="7CC24DA8">
            <w:pPr>
              <w:numPr>
                <w:ilvl w:val="0"/>
                <w:numId w:val="144"/>
              </w:numPr>
              <w:spacing w:before="120" w:after="120" w:line="288" w:lineRule="auto"/>
              <w:ind w:left="0"/>
              <w:jc w:val="left"/>
            </w:pPr>
            <w:r>
              <w:rPr>
                <w:rFonts w:ascii="Arial" w:hAnsi="Arial" w:eastAsia="等线" w:cs="Arial"/>
                <w:sz w:val="22"/>
              </w:rPr>
              <w:t>A. . The Securities Act of 1933</w:t>
            </w:r>
          </w:p>
          <w:p w14:paraId="68C0B93F">
            <w:pPr>
              <w:spacing w:before="120" w:after="120" w:line="288" w:lineRule="auto"/>
              <w:ind w:left="453"/>
              <w:jc w:val="left"/>
            </w:pPr>
            <w:r>
              <w:rPr>
                <w:rFonts w:ascii="Arial" w:hAnsi="Arial" w:eastAsia="等线" w:cs="Arial"/>
                <w:sz w:val="22"/>
              </w:rPr>
              <w:t xml:space="preserve"> (Truth in Securities Act, Paper Act, Full Disclosure Act, Prospectus Act, or New Issues Act) regulates new issues of corporate stocks and bonds. Included in the act are rules to prevent fraud and deception, as well as rules about the issuer’s providing information about itself and the securities being offered.</w:t>
            </w:r>
          </w:p>
          <w:p w14:paraId="513A4254">
            <w:pPr>
              <w:numPr>
                <w:ilvl w:val="0"/>
                <w:numId w:val="145"/>
              </w:numPr>
              <w:spacing w:before="120" w:after="120" w:line="288" w:lineRule="auto"/>
              <w:ind w:left="0"/>
              <w:jc w:val="left"/>
            </w:pPr>
            <w:r>
              <w:rPr>
                <w:rFonts w:ascii="Arial" w:hAnsi="Arial" w:eastAsia="等线" w:cs="Arial"/>
                <w:sz w:val="22"/>
              </w:rPr>
              <w:t>C. REITs</w:t>
            </w:r>
          </w:p>
          <w:p w14:paraId="512D4346">
            <w:pPr>
              <w:spacing w:before="120" w:after="120" w:line="288" w:lineRule="auto"/>
              <w:ind w:left="453"/>
              <w:jc w:val="left"/>
            </w:pPr>
            <w:r>
              <w:rPr>
                <w:rFonts w:ascii="Arial" w:hAnsi="Arial" w:eastAsia="等线" w:cs="Arial"/>
                <w:sz w:val="22"/>
              </w:rPr>
              <w:t>Securities that are exempt from the registration requirements of the Securities Act of 1933 include U.S. government securities (Treasury bonds, Treasury bills, Treasury notes, and so on), municipal bonds, securities issued by banks, public utility stocks and bonds, and so on. However, real estate investment trusts (REITs) must register with the Securities and Exchange Commission (SEC).</w:t>
            </w:r>
          </w:p>
          <w:p w14:paraId="16D6C728">
            <w:pPr>
              <w:numPr>
                <w:ilvl w:val="0"/>
                <w:numId w:val="146"/>
              </w:numPr>
              <w:spacing w:before="120" w:after="120" w:line="288" w:lineRule="auto"/>
              <w:ind w:left="0"/>
              <w:jc w:val="left"/>
            </w:pPr>
            <w:r>
              <w:rPr>
                <w:rFonts w:ascii="Arial" w:hAnsi="Arial" w:eastAsia="等线" w:cs="Arial"/>
                <w:sz w:val="22"/>
              </w:rPr>
              <w:t>C. I and IV</w:t>
            </w:r>
          </w:p>
          <w:p w14:paraId="34498636">
            <w:pPr>
              <w:spacing w:before="120" w:after="120" w:line="288" w:lineRule="auto"/>
              <w:ind w:left="453"/>
              <w:jc w:val="left"/>
            </w:pPr>
            <w:r>
              <w:rPr>
                <w:rFonts w:ascii="Arial" w:hAnsi="Arial" w:eastAsia="等线" w:cs="Arial"/>
                <w:sz w:val="22"/>
              </w:rPr>
              <w:t>There is a difference between securities that are exempt because of whom the issuer is and transactions that are exempt. Exempt securities include U.S. government securities, municipal bonds, securities issued by banks, public utility stocks, securities issued by nonprofit organizations, and so on. Intrastate offerings, Regulation A offerings, Regulation D offerings (private placements), and so on are exempt transactions.</w:t>
            </w:r>
          </w:p>
          <w:p w14:paraId="2A404818">
            <w:pPr>
              <w:numPr>
                <w:ilvl w:val="0"/>
                <w:numId w:val="147"/>
              </w:numPr>
              <w:spacing w:before="120" w:after="120" w:line="288" w:lineRule="auto"/>
              <w:ind w:left="0"/>
              <w:jc w:val="left"/>
            </w:pPr>
            <w:r>
              <w:rPr>
                <w:rFonts w:ascii="Arial" w:hAnsi="Arial" w:eastAsia="等线" w:cs="Arial"/>
                <w:sz w:val="22"/>
              </w:rPr>
              <w:t>A. an offering of securities only within the issuer’s home state</w:t>
            </w:r>
          </w:p>
          <w:p w14:paraId="28EE44CD">
            <w:pPr>
              <w:spacing w:before="120" w:after="120" w:line="288" w:lineRule="auto"/>
              <w:ind w:left="453"/>
              <w:jc w:val="left"/>
            </w:pPr>
            <w:r>
              <w:rPr>
                <w:rFonts w:ascii="Arial" w:hAnsi="Arial" w:eastAsia="等线" w:cs="Arial"/>
                <w:sz w:val="22"/>
              </w:rPr>
              <w:t>A Rule 147 offering is an intrastate (not interstate) offering that’s exempt from the Securities and Exchange Commission (SEC) registration provided the issuer conducts business only in one state and sells securities only to residents of the same state. This also includes the 80% rule that states that at least 80% of the issuer’s assets are located within the state and at least 80% of the offering proceeds are used within the same state.</w:t>
            </w:r>
          </w:p>
          <w:p w14:paraId="3088FD54">
            <w:pPr>
              <w:numPr>
                <w:ilvl w:val="0"/>
                <w:numId w:val="148"/>
              </w:numPr>
              <w:spacing w:before="120" w:after="120" w:line="288" w:lineRule="auto"/>
              <w:ind w:left="0"/>
              <w:jc w:val="left"/>
            </w:pPr>
            <w:r>
              <w:rPr>
                <w:rFonts w:ascii="Arial" w:hAnsi="Arial" w:eastAsia="等线" w:cs="Arial"/>
                <w:sz w:val="22"/>
              </w:rPr>
              <w:t>C. I, II, and IV</w:t>
            </w:r>
          </w:p>
          <w:p w14:paraId="1D4306FD">
            <w:pPr>
              <w:spacing w:before="120" w:after="120" w:line="288" w:lineRule="auto"/>
              <w:ind w:left="453"/>
              <w:jc w:val="left"/>
            </w:pPr>
            <w:r>
              <w:rPr>
                <w:rFonts w:ascii="Arial" w:hAnsi="Arial" w:eastAsia="等线" w:cs="Arial"/>
                <w:sz w:val="22"/>
              </w:rPr>
              <w:t>The Trust Indenture Act of 1939 regulates all corporate bond issues exceeding $5 million. The only corporate bonds listed are equipment trust bonds. U.S. government T-bonds, municipal general obligation (GO) bonds, and municipal revenue bonds are exempt from the Trust Indenture Act of 1939.</w:t>
            </w:r>
          </w:p>
          <w:p w14:paraId="1DDEE919">
            <w:pPr>
              <w:spacing w:before="120" w:after="120" w:line="288" w:lineRule="auto"/>
              <w:ind w:left="0" w:firstLine="420"/>
              <w:jc w:val="left"/>
            </w:pPr>
            <w:r>
              <w:rPr>
                <w:rFonts w:ascii="Arial" w:hAnsi="Arial" w:eastAsia="等线" w:cs="Arial"/>
                <w:sz w:val="22"/>
              </w:rPr>
              <w:t>1939年的《信托契约法》规定了所有超过500万美元的公司债券发行。唯一上市的公司债券是设备信       托债券。美国政府国债、市政一般义务债券和市政收入债券不受1939年《信托契约法》的约束。</w:t>
            </w:r>
          </w:p>
          <w:p w14:paraId="4E8780B4">
            <w:pPr>
              <w:spacing w:before="120" w:after="120" w:line="288" w:lineRule="auto"/>
              <w:ind w:left="0"/>
              <w:jc w:val="left"/>
            </w:pPr>
          </w:p>
          <w:p w14:paraId="5D52D9D0">
            <w:pPr>
              <w:numPr>
                <w:ilvl w:val="0"/>
                <w:numId w:val="149"/>
              </w:numPr>
              <w:spacing w:before="120" w:after="120" w:line="288" w:lineRule="auto"/>
              <w:ind w:left="0"/>
              <w:jc w:val="left"/>
            </w:pPr>
            <w:r>
              <w:rPr>
                <w:rFonts w:ascii="Arial" w:hAnsi="Arial" w:eastAsia="等线" w:cs="Arial"/>
                <w:sz w:val="22"/>
              </w:rPr>
              <w:t xml:space="preserve">B. </w:t>
            </w:r>
          </w:p>
          <w:p w14:paraId="3AE14312">
            <w:pPr>
              <w:spacing w:before="120" w:after="120" w:line="288" w:lineRule="auto"/>
              <w:ind w:left="453"/>
              <w:jc w:val="left"/>
            </w:pPr>
            <w:r>
              <w:rPr>
                <w:rFonts w:ascii="Arial" w:hAnsi="Arial" w:eastAsia="等线" w:cs="Arial"/>
                <w:sz w:val="22"/>
              </w:rPr>
              <w:t>The test writers often try to trick you on the SIE exam by giving you at least one week more than you need to answer the question. Because John has held the restricted stock for more than a year, John can sell 1 percent of the outstanding shares or the average weekly trading volume for the previous four weeks, whichever is greater:</w:t>
            </w:r>
          </w:p>
          <w:p w14:paraId="08DCEFF3">
            <w:pPr>
              <w:spacing w:before="120" w:after="120" w:line="288" w:lineRule="auto"/>
              <w:ind w:left="453"/>
              <w:jc w:val="left"/>
            </w:pPr>
            <w:r>
              <w:rPr>
                <w:rFonts w:ascii="Arial" w:hAnsi="Arial" w:eastAsia="等线" w:cs="Arial"/>
                <w:sz w:val="22"/>
              </w:rPr>
              <w:t>1% * 1,500,000 shares outstanding = 15,000 shares</w:t>
            </w:r>
          </w:p>
          <w:p w14:paraId="1D2E6624">
            <w:pPr>
              <w:spacing w:before="120" w:after="120" w:line="288" w:lineRule="auto"/>
              <w:ind w:left="453"/>
              <w:jc w:val="left"/>
            </w:pPr>
            <w:r>
              <w:rPr>
                <w:rFonts w:ascii="Arial" w:hAnsi="Arial" w:eastAsia="等线" w:cs="Arial"/>
                <w:sz w:val="22"/>
              </w:rPr>
              <w:t>(16, 000+15, 000+17, 000+15,000) / 4 weeks = 15,750 shares</w:t>
            </w:r>
          </w:p>
          <w:p w14:paraId="7FE8D23E">
            <w:pPr>
              <w:spacing w:before="120" w:after="120" w:line="288" w:lineRule="auto"/>
              <w:ind w:left="453"/>
              <w:jc w:val="left"/>
            </w:pPr>
            <w:r>
              <w:rPr>
                <w:rFonts w:ascii="Arial" w:hAnsi="Arial" w:eastAsia="等线" w:cs="Arial"/>
                <w:sz w:val="22"/>
              </w:rPr>
              <w:t>(注意老美的数字通常每三位用逗号分隔一次，例如“16,000”表示一万六千，不要将逗号误认为是小数点)</w:t>
            </w:r>
          </w:p>
        </w:tc>
      </w:tr>
    </w:tbl>
    <w:p w14:paraId="6FFFA8BF">
      <w:pPr>
        <w:spacing w:before="120" w:after="120" w:line="288" w:lineRule="auto"/>
        <w:ind w:left="0"/>
        <w:jc w:val="left"/>
      </w:pPr>
      <w:bookmarkStart w:id="37" w:name="_GoBack"/>
      <w:bookmarkEnd w:id="37"/>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5538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AF45C">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17"/>
      <w:numFmt w:val="decimal"/>
      <w:lvlText w:val="%1."/>
      <w:lvlJc w:val="left"/>
      <w:rPr>
        <w:color w:val="3370FF"/>
      </w:rPr>
    </w:lvl>
  </w:abstractNum>
  <w:abstractNum w:abstractNumId="3">
    <w:nsid w:val="845B5372"/>
    <w:multiLevelType w:val="singleLevel"/>
    <w:tmpl w:val="845B5372"/>
    <w:lvl w:ilvl="0" w:tentative="0">
      <w:start w:val="2"/>
      <w:numFmt w:val="decimal"/>
      <w:lvlText w:val="%1."/>
      <w:lvlJc w:val="left"/>
      <w:rPr>
        <w:color w:val="3370FF"/>
      </w:rPr>
    </w:lvl>
  </w:abstractNum>
  <w:abstractNum w:abstractNumId="4">
    <w:nsid w:val="8461FADE"/>
    <w:multiLevelType w:val="singleLevel"/>
    <w:tmpl w:val="8461FADE"/>
    <w:lvl w:ilvl="0" w:tentative="0">
      <w:start w:val="7"/>
      <w:numFmt w:val="decimal"/>
      <w:lvlText w:val="%1."/>
      <w:lvlJc w:val="left"/>
      <w:rPr>
        <w:color w:val="3370FF"/>
      </w:rPr>
    </w:lvl>
  </w:abstractNum>
  <w:abstractNum w:abstractNumId="5">
    <w:nsid w:val="883B3669"/>
    <w:multiLevelType w:val="singleLevel"/>
    <w:tmpl w:val="883B3669"/>
    <w:lvl w:ilvl="0" w:tentative="0">
      <w:start w:val="0"/>
      <w:numFmt w:val="bullet"/>
      <w:lvlText w:val="•"/>
      <w:lvlJc w:val="left"/>
      <w:rPr>
        <w:color w:val="3370FF"/>
      </w:rPr>
    </w:lvl>
  </w:abstractNum>
  <w:abstractNum w:abstractNumId="6">
    <w:nsid w:val="8CAEB125"/>
    <w:multiLevelType w:val="singleLevel"/>
    <w:tmpl w:val="8CAEB125"/>
    <w:lvl w:ilvl="0" w:tentative="0">
      <w:start w:val="0"/>
      <w:numFmt w:val="bullet"/>
      <w:lvlText w:val="•"/>
      <w:lvlJc w:val="left"/>
      <w:rPr>
        <w:color w:val="3370FF"/>
      </w:rPr>
    </w:lvl>
  </w:abstractNum>
  <w:abstractNum w:abstractNumId="7">
    <w:nsid w:val="91995D4F"/>
    <w:multiLevelType w:val="singleLevel"/>
    <w:tmpl w:val="91995D4F"/>
    <w:lvl w:ilvl="0" w:tentative="0">
      <w:start w:val="0"/>
      <w:numFmt w:val="bullet"/>
      <w:lvlText w:val="•"/>
      <w:lvlJc w:val="left"/>
      <w:rPr>
        <w:color w:val="3370FF"/>
      </w:rPr>
    </w:lvl>
  </w:abstractNum>
  <w:abstractNum w:abstractNumId="8">
    <w:nsid w:val="91B69C97"/>
    <w:multiLevelType w:val="singleLevel"/>
    <w:tmpl w:val="91B69C97"/>
    <w:lvl w:ilvl="0" w:tentative="0">
      <w:start w:val="0"/>
      <w:numFmt w:val="bullet"/>
      <w:lvlText w:val="•"/>
      <w:lvlJc w:val="left"/>
      <w:rPr>
        <w:color w:val="3370FF"/>
      </w:rPr>
    </w:lvl>
  </w:abstractNum>
  <w:abstractNum w:abstractNumId="9">
    <w:nsid w:val="9239341B"/>
    <w:multiLevelType w:val="singleLevel"/>
    <w:tmpl w:val="9239341B"/>
    <w:lvl w:ilvl="0" w:tentative="0">
      <w:start w:val="4"/>
      <w:numFmt w:val="decimal"/>
      <w:lvlText w:val="%1."/>
      <w:lvlJc w:val="left"/>
      <w:rPr>
        <w:color w:val="3370FF"/>
      </w:rPr>
    </w:lvl>
  </w:abstractNum>
  <w:abstractNum w:abstractNumId="10">
    <w:nsid w:val="9288B902"/>
    <w:multiLevelType w:val="singleLevel"/>
    <w:tmpl w:val="9288B902"/>
    <w:lvl w:ilvl="0" w:tentative="0">
      <w:start w:val="5"/>
      <w:numFmt w:val="decimal"/>
      <w:lvlText w:val="%1."/>
      <w:lvlJc w:val="left"/>
      <w:rPr>
        <w:color w:val="3370FF"/>
      </w:rPr>
    </w:lvl>
  </w:abstractNum>
  <w:abstractNum w:abstractNumId="11">
    <w:nsid w:val="9377BC45"/>
    <w:multiLevelType w:val="singleLevel"/>
    <w:tmpl w:val="9377BC45"/>
    <w:lvl w:ilvl="0" w:tentative="0">
      <w:start w:val="2"/>
      <w:numFmt w:val="decimal"/>
      <w:lvlText w:val="%1."/>
      <w:lvlJc w:val="left"/>
      <w:rPr>
        <w:color w:val="3370FF"/>
      </w:rPr>
    </w:lvl>
  </w:abstractNum>
  <w:abstractNum w:abstractNumId="12">
    <w:nsid w:val="95E682A1"/>
    <w:multiLevelType w:val="singleLevel"/>
    <w:tmpl w:val="95E682A1"/>
    <w:lvl w:ilvl="0" w:tentative="0">
      <w:start w:val="13"/>
      <w:numFmt w:val="decimal"/>
      <w:lvlText w:val="%1."/>
      <w:lvlJc w:val="left"/>
      <w:rPr>
        <w:color w:val="3370FF"/>
      </w:rPr>
    </w:lvl>
  </w:abstractNum>
  <w:abstractNum w:abstractNumId="13">
    <w:nsid w:val="98CD717A"/>
    <w:multiLevelType w:val="singleLevel"/>
    <w:tmpl w:val="98CD717A"/>
    <w:lvl w:ilvl="0" w:tentative="0">
      <w:start w:val="16"/>
      <w:numFmt w:val="decimal"/>
      <w:lvlText w:val="%1."/>
      <w:lvlJc w:val="left"/>
      <w:rPr>
        <w:color w:val="3370FF"/>
      </w:rPr>
    </w:lvl>
  </w:abstractNum>
  <w:abstractNum w:abstractNumId="14">
    <w:nsid w:val="9ACF65A0"/>
    <w:multiLevelType w:val="singleLevel"/>
    <w:tmpl w:val="9ACF65A0"/>
    <w:lvl w:ilvl="0" w:tentative="0">
      <w:start w:val="0"/>
      <w:numFmt w:val="bullet"/>
      <w:lvlText w:val="￮"/>
      <w:lvlJc w:val="left"/>
      <w:rPr>
        <w:color w:val="3370FF"/>
      </w:rPr>
    </w:lvl>
  </w:abstractNum>
  <w:abstractNum w:abstractNumId="15">
    <w:nsid w:val="9C11E984"/>
    <w:multiLevelType w:val="singleLevel"/>
    <w:tmpl w:val="9C11E984"/>
    <w:lvl w:ilvl="0" w:tentative="0">
      <w:start w:val="13"/>
      <w:numFmt w:val="decimal"/>
      <w:lvlText w:val="%1."/>
      <w:lvlJc w:val="left"/>
      <w:rPr>
        <w:color w:val="3370FF"/>
      </w:rPr>
    </w:lvl>
  </w:abstractNum>
  <w:abstractNum w:abstractNumId="16">
    <w:nsid w:val="9C7198AA"/>
    <w:multiLevelType w:val="singleLevel"/>
    <w:tmpl w:val="9C7198AA"/>
    <w:lvl w:ilvl="0" w:tentative="0">
      <w:start w:val="0"/>
      <w:numFmt w:val="bullet"/>
      <w:lvlText w:val="•"/>
      <w:lvlJc w:val="left"/>
      <w:rPr>
        <w:color w:val="3370FF"/>
      </w:rPr>
    </w:lvl>
  </w:abstractNum>
  <w:abstractNum w:abstractNumId="17">
    <w:nsid w:val="9C8AC8EF"/>
    <w:multiLevelType w:val="singleLevel"/>
    <w:tmpl w:val="9C8AC8EF"/>
    <w:lvl w:ilvl="0" w:tentative="0">
      <w:start w:val="1"/>
      <w:numFmt w:val="decimal"/>
      <w:lvlText w:val="%1."/>
      <w:lvlJc w:val="left"/>
      <w:rPr>
        <w:color w:val="3370FF"/>
      </w:rPr>
    </w:lvl>
  </w:abstractNum>
  <w:abstractNum w:abstractNumId="18">
    <w:nsid w:val="9D5D7490"/>
    <w:multiLevelType w:val="singleLevel"/>
    <w:tmpl w:val="9D5D7490"/>
    <w:lvl w:ilvl="0" w:tentative="0">
      <w:start w:val="0"/>
      <w:numFmt w:val="bullet"/>
      <w:lvlText w:val="•"/>
      <w:lvlJc w:val="left"/>
      <w:rPr>
        <w:color w:val="3370FF"/>
      </w:rPr>
    </w:lvl>
  </w:abstractNum>
  <w:abstractNum w:abstractNumId="19">
    <w:nsid w:val="9D7EB8E6"/>
    <w:multiLevelType w:val="singleLevel"/>
    <w:tmpl w:val="9D7EB8E6"/>
    <w:lvl w:ilvl="0" w:tentative="0">
      <w:start w:val="0"/>
      <w:numFmt w:val="bullet"/>
      <w:lvlText w:val="•"/>
      <w:lvlJc w:val="left"/>
      <w:rPr>
        <w:color w:val="3370FF"/>
      </w:rPr>
    </w:lvl>
  </w:abstractNum>
  <w:abstractNum w:abstractNumId="20">
    <w:nsid w:val="9DFC6F65"/>
    <w:multiLevelType w:val="singleLevel"/>
    <w:tmpl w:val="9DFC6F65"/>
    <w:lvl w:ilvl="0" w:tentative="0">
      <w:start w:val="0"/>
      <w:numFmt w:val="bullet"/>
      <w:lvlText w:val="•"/>
      <w:lvlJc w:val="left"/>
      <w:rPr>
        <w:color w:val="3370FF"/>
      </w:rPr>
    </w:lvl>
  </w:abstractNum>
  <w:abstractNum w:abstractNumId="21">
    <w:nsid w:val="9F81B9F9"/>
    <w:multiLevelType w:val="singleLevel"/>
    <w:tmpl w:val="9F81B9F9"/>
    <w:lvl w:ilvl="0" w:tentative="0">
      <w:start w:val="0"/>
      <w:numFmt w:val="bullet"/>
      <w:lvlText w:val="•"/>
      <w:lvlJc w:val="left"/>
      <w:rPr>
        <w:color w:val="3370FF"/>
      </w:rPr>
    </w:lvl>
  </w:abstractNum>
  <w:abstractNum w:abstractNumId="22">
    <w:nsid w:val="A0C93552"/>
    <w:multiLevelType w:val="singleLevel"/>
    <w:tmpl w:val="A0C93552"/>
    <w:lvl w:ilvl="0" w:tentative="0">
      <w:start w:val="0"/>
      <w:numFmt w:val="bullet"/>
      <w:lvlText w:val="•"/>
      <w:lvlJc w:val="left"/>
      <w:rPr>
        <w:color w:val="3370FF"/>
      </w:rPr>
    </w:lvl>
  </w:abstractNum>
  <w:abstractNum w:abstractNumId="23">
    <w:nsid w:val="A0F05207"/>
    <w:multiLevelType w:val="singleLevel"/>
    <w:tmpl w:val="A0F05207"/>
    <w:lvl w:ilvl="0" w:tentative="0">
      <w:start w:val="0"/>
      <w:numFmt w:val="bullet"/>
      <w:lvlText w:val="•"/>
      <w:lvlJc w:val="left"/>
      <w:rPr>
        <w:color w:val="3370FF"/>
      </w:rPr>
    </w:lvl>
  </w:abstractNum>
  <w:abstractNum w:abstractNumId="24">
    <w:nsid w:val="A9AC3AA7"/>
    <w:multiLevelType w:val="singleLevel"/>
    <w:tmpl w:val="A9AC3AA7"/>
    <w:lvl w:ilvl="0" w:tentative="0">
      <w:start w:val="0"/>
      <w:numFmt w:val="bullet"/>
      <w:lvlText w:val="•"/>
      <w:lvlJc w:val="left"/>
      <w:rPr>
        <w:color w:val="3370FF"/>
      </w:rPr>
    </w:lvl>
  </w:abstractNum>
  <w:abstractNum w:abstractNumId="25">
    <w:nsid w:val="AAF3F3FA"/>
    <w:multiLevelType w:val="singleLevel"/>
    <w:tmpl w:val="AAF3F3FA"/>
    <w:lvl w:ilvl="0" w:tentative="0">
      <w:start w:val="0"/>
      <w:numFmt w:val="bullet"/>
      <w:lvlText w:val="•"/>
      <w:lvlJc w:val="left"/>
      <w:rPr>
        <w:color w:val="3370FF"/>
      </w:rPr>
    </w:lvl>
  </w:abstractNum>
  <w:abstractNum w:abstractNumId="26">
    <w:nsid w:val="B0ED9BEA"/>
    <w:multiLevelType w:val="singleLevel"/>
    <w:tmpl w:val="B0ED9BEA"/>
    <w:lvl w:ilvl="0" w:tentative="0">
      <w:start w:val="1"/>
      <w:numFmt w:val="decimal"/>
      <w:lvlText w:val="%1."/>
      <w:lvlJc w:val="left"/>
      <w:rPr>
        <w:color w:val="3370FF"/>
      </w:rPr>
    </w:lvl>
  </w:abstractNum>
  <w:abstractNum w:abstractNumId="27">
    <w:nsid w:val="B0F1ACD9"/>
    <w:multiLevelType w:val="singleLevel"/>
    <w:tmpl w:val="B0F1ACD9"/>
    <w:lvl w:ilvl="0" w:tentative="0">
      <w:start w:val="0"/>
      <w:numFmt w:val="bullet"/>
      <w:lvlText w:val="￮"/>
      <w:lvlJc w:val="left"/>
      <w:rPr>
        <w:color w:val="3370FF"/>
      </w:rPr>
    </w:lvl>
  </w:abstractNum>
  <w:abstractNum w:abstractNumId="28">
    <w:nsid w:val="B23A94A9"/>
    <w:multiLevelType w:val="singleLevel"/>
    <w:tmpl w:val="B23A94A9"/>
    <w:lvl w:ilvl="0" w:tentative="0">
      <w:start w:val="0"/>
      <w:numFmt w:val="bullet"/>
      <w:lvlText w:val="￮"/>
      <w:lvlJc w:val="left"/>
      <w:rPr>
        <w:color w:val="3370FF"/>
      </w:rPr>
    </w:lvl>
  </w:abstractNum>
  <w:abstractNum w:abstractNumId="29">
    <w:nsid w:val="B53F3350"/>
    <w:multiLevelType w:val="singleLevel"/>
    <w:tmpl w:val="B53F3350"/>
    <w:lvl w:ilvl="0" w:tentative="0">
      <w:start w:val="0"/>
      <w:numFmt w:val="bullet"/>
      <w:lvlText w:val="￮"/>
      <w:lvlJc w:val="left"/>
      <w:rPr>
        <w:color w:val="3370FF"/>
      </w:rPr>
    </w:lvl>
  </w:abstractNum>
  <w:abstractNum w:abstractNumId="30">
    <w:nsid w:val="B5E306ED"/>
    <w:multiLevelType w:val="singleLevel"/>
    <w:tmpl w:val="B5E306ED"/>
    <w:lvl w:ilvl="0" w:tentative="0">
      <w:start w:val="0"/>
      <w:numFmt w:val="bullet"/>
      <w:lvlText w:val="•"/>
      <w:lvlJc w:val="left"/>
      <w:rPr>
        <w:color w:val="3370FF"/>
      </w:rPr>
    </w:lvl>
  </w:abstractNum>
  <w:abstractNum w:abstractNumId="31">
    <w:nsid w:val="B88D21A8"/>
    <w:multiLevelType w:val="singleLevel"/>
    <w:tmpl w:val="B88D21A8"/>
    <w:lvl w:ilvl="0" w:tentative="0">
      <w:start w:val="0"/>
      <w:numFmt w:val="bullet"/>
      <w:lvlText w:val="•"/>
      <w:lvlJc w:val="left"/>
      <w:rPr>
        <w:color w:val="3370FF"/>
      </w:rPr>
    </w:lvl>
  </w:abstractNum>
  <w:abstractNum w:abstractNumId="32">
    <w:nsid w:val="B8CEF35B"/>
    <w:multiLevelType w:val="singleLevel"/>
    <w:tmpl w:val="B8CEF35B"/>
    <w:lvl w:ilvl="0" w:tentative="0">
      <w:start w:val="0"/>
      <w:numFmt w:val="bullet"/>
      <w:lvlText w:val="•"/>
      <w:lvlJc w:val="left"/>
      <w:rPr>
        <w:color w:val="3370FF"/>
      </w:rPr>
    </w:lvl>
  </w:abstractNum>
  <w:abstractNum w:abstractNumId="33">
    <w:nsid w:val="BB64CFA9"/>
    <w:multiLevelType w:val="singleLevel"/>
    <w:tmpl w:val="BB64CFA9"/>
    <w:lvl w:ilvl="0" w:tentative="0">
      <w:start w:val="0"/>
      <w:numFmt w:val="bullet"/>
      <w:lvlText w:val="•"/>
      <w:lvlJc w:val="left"/>
      <w:rPr>
        <w:color w:val="3370FF"/>
      </w:rPr>
    </w:lvl>
  </w:abstractNum>
  <w:abstractNum w:abstractNumId="34">
    <w:nsid w:val="BCECA0B4"/>
    <w:multiLevelType w:val="singleLevel"/>
    <w:tmpl w:val="BCECA0B4"/>
    <w:lvl w:ilvl="0" w:tentative="0">
      <w:start w:val="0"/>
      <w:numFmt w:val="bullet"/>
      <w:lvlText w:val="￮"/>
      <w:lvlJc w:val="left"/>
      <w:rPr>
        <w:color w:val="3370FF"/>
      </w:rPr>
    </w:lvl>
  </w:abstractNum>
  <w:abstractNum w:abstractNumId="35">
    <w:nsid w:val="BDA1395C"/>
    <w:multiLevelType w:val="singleLevel"/>
    <w:tmpl w:val="BDA1395C"/>
    <w:lvl w:ilvl="0" w:tentative="0">
      <w:start w:val="0"/>
      <w:numFmt w:val="bullet"/>
      <w:lvlText w:val="•"/>
      <w:lvlJc w:val="left"/>
      <w:rPr>
        <w:color w:val="3370FF"/>
      </w:rPr>
    </w:lvl>
  </w:abstractNum>
  <w:abstractNum w:abstractNumId="36">
    <w:nsid w:val="BE8A4F4C"/>
    <w:multiLevelType w:val="singleLevel"/>
    <w:tmpl w:val="BE8A4F4C"/>
    <w:lvl w:ilvl="0" w:tentative="0">
      <w:start w:val="0"/>
      <w:numFmt w:val="bullet"/>
      <w:lvlText w:val="•"/>
      <w:lvlJc w:val="left"/>
      <w:rPr>
        <w:color w:val="3370FF"/>
      </w:rPr>
    </w:lvl>
  </w:abstractNum>
  <w:abstractNum w:abstractNumId="37">
    <w:nsid w:val="BE923771"/>
    <w:multiLevelType w:val="singleLevel"/>
    <w:tmpl w:val="BE923771"/>
    <w:lvl w:ilvl="0" w:tentative="0">
      <w:start w:val="0"/>
      <w:numFmt w:val="bullet"/>
      <w:lvlText w:val="￮"/>
      <w:lvlJc w:val="left"/>
      <w:rPr>
        <w:color w:val="3370FF"/>
      </w:rPr>
    </w:lvl>
  </w:abstractNum>
  <w:abstractNum w:abstractNumId="38">
    <w:nsid w:val="BF205925"/>
    <w:multiLevelType w:val="singleLevel"/>
    <w:tmpl w:val="BF205925"/>
    <w:lvl w:ilvl="0" w:tentative="0">
      <w:start w:val="4"/>
      <w:numFmt w:val="decimal"/>
      <w:lvlText w:val="%1."/>
      <w:lvlJc w:val="left"/>
      <w:rPr>
        <w:color w:val="3370FF"/>
      </w:rPr>
    </w:lvl>
  </w:abstractNum>
  <w:abstractNum w:abstractNumId="39">
    <w:nsid w:val="BF50FE6B"/>
    <w:multiLevelType w:val="singleLevel"/>
    <w:tmpl w:val="BF50FE6B"/>
    <w:lvl w:ilvl="0" w:tentative="0">
      <w:start w:val="0"/>
      <w:numFmt w:val="bullet"/>
      <w:lvlText w:val="•"/>
      <w:lvlJc w:val="left"/>
      <w:rPr>
        <w:color w:val="3370FF"/>
      </w:rPr>
    </w:lvl>
  </w:abstractNum>
  <w:abstractNum w:abstractNumId="40">
    <w:nsid w:val="C0915F4F"/>
    <w:multiLevelType w:val="singleLevel"/>
    <w:tmpl w:val="C0915F4F"/>
    <w:lvl w:ilvl="0" w:tentative="0">
      <w:start w:val="0"/>
      <w:numFmt w:val="bullet"/>
      <w:lvlText w:val="•"/>
      <w:lvlJc w:val="left"/>
      <w:rPr>
        <w:color w:val="3370FF"/>
      </w:rPr>
    </w:lvl>
  </w:abstractNum>
  <w:abstractNum w:abstractNumId="41">
    <w:nsid w:val="C4E0D24A"/>
    <w:multiLevelType w:val="singleLevel"/>
    <w:tmpl w:val="C4E0D24A"/>
    <w:lvl w:ilvl="0" w:tentative="0">
      <w:start w:val="0"/>
      <w:numFmt w:val="bullet"/>
      <w:lvlText w:val="•"/>
      <w:lvlJc w:val="left"/>
      <w:rPr>
        <w:color w:val="3370FF"/>
      </w:rPr>
    </w:lvl>
  </w:abstractNum>
  <w:abstractNum w:abstractNumId="42">
    <w:nsid w:val="C8879AEF"/>
    <w:multiLevelType w:val="singleLevel"/>
    <w:tmpl w:val="C8879AEF"/>
    <w:lvl w:ilvl="0" w:tentative="0">
      <w:start w:val="7"/>
      <w:numFmt w:val="decimal"/>
      <w:lvlText w:val="%1."/>
      <w:lvlJc w:val="left"/>
      <w:rPr>
        <w:color w:val="3370FF"/>
      </w:rPr>
    </w:lvl>
  </w:abstractNum>
  <w:abstractNum w:abstractNumId="43">
    <w:nsid w:val="C90D1B09"/>
    <w:multiLevelType w:val="singleLevel"/>
    <w:tmpl w:val="C90D1B09"/>
    <w:lvl w:ilvl="0" w:tentative="0">
      <w:start w:val="0"/>
      <w:numFmt w:val="bullet"/>
      <w:lvlText w:val="•"/>
      <w:lvlJc w:val="left"/>
      <w:rPr>
        <w:color w:val="3370FF"/>
      </w:rPr>
    </w:lvl>
  </w:abstractNum>
  <w:abstractNum w:abstractNumId="44">
    <w:nsid w:val="C9412743"/>
    <w:multiLevelType w:val="singleLevel"/>
    <w:tmpl w:val="C9412743"/>
    <w:lvl w:ilvl="0" w:tentative="0">
      <w:start w:val="16"/>
      <w:numFmt w:val="decimal"/>
      <w:lvlText w:val="%1."/>
      <w:lvlJc w:val="left"/>
      <w:rPr>
        <w:color w:val="3370FF"/>
      </w:rPr>
    </w:lvl>
  </w:abstractNum>
  <w:abstractNum w:abstractNumId="45">
    <w:nsid w:val="CD699D1D"/>
    <w:multiLevelType w:val="singleLevel"/>
    <w:tmpl w:val="CD699D1D"/>
    <w:lvl w:ilvl="0" w:tentative="0">
      <w:start w:val="0"/>
      <w:numFmt w:val="bullet"/>
      <w:lvlText w:val="•"/>
      <w:lvlJc w:val="left"/>
      <w:rPr>
        <w:color w:val="3370FF"/>
      </w:rPr>
    </w:lvl>
  </w:abstractNum>
  <w:abstractNum w:abstractNumId="46">
    <w:nsid w:val="CF092B84"/>
    <w:multiLevelType w:val="singleLevel"/>
    <w:tmpl w:val="CF092B84"/>
    <w:lvl w:ilvl="0" w:tentative="0">
      <w:start w:val="2"/>
      <w:numFmt w:val="decimal"/>
      <w:lvlText w:val="%1."/>
      <w:lvlJc w:val="left"/>
      <w:rPr>
        <w:color w:val="3370FF"/>
      </w:rPr>
    </w:lvl>
  </w:abstractNum>
  <w:abstractNum w:abstractNumId="47">
    <w:nsid w:val="D1EB1714"/>
    <w:multiLevelType w:val="singleLevel"/>
    <w:tmpl w:val="D1EB1714"/>
    <w:lvl w:ilvl="0" w:tentative="0">
      <w:start w:val="0"/>
      <w:numFmt w:val="bullet"/>
      <w:lvlText w:val="•"/>
      <w:lvlJc w:val="left"/>
      <w:rPr>
        <w:color w:val="3370FF"/>
      </w:rPr>
    </w:lvl>
  </w:abstractNum>
  <w:abstractNum w:abstractNumId="48">
    <w:nsid w:val="D7936317"/>
    <w:multiLevelType w:val="singleLevel"/>
    <w:tmpl w:val="D7936317"/>
    <w:lvl w:ilvl="0" w:tentative="0">
      <w:start w:val="10"/>
      <w:numFmt w:val="decimal"/>
      <w:lvlText w:val="%1."/>
      <w:lvlJc w:val="left"/>
      <w:rPr>
        <w:color w:val="3370FF"/>
      </w:rPr>
    </w:lvl>
  </w:abstractNum>
  <w:abstractNum w:abstractNumId="49">
    <w:nsid w:val="D7D140E4"/>
    <w:multiLevelType w:val="singleLevel"/>
    <w:tmpl w:val="D7D140E4"/>
    <w:lvl w:ilvl="0" w:tentative="0">
      <w:start w:val="0"/>
      <w:numFmt w:val="bullet"/>
      <w:lvlText w:val="•"/>
      <w:lvlJc w:val="left"/>
      <w:rPr>
        <w:color w:val="3370FF"/>
      </w:rPr>
    </w:lvl>
  </w:abstractNum>
  <w:abstractNum w:abstractNumId="50">
    <w:nsid w:val="D7F9FE59"/>
    <w:multiLevelType w:val="singleLevel"/>
    <w:tmpl w:val="D7F9FE59"/>
    <w:lvl w:ilvl="0" w:tentative="0">
      <w:start w:val="12"/>
      <w:numFmt w:val="decimal"/>
      <w:lvlText w:val="%1."/>
      <w:lvlJc w:val="left"/>
      <w:rPr>
        <w:color w:val="3370FF"/>
      </w:rPr>
    </w:lvl>
  </w:abstractNum>
  <w:abstractNum w:abstractNumId="51">
    <w:nsid w:val="DAD3A854"/>
    <w:multiLevelType w:val="singleLevel"/>
    <w:tmpl w:val="DAD3A854"/>
    <w:lvl w:ilvl="0" w:tentative="0">
      <w:start w:val="0"/>
      <w:numFmt w:val="bullet"/>
      <w:lvlText w:val="•"/>
      <w:lvlJc w:val="left"/>
      <w:rPr>
        <w:color w:val="3370FF"/>
      </w:rPr>
    </w:lvl>
  </w:abstractNum>
  <w:abstractNum w:abstractNumId="52">
    <w:nsid w:val="DCBA6B53"/>
    <w:multiLevelType w:val="singleLevel"/>
    <w:tmpl w:val="DCBA6B53"/>
    <w:lvl w:ilvl="0" w:tentative="0">
      <w:start w:val="11"/>
      <w:numFmt w:val="decimal"/>
      <w:lvlText w:val="%1."/>
      <w:lvlJc w:val="left"/>
      <w:rPr>
        <w:color w:val="3370FF"/>
      </w:rPr>
    </w:lvl>
  </w:abstractNum>
  <w:abstractNum w:abstractNumId="53">
    <w:nsid w:val="E0294EC7"/>
    <w:multiLevelType w:val="singleLevel"/>
    <w:tmpl w:val="E0294EC7"/>
    <w:lvl w:ilvl="0" w:tentative="0">
      <w:start w:val="14"/>
      <w:numFmt w:val="decimal"/>
      <w:lvlText w:val="%1."/>
      <w:lvlJc w:val="left"/>
      <w:rPr>
        <w:color w:val="3370FF"/>
      </w:rPr>
    </w:lvl>
  </w:abstractNum>
  <w:abstractNum w:abstractNumId="54">
    <w:nsid w:val="E093A4B0"/>
    <w:multiLevelType w:val="singleLevel"/>
    <w:tmpl w:val="E093A4B0"/>
    <w:lvl w:ilvl="0" w:tentative="0">
      <w:start w:val="0"/>
      <w:numFmt w:val="bullet"/>
      <w:lvlText w:val="•"/>
      <w:lvlJc w:val="left"/>
      <w:rPr>
        <w:color w:val="3370FF"/>
      </w:rPr>
    </w:lvl>
  </w:abstractNum>
  <w:abstractNum w:abstractNumId="55">
    <w:nsid w:val="E43A772E"/>
    <w:multiLevelType w:val="singleLevel"/>
    <w:tmpl w:val="E43A772E"/>
    <w:lvl w:ilvl="0" w:tentative="0">
      <w:start w:val="5"/>
      <w:numFmt w:val="decimal"/>
      <w:lvlText w:val="%1."/>
      <w:lvlJc w:val="left"/>
      <w:rPr>
        <w:color w:val="3370FF"/>
      </w:rPr>
    </w:lvl>
  </w:abstractNum>
  <w:abstractNum w:abstractNumId="56">
    <w:nsid w:val="E504947C"/>
    <w:multiLevelType w:val="singleLevel"/>
    <w:tmpl w:val="E504947C"/>
    <w:lvl w:ilvl="0" w:tentative="0">
      <w:start w:val="0"/>
      <w:numFmt w:val="bullet"/>
      <w:lvlText w:val="•"/>
      <w:lvlJc w:val="left"/>
      <w:rPr>
        <w:color w:val="3370FF"/>
      </w:rPr>
    </w:lvl>
  </w:abstractNum>
  <w:abstractNum w:abstractNumId="57">
    <w:nsid w:val="E52D9448"/>
    <w:multiLevelType w:val="singleLevel"/>
    <w:tmpl w:val="E52D9448"/>
    <w:lvl w:ilvl="0" w:tentative="0">
      <w:start w:val="0"/>
      <w:numFmt w:val="bullet"/>
      <w:lvlText w:val="•"/>
      <w:lvlJc w:val="left"/>
      <w:rPr>
        <w:color w:val="3370FF"/>
      </w:rPr>
    </w:lvl>
  </w:abstractNum>
  <w:abstractNum w:abstractNumId="58">
    <w:nsid w:val="E7B27C5B"/>
    <w:multiLevelType w:val="singleLevel"/>
    <w:tmpl w:val="E7B27C5B"/>
    <w:lvl w:ilvl="0" w:tentative="0">
      <w:start w:val="0"/>
      <w:numFmt w:val="bullet"/>
      <w:lvlText w:val="￮"/>
      <w:lvlJc w:val="left"/>
      <w:rPr>
        <w:color w:val="3370FF"/>
      </w:rPr>
    </w:lvl>
  </w:abstractNum>
  <w:abstractNum w:abstractNumId="59">
    <w:nsid w:val="EA28CC15"/>
    <w:multiLevelType w:val="singleLevel"/>
    <w:tmpl w:val="EA28CC15"/>
    <w:lvl w:ilvl="0" w:tentative="0">
      <w:start w:val="8"/>
      <w:numFmt w:val="decimal"/>
      <w:lvlText w:val="%1."/>
      <w:lvlJc w:val="left"/>
      <w:rPr>
        <w:color w:val="3370FF"/>
      </w:rPr>
    </w:lvl>
  </w:abstractNum>
  <w:abstractNum w:abstractNumId="60">
    <w:nsid w:val="F0E89278"/>
    <w:multiLevelType w:val="singleLevel"/>
    <w:tmpl w:val="F0E89278"/>
    <w:lvl w:ilvl="0" w:tentative="0">
      <w:start w:val="0"/>
      <w:numFmt w:val="bullet"/>
      <w:lvlText w:val="•"/>
      <w:lvlJc w:val="left"/>
      <w:rPr>
        <w:color w:val="3370FF"/>
      </w:rPr>
    </w:lvl>
  </w:abstractNum>
  <w:abstractNum w:abstractNumId="61">
    <w:nsid w:val="F1FCDEFA"/>
    <w:multiLevelType w:val="singleLevel"/>
    <w:tmpl w:val="F1FCDEFA"/>
    <w:lvl w:ilvl="0" w:tentative="0">
      <w:start w:val="14"/>
      <w:numFmt w:val="decimal"/>
      <w:lvlText w:val="%1."/>
      <w:lvlJc w:val="left"/>
      <w:rPr>
        <w:color w:val="3370FF"/>
      </w:rPr>
    </w:lvl>
  </w:abstractNum>
  <w:abstractNum w:abstractNumId="62">
    <w:nsid w:val="F237ACA1"/>
    <w:multiLevelType w:val="singleLevel"/>
    <w:tmpl w:val="F237ACA1"/>
    <w:lvl w:ilvl="0" w:tentative="0">
      <w:start w:val="9"/>
      <w:numFmt w:val="decimal"/>
      <w:lvlText w:val="%1."/>
      <w:lvlJc w:val="left"/>
      <w:rPr>
        <w:color w:val="3370FF"/>
      </w:rPr>
    </w:lvl>
  </w:abstractNum>
  <w:abstractNum w:abstractNumId="63">
    <w:nsid w:val="F3A33954"/>
    <w:multiLevelType w:val="singleLevel"/>
    <w:tmpl w:val="F3A33954"/>
    <w:lvl w:ilvl="0" w:tentative="0">
      <w:start w:val="0"/>
      <w:numFmt w:val="bullet"/>
      <w:lvlText w:val="￮"/>
      <w:lvlJc w:val="left"/>
      <w:rPr>
        <w:color w:val="3370FF"/>
      </w:rPr>
    </w:lvl>
  </w:abstractNum>
  <w:abstractNum w:abstractNumId="64">
    <w:nsid w:val="F46CCC20"/>
    <w:multiLevelType w:val="singleLevel"/>
    <w:tmpl w:val="F46CCC20"/>
    <w:lvl w:ilvl="0" w:tentative="0">
      <w:start w:val="12"/>
      <w:numFmt w:val="decimal"/>
      <w:lvlText w:val="%1."/>
      <w:lvlJc w:val="left"/>
      <w:rPr>
        <w:color w:val="3370FF"/>
      </w:rPr>
    </w:lvl>
  </w:abstractNum>
  <w:abstractNum w:abstractNumId="65">
    <w:nsid w:val="F4A942FE"/>
    <w:multiLevelType w:val="singleLevel"/>
    <w:tmpl w:val="F4A942FE"/>
    <w:lvl w:ilvl="0" w:tentative="0">
      <w:start w:val="0"/>
      <w:numFmt w:val="bullet"/>
      <w:lvlText w:val="•"/>
      <w:lvlJc w:val="left"/>
      <w:rPr>
        <w:color w:val="3370FF"/>
      </w:rPr>
    </w:lvl>
  </w:abstractNum>
  <w:abstractNum w:abstractNumId="66">
    <w:nsid w:val="F4B5D9F5"/>
    <w:multiLevelType w:val="singleLevel"/>
    <w:tmpl w:val="F4B5D9F5"/>
    <w:lvl w:ilvl="0" w:tentative="0">
      <w:start w:val="9"/>
      <w:numFmt w:val="decimal"/>
      <w:lvlText w:val="%1."/>
      <w:lvlJc w:val="left"/>
      <w:rPr>
        <w:color w:val="3370FF"/>
      </w:rPr>
    </w:lvl>
  </w:abstractNum>
  <w:abstractNum w:abstractNumId="67">
    <w:nsid w:val="F585BF25"/>
    <w:multiLevelType w:val="singleLevel"/>
    <w:tmpl w:val="F585BF25"/>
    <w:lvl w:ilvl="0" w:tentative="0">
      <w:start w:val="0"/>
      <w:numFmt w:val="bullet"/>
      <w:lvlText w:val="▪"/>
      <w:lvlJc w:val="left"/>
      <w:rPr>
        <w:color w:val="3370FF"/>
        <w:sz w:val="11"/>
      </w:rPr>
    </w:lvl>
  </w:abstractNum>
  <w:abstractNum w:abstractNumId="68">
    <w:nsid w:val="F689643B"/>
    <w:multiLevelType w:val="singleLevel"/>
    <w:tmpl w:val="F689643B"/>
    <w:lvl w:ilvl="0" w:tentative="0">
      <w:start w:val="0"/>
      <w:numFmt w:val="bullet"/>
      <w:lvlText w:val="￮"/>
      <w:lvlJc w:val="left"/>
      <w:rPr>
        <w:color w:val="3370FF"/>
      </w:rPr>
    </w:lvl>
  </w:abstractNum>
  <w:abstractNum w:abstractNumId="69">
    <w:nsid w:val="F7735DC9"/>
    <w:multiLevelType w:val="singleLevel"/>
    <w:tmpl w:val="F7735DC9"/>
    <w:lvl w:ilvl="0" w:tentative="0">
      <w:start w:val="0"/>
      <w:numFmt w:val="bullet"/>
      <w:lvlText w:val="•"/>
      <w:lvlJc w:val="left"/>
      <w:rPr>
        <w:color w:val="3370FF"/>
      </w:rPr>
    </w:lvl>
  </w:abstractNum>
  <w:abstractNum w:abstractNumId="70">
    <w:nsid w:val="FEC2EA36"/>
    <w:multiLevelType w:val="singleLevel"/>
    <w:tmpl w:val="FEC2EA36"/>
    <w:lvl w:ilvl="0" w:tentative="0">
      <w:start w:val="11"/>
      <w:numFmt w:val="decimal"/>
      <w:lvlText w:val="%1."/>
      <w:lvlJc w:val="left"/>
      <w:rPr>
        <w:color w:val="3370FF"/>
      </w:rPr>
    </w:lvl>
  </w:abstractNum>
  <w:abstractNum w:abstractNumId="71">
    <w:nsid w:val="0053208E"/>
    <w:multiLevelType w:val="singleLevel"/>
    <w:tmpl w:val="0053208E"/>
    <w:lvl w:ilvl="0" w:tentative="0">
      <w:start w:val="1"/>
      <w:numFmt w:val="decimal"/>
      <w:lvlText w:val="%1."/>
      <w:lvlJc w:val="left"/>
      <w:rPr>
        <w:color w:val="3370FF"/>
      </w:rPr>
    </w:lvl>
  </w:abstractNum>
  <w:abstractNum w:abstractNumId="72">
    <w:nsid w:val="01836A6D"/>
    <w:multiLevelType w:val="singleLevel"/>
    <w:tmpl w:val="01836A6D"/>
    <w:lvl w:ilvl="0" w:tentative="0">
      <w:start w:val="0"/>
      <w:numFmt w:val="bullet"/>
      <w:lvlText w:val="•"/>
      <w:lvlJc w:val="left"/>
      <w:rPr>
        <w:color w:val="3370FF"/>
      </w:rPr>
    </w:lvl>
  </w:abstractNum>
  <w:abstractNum w:abstractNumId="73">
    <w:nsid w:val="01D7E1C7"/>
    <w:multiLevelType w:val="singleLevel"/>
    <w:tmpl w:val="01D7E1C7"/>
    <w:lvl w:ilvl="0" w:tentative="0">
      <w:start w:val="15"/>
      <w:numFmt w:val="decimal"/>
      <w:lvlText w:val="%1."/>
      <w:lvlJc w:val="left"/>
      <w:rPr>
        <w:color w:val="3370FF"/>
      </w:rPr>
    </w:lvl>
  </w:abstractNum>
  <w:abstractNum w:abstractNumId="74">
    <w:nsid w:val="0248C179"/>
    <w:multiLevelType w:val="singleLevel"/>
    <w:tmpl w:val="0248C179"/>
    <w:lvl w:ilvl="0" w:tentative="0">
      <w:start w:val="3"/>
      <w:numFmt w:val="decimal"/>
      <w:lvlText w:val="%1."/>
      <w:lvlJc w:val="left"/>
      <w:rPr>
        <w:color w:val="3370FF"/>
      </w:rPr>
    </w:lvl>
  </w:abstractNum>
  <w:abstractNum w:abstractNumId="75">
    <w:nsid w:val="03A63A41"/>
    <w:multiLevelType w:val="singleLevel"/>
    <w:tmpl w:val="03A63A41"/>
    <w:lvl w:ilvl="0" w:tentative="0">
      <w:start w:val="0"/>
      <w:numFmt w:val="bullet"/>
      <w:lvlText w:val="•"/>
      <w:lvlJc w:val="left"/>
      <w:rPr>
        <w:color w:val="3370FF"/>
      </w:rPr>
    </w:lvl>
  </w:abstractNum>
  <w:abstractNum w:abstractNumId="76">
    <w:nsid w:val="03C240C0"/>
    <w:multiLevelType w:val="singleLevel"/>
    <w:tmpl w:val="03C240C0"/>
    <w:lvl w:ilvl="0" w:tentative="0">
      <w:start w:val="0"/>
      <w:numFmt w:val="bullet"/>
      <w:lvlText w:val="•"/>
      <w:lvlJc w:val="left"/>
      <w:rPr>
        <w:color w:val="3370FF"/>
      </w:rPr>
    </w:lvl>
  </w:abstractNum>
  <w:abstractNum w:abstractNumId="77">
    <w:nsid w:val="03D62ECE"/>
    <w:multiLevelType w:val="singleLevel"/>
    <w:tmpl w:val="03D62ECE"/>
    <w:lvl w:ilvl="0" w:tentative="0">
      <w:start w:val="0"/>
      <w:numFmt w:val="bullet"/>
      <w:lvlText w:val="•"/>
      <w:lvlJc w:val="left"/>
      <w:rPr>
        <w:color w:val="3370FF"/>
      </w:rPr>
    </w:lvl>
  </w:abstractNum>
  <w:abstractNum w:abstractNumId="78">
    <w:nsid w:val="0709FD3E"/>
    <w:multiLevelType w:val="singleLevel"/>
    <w:tmpl w:val="0709FD3E"/>
    <w:lvl w:ilvl="0" w:tentative="0">
      <w:start w:val="0"/>
      <w:numFmt w:val="bullet"/>
      <w:lvlText w:val="￮"/>
      <w:lvlJc w:val="left"/>
      <w:rPr>
        <w:color w:val="3370FF"/>
      </w:rPr>
    </w:lvl>
  </w:abstractNum>
  <w:abstractNum w:abstractNumId="79">
    <w:nsid w:val="0C0E1E13"/>
    <w:multiLevelType w:val="singleLevel"/>
    <w:tmpl w:val="0C0E1E13"/>
    <w:lvl w:ilvl="0" w:tentative="0">
      <w:start w:val="7"/>
      <w:numFmt w:val="decimal"/>
      <w:lvlText w:val="%1."/>
      <w:lvlJc w:val="left"/>
      <w:rPr>
        <w:color w:val="3370FF"/>
      </w:rPr>
    </w:lvl>
  </w:abstractNum>
  <w:abstractNum w:abstractNumId="80">
    <w:nsid w:val="0CEF100B"/>
    <w:multiLevelType w:val="singleLevel"/>
    <w:tmpl w:val="0CEF100B"/>
    <w:lvl w:ilvl="0" w:tentative="0">
      <w:start w:val="0"/>
      <w:numFmt w:val="bullet"/>
      <w:lvlText w:val="￮"/>
      <w:lvlJc w:val="left"/>
      <w:rPr>
        <w:color w:val="3370FF"/>
      </w:rPr>
    </w:lvl>
  </w:abstractNum>
  <w:abstractNum w:abstractNumId="81">
    <w:nsid w:val="0DC629B0"/>
    <w:multiLevelType w:val="singleLevel"/>
    <w:tmpl w:val="0DC629B0"/>
    <w:lvl w:ilvl="0" w:tentative="0">
      <w:start w:val="3"/>
      <w:numFmt w:val="decimal"/>
      <w:lvlText w:val="%1."/>
      <w:lvlJc w:val="left"/>
      <w:rPr>
        <w:color w:val="3370FF"/>
      </w:rPr>
    </w:lvl>
  </w:abstractNum>
  <w:abstractNum w:abstractNumId="82">
    <w:nsid w:val="0E640482"/>
    <w:multiLevelType w:val="singleLevel"/>
    <w:tmpl w:val="0E640482"/>
    <w:lvl w:ilvl="0" w:tentative="0">
      <w:start w:val="0"/>
      <w:numFmt w:val="bullet"/>
      <w:lvlText w:val="•"/>
      <w:lvlJc w:val="left"/>
      <w:rPr>
        <w:color w:val="3370FF"/>
      </w:rPr>
    </w:lvl>
  </w:abstractNum>
  <w:abstractNum w:abstractNumId="83">
    <w:nsid w:val="0F9F9CCA"/>
    <w:multiLevelType w:val="singleLevel"/>
    <w:tmpl w:val="0F9F9CCA"/>
    <w:lvl w:ilvl="0" w:tentative="0">
      <w:start w:val="0"/>
      <w:numFmt w:val="bullet"/>
      <w:lvlText w:val="•"/>
      <w:lvlJc w:val="left"/>
      <w:rPr>
        <w:color w:val="3370FF"/>
      </w:rPr>
    </w:lvl>
  </w:abstractNum>
  <w:abstractNum w:abstractNumId="84">
    <w:nsid w:val="10D591E5"/>
    <w:multiLevelType w:val="singleLevel"/>
    <w:tmpl w:val="10D591E5"/>
    <w:lvl w:ilvl="0" w:tentative="0">
      <w:start w:val="12"/>
      <w:numFmt w:val="decimal"/>
      <w:lvlText w:val="%1."/>
      <w:lvlJc w:val="left"/>
      <w:rPr>
        <w:color w:val="3370FF"/>
      </w:rPr>
    </w:lvl>
  </w:abstractNum>
  <w:abstractNum w:abstractNumId="85">
    <w:nsid w:val="10F0DB0B"/>
    <w:multiLevelType w:val="singleLevel"/>
    <w:tmpl w:val="10F0DB0B"/>
    <w:lvl w:ilvl="0" w:tentative="0">
      <w:start w:val="0"/>
      <w:numFmt w:val="bullet"/>
      <w:lvlText w:val="•"/>
      <w:lvlJc w:val="left"/>
      <w:rPr>
        <w:color w:val="3370FF"/>
      </w:rPr>
    </w:lvl>
  </w:abstractNum>
  <w:abstractNum w:abstractNumId="86">
    <w:nsid w:val="12EADF99"/>
    <w:multiLevelType w:val="singleLevel"/>
    <w:tmpl w:val="12EADF99"/>
    <w:lvl w:ilvl="0" w:tentative="0">
      <w:start w:val="0"/>
      <w:numFmt w:val="bullet"/>
      <w:lvlText w:val="•"/>
      <w:lvlJc w:val="left"/>
      <w:rPr>
        <w:color w:val="3370FF"/>
      </w:rPr>
    </w:lvl>
  </w:abstractNum>
  <w:abstractNum w:abstractNumId="87">
    <w:nsid w:val="1450273B"/>
    <w:multiLevelType w:val="singleLevel"/>
    <w:tmpl w:val="1450273B"/>
    <w:lvl w:ilvl="0" w:tentative="0">
      <w:start w:val="0"/>
      <w:numFmt w:val="bullet"/>
      <w:lvlText w:val="•"/>
      <w:lvlJc w:val="left"/>
      <w:rPr>
        <w:color w:val="3370FF"/>
      </w:rPr>
    </w:lvl>
  </w:abstractNum>
  <w:abstractNum w:abstractNumId="88">
    <w:nsid w:val="18F74015"/>
    <w:multiLevelType w:val="singleLevel"/>
    <w:tmpl w:val="18F74015"/>
    <w:lvl w:ilvl="0" w:tentative="0">
      <w:start w:val="0"/>
      <w:numFmt w:val="bullet"/>
      <w:lvlText w:val="•"/>
      <w:lvlJc w:val="left"/>
      <w:rPr>
        <w:color w:val="3370FF"/>
      </w:rPr>
    </w:lvl>
  </w:abstractNum>
  <w:abstractNum w:abstractNumId="89">
    <w:nsid w:val="1ACDE60F"/>
    <w:multiLevelType w:val="singleLevel"/>
    <w:tmpl w:val="1ACDE60F"/>
    <w:lvl w:ilvl="0" w:tentative="0">
      <w:start w:val="10"/>
      <w:numFmt w:val="decimal"/>
      <w:lvlText w:val="%1."/>
      <w:lvlJc w:val="left"/>
      <w:rPr>
        <w:color w:val="3370FF"/>
      </w:rPr>
    </w:lvl>
  </w:abstractNum>
  <w:abstractNum w:abstractNumId="90">
    <w:nsid w:val="1AD50295"/>
    <w:multiLevelType w:val="singleLevel"/>
    <w:tmpl w:val="1AD50295"/>
    <w:lvl w:ilvl="0" w:tentative="0">
      <w:start w:val="15"/>
      <w:numFmt w:val="decimal"/>
      <w:lvlText w:val="%1."/>
      <w:lvlJc w:val="left"/>
      <w:rPr>
        <w:color w:val="3370FF"/>
      </w:rPr>
    </w:lvl>
  </w:abstractNum>
  <w:abstractNum w:abstractNumId="91">
    <w:nsid w:val="1BCBBCF0"/>
    <w:multiLevelType w:val="singleLevel"/>
    <w:tmpl w:val="1BCBBCF0"/>
    <w:lvl w:ilvl="0" w:tentative="0">
      <w:start w:val="0"/>
      <w:numFmt w:val="bullet"/>
      <w:lvlText w:val="•"/>
      <w:lvlJc w:val="left"/>
      <w:rPr>
        <w:color w:val="3370FF"/>
      </w:rPr>
    </w:lvl>
  </w:abstractNum>
  <w:abstractNum w:abstractNumId="92">
    <w:nsid w:val="1C257C7B"/>
    <w:multiLevelType w:val="singleLevel"/>
    <w:tmpl w:val="1C257C7B"/>
    <w:lvl w:ilvl="0" w:tentative="0">
      <w:start w:val="0"/>
      <w:numFmt w:val="bullet"/>
      <w:lvlText w:val="￮"/>
      <w:lvlJc w:val="left"/>
      <w:rPr>
        <w:color w:val="3370FF"/>
      </w:rPr>
    </w:lvl>
  </w:abstractNum>
  <w:abstractNum w:abstractNumId="93">
    <w:nsid w:val="2007DCFD"/>
    <w:multiLevelType w:val="singleLevel"/>
    <w:tmpl w:val="2007DCFD"/>
    <w:lvl w:ilvl="0" w:tentative="0">
      <w:start w:val="6"/>
      <w:numFmt w:val="decimal"/>
      <w:lvlText w:val="%1."/>
      <w:lvlJc w:val="left"/>
      <w:rPr>
        <w:color w:val="3370FF"/>
      </w:rPr>
    </w:lvl>
  </w:abstractNum>
  <w:abstractNum w:abstractNumId="94">
    <w:nsid w:val="21B3B1B1"/>
    <w:multiLevelType w:val="singleLevel"/>
    <w:tmpl w:val="21B3B1B1"/>
    <w:lvl w:ilvl="0" w:tentative="0">
      <w:start w:val="0"/>
      <w:numFmt w:val="bullet"/>
      <w:lvlText w:val="▪"/>
      <w:lvlJc w:val="left"/>
      <w:rPr>
        <w:color w:val="3370FF"/>
        <w:sz w:val="11"/>
      </w:rPr>
    </w:lvl>
  </w:abstractNum>
  <w:abstractNum w:abstractNumId="95">
    <w:nsid w:val="227C9188"/>
    <w:multiLevelType w:val="singleLevel"/>
    <w:tmpl w:val="227C9188"/>
    <w:lvl w:ilvl="0" w:tentative="0">
      <w:start w:val="0"/>
      <w:numFmt w:val="bullet"/>
      <w:lvlText w:val="•"/>
      <w:lvlJc w:val="left"/>
      <w:rPr>
        <w:color w:val="3370FF"/>
      </w:rPr>
    </w:lvl>
  </w:abstractNum>
  <w:abstractNum w:abstractNumId="96">
    <w:nsid w:val="23E97754"/>
    <w:multiLevelType w:val="singleLevel"/>
    <w:tmpl w:val="23E97754"/>
    <w:lvl w:ilvl="0" w:tentative="0">
      <w:start w:val="0"/>
      <w:numFmt w:val="bullet"/>
      <w:lvlText w:val="￮"/>
      <w:lvlJc w:val="left"/>
      <w:rPr>
        <w:color w:val="3370FF"/>
      </w:rPr>
    </w:lvl>
  </w:abstractNum>
  <w:abstractNum w:abstractNumId="97">
    <w:nsid w:val="243FCF68"/>
    <w:multiLevelType w:val="singleLevel"/>
    <w:tmpl w:val="243FCF68"/>
    <w:lvl w:ilvl="0" w:tentative="0">
      <w:start w:val="8"/>
      <w:numFmt w:val="decimal"/>
      <w:lvlText w:val="%1."/>
      <w:lvlJc w:val="left"/>
      <w:rPr>
        <w:color w:val="3370FF"/>
      </w:rPr>
    </w:lvl>
  </w:abstractNum>
  <w:abstractNum w:abstractNumId="98">
    <w:nsid w:val="2470EC97"/>
    <w:multiLevelType w:val="singleLevel"/>
    <w:tmpl w:val="2470EC97"/>
    <w:lvl w:ilvl="0" w:tentative="0">
      <w:start w:val="10"/>
      <w:numFmt w:val="decimal"/>
      <w:lvlText w:val="%1."/>
      <w:lvlJc w:val="left"/>
      <w:rPr>
        <w:color w:val="3370FF"/>
      </w:rPr>
    </w:lvl>
  </w:abstractNum>
  <w:abstractNum w:abstractNumId="99">
    <w:nsid w:val="251342A6"/>
    <w:multiLevelType w:val="singleLevel"/>
    <w:tmpl w:val="251342A6"/>
    <w:lvl w:ilvl="0" w:tentative="0">
      <w:start w:val="0"/>
      <w:numFmt w:val="bullet"/>
      <w:lvlText w:val="•"/>
      <w:lvlJc w:val="left"/>
      <w:rPr>
        <w:color w:val="3370FF"/>
      </w:rPr>
    </w:lvl>
  </w:abstractNum>
  <w:abstractNum w:abstractNumId="100">
    <w:nsid w:val="25B654F3"/>
    <w:multiLevelType w:val="singleLevel"/>
    <w:tmpl w:val="25B654F3"/>
    <w:lvl w:ilvl="0" w:tentative="0">
      <w:start w:val="1"/>
      <w:numFmt w:val="decimal"/>
      <w:lvlText w:val="%1."/>
      <w:lvlJc w:val="left"/>
      <w:rPr>
        <w:color w:val="3370FF"/>
      </w:rPr>
    </w:lvl>
  </w:abstractNum>
  <w:abstractNum w:abstractNumId="101">
    <w:nsid w:val="2A8F537B"/>
    <w:multiLevelType w:val="singleLevel"/>
    <w:tmpl w:val="2A8F537B"/>
    <w:lvl w:ilvl="0" w:tentative="0">
      <w:start w:val="5"/>
      <w:numFmt w:val="decimal"/>
      <w:lvlText w:val="%1."/>
      <w:lvlJc w:val="left"/>
      <w:rPr>
        <w:color w:val="3370FF"/>
      </w:rPr>
    </w:lvl>
  </w:abstractNum>
  <w:abstractNum w:abstractNumId="102">
    <w:nsid w:val="2B3F3F89"/>
    <w:multiLevelType w:val="singleLevel"/>
    <w:tmpl w:val="2B3F3F89"/>
    <w:lvl w:ilvl="0" w:tentative="0">
      <w:start w:val="0"/>
      <w:numFmt w:val="bullet"/>
      <w:lvlText w:val="•"/>
      <w:lvlJc w:val="left"/>
      <w:rPr>
        <w:color w:val="3370FF"/>
      </w:rPr>
    </w:lvl>
  </w:abstractNum>
  <w:abstractNum w:abstractNumId="103">
    <w:nsid w:val="2F2D79CE"/>
    <w:multiLevelType w:val="singleLevel"/>
    <w:tmpl w:val="2F2D79CE"/>
    <w:lvl w:ilvl="0" w:tentative="0">
      <w:start w:val="0"/>
      <w:numFmt w:val="bullet"/>
      <w:lvlText w:val="￮"/>
      <w:lvlJc w:val="left"/>
      <w:rPr>
        <w:color w:val="3370FF"/>
      </w:rPr>
    </w:lvl>
  </w:abstractNum>
  <w:abstractNum w:abstractNumId="104">
    <w:nsid w:val="30A0AC00"/>
    <w:multiLevelType w:val="singleLevel"/>
    <w:tmpl w:val="30A0AC00"/>
    <w:lvl w:ilvl="0" w:tentative="0">
      <w:start w:val="0"/>
      <w:numFmt w:val="bullet"/>
      <w:lvlText w:val="￮"/>
      <w:lvlJc w:val="left"/>
      <w:rPr>
        <w:color w:val="3370FF"/>
      </w:rPr>
    </w:lvl>
  </w:abstractNum>
  <w:abstractNum w:abstractNumId="105">
    <w:nsid w:val="30FC5B15"/>
    <w:multiLevelType w:val="singleLevel"/>
    <w:tmpl w:val="30FC5B15"/>
    <w:lvl w:ilvl="0" w:tentative="0">
      <w:start w:val="0"/>
      <w:numFmt w:val="bullet"/>
      <w:lvlText w:val="•"/>
      <w:lvlJc w:val="left"/>
      <w:rPr>
        <w:color w:val="3370FF"/>
      </w:rPr>
    </w:lvl>
  </w:abstractNum>
  <w:abstractNum w:abstractNumId="106">
    <w:nsid w:val="322D85CA"/>
    <w:multiLevelType w:val="singleLevel"/>
    <w:tmpl w:val="322D85CA"/>
    <w:lvl w:ilvl="0" w:tentative="0">
      <w:start w:val="0"/>
      <w:numFmt w:val="bullet"/>
      <w:lvlText w:val="•"/>
      <w:lvlJc w:val="left"/>
      <w:rPr>
        <w:color w:val="3370FF"/>
      </w:rPr>
    </w:lvl>
  </w:abstractNum>
  <w:abstractNum w:abstractNumId="107">
    <w:nsid w:val="32A7AF2D"/>
    <w:multiLevelType w:val="singleLevel"/>
    <w:tmpl w:val="32A7AF2D"/>
    <w:lvl w:ilvl="0" w:tentative="0">
      <w:start w:val="0"/>
      <w:numFmt w:val="bullet"/>
      <w:lvlText w:val="￮"/>
      <w:lvlJc w:val="left"/>
      <w:rPr>
        <w:color w:val="3370FF"/>
      </w:rPr>
    </w:lvl>
  </w:abstractNum>
  <w:abstractNum w:abstractNumId="108">
    <w:nsid w:val="35E83B33"/>
    <w:multiLevelType w:val="singleLevel"/>
    <w:tmpl w:val="35E83B33"/>
    <w:lvl w:ilvl="0" w:tentative="0">
      <w:start w:val="0"/>
      <w:numFmt w:val="bullet"/>
      <w:lvlText w:val="•"/>
      <w:lvlJc w:val="left"/>
      <w:rPr>
        <w:color w:val="3370FF"/>
      </w:rPr>
    </w:lvl>
  </w:abstractNum>
  <w:abstractNum w:abstractNumId="109">
    <w:nsid w:val="38EAC418"/>
    <w:multiLevelType w:val="singleLevel"/>
    <w:tmpl w:val="38EAC418"/>
    <w:lvl w:ilvl="0" w:tentative="0">
      <w:start w:val="17"/>
      <w:numFmt w:val="decimal"/>
      <w:lvlText w:val="%1."/>
      <w:lvlJc w:val="left"/>
      <w:rPr>
        <w:color w:val="3370FF"/>
      </w:rPr>
    </w:lvl>
  </w:abstractNum>
  <w:abstractNum w:abstractNumId="110">
    <w:nsid w:val="39A0D9AC"/>
    <w:multiLevelType w:val="singleLevel"/>
    <w:tmpl w:val="39A0D9AC"/>
    <w:lvl w:ilvl="0" w:tentative="0">
      <w:start w:val="6"/>
      <w:numFmt w:val="decimal"/>
      <w:lvlText w:val="%1."/>
      <w:lvlJc w:val="left"/>
      <w:rPr>
        <w:color w:val="3370FF"/>
      </w:rPr>
    </w:lvl>
  </w:abstractNum>
  <w:abstractNum w:abstractNumId="111">
    <w:nsid w:val="3A7FBA26"/>
    <w:multiLevelType w:val="singleLevel"/>
    <w:tmpl w:val="3A7FBA26"/>
    <w:lvl w:ilvl="0" w:tentative="0">
      <w:start w:val="1"/>
      <w:numFmt w:val="decimal"/>
      <w:lvlText w:val="%1."/>
      <w:lvlJc w:val="left"/>
      <w:rPr>
        <w:color w:val="3370FF"/>
      </w:rPr>
    </w:lvl>
  </w:abstractNum>
  <w:abstractNum w:abstractNumId="112">
    <w:nsid w:val="3B8127DF"/>
    <w:multiLevelType w:val="singleLevel"/>
    <w:tmpl w:val="3B8127DF"/>
    <w:lvl w:ilvl="0" w:tentative="0">
      <w:start w:val="0"/>
      <w:numFmt w:val="bullet"/>
      <w:lvlText w:val="￮"/>
      <w:lvlJc w:val="left"/>
      <w:rPr>
        <w:color w:val="3370FF"/>
      </w:rPr>
    </w:lvl>
  </w:abstractNum>
  <w:abstractNum w:abstractNumId="113">
    <w:nsid w:val="3FE315B6"/>
    <w:multiLevelType w:val="singleLevel"/>
    <w:tmpl w:val="3FE315B6"/>
    <w:lvl w:ilvl="0" w:tentative="0">
      <w:start w:val="2"/>
      <w:numFmt w:val="decimal"/>
      <w:lvlText w:val="%1."/>
      <w:lvlJc w:val="left"/>
      <w:rPr>
        <w:color w:val="3370FF"/>
      </w:rPr>
    </w:lvl>
  </w:abstractNum>
  <w:abstractNum w:abstractNumId="114">
    <w:nsid w:val="40B249F9"/>
    <w:multiLevelType w:val="singleLevel"/>
    <w:tmpl w:val="40B249F9"/>
    <w:lvl w:ilvl="0" w:tentative="0">
      <w:start w:val="0"/>
      <w:numFmt w:val="bullet"/>
      <w:lvlText w:val="▪"/>
      <w:lvlJc w:val="left"/>
      <w:rPr>
        <w:color w:val="3370FF"/>
        <w:sz w:val="11"/>
      </w:rPr>
    </w:lvl>
  </w:abstractNum>
  <w:abstractNum w:abstractNumId="115">
    <w:nsid w:val="40F245EA"/>
    <w:multiLevelType w:val="singleLevel"/>
    <w:tmpl w:val="40F245EA"/>
    <w:lvl w:ilvl="0" w:tentative="0">
      <w:start w:val="0"/>
      <w:numFmt w:val="bullet"/>
      <w:lvlText w:val="•"/>
      <w:lvlJc w:val="left"/>
      <w:rPr>
        <w:color w:val="3370FF"/>
      </w:rPr>
    </w:lvl>
  </w:abstractNum>
  <w:abstractNum w:abstractNumId="116">
    <w:nsid w:val="4258023A"/>
    <w:multiLevelType w:val="singleLevel"/>
    <w:tmpl w:val="4258023A"/>
    <w:lvl w:ilvl="0" w:tentative="0">
      <w:start w:val="11"/>
      <w:numFmt w:val="decimal"/>
      <w:lvlText w:val="%1."/>
      <w:lvlJc w:val="left"/>
      <w:rPr>
        <w:color w:val="3370FF"/>
      </w:rPr>
    </w:lvl>
  </w:abstractNum>
  <w:abstractNum w:abstractNumId="117">
    <w:nsid w:val="46A08BB8"/>
    <w:multiLevelType w:val="singleLevel"/>
    <w:tmpl w:val="46A08BB8"/>
    <w:lvl w:ilvl="0" w:tentative="0">
      <w:start w:val="0"/>
      <w:numFmt w:val="bullet"/>
      <w:lvlText w:val="￮"/>
      <w:lvlJc w:val="left"/>
      <w:rPr>
        <w:color w:val="3370FF"/>
      </w:rPr>
    </w:lvl>
  </w:abstractNum>
  <w:abstractNum w:abstractNumId="118">
    <w:nsid w:val="4A51D704"/>
    <w:multiLevelType w:val="singleLevel"/>
    <w:tmpl w:val="4A51D704"/>
    <w:lvl w:ilvl="0" w:tentative="0">
      <w:start w:val="0"/>
      <w:numFmt w:val="bullet"/>
      <w:lvlText w:val="•"/>
      <w:lvlJc w:val="left"/>
      <w:rPr>
        <w:color w:val="3370FF"/>
      </w:rPr>
    </w:lvl>
  </w:abstractNum>
  <w:abstractNum w:abstractNumId="119">
    <w:nsid w:val="4C1BAE26"/>
    <w:multiLevelType w:val="singleLevel"/>
    <w:tmpl w:val="4C1BAE26"/>
    <w:lvl w:ilvl="0" w:tentative="0">
      <w:start w:val="2"/>
      <w:numFmt w:val="decimal"/>
      <w:lvlText w:val="%1."/>
      <w:lvlJc w:val="left"/>
      <w:rPr>
        <w:color w:val="3370FF"/>
      </w:rPr>
    </w:lvl>
  </w:abstractNum>
  <w:abstractNum w:abstractNumId="120">
    <w:nsid w:val="4C3D7A74"/>
    <w:multiLevelType w:val="singleLevel"/>
    <w:tmpl w:val="4C3D7A74"/>
    <w:lvl w:ilvl="0" w:tentative="0">
      <w:start w:val="0"/>
      <w:numFmt w:val="bullet"/>
      <w:lvlText w:val="￮"/>
      <w:lvlJc w:val="left"/>
      <w:rPr>
        <w:color w:val="3370FF"/>
      </w:rPr>
    </w:lvl>
  </w:abstractNum>
  <w:abstractNum w:abstractNumId="121">
    <w:nsid w:val="4CD1E351"/>
    <w:multiLevelType w:val="singleLevel"/>
    <w:tmpl w:val="4CD1E351"/>
    <w:lvl w:ilvl="0" w:tentative="0">
      <w:start w:val="0"/>
      <w:numFmt w:val="bullet"/>
      <w:lvlText w:val="▪"/>
      <w:lvlJc w:val="left"/>
      <w:rPr>
        <w:color w:val="3370FF"/>
        <w:sz w:val="11"/>
      </w:rPr>
    </w:lvl>
  </w:abstractNum>
  <w:abstractNum w:abstractNumId="122">
    <w:nsid w:val="4D4DC07F"/>
    <w:multiLevelType w:val="singleLevel"/>
    <w:tmpl w:val="4D4DC07F"/>
    <w:lvl w:ilvl="0" w:tentative="0">
      <w:start w:val="8"/>
      <w:numFmt w:val="decimal"/>
      <w:lvlText w:val="%1."/>
      <w:lvlJc w:val="left"/>
      <w:rPr>
        <w:color w:val="3370FF"/>
      </w:rPr>
    </w:lvl>
  </w:abstractNum>
  <w:abstractNum w:abstractNumId="123">
    <w:nsid w:val="4D63189B"/>
    <w:multiLevelType w:val="singleLevel"/>
    <w:tmpl w:val="4D63189B"/>
    <w:lvl w:ilvl="0" w:tentative="0">
      <w:start w:val="0"/>
      <w:numFmt w:val="bullet"/>
      <w:lvlText w:val="•"/>
      <w:lvlJc w:val="left"/>
      <w:rPr>
        <w:color w:val="3370FF"/>
      </w:rPr>
    </w:lvl>
  </w:abstractNum>
  <w:abstractNum w:abstractNumId="124">
    <w:nsid w:val="4D94DA66"/>
    <w:multiLevelType w:val="singleLevel"/>
    <w:tmpl w:val="4D94DA66"/>
    <w:lvl w:ilvl="0" w:tentative="0">
      <w:start w:val="9"/>
      <w:numFmt w:val="decimal"/>
      <w:lvlText w:val="%1."/>
      <w:lvlJc w:val="left"/>
      <w:rPr>
        <w:color w:val="3370FF"/>
      </w:rPr>
    </w:lvl>
  </w:abstractNum>
  <w:abstractNum w:abstractNumId="125">
    <w:nsid w:val="4FB438A5"/>
    <w:multiLevelType w:val="singleLevel"/>
    <w:tmpl w:val="4FB438A5"/>
    <w:lvl w:ilvl="0" w:tentative="0">
      <w:start w:val="0"/>
      <w:numFmt w:val="bullet"/>
      <w:lvlText w:val="•"/>
      <w:lvlJc w:val="left"/>
      <w:rPr>
        <w:color w:val="3370FF"/>
      </w:rPr>
    </w:lvl>
  </w:abstractNum>
  <w:abstractNum w:abstractNumId="126">
    <w:nsid w:val="51C4BC33"/>
    <w:multiLevelType w:val="singleLevel"/>
    <w:tmpl w:val="51C4BC33"/>
    <w:lvl w:ilvl="0" w:tentative="0">
      <w:start w:val="0"/>
      <w:numFmt w:val="bullet"/>
      <w:lvlText w:val="•"/>
      <w:lvlJc w:val="left"/>
      <w:rPr>
        <w:color w:val="3370FF"/>
      </w:rPr>
    </w:lvl>
  </w:abstractNum>
  <w:abstractNum w:abstractNumId="127">
    <w:nsid w:val="54701CA1"/>
    <w:multiLevelType w:val="singleLevel"/>
    <w:tmpl w:val="54701CA1"/>
    <w:lvl w:ilvl="0" w:tentative="0">
      <w:start w:val="0"/>
      <w:numFmt w:val="bullet"/>
      <w:lvlText w:val="▪"/>
      <w:lvlJc w:val="left"/>
      <w:rPr>
        <w:color w:val="3370FF"/>
        <w:sz w:val="11"/>
      </w:rPr>
    </w:lvl>
  </w:abstractNum>
  <w:abstractNum w:abstractNumId="128">
    <w:nsid w:val="58765686"/>
    <w:multiLevelType w:val="singleLevel"/>
    <w:tmpl w:val="58765686"/>
    <w:lvl w:ilvl="0" w:tentative="0">
      <w:start w:val="0"/>
      <w:numFmt w:val="bullet"/>
      <w:lvlText w:val="•"/>
      <w:lvlJc w:val="left"/>
      <w:rPr>
        <w:color w:val="3370FF"/>
      </w:rPr>
    </w:lvl>
  </w:abstractNum>
  <w:abstractNum w:abstractNumId="129">
    <w:nsid w:val="59ADCABA"/>
    <w:multiLevelType w:val="singleLevel"/>
    <w:tmpl w:val="59ADCABA"/>
    <w:lvl w:ilvl="0" w:tentative="0">
      <w:start w:val="3"/>
      <w:numFmt w:val="decimal"/>
      <w:lvlText w:val="%1."/>
      <w:lvlJc w:val="left"/>
      <w:rPr>
        <w:color w:val="3370FF"/>
      </w:rPr>
    </w:lvl>
  </w:abstractNum>
  <w:abstractNum w:abstractNumId="130">
    <w:nsid w:val="59EEFD2A"/>
    <w:multiLevelType w:val="singleLevel"/>
    <w:tmpl w:val="59EEFD2A"/>
    <w:lvl w:ilvl="0" w:tentative="0">
      <w:start w:val="0"/>
      <w:numFmt w:val="bullet"/>
      <w:lvlText w:val="•"/>
      <w:lvlJc w:val="left"/>
      <w:rPr>
        <w:color w:val="3370FF"/>
      </w:rPr>
    </w:lvl>
  </w:abstractNum>
  <w:abstractNum w:abstractNumId="131">
    <w:nsid w:val="5A241D34"/>
    <w:multiLevelType w:val="singleLevel"/>
    <w:tmpl w:val="5A241D34"/>
    <w:lvl w:ilvl="0" w:tentative="0">
      <w:start w:val="6"/>
      <w:numFmt w:val="decimal"/>
      <w:lvlText w:val="%1."/>
      <w:lvlJc w:val="left"/>
      <w:rPr>
        <w:color w:val="3370FF"/>
      </w:rPr>
    </w:lvl>
  </w:abstractNum>
  <w:abstractNum w:abstractNumId="132">
    <w:nsid w:val="5E29AB5A"/>
    <w:multiLevelType w:val="singleLevel"/>
    <w:tmpl w:val="5E29AB5A"/>
    <w:lvl w:ilvl="0" w:tentative="0">
      <w:start w:val="1"/>
      <w:numFmt w:val="decimal"/>
      <w:lvlText w:val="%1."/>
      <w:lvlJc w:val="left"/>
      <w:rPr>
        <w:color w:val="3370FF"/>
      </w:rPr>
    </w:lvl>
  </w:abstractNum>
  <w:abstractNum w:abstractNumId="133">
    <w:nsid w:val="5FCE4367"/>
    <w:multiLevelType w:val="singleLevel"/>
    <w:tmpl w:val="5FCE4367"/>
    <w:lvl w:ilvl="0" w:tentative="0">
      <w:start w:val="0"/>
      <w:numFmt w:val="bullet"/>
      <w:lvlText w:val="￮"/>
      <w:lvlJc w:val="left"/>
      <w:rPr>
        <w:color w:val="3370FF"/>
      </w:rPr>
    </w:lvl>
  </w:abstractNum>
  <w:abstractNum w:abstractNumId="134">
    <w:nsid w:val="5FFFB1A7"/>
    <w:multiLevelType w:val="singleLevel"/>
    <w:tmpl w:val="5FFFB1A7"/>
    <w:lvl w:ilvl="0" w:tentative="0">
      <w:start w:val="0"/>
      <w:numFmt w:val="bullet"/>
      <w:lvlText w:val="•"/>
      <w:lvlJc w:val="left"/>
      <w:rPr>
        <w:color w:val="3370FF"/>
      </w:rPr>
    </w:lvl>
  </w:abstractNum>
  <w:abstractNum w:abstractNumId="135">
    <w:nsid w:val="60382F6E"/>
    <w:multiLevelType w:val="singleLevel"/>
    <w:tmpl w:val="60382F6E"/>
    <w:lvl w:ilvl="0" w:tentative="0">
      <w:start w:val="3"/>
      <w:numFmt w:val="decimal"/>
      <w:lvlText w:val="%1."/>
      <w:lvlJc w:val="left"/>
      <w:rPr>
        <w:color w:val="3370FF"/>
      </w:rPr>
    </w:lvl>
  </w:abstractNum>
  <w:abstractNum w:abstractNumId="136">
    <w:nsid w:val="610EFE5C"/>
    <w:multiLevelType w:val="singleLevel"/>
    <w:tmpl w:val="610EFE5C"/>
    <w:lvl w:ilvl="0" w:tentative="0">
      <w:start w:val="0"/>
      <w:numFmt w:val="bullet"/>
      <w:lvlText w:val="•"/>
      <w:lvlJc w:val="left"/>
      <w:rPr>
        <w:color w:val="3370FF"/>
      </w:rPr>
    </w:lvl>
  </w:abstractNum>
  <w:abstractNum w:abstractNumId="137">
    <w:nsid w:val="629F7852"/>
    <w:multiLevelType w:val="singleLevel"/>
    <w:tmpl w:val="629F7852"/>
    <w:lvl w:ilvl="0" w:tentative="0">
      <w:start w:val="4"/>
      <w:numFmt w:val="decimal"/>
      <w:lvlText w:val="%1."/>
      <w:lvlJc w:val="left"/>
      <w:rPr>
        <w:color w:val="3370FF"/>
      </w:rPr>
    </w:lvl>
  </w:abstractNum>
  <w:abstractNum w:abstractNumId="138">
    <w:nsid w:val="65CD0074"/>
    <w:multiLevelType w:val="singleLevel"/>
    <w:tmpl w:val="65CD0074"/>
    <w:lvl w:ilvl="0" w:tentative="0">
      <w:start w:val="0"/>
      <w:numFmt w:val="bullet"/>
      <w:lvlText w:val="•"/>
      <w:lvlJc w:val="left"/>
      <w:rPr>
        <w:color w:val="3370FF"/>
      </w:rPr>
    </w:lvl>
  </w:abstractNum>
  <w:abstractNum w:abstractNumId="139">
    <w:nsid w:val="68B298F7"/>
    <w:multiLevelType w:val="singleLevel"/>
    <w:tmpl w:val="68B298F7"/>
    <w:lvl w:ilvl="0" w:tentative="0">
      <w:start w:val="0"/>
      <w:numFmt w:val="bullet"/>
      <w:lvlText w:val="￮"/>
      <w:lvlJc w:val="left"/>
      <w:rPr>
        <w:color w:val="3370FF"/>
      </w:rPr>
    </w:lvl>
  </w:abstractNum>
  <w:abstractNum w:abstractNumId="140">
    <w:nsid w:val="6D423078"/>
    <w:multiLevelType w:val="singleLevel"/>
    <w:tmpl w:val="6D423078"/>
    <w:lvl w:ilvl="0" w:tentative="0">
      <w:start w:val="4"/>
      <w:numFmt w:val="decimal"/>
      <w:lvlText w:val="%1."/>
      <w:lvlJc w:val="left"/>
      <w:rPr>
        <w:color w:val="3370FF"/>
      </w:rPr>
    </w:lvl>
  </w:abstractNum>
  <w:abstractNum w:abstractNumId="141">
    <w:nsid w:val="700FDCEF"/>
    <w:multiLevelType w:val="singleLevel"/>
    <w:tmpl w:val="700FDCEF"/>
    <w:lvl w:ilvl="0" w:tentative="0">
      <w:start w:val="0"/>
      <w:numFmt w:val="bullet"/>
      <w:lvlText w:val="•"/>
      <w:lvlJc w:val="left"/>
      <w:rPr>
        <w:color w:val="3370FF"/>
      </w:rPr>
    </w:lvl>
  </w:abstractNum>
  <w:abstractNum w:abstractNumId="142">
    <w:nsid w:val="72183CF9"/>
    <w:multiLevelType w:val="singleLevel"/>
    <w:tmpl w:val="72183CF9"/>
    <w:lvl w:ilvl="0" w:tentative="0">
      <w:start w:val="2"/>
      <w:numFmt w:val="decimal"/>
      <w:lvlText w:val="%1."/>
      <w:lvlJc w:val="left"/>
      <w:rPr>
        <w:color w:val="3370FF"/>
      </w:rPr>
    </w:lvl>
  </w:abstractNum>
  <w:abstractNum w:abstractNumId="143">
    <w:nsid w:val="74C28B35"/>
    <w:multiLevelType w:val="singleLevel"/>
    <w:tmpl w:val="74C28B35"/>
    <w:lvl w:ilvl="0" w:tentative="0">
      <w:start w:val="0"/>
      <w:numFmt w:val="bullet"/>
      <w:lvlText w:val="￮"/>
      <w:lvlJc w:val="left"/>
      <w:rPr>
        <w:color w:val="3370FF"/>
      </w:rPr>
    </w:lvl>
  </w:abstractNum>
  <w:abstractNum w:abstractNumId="144">
    <w:nsid w:val="77633216"/>
    <w:multiLevelType w:val="singleLevel"/>
    <w:tmpl w:val="77633216"/>
    <w:lvl w:ilvl="0" w:tentative="0">
      <w:start w:val="0"/>
      <w:numFmt w:val="bullet"/>
      <w:lvlText w:val="•"/>
      <w:lvlJc w:val="left"/>
      <w:rPr>
        <w:color w:val="3370FF"/>
      </w:rPr>
    </w:lvl>
  </w:abstractNum>
  <w:abstractNum w:abstractNumId="145">
    <w:nsid w:val="77ECEA79"/>
    <w:multiLevelType w:val="singleLevel"/>
    <w:tmpl w:val="77ECEA79"/>
    <w:lvl w:ilvl="0" w:tentative="0">
      <w:start w:val="0"/>
      <w:numFmt w:val="bullet"/>
      <w:lvlText w:val="￮"/>
      <w:lvlJc w:val="left"/>
      <w:rPr>
        <w:color w:val="3370FF"/>
      </w:rPr>
    </w:lvl>
  </w:abstractNum>
  <w:abstractNum w:abstractNumId="146">
    <w:nsid w:val="79AA4FA4"/>
    <w:multiLevelType w:val="singleLevel"/>
    <w:tmpl w:val="79AA4FA4"/>
    <w:lvl w:ilvl="0" w:tentative="0">
      <w:start w:val="0"/>
      <w:numFmt w:val="bullet"/>
      <w:lvlText w:val="•"/>
      <w:lvlJc w:val="left"/>
      <w:rPr>
        <w:color w:val="3370FF"/>
      </w:rPr>
    </w:lvl>
  </w:abstractNum>
  <w:abstractNum w:abstractNumId="147">
    <w:nsid w:val="7C246926"/>
    <w:multiLevelType w:val="singleLevel"/>
    <w:tmpl w:val="7C246926"/>
    <w:lvl w:ilvl="0" w:tentative="0">
      <w:start w:val="0"/>
      <w:numFmt w:val="bullet"/>
      <w:lvlText w:val="￮"/>
      <w:lvlJc w:val="left"/>
      <w:rPr>
        <w:color w:val="3370FF"/>
      </w:rPr>
    </w:lvl>
  </w:abstractNum>
  <w:abstractNum w:abstractNumId="148">
    <w:nsid w:val="7DEC2089"/>
    <w:multiLevelType w:val="singleLevel"/>
    <w:tmpl w:val="7DEC2089"/>
    <w:lvl w:ilvl="0" w:tentative="0">
      <w:start w:val="0"/>
      <w:numFmt w:val="bullet"/>
      <w:lvlText w:val="•"/>
      <w:lvlJc w:val="left"/>
      <w:rPr>
        <w:color w:val="3370FF"/>
      </w:rPr>
    </w:lvl>
  </w:abstractNum>
  <w:num w:numId="1">
    <w:abstractNumId w:val="71"/>
  </w:num>
  <w:num w:numId="2">
    <w:abstractNumId w:val="46"/>
  </w:num>
  <w:num w:numId="3">
    <w:abstractNumId w:val="129"/>
  </w:num>
  <w:num w:numId="4">
    <w:abstractNumId w:val="38"/>
  </w:num>
  <w:num w:numId="5">
    <w:abstractNumId w:val="30"/>
  </w:num>
  <w:num w:numId="6">
    <w:abstractNumId w:val="77"/>
  </w:num>
  <w:num w:numId="7">
    <w:abstractNumId w:val="100"/>
  </w:num>
  <w:num w:numId="8">
    <w:abstractNumId w:val="142"/>
  </w:num>
  <w:num w:numId="9">
    <w:abstractNumId w:val="74"/>
  </w:num>
  <w:num w:numId="10">
    <w:abstractNumId w:val="9"/>
  </w:num>
  <w:num w:numId="11">
    <w:abstractNumId w:val="101"/>
  </w:num>
  <w:num w:numId="12">
    <w:abstractNumId w:val="131"/>
  </w:num>
  <w:num w:numId="13">
    <w:abstractNumId w:val="42"/>
  </w:num>
  <w:num w:numId="14">
    <w:abstractNumId w:val="122"/>
  </w:num>
  <w:num w:numId="15">
    <w:abstractNumId w:val="66"/>
  </w:num>
  <w:num w:numId="16">
    <w:abstractNumId w:val="98"/>
  </w:num>
  <w:num w:numId="17">
    <w:abstractNumId w:val="52"/>
  </w:num>
  <w:num w:numId="18">
    <w:abstractNumId w:val="50"/>
  </w:num>
  <w:num w:numId="19">
    <w:abstractNumId w:val="17"/>
  </w:num>
  <w:num w:numId="20">
    <w:abstractNumId w:val="119"/>
  </w:num>
  <w:num w:numId="21">
    <w:abstractNumId w:val="135"/>
  </w:num>
  <w:num w:numId="22">
    <w:abstractNumId w:val="82"/>
  </w:num>
  <w:num w:numId="23">
    <w:abstractNumId w:val="117"/>
  </w:num>
  <w:num w:numId="24">
    <w:abstractNumId w:val="27"/>
  </w:num>
  <w:num w:numId="25">
    <w:abstractNumId w:val="147"/>
  </w:num>
  <w:num w:numId="26">
    <w:abstractNumId w:val="145"/>
  </w:num>
  <w:num w:numId="27">
    <w:abstractNumId w:val="37"/>
  </w:num>
  <w:num w:numId="28">
    <w:abstractNumId w:val="137"/>
  </w:num>
  <w:num w:numId="29">
    <w:abstractNumId w:val="10"/>
  </w:num>
  <w:num w:numId="30">
    <w:abstractNumId w:val="110"/>
  </w:num>
  <w:num w:numId="31">
    <w:abstractNumId w:val="4"/>
  </w:num>
  <w:num w:numId="32">
    <w:abstractNumId w:val="128"/>
  </w:num>
  <w:num w:numId="33">
    <w:abstractNumId w:val="148"/>
  </w:num>
  <w:num w:numId="34">
    <w:abstractNumId w:val="1"/>
  </w:num>
  <w:num w:numId="35">
    <w:abstractNumId w:val="97"/>
  </w:num>
  <w:num w:numId="36">
    <w:abstractNumId w:val="124"/>
  </w:num>
  <w:num w:numId="37">
    <w:abstractNumId w:val="69"/>
  </w:num>
  <w:num w:numId="38">
    <w:abstractNumId w:val="54"/>
  </w:num>
  <w:num w:numId="39">
    <w:abstractNumId w:val="105"/>
  </w:num>
  <w:num w:numId="40">
    <w:abstractNumId w:val="146"/>
  </w:num>
  <w:num w:numId="41">
    <w:abstractNumId w:val="33"/>
  </w:num>
  <w:num w:numId="42">
    <w:abstractNumId w:val="7"/>
  </w:num>
  <w:num w:numId="43">
    <w:abstractNumId w:val="32"/>
  </w:num>
  <w:num w:numId="44">
    <w:abstractNumId w:val="132"/>
  </w:num>
  <w:num w:numId="45">
    <w:abstractNumId w:val="3"/>
  </w:num>
  <w:num w:numId="46">
    <w:abstractNumId w:val="89"/>
  </w:num>
  <w:num w:numId="47">
    <w:abstractNumId w:val="6"/>
  </w:num>
  <w:num w:numId="48">
    <w:abstractNumId w:val="134"/>
  </w:num>
  <w:num w:numId="49">
    <w:abstractNumId w:val="143"/>
  </w:num>
  <w:num w:numId="50">
    <w:abstractNumId w:val="120"/>
  </w:num>
  <w:num w:numId="51">
    <w:abstractNumId w:val="106"/>
  </w:num>
  <w:num w:numId="52">
    <w:abstractNumId w:val="138"/>
  </w:num>
  <w:num w:numId="53">
    <w:abstractNumId w:val="78"/>
  </w:num>
  <w:num w:numId="54">
    <w:abstractNumId w:val="80"/>
  </w:num>
  <w:num w:numId="55">
    <w:abstractNumId w:val="49"/>
  </w:num>
  <w:num w:numId="56">
    <w:abstractNumId w:val="107"/>
  </w:num>
  <w:num w:numId="57">
    <w:abstractNumId w:val="92"/>
  </w:num>
  <w:num w:numId="58">
    <w:abstractNumId w:val="60"/>
  </w:num>
  <w:num w:numId="59">
    <w:abstractNumId w:val="96"/>
  </w:num>
  <w:num w:numId="60">
    <w:abstractNumId w:val="29"/>
  </w:num>
  <w:num w:numId="61">
    <w:abstractNumId w:val="114"/>
  </w:num>
  <w:num w:numId="62">
    <w:abstractNumId w:val="83"/>
  </w:num>
  <w:num w:numId="63">
    <w:abstractNumId w:val="108"/>
  </w:num>
  <w:num w:numId="64">
    <w:abstractNumId w:val="75"/>
  </w:num>
  <w:num w:numId="65">
    <w:abstractNumId w:val="40"/>
  </w:num>
  <w:num w:numId="66">
    <w:abstractNumId w:val="86"/>
  </w:num>
  <w:num w:numId="67">
    <w:abstractNumId w:val="28"/>
  </w:num>
  <w:num w:numId="68">
    <w:abstractNumId w:val="112"/>
  </w:num>
  <w:num w:numId="69">
    <w:abstractNumId w:val="23"/>
  </w:num>
  <w:num w:numId="70">
    <w:abstractNumId w:val="68"/>
  </w:num>
  <w:num w:numId="71">
    <w:abstractNumId w:val="104"/>
  </w:num>
  <w:num w:numId="72">
    <w:abstractNumId w:val="70"/>
  </w:num>
  <w:num w:numId="73">
    <w:abstractNumId w:val="88"/>
  </w:num>
  <w:num w:numId="74">
    <w:abstractNumId w:val="141"/>
  </w:num>
  <w:num w:numId="75">
    <w:abstractNumId w:val="56"/>
  </w:num>
  <w:num w:numId="76">
    <w:abstractNumId w:val="41"/>
  </w:num>
  <w:num w:numId="77">
    <w:abstractNumId w:val="22"/>
  </w:num>
  <w:num w:numId="78">
    <w:abstractNumId w:val="144"/>
  </w:num>
  <w:num w:numId="79">
    <w:abstractNumId w:val="51"/>
  </w:num>
  <w:num w:numId="80">
    <w:abstractNumId w:val="31"/>
  </w:num>
  <w:num w:numId="81">
    <w:abstractNumId w:val="103"/>
  </w:num>
  <w:num w:numId="82">
    <w:abstractNumId w:val="58"/>
  </w:num>
  <w:num w:numId="83">
    <w:abstractNumId w:val="14"/>
  </w:num>
  <w:num w:numId="84">
    <w:abstractNumId w:val="130"/>
  </w:num>
  <w:num w:numId="85">
    <w:abstractNumId w:val="35"/>
  </w:num>
  <w:num w:numId="86">
    <w:abstractNumId w:val="26"/>
  </w:num>
  <w:num w:numId="87">
    <w:abstractNumId w:val="11"/>
  </w:num>
  <w:num w:numId="88">
    <w:abstractNumId w:val="18"/>
  </w:num>
  <w:num w:numId="89">
    <w:abstractNumId w:val="25"/>
  </w:num>
  <w:num w:numId="90">
    <w:abstractNumId w:val="8"/>
  </w:num>
  <w:num w:numId="91">
    <w:abstractNumId w:val="91"/>
  </w:num>
  <w:num w:numId="92">
    <w:abstractNumId w:val="36"/>
  </w:num>
  <w:num w:numId="93">
    <w:abstractNumId w:val="87"/>
  </w:num>
  <w:num w:numId="94">
    <w:abstractNumId w:val="47"/>
  </w:num>
  <w:num w:numId="95">
    <w:abstractNumId w:val="139"/>
  </w:num>
  <w:num w:numId="96">
    <w:abstractNumId w:val="0"/>
  </w:num>
  <w:num w:numId="97">
    <w:abstractNumId w:val="34"/>
  </w:num>
  <w:num w:numId="98">
    <w:abstractNumId w:val="67"/>
  </w:num>
  <w:num w:numId="99">
    <w:abstractNumId w:val="121"/>
  </w:num>
  <w:num w:numId="100">
    <w:abstractNumId w:val="84"/>
  </w:num>
  <w:num w:numId="101">
    <w:abstractNumId w:val="15"/>
  </w:num>
  <w:num w:numId="102">
    <w:abstractNumId w:val="53"/>
  </w:num>
  <w:num w:numId="103">
    <w:abstractNumId w:val="90"/>
  </w:num>
  <w:num w:numId="104">
    <w:abstractNumId w:val="118"/>
  </w:num>
  <w:num w:numId="105">
    <w:abstractNumId w:val="24"/>
  </w:num>
  <w:num w:numId="106">
    <w:abstractNumId w:val="136"/>
  </w:num>
  <w:num w:numId="107">
    <w:abstractNumId w:val="2"/>
  </w:num>
  <w:num w:numId="108">
    <w:abstractNumId w:val="5"/>
  </w:num>
  <w:num w:numId="109">
    <w:abstractNumId w:val="72"/>
  </w:num>
  <w:num w:numId="110">
    <w:abstractNumId w:val="21"/>
  </w:num>
  <w:num w:numId="111">
    <w:abstractNumId w:val="39"/>
  </w:num>
  <w:num w:numId="112">
    <w:abstractNumId w:val="43"/>
  </w:num>
  <w:num w:numId="113">
    <w:abstractNumId w:val="65"/>
  </w:num>
  <w:num w:numId="114">
    <w:abstractNumId w:val="133"/>
  </w:num>
  <w:num w:numId="115">
    <w:abstractNumId w:val="63"/>
  </w:num>
  <w:num w:numId="116">
    <w:abstractNumId w:val="127"/>
  </w:num>
  <w:num w:numId="117">
    <w:abstractNumId w:val="94"/>
  </w:num>
  <w:num w:numId="118">
    <w:abstractNumId w:val="13"/>
  </w:num>
  <w:num w:numId="119">
    <w:abstractNumId w:val="76"/>
  </w:num>
  <w:num w:numId="120">
    <w:abstractNumId w:val="20"/>
  </w:num>
  <w:num w:numId="121">
    <w:abstractNumId w:val="102"/>
  </w:num>
  <w:num w:numId="122">
    <w:abstractNumId w:val="126"/>
  </w:num>
  <w:num w:numId="123">
    <w:abstractNumId w:val="45"/>
  </w:num>
  <w:num w:numId="124">
    <w:abstractNumId w:val="16"/>
  </w:num>
  <w:num w:numId="125">
    <w:abstractNumId w:val="99"/>
  </w:num>
  <w:num w:numId="126">
    <w:abstractNumId w:val="115"/>
  </w:num>
  <w:num w:numId="127">
    <w:abstractNumId w:val="85"/>
  </w:num>
  <w:num w:numId="128">
    <w:abstractNumId w:val="123"/>
  </w:num>
  <w:num w:numId="129">
    <w:abstractNumId w:val="125"/>
  </w:num>
  <w:num w:numId="130">
    <w:abstractNumId w:val="95"/>
  </w:num>
  <w:num w:numId="131">
    <w:abstractNumId w:val="57"/>
  </w:num>
  <w:num w:numId="132">
    <w:abstractNumId w:val="19"/>
  </w:num>
  <w:num w:numId="133">
    <w:abstractNumId w:val="111"/>
  </w:num>
  <w:num w:numId="134">
    <w:abstractNumId w:val="113"/>
  </w:num>
  <w:num w:numId="135">
    <w:abstractNumId w:val="81"/>
  </w:num>
  <w:num w:numId="136">
    <w:abstractNumId w:val="140"/>
  </w:num>
  <w:num w:numId="137">
    <w:abstractNumId w:val="55"/>
  </w:num>
  <w:num w:numId="138">
    <w:abstractNumId w:val="93"/>
  </w:num>
  <w:num w:numId="139">
    <w:abstractNumId w:val="79"/>
  </w:num>
  <w:num w:numId="140">
    <w:abstractNumId w:val="59"/>
  </w:num>
  <w:num w:numId="141">
    <w:abstractNumId w:val="62"/>
  </w:num>
  <w:num w:numId="142">
    <w:abstractNumId w:val="48"/>
  </w:num>
  <w:num w:numId="143">
    <w:abstractNumId w:val="116"/>
  </w:num>
  <w:num w:numId="144">
    <w:abstractNumId w:val="64"/>
  </w:num>
  <w:num w:numId="145">
    <w:abstractNumId w:val="12"/>
  </w:num>
  <w:num w:numId="146">
    <w:abstractNumId w:val="61"/>
  </w:num>
  <w:num w:numId="147">
    <w:abstractNumId w:val="73"/>
  </w:num>
  <w:num w:numId="148">
    <w:abstractNumId w:val="44"/>
  </w:num>
  <w:num w:numId="14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24402B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7496</Words>
  <Characters>13683</Characters>
  <TotalTime>0</TotalTime>
  <ScaleCrop>false</ScaleCrop>
  <LinksUpToDate>false</LinksUpToDate>
  <CharactersWithSpaces>14915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2025-12-28T11:02:00Z</dcterms:created>
  <dc:creator>Apache POI</dc:creator>
  <cp:lastModifiedBy>一缕清风</cp:lastModifiedBy>
  <dcterms:modified xsi:type="dcterms:W3CDTF">2025-12-28T11:36:17Z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eyJoZGlkIjoiNjlhODQ4MjBkOGYwOTMwZGRjODFlOTQwYzQ3M2JiOWEiLCJ1c2VySWQiOiI1NzUzNjA1NDEifQ==</vt:lpwstr>
  </property>
  <property fmtid="{D5CDD505-2E9C-101B-9397-08002B2CF9AE}" pid="3" name="KSOProductBuildVer">
    <vt:lpwstr>2052-12.1.0.24034</vt:lpwstr>
  </property>
  <property fmtid="{D5CDD505-2E9C-101B-9397-08002B2CF9AE}" pid="4" name="ICV">
    <vt:lpwstr>38E14E28293E4851B0F8439829B956EA_12</vt:lpwstr>
  </property>
</Properties>
</file>