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6253E">
      <w:pPr>
        <w:spacing w:before="480" w:after="480" w:line="288" w:lineRule="auto"/>
        <w:ind w:left="0"/>
      </w:pPr>
      <w:r>
        <w:rPr>
          <w:rFonts w:ascii="Arial" w:hAnsi="Arial" w:eastAsia="等线" w:cs="Arial"/>
          <w:b/>
          <w:sz w:val="52"/>
        </w:rPr>
        <w:t>Chapter 6 Equity Securities: Corporate Ownership</w:t>
      </w:r>
    </w:p>
    <w:p w14:paraId="15FC67E1">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前言</w:t>
      </w:r>
      <w:bookmarkEnd w:id="0"/>
    </w:p>
    <w:p w14:paraId="5F1DBA48">
      <w:pPr>
        <w:spacing w:before="120" w:after="120" w:line="288" w:lineRule="auto"/>
        <w:ind w:left="0"/>
        <w:jc w:val="left"/>
      </w:pPr>
      <w:r>
        <w:rPr>
          <w:rFonts w:ascii="Arial" w:hAnsi="Arial" w:eastAsia="等线" w:cs="Arial"/>
          <w:sz w:val="22"/>
        </w:rPr>
        <w:t>在 SIE 中，Equity（权益证券）是核心模块之一，聚焦 “企业所有权凭证” 的本质、分类、特征及市场规则，考点围绕 “基础概念→核心类型（普通股 / 优先股）→特殊权益工具→市场操作与规则” 展开。</w:t>
      </w:r>
    </w:p>
    <w:p w14:paraId="5A5FC436">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2A117002">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基础概念：定义与本质</w:t>
      </w:r>
      <w:bookmarkEnd w:id="2"/>
    </w:p>
    <w:p w14:paraId="79C34B54">
      <w:pPr>
        <w:spacing w:before="120" w:after="120" w:line="288" w:lineRule="auto"/>
        <w:ind w:left="0"/>
        <w:jc w:val="left"/>
      </w:pPr>
      <w:r>
        <w:rPr>
          <w:rFonts w:ascii="Arial" w:hAnsi="Arial" w:eastAsia="等线" w:cs="Arial"/>
          <w:sz w:val="22"/>
        </w:rPr>
        <w:t>权益证券（Equity Security）是代表投资者对企业 “净资产所有权” 的凭证。</w:t>
      </w:r>
    </w:p>
    <w:p w14:paraId="4BFAC341">
      <w:pPr>
        <w:spacing w:before="120" w:after="120" w:line="288" w:lineRule="auto"/>
        <w:ind w:left="0"/>
        <w:jc w:val="left"/>
      </w:pPr>
    </w:p>
    <w:p w14:paraId="3A12F45F">
      <w:pPr>
        <w:spacing w:before="120" w:after="120" w:line="288" w:lineRule="auto"/>
        <w:ind w:left="0"/>
        <w:jc w:val="left"/>
      </w:pPr>
      <w:r>
        <w:rPr>
          <w:rFonts w:ascii="Arial" w:hAnsi="Arial" w:eastAsia="等线" w:cs="Arial"/>
          <w:sz w:val="22"/>
        </w:rPr>
        <w:t>投资者作为股东，享有 “风险共担、收益共享” 的权利，既是企业盈利的最终受益者，也是亏损的最终承担者（以出资额为限承担有限责任）。</w:t>
      </w:r>
    </w:p>
    <w:p w14:paraId="641BA968">
      <w:pPr>
        <w:spacing w:before="120" w:after="120" w:line="288" w:lineRule="auto"/>
        <w:ind w:left="0"/>
        <w:jc w:val="left"/>
      </w:pPr>
    </w:p>
    <w:p w14:paraId="0D29E423">
      <w:pPr>
        <w:spacing w:before="120" w:after="120" w:line="288" w:lineRule="auto"/>
        <w:ind w:left="0"/>
        <w:jc w:val="left"/>
      </w:pPr>
      <w:r>
        <w:rPr>
          <w:rFonts w:ascii="Arial" w:hAnsi="Arial" w:eastAsia="等线" w:cs="Arial"/>
          <w:sz w:val="22"/>
        </w:rPr>
        <w:t>与债务证券（Debt Security）的区别：</w:t>
      </w:r>
    </w:p>
    <w:p w14:paraId="05322ECE">
      <w:pPr>
        <w:spacing w:before="120" w:after="120" w:line="288" w:lineRule="auto"/>
        <w:ind w:left="0"/>
      </w:pPr>
      <w:r>
        <w:object>
          <v:shape id="_x0000_i1025" o:spt="75" type="#_x0000_t75" style="height:104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73DB7E41">
      <w:pPr>
        <w:spacing w:after="120"/>
        <w:ind w:left="0"/>
        <w:jc w:val="center"/>
      </w:pPr>
      <w:r>
        <w:rPr>
          <w:rFonts w:ascii="Arial" w:hAnsi="Arial" w:eastAsia="等线" w:cs="Arial"/>
          <w:b/>
          <w:sz w:val="22"/>
        </w:rPr>
        <w:t>点击图片可查看完整电子表格</w:t>
      </w:r>
    </w:p>
    <w:p w14:paraId="5EC6BC6C">
      <w:pPr>
        <w:spacing w:before="120" w:after="120" w:line="288" w:lineRule="auto"/>
        <w:ind w:left="0"/>
        <w:jc w:val="left"/>
      </w:pPr>
    </w:p>
    <w:p w14:paraId="3778A055">
      <w:pPr>
        <w:numPr>
          <w:ilvl w:val="0"/>
          <w:numId w:val="1"/>
        </w:numPr>
        <w:spacing w:before="120" w:after="120" w:line="288" w:lineRule="auto"/>
        <w:ind w:left="0"/>
        <w:jc w:val="left"/>
      </w:pPr>
      <w:r>
        <w:rPr>
          <w:rFonts w:ascii="Arial" w:hAnsi="Arial" w:eastAsia="等线" w:cs="Arial"/>
          <w:sz w:val="22"/>
        </w:rPr>
        <w:t>Equity 和 Equity Security  的区别</w:t>
      </w:r>
    </w:p>
    <w:p w14:paraId="4076B74C">
      <w:pPr>
        <w:spacing w:before="120" w:after="120" w:line="288" w:lineRule="auto"/>
        <w:ind w:left="0"/>
        <w:jc w:val="left"/>
      </w:pPr>
      <w:r>
        <w:rPr>
          <w:rFonts w:ascii="Arial" w:hAnsi="Arial" w:eastAsia="等线" w:cs="Arial"/>
          <w:sz w:val="22"/>
        </w:rPr>
        <w:t xml:space="preserve">可类比 “房屋产权（Equity） ” 与 “房产证（Equity Security） </w:t>
      </w:r>
    </w:p>
    <w:p w14:paraId="41BB4084">
      <w:pPr>
        <w:spacing w:before="120" w:after="120" w:line="288" w:lineRule="auto"/>
        <w:ind w:left="0"/>
        <w:jc w:val="left"/>
      </w:pPr>
    </w:p>
    <w:p w14:paraId="7C7F6469">
      <w:pPr>
        <w:spacing w:before="120" w:after="120" w:line="288" w:lineRule="auto"/>
        <w:ind w:left="0"/>
        <w:jc w:val="left"/>
      </w:pPr>
      <w:r>
        <w:rPr>
          <w:rFonts w:ascii="Arial" w:hAnsi="Arial" w:eastAsia="等线" w:cs="Arial"/>
          <w:sz w:val="22"/>
        </w:rPr>
        <w:t>房屋产权（Equity）是你对房子的核心权利：占有、使用、收益、处分。</w:t>
      </w:r>
    </w:p>
    <w:p w14:paraId="63987B9F">
      <w:pPr>
        <w:spacing w:before="120" w:after="120" w:line="288" w:lineRule="auto"/>
        <w:ind w:left="0"/>
        <w:jc w:val="left"/>
      </w:pPr>
    </w:p>
    <w:p w14:paraId="5DCFF227">
      <w:pPr>
        <w:spacing w:before="120" w:after="120" w:line="288" w:lineRule="auto"/>
        <w:ind w:left="0"/>
        <w:jc w:val="left"/>
      </w:pPr>
      <w:r>
        <w:rPr>
          <w:rFonts w:ascii="Arial" w:hAnsi="Arial" w:eastAsia="等线" w:cs="Arial"/>
          <w:sz w:val="22"/>
        </w:rPr>
        <w:t>房产证（Equity Security）是证明你享有该产权的凭证，没有房产证，你的产权难以确权和转让；有了房产证，产权才能标准化流转。</w:t>
      </w:r>
    </w:p>
    <w:p w14:paraId="7CF94808">
      <w:pPr>
        <w:spacing w:before="120" w:after="120" w:line="288" w:lineRule="auto"/>
        <w:ind w:left="0"/>
        <w:jc w:val="left"/>
      </w:pPr>
    </w:p>
    <w:p w14:paraId="2B0C3A6A">
      <w:pPr>
        <w:spacing w:before="120" w:after="120" w:line="288" w:lineRule="auto"/>
        <w:ind w:left="0"/>
        <w:jc w:val="left"/>
      </w:pPr>
      <w:r>
        <w:rPr>
          <w:rFonts w:ascii="Arial" w:hAnsi="Arial" w:eastAsia="等线" w:cs="Arial"/>
          <w:sz w:val="22"/>
        </w:rPr>
        <w:t>具体到金融市场，二者的绑定逻辑可拆解为两点：</w:t>
      </w:r>
    </w:p>
    <w:p w14:paraId="2DFE920C">
      <w:pPr>
        <w:spacing w:before="120" w:after="120" w:line="288" w:lineRule="auto"/>
        <w:ind w:left="0"/>
        <w:jc w:val="left"/>
      </w:pPr>
    </w:p>
    <w:p w14:paraId="7C9A8E85">
      <w:pPr>
        <w:numPr>
          <w:ilvl w:val="0"/>
          <w:numId w:val="2"/>
        </w:numPr>
        <w:spacing w:before="120" w:after="120" w:line="288" w:lineRule="auto"/>
        <w:ind w:left="0"/>
        <w:jc w:val="left"/>
      </w:pPr>
      <w:r>
        <w:rPr>
          <w:rFonts w:ascii="Arial" w:hAnsi="Arial" w:eastAsia="等线" w:cs="Arial"/>
          <w:sz w:val="22"/>
        </w:rPr>
        <w:t>Equity 是 Equity Security 的内核</w:t>
      </w:r>
      <w:r>
        <w:rPr>
          <w:rFonts w:ascii="Arial" w:hAnsi="Arial" w:eastAsia="等线" w:cs="Arial"/>
          <w:sz w:val="22"/>
        </w:rPr>
        <w:br w:type="textWrapping"/>
      </w:r>
    </w:p>
    <w:p w14:paraId="78690DF0">
      <w:pPr>
        <w:spacing w:before="120" w:after="120" w:line="288" w:lineRule="auto"/>
        <w:ind w:left="0"/>
        <w:jc w:val="left"/>
      </w:pPr>
      <w:r>
        <w:rPr>
          <w:rFonts w:ascii="Arial" w:hAnsi="Arial" w:eastAsia="等线" w:cs="Arial"/>
          <w:sz w:val="22"/>
        </w:rPr>
        <w:t>权益证券本身没有价值，其价值完全源于它所代表的 Equity（权益）。例如，苹果公司的普通股（Equity Security）之所以有价格，是因为它对应苹果公司的股东权益（包括对公司资产的剩余索取权、分享利润的权利等）—— 若苹果公司破产，股东权益归零，其普通股也会变成 “废纸”。</w:t>
      </w:r>
    </w:p>
    <w:p w14:paraId="39DA68AD">
      <w:pPr>
        <w:spacing w:before="120" w:after="120" w:line="288" w:lineRule="auto"/>
        <w:ind w:left="0"/>
        <w:jc w:val="left"/>
      </w:pPr>
    </w:p>
    <w:p w14:paraId="45C4F4B7">
      <w:pPr>
        <w:numPr>
          <w:ilvl w:val="0"/>
          <w:numId w:val="3"/>
        </w:numPr>
        <w:spacing w:before="120" w:after="120" w:line="288" w:lineRule="auto"/>
        <w:ind w:left="0"/>
        <w:jc w:val="left"/>
      </w:pPr>
      <w:r>
        <w:rPr>
          <w:rFonts w:ascii="Arial" w:hAnsi="Arial" w:eastAsia="等线" w:cs="Arial"/>
          <w:sz w:val="22"/>
        </w:rPr>
        <w:t>Equity Security 是 Equity 的实现工具</w:t>
      </w:r>
    </w:p>
    <w:p w14:paraId="165CFCA1">
      <w:pPr>
        <w:spacing w:before="120" w:after="120" w:line="288" w:lineRule="auto"/>
        <w:ind w:left="0"/>
        <w:jc w:val="left"/>
      </w:pPr>
      <w:r>
        <w:rPr>
          <w:rFonts w:ascii="Arial" w:hAnsi="Arial" w:eastAsia="等线" w:cs="Arial"/>
          <w:sz w:val="22"/>
        </w:rPr>
        <w:br w:type="textWrapping"/>
      </w:r>
      <w:r>
        <w:rPr>
          <w:rFonts w:ascii="Arial" w:hAnsi="Arial" w:eastAsia="等线" w:cs="Arial"/>
          <w:sz w:val="22"/>
        </w:rPr>
        <w:t>没有权益证券时，Equity（权益）难以流转：比如早期的 “合伙制企业权益”，只能通过私下协议转让，效率低、风险高。而权益证券（如股票）通过交易所标准化交易，让 Equity 可以快速、透明地转让（比如你在美股账户买 100 股苹果股票，本质Equity Security通过 “股票” 这个载体，获取了苹果公司 100 股对应的股东权益）。</w:t>
      </w:r>
    </w:p>
    <w:p w14:paraId="751B3F95">
      <w:pPr>
        <w:spacing w:before="120" w:after="120" w:line="288" w:lineRule="auto"/>
        <w:ind w:left="0"/>
        <w:jc w:val="left"/>
      </w:pPr>
    </w:p>
    <w:p w14:paraId="4965DE01">
      <w:pPr>
        <w:numPr>
          <w:ilvl w:val="0"/>
          <w:numId w:val="4"/>
        </w:numPr>
        <w:spacing w:before="120" w:after="120" w:line="288" w:lineRule="auto"/>
        <w:ind w:left="0"/>
        <w:jc w:val="left"/>
      </w:pPr>
      <w:r>
        <w:rPr>
          <w:rFonts w:ascii="Arial" w:hAnsi="Arial" w:eastAsia="等线" w:cs="Arial"/>
          <w:sz w:val="22"/>
        </w:rPr>
        <w:t>权益的来源构成（拓展理解）</w:t>
      </w:r>
    </w:p>
    <w:p w14:paraId="22F4BCCC">
      <w:pPr>
        <w:spacing w:before="120" w:after="120" w:line="288" w:lineRule="auto"/>
        <w:ind w:left="0"/>
        <w:jc w:val="left"/>
      </w:pPr>
      <w:r>
        <w:rPr>
          <w:rFonts w:ascii="Arial" w:hAnsi="Arial" w:eastAsia="等线" w:cs="Arial"/>
          <w:sz w:val="22"/>
        </w:rPr>
        <w:t>权益（Equity）本质是 “企业所有者对企业净资产的所有权”（净资产 = 资产 - 负债），是企业资金的两大来源之一（另一为负债）。其核心来源 “投入资本” 和 “留存收益”，分别对应 “所有者直接投入的外部资金” 和 “企业经营积累的内部资金”，二者的形成逻辑、核算规则和经济意义差异显著。</w:t>
      </w:r>
    </w:p>
    <w:p w14:paraId="7A0A8F1A">
      <w:pPr>
        <w:numPr>
          <w:ilvl w:val="0"/>
          <w:numId w:val="5"/>
        </w:numPr>
        <w:spacing w:before="120" w:after="120" w:line="288" w:lineRule="auto"/>
        <w:ind w:left="0"/>
        <w:jc w:val="left"/>
      </w:pPr>
      <w:r>
        <w:rPr>
          <w:rFonts w:ascii="Arial" w:hAnsi="Arial" w:eastAsia="等线" w:cs="Arial"/>
          <w:sz w:val="22"/>
        </w:rPr>
        <w:t>投入资本（Contributed Capital）：所有者直接投入的资金，包括：</w:t>
      </w:r>
    </w:p>
    <w:p w14:paraId="570254C4">
      <w:pPr>
        <w:numPr>
          <w:ilvl w:val="0"/>
          <w:numId w:val="6"/>
        </w:numPr>
        <w:spacing w:before="120" w:after="120" w:line="288" w:lineRule="auto"/>
        <w:ind w:left="453"/>
        <w:jc w:val="left"/>
      </w:pPr>
      <w:r>
        <w:rPr>
          <w:rFonts w:ascii="Arial" w:hAnsi="Arial" w:eastAsia="等线" w:cs="Arial"/>
          <w:sz w:val="22"/>
        </w:rPr>
        <w:t>实收资本 / 股本（Share Capital）：按股票 “面值（Par Value）” 计算的出资额（普通股面值通常为 $1，仅为记账用途，与市场价格无关）；</w:t>
      </w:r>
    </w:p>
    <w:p w14:paraId="75AAEF90">
      <w:pPr>
        <w:numPr>
          <w:ilvl w:val="0"/>
          <w:numId w:val="7"/>
        </w:numPr>
        <w:spacing w:before="120" w:after="120" w:line="288" w:lineRule="auto"/>
        <w:ind w:left="453"/>
        <w:jc w:val="left"/>
      </w:pPr>
      <w:r>
        <w:rPr>
          <w:rFonts w:ascii="Arial" w:hAnsi="Arial" w:eastAsia="等线" w:cs="Arial"/>
          <w:sz w:val="22"/>
        </w:rPr>
        <w:t>资本公积（Additional Paid-in Capital）：出资额超过面值的部分（如溢价发行股票的差额、股东追加投资超出注册资本的部分）。</w:t>
      </w:r>
    </w:p>
    <w:p w14:paraId="30187367">
      <w:pPr>
        <w:numPr>
          <w:ilvl w:val="0"/>
          <w:numId w:val="8"/>
        </w:numPr>
        <w:spacing w:before="120" w:after="120" w:line="288" w:lineRule="auto"/>
        <w:ind w:left="0"/>
        <w:jc w:val="left"/>
      </w:pPr>
      <w:r>
        <w:rPr>
          <w:rFonts w:ascii="Arial" w:hAnsi="Arial" w:eastAsia="等线" w:cs="Arial"/>
          <w:sz w:val="22"/>
        </w:rPr>
        <w:t>留存收益（Retained Earnings）：企业历年净利润扣除已分配股息后的累计余额，是 “内部积累的权益”，包括盈余公积（法定提取部分）和未分配利润（可用于再投资或未来分红）。</w:t>
      </w:r>
    </w:p>
    <w:p w14:paraId="5CC138B8">
      <w:pPr>
        <w:spacing w:before="120" w:after="120" w:line="288" w:lineRule="auto"/>
        <w:ind w:left="0"/>
      </w:pPr>
      <w:r>
        <w:object>
          <v:shape id="_x0000_i1026" o:spt="75" type="#_x0000_t75" style="height:136pt;width:414pt;" o:ole="t" filled="f" o:preferrelative="t" stroked="f" coordsize="21600,21600">
            <v:path/>
            <v:fill on="f" focussize="0,0"/>
            <v:stroke on="f" joinstyle="miter"/>
            <v:imagedata r:id="rId9" o:title=""/>
            <o:lock v:ext="edit" aspectratio="t"/>
            <w10:wrap type="none"/>
            <w10:anchorlock/>
          </v:shape>
          <o:OLEObject Type="Embed" ProgID="Excel.Sheet.12" ShapeID="_x0000_i1026" DrawAspect="Icon" ObjectID="_1468075726" r:id="rId8">
            <o:LockedField>false</o:LockedField>
          </o:OLEObject>
        </w:object>
      </w:r>
    </w:p>
    <w:p w14:paraId="133E419C">
      <w:pPr>
        <w:spacing w:after="120"/>
        <w:ind w:left="0"/>
        <w:jc w:val="center"/>
      </w:pPr>
      <w:r>
        <w:rPr>
          <w:rFonts w:ascii="Arial" w:hAnsi="Arial" w:eastAsia="等线" w:cs="Arial"/>
          <w:b/>
          <w:sz w:val="22"/>
        </w:rPr>
        <w:t>点击图片可查看完整电子表格</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5D5C0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4DBF9EC">
            <w:pPr>
              <w:spacing w:before="120" w:after="120" w:line="288" w:lineRule="auto"/>
              <w:ind w:left="0"/>
              <w:jc w:val="left"/>
            </w:pPr>
            <w:r>
              <w:rPr>
                <w:rFonts w:ascii="Arial" w:hAnsi="Arial" w:eastAsia="等线" w:cs="Arial"/>
                <w:sz w:val="22"/>
              </w:rPr>
              <w:t>把企业想成你和小伙伴开的 “糖果店”，“权益” 就是你们这些老板真正拥有的东西。</w:t>
            </w:r>
          </w:p>
          <w:p w14:paraId="3195E318">
            <w:pPr>
              <w:numPr>
                <w:ilvl w:val="0"/>
                <w:numId w:val="9"/>
              </w:numPr>
              <w:spacing w:before="120" w:after="120" w:line="288" w:lineRule="auto"/>
              <w:ind w:left="0"/>
              <w:jc w:val="left"/>
            </w:pPr>
            <w:r>
              <w:rPr>
                <w:rFonts w:ascii="Arial" w:hAnsi="Arial" w:eastAsia="等线" w:cs="Arial"/>
                <w:sz w:val="22"/>
              </w:rPr>
              <w:t>老板的东西怎么算？</w:t>
            </w:r>
          </w:p>
          <w:p w14:paraId="41930862">
            <w:pPr>
              <w:spacing w:before="120" w:after="120" w:line="288" w:lineRule="auto"/>
              <w:ind w:left="0"/>
              <w:jc w:val="left"/>
            </w:pPr>
            <w:r>
              <w:rPr>
                <w:rFonts w:ascii="Arial" w:hAnsi="Arial" w:eastAsia="等线" w:cs="Arial"/>
                <w:sz w:val="22"/>
              </w:rPr>
              <w:t>店里的糖果、罐子（资产），减去欠妈妈的钱（负债），剩下的就是你们真正拥有的（权益）。</w:t>
            </w:r>
          </w:p>
          <w:p w14:paraId="048E285C">
            <w:pPr>
              <w:spacing w:before="120" w:after="120" w:line="288" w:lineRule="auto"/>
              <w:ind w:left="0"/>
              <w:jc w:val="left"/>
            </w:pPr>
            <w:r>
              <w:rPr>
                <w:rFonts w:ascii="Arial" w:hAnsi="Arial" w:eastAsia="等线" w:cs="Arial"/>
                <w:sz w:val="22"/>
              </w:rPr>
              <w:t>比如：店里有 20 元的东西，欠妈妈 5 元，你们拥有的就是 20-5=15 元。</w:t>
            </w:r>
          </w:p>
          <w:p w14:paraId="7AD36DCD">
            <w:pPr>
              <w:numPr>
                <w:ilvl w:val="0"/>
                <w:numId w:val="10"/>
              </w:numPr>
              <w:spacing w:before="120" w:after="120" w:line="288" w:lineRule="auto"/>
              <w:ind w:left="0"/>
              <w:jc w:val="left"/>
            </w:pPr>
            <w:r>
              <w:rPr>
                <w:rFonts w:ascii="Arial" w:hAnsi="Arial" w:eastAsia="等线" w:cs="Arial"/>
                <w:sz w:val="22"/>
              </w:rPr>
              <w:t>老板的钱从哪来？</w:t>
            </w:r>
          </w:p>
          <w:p w14:paraId="67D4D93A">
            <w:pPr>
              <w:spacing w:before="120" w:after="120" w:line="288" w:lineRule="auto"/>
              <w:ind w:left="0"/>
              <w:jc w:val="left"/>
            </w:pPr>
            <w:r>
              <w:rPr>
                <w:rFonts w:ascii="Arial" w:hAnsi="Arial" w:eastAsia="等线" w:cs="Arial"/>
                <w:sz w:val="22"/>
              </w:rPr>
              <w:t>（1）大家凑的钱 —— 投入资本</w:t>
            </w:r>
          </w:p>
          <w:p w14:paraId="483AE8B0">
            <w:pPr>
              <w:numPr>
                <w:ilvl w:val="0"/>
                <w:numId w:val="11"/>
              </w:numPr>
              <w:spacing w:before="120" w:after="120" w:line="288" w:lineRule="auto"/>
              <w:ind w:left="0"/>
              <w:jc w:val="left"/>
            </w:pPr>
            <w:r>
              <w:rPr>
                <w:rFonts w:ascii="Arial" w:hAnsi="Arial" w:eastAsia="等线" w:cs="Arial"/>
                <w:sz w:val="22"/>
              </w:rPr>
              <w:t>约定好的本金：你、小明、小红各凑 10 元（提前说好的 “入场费”），共 30 元，这是 “实收资本”。</w:t>
            </w:r>
          </w:p>
          <w:p w14:paraId="13DA28CA">
            <w:pPr>
              <w:numPr>
                <w:ilvl w:val="0"/>
                <w:numId w:val="12"/>
              </w:numPr>
              <w:spacing w:before="120" w:after="120" w:line="288" w:lineRule="auto"/>
              <w:ind w:left="0"/>
              <w:jc w:val="left"/>
            </w:pPr>
            <w:r>
              <w:rPr>
                <w:rFonts w:ascii="Arial" w:hAnsi="Arial" w:eastAsia="等线" w:cs="Arial"/>
                <w:sz w:val="22"/>
              </w:rPr>
              <w:t>多凑的钱：小刚想加入，除了 10 元本金，多给 5 元，这 5 元是 “资本公积”。</w:t>
            </w:r>
          </w:p>
          <w:p w14:paraId="249C2208">
            <w:pPr>
              <w:spacing w:before="120" w:after="120" w:line="288" w:lineRule="auto"/>
              <w:ind w:left="0"/>
              <w:jc w:val="left"/>
            </w:pPr>
            <w:r>
              <w:rPr>
                <w:rFonts w:ascii="Arial" w:hAnsi="Arial" w:eastAsia="等线" w:cs="Arial"/>
                <w:sz w:val="22"/>
              </w:rPr>
              <w:t>（2）赚了钱没分完 —— 留存收益</w:t>
            </w:r>
          </w:p>
          <w:p w14:paraId="68A59FD2">
            <w:pPr>
              <w:numPr>
                <w:ilvl w:val="0"/>
                <w:numId w:val="13"/>
              </w:numPr>
              <w:spacing w:before="120" w:after="120" w:line="288" w:lineRule="auto"/>
              <w:ind w:left="0"/>
              <w:jc w:val="left"/>
            </w:pPr>
            <w:r>
              <w:rPr>
                <w:rFonts w:ascii="Arial" w:hAnsi="Arial" w:eastAsia="等线" w:cs="Arial"/>
                <w:sz w:val="22"/>
              </w:rPr>
              <w:t>必须存的备用金：店赚 50 元，留 10 元应急（比如罐子坏了买新的），这 10 元是 “盈余公积”。</w:t>
            </w:r>
          </w:p>
          <w:p w14:paraId="22D5F341">
            <w:pPr>
              <w:numPr>
                <w:ilvl w:val="0"/>
                <w:numId w:val="14"/>
              </w:numPr>
              <w:spacing w:before="120" w:after="120" w:line="288" w:lineRule="auto"/>
              <w:ind w:left="0"/>
              <w:jc w:val="left"/>
            </w:pPr>
            <w:r>
              <w:rPr>
                <w:rFonts w:ascii="Arial" w:hAnsi="Arial" w:eastAsia="等线" w:cs="Arial"/>
                <w:sz w:val="22"/>
              </w:rPr>
              <w:t>剩下能随便用的钱：赚的 50 元，分 20 元当零花钱，留 10 元备用金，最后剩的 20 元是 “未分配利润”，能买新糖果、贴贴纸。</w:t>
            </w:r>
          </w:p>
          <w:p w14:paraId="2546E7BD">
            <w:pPr>
              <w:spacing w:before="320" w:after="120" w:line="288" w:lineRule="auto"/>
              <w:ind w:left="0"/>
              <w:jc w:val="left"/>
              <w:outlineLvl w:val="1"/>
            </w:pPr>
            <w:bookmarkStart w:id="3" w:name="heading_3"/>
            <w:r>
              <w:rPr>
                <w:rFonts w:ascii="Arial" w:hAnsi="Arial" w:eastAsia="等线" w:cs="Arial"/>
                <w:b/>
                <w:sz w:val="32"/>
              </w:rPr>
              <w:t>总结</w:t>
            </w:r>
            <w:bookmarkEnd w:id="3"/>
          </w:p>
          <w:p w14:paraId="666C1318">
            <w:pPr>
              <w:spacing w:before="120" w:after="120" w:line="288" w:lineRule="auto"/>
              <w:ind w:left="0"/>
              <w:jc w:val="left"/>
            </w:pPr>
            <w:r>
              <w:rPr>
                <w:rFonts w:ascii="Arial" w:hAnsi="Arial" w:eastAsia="等线" w:cs="Arial"/>
                <w:sz w:val="22"/>
              </w:rPr>
              <w:t>老板的钱 = 凑的钱（40+5）+ 存的钱（10+20），这就是你们真正的 “小店家产”</w:t>
            </w:r>
          </w:p>
        </w:tc>
      </w:tr>
    </w:tbl>
    <w:p w14:paraId="69F33CDB">
      <w:pPr>
        <w:spacing w:before="320" w:after="120" w:line="288" w:lineRule="auto"/>
        <w:ind w:left="0"/>
        <w:jc w:val="left"/>
        <w:outlineLvl w:val="1"/>
      </w:pPr>
      <w:bookmarkStart w:id="4" w:name="heading_4"/>
      <w:r>
        <w:rPr>
          <w:rFonts w:ascii="Arial" w:hAnsi="Arial" w:eastAsia="等线" w:cs="Arial"/>
          <w:color w:val="3370FF"/>
          <w:sz w:val="32"/>
        </w:rPr>
        <w:t xml:space="preserve">2.2 </w:t>
      </w:r>
      <w:r>
        <w:rPr>
          <w:rFonts w:ascii="Arial" w:hAnsi="Arial" w:eastAsia="等线" w:cs="Arial"/>
          <w:b/>
          <w:sz w:val="32"/>
        </w:rPr>
        <w:t>权益证券的核心类型及特征</w:t>
      </w:r>
      <w:bookmarkEnd w:id="4"/>
    </w:p>
    <w:p w14:paraId="096C09A6">
      <w:pPr>
        <w:spacing w:before="300" w:after="120" w:line="288" w:lineRule="auto"/>
        <w:ind w:left="0"/>
        <w:jc w:val="left"/>
        <w:outlineLvl w:val="2"/>
      </w:pPr>
      <w:bookmarkStart w:id="5" w:name="heading_5"/>
      <w:r>
        <w:rPr>
          <w:rFonts w:ascii="Arial" w:hAnsi="Arial" w:eastAsia="等线" w:cs="Arial"/>
          <w:color w:val="3370FF"/>
          <w:sz w:val="30"/>
        </w:rPr>
        <w:t xml:space="preserve">2.2.1 </w:t>
      </w:r>
      <w:r>
        <w:rPr>
          <w:rFonts w:ascii="Arial" w:hAnsi="Arial" w:eastAsia="等线" w:cs="Arial"/>
          <w:b/>
          <w:sz w:val="30"/>
        </w:rPr>
        <w:t>概念引入与场景说明</w:t>
      </w:r>
      <w:bookmarkEnd w:id="5"/>
    </w:p>
    <w:p w14:paraId="687AE6A5">
      <w:pPr>
        <w:spacing w:before="120" w:after="120" w:line="288" w:lineRule="auto"/>
        <w:ind w:left="0"/>
        <w:jc w:val="left"/>
      </w:pPr>
      <w:r>
        <w:rPr>
          <w:rFonts w:ascii="Arial" w:hAnsi="Arial" w:eastAsia="等线" w:cs="Arial"/>
          <w:sz w:val="22"/>
        </w:rPr>
        <w:t>权益证券的本质是公司所有权的证明，它代表了一种剩余索取权和与公司成长共担风险、共享收益的关系。</w:t>
      </w:r>
    </w:p>
    <w:p w14:paraId="766664DE">
      <w:pPr>
        <w:spacing w:before="120" w:after="120" w:line="288" w:lineRule="auto"/>
        <w:ind w:left="0"/>
        <w:jc w:val="left"/>
      </w:pPr>
    </w:p>
    <w:p w14:paraId="015A26EA">
      <w:pPr>
        <w:spacing w:before="120" w:after="120" w:line="288" w:lineRule="auto"/>
        <w:ind w:left="0"/>
        <w:jc w:val="left"/>
      </w:pPr>
      <w:r>
        <w:rPr>
          <w:rFonts w:ascii="Arial" w:hAnsi="Arial" w:eastAsia="等线" w:cs="Arial"/>
          <w:sz w:val="22"/>
        </w:rPr>
        <w:t>核心分类为普通股（Common Stock）、优先股（Preferred Stock） ，及衍生的特殊权益证券。</w:t>
      </w:r>
    </w:p>
    <w:p w14:paraId="3F8C661F">
      <w:pPr>
        <w:spacing w:before="120" w:after="120" w:line="288" w:lineRule="auto"/>
        <w:ind w:left="0"/>
        <w:jc w:val="left"/>
      </w:pPr>
    </w:p>
    <w:p w14:paraId="7E66C2A5">
      <w:pPr>
        <w:numPr>
          <w:ilvl w:val="0"/>
          <w:numId w:val="15"/>
        </w:numPr>
        <w:spacing w:before="120" w:after="120" w:line="288" w:lineRule="auto"/>
        <w:ind w:left="0"/>
        <w:jc w:val="left"/>
      </w:pPr>
      <w:r>
        <w:rPr>
          <w:rFonts w:ascii="Arial" w:hAnsi="Arial" w:eastAsia="等线" w:cs="Arial"/>
          <w:sz w:val="22"/>
        </w:rPr>
        <w:t>普通股和优先股是 “基础股权证券”，核心差异在股东权利。</w:t>
      </w:r>
    </w:p>
    <w:p w14:paraId="7511A89C">
      <w:pPr>
        <w:numPr>
          <w:ilvl w:val="0"/>
          <w:numId w:val="16"/>
        </w:numPr>
        <w:spacing w:before="120" w:after="120" w:line="288" w:lineRule="auto"/>
        <w:ind w:left="453"/>
        <w:jc w:val="left"/>
      </w:pPr>
      <w:r>
        <w:rPr>
          <w:rFonts w:ascii="Arial" w:hAnsi="Arial" w:eastAsia="等线" w:cs="Arial"/>
          <w:sz w:val="22"/>
        </w:rPr>
        <w:t>普通股是 “公司所有权的代表”—— 其面值无实际意义，价格受成长预期驱动，核心诉求是 “长期增值 + 参与决策”。</w:t>
      </w:r>
    </w:p>
    <w:p w14:paraId="163F22A5">
      <w:pPr>
        <w:numPr>
          <w:ilvl w:val="0"/>
          <w:numId w:val="17"/>
        </w:numPr>
        <w:spacing w:before="120" w:after="120" w:line="288" w:lineRule="auto"/>
        <w:ind w:left="453"/>
        <w:jc w:val="left"/>
      </w:pPr>
      <w:r>
        <w:rPr>
          <w:rFonts w:ascii="Arial" w:hAnsi="Arial" w:eastAsia="等线" w:cs="Arial"/>
          <w:sz w:val="22"/>
        </w:rPr>
        <w:t>优先股是 “披着股权外衣的类债券”—— 其面值是 “固定收益的契约基准”，价格受利率驱动，核心诉求是 “稳定股息 + 优先保障”；</w:t>
      </w:r>
    </w:p>
    <w:p w14:paraId="446CB39B">
      <w:pPr>
        <w:spacing w:before="120" w:after="120" w:line="288" w:lineRule="auto"/>
        <w:ind w:left="0"/>
        <w:jc w:val="left"/>
      </w:pPr>
      <w:r>
        <w:rPr>
          <w:rFonts w:ascii="Arial" w:hAnsi="Arial" w:eastAsia="等线" w:cs="Arial"/>
          <w:sz w:val="22"/>
        </w:rPr>
        <w:t>在美股市场，优先股多被追求 “低风险、稳定现金流” 的机构投资者（如保险公司、养老基金）持有；普通股则被追求 “长期回报” 的个人投资者或成长型基金持有，二者分别匹配不同的投资需求。</w:t>
      </w:r>
    </w:p>
    <w:p w14:paraId="1BE7A3AC">
      <w:pPr>
        <w:numPr>
          <w:ilvl w:val="0"/>
          <w:numId w:val="18"/>
        </w:numPr>
        <w:spacing w:before="120" w:after="120" w:line="288" w:lineRule="auto"/>
        <w:ind w:left="0"/>
        <w:jc w:val="left"/>
      </w:pPr>
      <w:r>
        <w:rPr>
          <w:rFonts w:ascii="Arial" w:hAnsi="Arial" w:eastAsia="等线" w:cs="Arial"/>
          <w:sz w:val="22"/>
        </w:rPr>
        <w:t>ADR 是 “跨境股权的载体”，本身不创造新权利。</w:t>
      </w:r>
    </w:p>
    <w:p w14:paraId="1F255EF0">
      <w:pPr>
        <w:numPr>
          <w:ilvl w:val="0"/>
          <w:numId w:val="19"/>
        </w:numPr>
        <w:spacing w:before="120" w:after="120" w:line="288" w:lineRule="auto"/>
        <w:ind w:left="0"/>
        <w:jc w:val="left"/>
      </w:pPr>
      <w:r>
        <w:rPr>
          <w:rFonts w:ascii="Arial" w:hAnsi="Arial" w:eastAsia="等线" w:cs="Arial"/>
          <w:sz w:val="22"/>
        </w:rPr>
        <w:t>Rights (配股权) 和 Warrant（认股权证）是 “衍生股权工具”，核心是 “以约定价格认购股票的权利”。</w:t>
      </w:r>
    </w:p>
    <w:p w14:paraId="4651C5FF">
      <w:pPr>
        <w:spacing w:before="120" w:after="120" w:line="288" w:lineRule="auto"/>
        <w:ind w:left="0"/>
        <w:jc w:val="left"/>
      </w:pPr>
    </w:p>
    <w:p w14:paraId="3E176FBE">
      <w:pPr>
        <w:spacing w:before="120" w:after="120" w:line="288" w:lineRule="auto"/>
        <w:ind w:left="0"/>
        <w:jc w:val="left"/>
      </w:pPr>
      <w:r>
        <w:rPr>
          <w:rFonts w:ascii="Arial" w:hAnsi="Arial" w:eastAsia="等线" w:cs="Arial"/>
          <w:sz w:val="22"/>
        </w:rPr>
        <w:t>使用场景举例：</w:t>
      </w:r>
    </w:p>
    <w:p w14:paraId="01EBB89F">
      <w:pPr>
        <w:numPr>
          <w:ilvl w:val="0"/>
          <w:numId w:val="20"/>
        </w:numPr>
        <w:spacing w:before="120" w:after="120" w:line="288" w:lineRule="auto"/>
        <w:ind w:left="0"/>
        <w:jc w:val="left"/>
      </w:pPr>
      <w:r>
        <w:rPr>
          <w:rFonts w:ascii="Arial" w:hAnsi="Arial" w:eastAsia="等线" w:cs="Arial"/>
          <w:sz w:val="22"/>
        </w:rPr>
        <w:t>若想 “成为公司所有者、参与决策并博取长期成长”，选普通股；</w:t>
      </w:r>
    </w:p>
    <w:p w14:paraId="7F216F77">
      <w:pPr>
        <w:numPr>
          <w:ilvl w:val="0"/>
          <w:numId w:val="21"/>
        </w:numPr>
        <w:spacing w:before="120" w:after="120" w:line="288" w:lineRule="auto"/>
        <w:ind w:left="0"/>
        <w:jc w:val="left"/>
      </w:pPr>
      <w:r>
        <w:rPr>
          <w:rFonts w:ascii="Arial" w:hAnsi="Arial" w:eastAsia="等线" w:cs="Arial"/>
          <w:sz w:val="22"/>
        </w:rPr>
        <w:t>若想 “获取稳定股息、规避大幅波动”，选优先股；</w:t>
      </w:r>
    </w:p>
    <w:p w14:paraId="5146B368">
      <w:pPr>
        <w:numPr>
          <w:ilvl w:val="0"/>
          <w:numId w:val="22"/>
        </w:numPr>
        <w:spacing w:before="120" w:after="120" w:line="288" w:lineRule="auto"/>
        <w:ind w:left="0"/>
        <w:jc w:val="left"/>
      </w:pPr>
      <w:r>
        <w:rPr>
          <w:rFonts w:ascii="Arial" w:hAnsi="Arial" w:eastAsia="等线" w:cs="Arial"/>
          <w:sz w:val="22"/>
        </w:rPr>
        <w:t>若想 “投资外国公司、方便美股 交易”，选ADR（底层需匹配普通股 / 优先股需求）；</w:t>
      </w:r>
    </w:p>
    <w:p w14:paraId="1AB0D63E">
      <w:pPr>
        <w:numPr>
          <w:ilvl w:val="0"/>
          <w:numId w:val="23"/>
        </w:numPr>
        <w:spacing w:before="120" w:after="120" w:line="288" w:lineRule="auto"/>
        <w:ind w:left="0"/>
        <w:jc w:val="left"/>
      </w:pPr>
      <w:r>
        <w:rPr>
          <w:rFonts w:ascii="Arial" w:hAnsi="Arial" w:eastAsia="等线" w:cs="Arial"/>
          <w:sz w:val="22"/>
        </w:rPr>
        <w:t>若想 “低成本参与公司增发、短期获利”，选股权认购权 Rights；</w:t>
      </w:r>
    </w:p>
    <w:p w14:paraId="346031F7">
      <w:pPr>
        <w:numPr>
          <w:ilvl w:val="0"/>
          <w:numId w:val="24"/>
        </w:numPr>
        <w:spacing w:before="120" w:after="120" w:line="288" w:lineRule="auto"/>
        <w:ind w:left="0"/>
        <w:jc w:val="left"/>
      </w:pPr>
      <w:r>
        <w:rPr>
          <w:rFonts w:ascii="Arial" w:hAnsi="Arial" w:eastAsia="等线" w:cs="Arial"/>
          <w:sz w:val="22"/>
        </w:rPr>
        <w:t>若想 “以小博大、赌公司未来股价上涨”，选认股权证 Warrants（需承担行权价高于股价的作废风险）。</w:t>
      </w:r>
    </w:p>
    <w:p w14:paraId="23FAB064">
      <w:pPr>
        <w:spacing w:before="120" w:after="120" w:line="288" w:lineRule="auto"/>
        <w:ind w:left="0"/>
        <w:jc w:val="left"/>
      </w:pPr>
    </w:p>
    <w:p w14:paraId="65ABCE03">
      <w:pPr>
        <w:spacing w:before="300" w:after="120" w:line="288" w:lineRule="auto"/>
        <w:ind w:left="0"/>
        <w:jc w:val="left"/>
        <w:outlineLvl w:val="2"/>
      </w:pPr>
      <w:bookmarkStart w:id="6" w:name="heading_6"/>
      <w:r>
        <w:rPr>
          <w:rFonts w:ascii="Arial" w:hAnsi="Arial" w:eastAsia="等线" w:cs="Arial"/>
          <w:color w:val="3370FF"/>
          <w:sz w:val="30"/>
        </w:rPr>
        <w:t xml:space="preserve">2.2.2 </w:t>
      </w:r>
      <w:r>
        <w:rPr>
          <w:rFonts w:ascii="Arial" w:hAnsi="Arial" w:eastAsia="等线" w:cs="Arial"/>
          <w:b/>
          <w:sz w:val="30"/>
        </w:rPr>
        <w:t>普通股（Common Stock）</w:t>
      </w:r>
      <w:bookmarkEnd w:id="6"/>
    </w:p>
    <w:p w14:paraId="3FAEBFBA">
      <w:pPr>
        <w:spacing w:before="120" w:after="120" w:line="288" w:lineRule="auto"/>
        <w:ind w:left="0"/>
        <w:jc w:val="left"/>
      </w:pPr>
      <w:r>
        <w:rPr>
          <w:rFonts w:ascii="Arial" w:hAnsi="Arial" w:eastAsia="等线" w:cs="Arial"/>
          <w:sz w:val="22"/>
        </w:rPr>
        <w:t>作为一种权益证券，普通股代表着对发行公司的所有权（Ownership）。</w:t>
      </w:r>
    </w:p>
    <w:p w14:paraId="3D36B28B">
      <w:pPr>
        <w:spacing w:before="120" w:after="120" w:line="288" w:lineRule="auto"/>
        <w:ind w:left="0"/>
        <w:jc w:val="left"/>
      </w:pPr>
    </w:p>
    <w:p w14:paraId="5AF7050C">
      <w:pPr>
        <w:spacing w:before="120" w:after="120" w:line="288" w:lineRule="auto"/>
        <w:ind w:left="0"/>
        <w:jc w:val="left"/>
      </w:pPr>
      <w:r>
        <w:rPr>
          <w:rFonts w:ascii="Arial" w:hAnsi="Arial" w:eastAsia="等线" w:cs="Arial"/>
          <w:sz w:val="22"/>
        </w:rPr>
        <w:t>如果一家公司发行100万股股票，那么每一股就代表着对该发行公司百万分之一的所有权。普通股的市场价值取决于公司的价值（或感知价值 perceived worth）—— 流通股数量、供求关系等等。</w:t>
      </w:r>
    </w:p>
    <w:p w14:paraId="17A376DE">
      <w:pPr>
        <w:spacing w:before="120" w:after="120" w:line="288" w:lineRule="auto"/>
        <w:ind w:left="0"/>
        <w:jc w:val="left"/>
      </w:pPr>
    </w:p>
    <w:p w14:paraId="718183A3">
      <w:pPr>
        <w:spacing w:before="120" w:after="120" w:line="288" w:lineRule="auto"/>
        <w:ind w:left="0"/>
        <w:jc w:val="left"/>
      </w:pPr>
      <w:r>
        <w:rPr>
          <w:rFonts w:ascii="Arial" w:hAnsi="Arial" w:eastAsia="等线" w:cs="Arial"/>
          <w:sz w:val="22"/>
        </w:rPr>
        <w:t>作为最核心的权益证券，文档强调其“剩余权利”属性，即股东对公司资产、收益的分配权排在债权人、优先股股东之后，但享有完整的所有权（Ownership）相关权利。</w:t>
      </w:r>
    </w:p>
    <w:p w14:paraId="77F0A0C3">
      <w:pPr>
        <w:spacing w:before="120" w:after="120" w:line="288" w:lineRule="auto"/>
        <w:ind w:left="0"/>
        <w:jc w:val="left"/>
      </w:pPr>
    </w:p>
    <w:p w14:paraId="0D356EB0">
      <w:pPr>
        <w:spacing w:before="260" w:after="120" w:line="288" w:lineRule="auto"/>
        <w:ind w:left="0"/>
        <w:jc w:val="left"/>
        <w:outlineLvl w:val="3"/>
      </w:pPr>
      <w:bookmarkStart w:id="7" w:name="heading_7"/>
      <w:r>
        <w:rPr>
          <w:rFonts w:ascii="Arial" w:hAnsi="Arial" w:eastAsia="等线" w:cs="Arial"/>
          <w:color w:val="3370FF"/>
          <w:sz w:val="28"/>
        </w:rPr>
        <w:t xml:space="preserve">2.2.2.1 </w:t>
      </w:r>
      <w:r>
        <w:rPr>
          <w:rFonts w:ascii="Arial" w:hAnsi="Arial" w:eastAsia="等线" w:cs="Arial"/>
          <w:b/>
          <w:sz w:val="28"/>
        </w:rPr>
        <w:t>核心权利：  投票权（Voting Rights）</w:t>
      </w:r>
      <w:bookmarkEnd w:id="7"/>
    </w:p>
    <w:p w14:paraId="1EB8EC67">
      <w:pPr>
        <w:spacing w:before="120" w:after="120" w:line="288" w:lineRule="auto"/>
        <w:ind w:left="0"/>
        <w:jc w:val="left"/>
      </w:pPr>
      <w:r>
        <w:rPr>
          <w:rFonts w:ascii="Arial" w:hAnsi="Arial" w:eastAsia="等线" w:cs="Arial"/>
          <w:sz w:val="22"/>
        </w:rPr>
        <w:t>默认享有投票权，用于选举董事会成员（Members of the Board of Directors）、表决重大事项（如股票拆分、并购）。</w:t>
      </w:r>
    </w:p>
    <w:p w14:paraId="16F72718">
      <w:pPr>
        <w:spacing w:before="120" w:after="120" w:line="288" w:lineRule="auto"/>
        <w:ind w:left="0"/>
        <w:jc w:val="left"/>
      </w:pPr>
    </w:p>
    <w:p w14:paraId="1446A75C">
      <w:pPr>
        <w:spacing w:before="120" w:after="120" w:line="288" w:lineRule="auto"/>
        <w:ind w:left="0"/>
        <w:jc w:val="left"/>
      </w:pPr>
      <w:r>
        <w:rPr>
          <w:rFonts w:ascii="Arial" w:hAnsi="Arial" w:eastAsia="等线" w:cs="Arial"/>
          <w:sz w:val="22"/>
        </w:rPr>
        <w:t xml:space="preserve">投票权分两种方式：  </w:t>
      </w:r>
    </w:p>
    <w:p w14:paraId="24326B1D">
      <w:pPr>
        <w:spacing w:before="120" w:after="120" w:line="288" w:lineRule="auto"/>
        <w:ind w:left="0"/>
        <w:jc w:val="left"/>
      </w:pPr>
    </w:p>
    <w:p w14:paraId="2C02371D">
      <w:pPr>
        <w:numPr>
          <w:ilvl w:val="0"/>
          <w:numId w:val="25"/>
        </w:numPr>
        <w:spacing w:before="120" w:after="120" w:line="288" w:lineRule="auto"/>
        <w:ind w:left="0"/>
        <w:jc w:val="left"/>
      </w:pPr>
      <w:r>
        <w:rPr>
          <w:rFonts w:ascii="Arial" w:hAnsi="Arial" w:eastAsia="等线" w:cs="Arial"/>
          <w:sz w:val="22"/>
        </w:rPr>
        <w:t>法定投票（Statutory Voting）</w:t>
      </w:r>
    </w:p>
    <w:p w14:paraId="1AFF9BF5">
      <w:pPr>
        <w:spacing w:before="120" w:after="120" w:line="288" w:lineRule="auto"/>
        <w:ind w:left="0"/>
        <w:jc w:val="left"/>
      </w:pPr>
      <w:r>
        <w:rPr>
          <w:rFonts w:ascii="Arial" w:hAnsi="Arial" w:eastAsia="等线" w:cs="Arial"/>
          <w:sz w:val="22"/>
        </w:rPr>
        <w:t>也就常规投票（Regular Voting），是公司向股东提供的最常见的投票方式。</w:t>
      </w:r>
    </w:p>
    <w:p w14:paraId="0D704420">
      <w:pPr>
        <w:spacing w:before="120" w:after="120" w:line="288" w:lineRule="auto"/>
        <w:ind w:left="0"/>
        <w:jc w:val="left"/>
      </w:pPr>
      <w:r>
        <w:rPr>
          <w:rFonts w:ascii="Arial" w:hAnsi="Arial" w:eastAsia="等线" w:cs="Arial"/>
          <w:sz w:val="22"/>
        </w:rPr>
        <w:t xml:space="preserve">1股对应1票董事会席位，需平均分配票数，如1000股×4席位=4000票，每席位投1000票。  </w:t>
      </w:r>
    </w:p>
    <w:p w14:paraId="0CA087CC">
      <w:pPr>
        <w:spacing w:before="120" w:after="120" w:line="288" w:lineRule="auto"/>
        <w:ind w:left="0"/>
        <w:jc w:val="left"/>
      </w:pPr>
    </w:p>
    <w:p w14:paraId="146DDC5C">
      <w:pPr>
        <w:numPr>
          <w:ilvl w:val="0"/>
          <w:numId w:val="26"/>
        </w:numPr>
        <w:spacing w:before="120" w:after="120" w:line="288" w:lineRule="auto"/>
        <w:ind w:left="0"/>
        <w:jc w:val="left"/>
      </w:pPr>
      <w:r>
        <w:rPr>
          <w:rFonts w:ascii="Arial" w:hAnsi="Arial" w:eastAsia="等线" w:cs="Arial"/>
          <w:sz w:val="22"/>
        </w:rPr>
        <w:t>累积投票（Cumulative Voting）</w:t>
      </w:r>
    </w:p>
    <w:p w14:paraId="3DC62E1D">
      <w:pPr>
        <w:spacing w:before="120" w:after="120" w:line="288" w:lineRule="auto"/>
        <w:ind w:left="0"/>
        <w:jc w:val="left"/>
      </w:pPr>
      <w:r>
        <w:rPr>
          <w:rFonts w:ascii="Arial" w:hAnsi="Arial" w:eastAsia="等线" w:cs="Arial"/>
          <w:sz w:val="22"/>
        </w:rPr>
        <w:t xml:space="preserve">总票数=股数×席位，可集中投给1名或多名候选人（如1000股×3席位=3000票，可全投1人），利好中小股东。  </w:t>
      </w:r>
    </w:p>
    <w:tbl>
      <w:tblPr>
        <w:tblStyle w:val="2"/>
        <w:tblW w:w="0" w:type="auto"/>
        <w:tblInd w:w="453"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7827"/>
      </w:tblGrid>
      <w:tr w14:paraId="03E0D26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7827" w:type="dxa"/>
            <w:shd w:val="clear" w:color="auto" w:fill="F5F6F7"/>
            <w:tcMar>
              <w:top w:w="60" w:type="dxa"/>
              <w:left w:w="120" w:type="dxa"/>
              <w:bottom w:w="30" w:type="dxa"/>
              <w:right w:w="120" w:type="dxa"/>
            </w:tcMar>
          </w:tcPr>
          <w:p w14:paraId="6C8794D0">
            <w:pPr>
              <w:spacing w:before="120" w:after="120" w:line="288" w:lineRule="auto"/>
              <w:ind w:left="0"/>
              <w:jc w:val="left"/>
            </w:pPr>
            <w:r>
              <w:rPr>
                <w:rFonts w:ascii="Arial" w:hAnsi="Arial" w:eastAsia="等线" w:cs="Arial"/>
                <w:sz w:val="22"/>
              </w:rPr>
              <w:t>想象一个场景：班里要选 2 名 “图书管理员”（就像公司选董事），现在有 3 个同学想参选，分别是小艾、小布、小迪。班里有 2 个 “小股东”—— 小明有 2 张投票券（就像 2 股股票），小红有 3 张投票券（就像 3 股股票）。接下来看看两种投票规则怎么用～</w:t>
            </w:r>
          </w:p>
          <w:p w14:paraId="2D3CECFB">
            <w:pPr>
              <w:spacing w:before="120" w:after="120" w:line="288" w:lineRule="auto"/>
              <w:ind w:left="0"/>
              <w:jc w:val="left"/>
            </w:pPr>
          </w:p>
          <w:p w14:paraId="08A6017D">
            <w:pPr>
              <w:numPr>
                <w:ilvl w:val="0"/>
                <w:numId w:val="27"/>
              </w:numPr>
              <w:spacing w:before="120" w:after="120" w:line="288" w:lineRule="auto"/>
              <w:ind w:left="0"/>
              <w:jc w:val="left"/>
            </w:pPr>
            <w:r>
              <w:rPr>
                <w:rFonts w:ascii="Arial" w:hAnsi="Arial" w:eastAsia="等线" w:cs="Arial"/>
                <w:sz w:val="22"/>
              </w:rPr>
              <w:t>累积投票制：把票 “凑一起” 投给喜欢的人</w:t>
            </w:r>
          </w:p>
          <w:p w14:paraId="5E207D9D">
            <w:pPr>
              <w:spacing w:before="120" w:after="120" w:line="288" w:lineRule="auto"/>
              <w:ind w:left="0"/>
              <w:jc w:val="left"/>
            </w:pPr>
            <w:r>
              <w:rPr>
                <w:rFonts w:ascii="Arial" w:hAnsi="Arial" w:eastAsia="等线" w:cs="Arial"/>
                <w:sz w:val="22"/>
              </w:rPr>
              <w:t>这种规则下，每个人的总票数 = 手里的投票券数量 × 要选的管理员人数（这里要选 2 人）。</w:t>
            </w:r>
          </w:p>
          <w:p w14:paraId="76188DD7">
            <w:pPr>
              <w:numPr>
                <w:ilvl w:val="0"/>
                <w:numId w:val="28"/>
              </w:numPr>
              <w:spacing w:before="120" w:after="120" w:line="288" w:lineRule="auto"/>
              <w:ind w:left="0"/>
              <w:jc w:val="left"/>
            </w:pPr>
            <w:r>
              <w:rPr>
                <w:rFonts w:ascii="Arial" w:hAnsi="Arial" w:eastAsia="等线" w:cs="Arial"/>
                <w:sz w:val="22"/>
              </w:rPr>
              <w:t>小明的总票数：2 张券 ×2 个名额 = 4 票</w:t>
            </w:r>
          </w:p>
          <w:p w14:paraId="0C4A085E">
            <w:pPr>
              <w:numPr>
                <w:ilvl w:val="0"/>
                <w:numId w:val="29"/>
              </w:numPr>
              <w:spacing w:before="120" w:after="120" w:line="288" w:lineRule="auto"/>
              <w:ind w:left="0"/>
              <w:jc w:val="left"/>
            </w:pPr>
            <w:r>
              <w:rPr>
                <w:rFonts w:ascii="Arial" w:hAnsi="Arial" w:eastAsia="等线" w:cs="Arial"/>
                <w:sz w:val="22"/>
              </w:rPr>
              <w:t>小红的总票数：3 张券 ×2 个名额 = 6 票</w:t>
            </w:r>
          </w:p>
          <w:p w14:paraId="37C11339">
            <w:pPr>
              <w:spacing w:before="120" w:after="120" w:line="288" w:lineRule="auto"/>
              <w:ind w:left="0"/>
              <w:jc w:val="left"/>
            </w:pPr>
          </w:p>
          <w:p w14:paraId="2E74DE64">
            <w:pPr>
              <w:spacing w:before="120" w:after="120" w:line="288" w:lineRule="auto"/>
              <w:ind w:left="0"/>
              <w:jc w:val="left"/>
            </w:pPr>
            <w:r>
              <w:rPr>
                <w:rFonts w:ascii="Arial" w:hAnsi="Arial" w:eastAsia="等线" w:cs="Arial"/>
                <w:sz w:val="22"/>
              </w:rPr>
              <w:t>关键：票数可以随便分给候选人，甚至全给一个人！</w:t>
            </w:r>
          </w:p>
          <w:p w14:paraId="2DC086EA">
            <w:pPr>
              <w:spacing w:before="120" w:after="120" w:line="288" w:lineRule="auto"/>
              <w:ind w:left="0"/>
              <w:jc w:val="left"/>
            </w:pPr>
            <w:r>
              <w:rPr>
                <w:rFonts w:ascii="Arial" w:hAnsi="Arial" w:eastAsia="等线" w:cs="Arial"/>
                <w:sz w:val="22"/>
              </w:rPr>
              <w:t>比如小明特别想让小艾当选，就可以把 4 票全投给小艾；小红觉得小布和小迪都不错，就可以给小布 3 票、小迪 3 票。</w:t>
            </w:r>
          </w:p>
          <w:p w14:paraId="6C86D076">
            <w:pPr>
              <w:spacing w:before="120" w:after="120" w:line="288" w:lineRule="auto"/>
              <w:ind w:left="0"/>
              <w:jc w:val="left"/>
            </w:pPr>
            <w:r>
              <w:rPr>
                <w:rFonts w:ascii="Arial" w:hAnsi="Arial" w:eastAsia="等线" w:cs="Arial"/>
                <w:sz w:val="22"/>
              </w:rPr>
              <w:t>这样一来，哪怕小明的投票券少（像小股东），只要把票集中投给一个人，也有机会让自己支持的人当选，不会因为票少就 “没声音”。</w:t>
            </w:r>
          </w:p>
          <w:p w14:paraId="3B1BEBE5">
            <w:pPr>
              <w:spacing w:before="120" w:after="120" w:line="288" w:lineRule="auto"/>
              <w:ind w:left="0"/>
              <w:jc w:val="left"/>
            </w:pPr>
          </w:p>
          <w:p w14:paraId="0727DBCF">
            <w:pPr>
              <w:numPr>
                <w:ilvl w:val="0"/>
                <w:numId w:val="30"/>
              </w:numPr>
              <w:spacing w:before="120" w:after="120" w:line="288" w:lineRule="auto"/>
              <w:ind w:left="0"/>
              <w:jc w:val="left"/>
            </w:pPr>
            <w:r>
              <w:rPr>
                <w:rFonts w:ascii="Arial" w:hAnsi="Arial" w:eastAsia="等线" w:cs="Arial"/>
                <w:sz w:val="22"/>
              </w:rPr>
              <w:t>法定投票制：每个 “名额” 只能分开投票</w:t>
            </w:r>
          </w:p>
          <w:p w14:paraId="4D00166F">
            <w:pPr>
              <w:spacing w:before="120" w:after="120" w:line="288" w:lineRule="auto"/>
              <w:ind w:left="0"/>
              <w:jc w:val="left"/>
            </w:pPr>
            <w:r>
              <w:rPr>
                <w:rFonts w:ascii="Arial" w:hAnsi="Arial" w:eastAsia="等线" w:cs="Arial"/>
                <w:sz w:val="22"/>
              </w:rPr>
              <w:t>这种规则下，要针对每个 “图书管理员名额” 单独投票，1 张投票券对 1 个名额只能投 1 票。</w:t>
            </w:r>
          </w:p>
          <w:p w14:paraId="6290E748">
            <w:pPr>
              <w:spacing w:before="120" w:after="120" w:line="288" w:lineRule="auto"/>
              <w:ind w:left="0"/>
              <w:jc w:val="left"/>
            </w:pPr>
            <w:r>
              <w:rPr>
                <w:rFonts w:ascii="Arial" w:hAnsi="Arial" w:eastAsia="等线" w:cs="Arial"/>
                <w:sz w:val="22"/>
              </w:rPr>
              <w:t>咱们分两步选（先选第一个名额，再选第二个名额）：</w:t>
            </w:r>
          </w:p>
          <w:p w14:paraId="4B6EDA8E">
            <w:pPr>
              <w:spacing w:before="120" w:after="120" w:line="288" w:lineRule="auto"/>
              <w:ind w:left="0"/>
              <w:jc w:val="left"/>
            </w:pPr>
          </w:p>
          <w:p w14:paraId="12EFBE4E">
            <w:pPr>
              <w:numPr>
                <w:ilvl w:val="0"/>
                <w:numId w:val="31"/>
              </w:numPr>
              <w:spacing w:before="120" w:after="120" w:line="288" w:lineRule="auto"/>
              <w:ind w:left="0"/>
              <w:jc w:val="left"/>
            </w:pPr>
            <w:r>
              <w:rPr>
                <w:rFonts w:ascii="Arial" w:hAnsi="Arial" w:eastAsia="等线" w:cs="Arial"/>
                <w:sz w:val="22"/>
              </w:rPr>
              <w:t>选第一个名额时：小明最多投 2 票（2 张券），小红最多投 3 票（3 张券）。</w:t>
            </w:r>
          </w:p>
          <w:p w14:paraId="7EC89614">
            <w:pPr>
              <w:numPr>
                <w:ilvl w:val="0"/>
                <w:numId w:val="32"/>
              </w:numPr>
              <w:spacing w:before="120" w:after="120" w:line="288" w:lineRule="auto"/>
              <w:ind w:left="0"/>
              <w:jc w:val="left"/>
            </w:pPr>
            <w:r>
              <w:rPr>
                <w:rFonts w:ascii="Arial" w:hAnsi="Arial" w:eastAsia="等线" w:cs="Arial"/>
                <w:sz w:val="22"/>
              </w:rPr>
              <w:t>选第二个名额时：还是一样，小明最多投 2 票，小红最多投 3 票。</w:t>
            </w:r>
          </w:p>
          <w:p w14:paraId="3B34484E">
            <w:pPr>
              <w:spacing w:before="120" w:after="120" w:line="288" w:lineRule="auto"/>
              <w:ind w:left="0"/>
              <w:jc w:val="left"/>
            </w:pPr>
          </w:p>
          <w:p w14:paraId="315F8165">
            <w:pPr>
              <w:spacing w:before="120" w:after="120" w:line="288" w:lineRule="auto"/>
              <w:ind w:left="0"/>
              <w:jc w:val="left"/>
            </w:pPr>
            <w:r>
              <w:rPr>
                <w:rFonts w:ascii="Arial" w:hAnsi="Arial" w:eastAsia="等线" w:cs="Arial"/>
                <w:b/>
                <w:sz w:val="22"/>
              </w:rPr>
              <w:t>关键：不能把票攒起来用！</w:t>
            </w:r>
          </w:p>
          <w:p w14:paraId="6638A9DF">
            <w:pPr>
              <w:spacing w:before="120" w:after="120" w:line="288" w:lineRule="auto"/>
              <w:ind w:left="0"/>
              <w:jc w:val="left"/>
            </w:pPr>
          </w:p>
          <w:p w14:paraId="3E278EFE">
            <w:pPr>
              <w:spacing w:before="120" w:after="120" w:line="288" w:lineRule="auto"/>
              <w:ind w:left="0"/>
              <w:jc w:val="left"/>
            </w:pPr>
            <w:r>
              <w:rPr>
                <w:rFonts w:ascii="Arial" w:hAnsi="Arial" w:eastAsia="等线" w:cs="Arial"/>
                <w:sz w:val="22"/>
              </w:rPr>
              <w:t>比如小明想给小艾多投点，但每个名额最多只能给小艾投 2 票，没法像之前那样一次性投 4 票。这时候小红手里的票多（像大股东），每次都能投更多票，更容易让自己支持的人当选，小股东很难争取到名额～</w:t>
            </w:r>
          </w:p>
          <w:p w14:paraId="7E2A8C21">
            <w:pPr>
              <w:spacing w:before="320" w:after="120" w:line="288" w:lineRule="auto"/>
              <w:ind w:left="0"/>
              <w:jc w:val="left"/>
              <w:outlineLvl w:val="1"/>
            </w:pPr>
            <w:bookmarkStart w:id="8" w:name="heading_8"/>
            <w:r>
              <w:rPr>
                <w:rFonts w:ascii="Arial" w:hAnsi="Arial" w:eastAsia="等线" w:cs="Arial"/>
                <w:b/>
                <w:sz w:val="32"/>
              </w:rPr>
              <w:t>一句话总结</w:t>
            </w:r>
            <w:bookmarkEnd w:id="8"/>
          </w:p>
          <w:p w14:paraId="6C687C01">
            <w:pPr>
              <w:numPr>
                <w:ilvl w:val="0"/>
                <w:numId w:val="33"/>
              </w:numPr>
              <w:spacing w:before="120" w:after="120" w:line="288" w:lineRule="auto"/>
              <w:ind w:left="0"/>
              <w:jc w:val="left"/>
            </w:pPr>
            <w:r>
              <w:rPr>
                <w:rFonts w:ascii="Arial" w:hAnsi="Arial" w:eastAsia="等线" w:cs="Arial"/>
                <w:sz w:val="22"/>
              </w:rPr>
              <w:t>累积投票制：票能 “凑堆”，小同学（小股东）也能帮喜欢的人当选；</w:t>
            </w:r>
          </w:p>
          <w:p w14:paraId="1D78EC75">
            <w:pPr>
              <w:numPr>
                <w:ilvl w:val="0"/>
                <w:numId w:val="34"/>
              </w:numPr>
              <w:spacing w:before="120" w:after="120" w:line="288" w:lineRule="auto"/>
              <w:ind w:left="0"/>
              <w:jc w:val="left"/>
            </w:pPr>
            <w:r>
              <w:rPr>
                <w:rFonts w:ascii="Arial" w:hAnsi="Arial" w:eastAsia="等线" w:cs="Arial"/>
                <w:sz w:val="22"/>
              </w:rPr>
              <w:t>法定投票制：票要 “分开”，票多的同学（大股东）更容易说了算～</w:t>
            </w:r>
          </w:p>
        </w:tc>
      </w:tr>
    </w:tbl>
    <w:p w14:paraId="295DDCEA">
      <w:pPr>
        <w:spacing w:before="260" w:after="120" w:line="288" w:lineRule="auto"/>
        <w:ind w:left="453"/>
        <w:jc w:val="left"/>
        <w:outlineLvl w:val="3"/>
      </w:pPr>
      <w:bookmarkStart w:id="9" w:name="heading_9"/>
      <w:r>
        <w:rPr>
          <w:rFonts w:ascii="Arial" w:hAnsi="Arial" w:eastAsia="等线" w:cs="Arial"/>
          <w:color w:val="3370FF"/>
          <w:sz w:val="28"/>
        </w:rPr>
        <w:t xml:space="preserve">2.2.2.2 </w:t>
      </w:r>
      <w:r>
        <w:rPr>
          <w:rFonts w:ascii="Arial" w:hAnsi="Arial" w:eastAsia="等线" w:cs="Arial"/>
          <w:b/>
          <w:sz w:val="28"/>
        </w:rPr>
        <w:t>股息（Dividend）</w:t>
      </w:r>
      <w:bookmarkEnd w:id="9"/>
    </w:p>
    <w:p w14:paraId="4FD8A6C2">
      <w:pPr>
        <w:spacing w:before="120" w:after="120" w:line="288" w:lineRule="auto"/>
        <w:ind w:left="453"/>
        <w:jc w:val="left"/>
      </w:pPr>
      <w:r>
        <w:rPr>
          <w:rFonts w:ascii="Arial" w:hAnsi="Arial" w:eastAsia="等线" w:cs="Arial"/>
          <w:sz w:val="22"/>
        </w:rPr>
        <w:t>除投票权，股东享受股息分配权（Dividend Rights）。</w:t>
      </w:r>
    </w:p>
    <w:p w14:paraId="45986E41">
      <w:pPr>
        <w:spacing w:before="120" w:after="120" w:line="288" w:lineRule="auto"/>
        <w:ind w:left="453"/>
        <w:jc w:val="left"/>
      </w:pPr>
    </w:p>
    <w:p w14:paraId="356D929A">
      <w:pPr>
        <w:spacing w:before="120" w:after="120" w:line="288" w:lineRule="auto"/>
        <w:ind w:left="453"/>
        <w:jc w:val="left"/>
      </w:pPr>
      <w:r>
        <w:rPr>
          <w:rFonts w:ascii="Arial" w:hAnsi="Arial" w:eastAsia="等线" w:cs="Arial"/>
          <w:sz w:val="22"/>
        </w:rPr>
        <w:t>股息由董事会决定，非强制支付；若分配，普通股股东按持股比例获得，但优先级低于优先股。</w:t>
      </w:r>
    </w:p>
    <w:p w14:paraId="4EB55A72">
      <w:pPr>
        <w:spacing w:before="120" w:after="120" w:line="288" w:lineRule="auto"/>
        <w:ind w:left="453"/>
        <w:jc w:val="left"/>
      </w:pPr>
    </w:p>
    <w:p w14:paraId="5B668846">
      <w:pPr>
        <w:spacing w:before="120" w:after="120" w:line="288" w:lineRule="auto"/>
        <w:ind w:left="453"/>
        <w:jc w:val="left"/>
      </w:pPr>
      <w:r>
        <w:rPr>
          <w:rFonts w:ascii="Arial" w:hAnsi="Arial" w:eastAsia="等线" w:cs="Arial"/>
          <w:b/>
          <w:sz w:val="22"/>
        </w:rPr>
        <w:t>股息形式包括：</w:t>
      </w:r>
    </w:p>
    <w:p w14:paraId="6D3C9B22">
      <w:pPr>
        <w:numPr>
          <w:ilvl w:val="0"/>
          <w:numId w:val="35"/>
        </w:numPr>
        <w:spacing w:before="120" w:after="120" w:line="288" w:lineRule="auto"/>
        <w:ind w:left="453"/>
        <w:jc w:val="left"/>
      </w:pPr>
      <w:r>
        <w:rPr>
          <w:rFonts w:ascii="Arial" w:hAnsi="Arial" w:eastAsia="等线" w:cs="Arial"/>
          <w:sz w:val="22"/>
        </w:rPr>
        <w:t>现金股息（Cash Dividend），直接向股东支付现金。除权日股价=前收盘价-股息额。</w:t>
      </w:r>
      <w:r>
        <w:rPr>
          <w:rFonts w:ascii="Arial" w:hAnsi="Arial" w:eastAsia="等线" w:cs="Arial"/>
          <w:b/>
          <w:sz w:val="22"/>
        </w:rPr>
        <w:t>需要纳税</w:t>
      </w:r>
      <w:r>
        <w:rPr>
          <w:rFonts w:ascii="Arial" w:hAnsi="Arial" w:eastAsia="等线" w:cs="Arial"/>
          <w:sz w:val="22"/>
        </w:rPr>
        <w:t>（taxable）。</w:t>
      </w:r>
    </w:p>
    <w:p w14:paraId="272F3251">
      <w:pPr>
        <w:numPr>
          <w:ilvl w:val="0"/>
          <w:numId w:val="36"/>
        </w:numPr>
        <w:spacing w:before="120" w:after="120" w:line="288" w:lineRule="auto"/>
        <w:ind w:left="453"/>
        <w:jc w:val="left"/>
      </w:pPr>
      <w:r>
        <w:rPr>
          <w:rFonts w:ascii="Arial" w:hAnsi="Arial" w:eastAsia="等线" w:cs="Arial"/>
          <w:sz w:val="22"/>
        </w:rPr>
        <w:t>股票股息（Stock Dividend），公司向股东赠送额外的股票。股数增加但总价值不变，如10%股息：400股变成440股，价格从$33降至$30。这只是公司内部的权益重组，并非真正的利润分配，</w:t>
      </w:r>
      <w:r>
        <w:rPr>
          <w:rFonts w:ascii="Arial" w:hAnsi="Arial" w:eastAsia="等线" w:cs="Arial"/>
          <w:b/>
          <w:sz w:val="22"/>
        </w:rPr>
        <w:t>所以免税</w:t>
      </w:r>
      <w:r>
        <w:rPr>
          <w:rFonts w:ascii="Arial" w:hAnsi="Arial" w:eastAsia="等线" w:cs="Arial"/>
          <w:sz w:val="22"/>
        </w:rPr>
        <w:t>。</w:t>
      </w:r>
    </w:p>
    <w:p w14:paraId="1007201C">
      <w:pPr>
        <w:numPr>
          <w:ilvl w:val="0"/>
          <w:numId w:val="37"/>
        </w:numPr>
        <w:spacing w:before="120" w:after="120" w:line="288" w:lineRule="auto"/>
        <w:ind w:left="453"/>
        <w:jc w:val="left"/>
      </w:pPr>
      <w:r>
        <w:rPr>
          <w:rFonts w:ascii="Arial" w:hAnsi="Arial" w:eastAsia="等线" w:cs="Arial"/>
          <w:sz w:val="22"/>
        </w:rPr>
        <w:t>财产股息（Property Dividend），公司以现金以外的资产作为股息发放给股东。可能是其持有的另一家公司的股票、实物产品（如自己生产的酒、商品）等。</w:t>
      </w:r>
      <w:r>
        <w:rPr>
          <w:rFonts w:ascii="Arial" w:hAnsi="Arial" w:eastAsia="等线" w:cs="Arial"/>
          <w:b/>
          <w:sz w:val="22"/>
        </w:rPr>
        <w:t>按所收到财产的公允价值计税</w:t>
      </w:r>
      <w:r>
        <w:rPr>
          <w:rFonts w:ascii="Arial" w:hAnsi="Arial" w:eastAsia="等线" w:cs="Arial"/>
          <w:sz w:val="22"/>
        </w:rPr>
        <w:t>。</w:t>
      </w:r>
    </w:p>
    <w:p w14:paraId="3A5FFF22">
      <w:pPr>
        <w:spacing w:before="120" w:after="120" w:line="288" w:lineRule="auto"/>
        <w:ind w:left="453"/>
        <w:jc w:val="left"/>
      </w:pPr>
    </w:p>
    <w:p w14:paraId="7B733F73">
      <w:pPr>
        <w:spacing w:before="120" w:after="120" w:line="288" w:lineRule="auto"/>
        <w:ind w:left="453"/>
        <w:jc w:val="left"/>
      </w:pPr>
      <w:r>
        <w:rPr>
          <w:rFonts w:ascii="Arial" w:hAnsi="Arial" w:eastAsia="等线" w:cs="Arial"/>
          <w:sz w:val="22"/>
        </w:rPr>
        <w:t>普通股股东除了上述投票权和股息分配权，还享有如下权利：</w:t>
      </w:r>
    </w:p>
    <w:p w14:paraId="402C1D3F">
      <w:pPr>
        <w:numPr>
          <w:ilvl w:val="0"/>
          <w:numId w:val="38"/>
        </w:numPr>
        <w:spacing w:before="120" w:after="120" w:line="288" w:lineRule="auto"/>
        <w:ind w:left="453"/>
        <w:jc w:val="left"/>
      </w:pPr>
      <w:r>
        <w:rPr>
          <w:rFonts w:ascii="Arial" w:hAnsi="Arial" w:eastAsia="等线" w:cs="Arial"/>
          <w:b/>
          <w:sz w:val="22"/>
        </w:rPr>
        <w:t>剩余索偿权（Residual Claim）</w:t>
      </w:r>
      <w:r>
        <w:rPr>
          <w:rFonts w:ascii="Arial" w:hAnsi="Arial" w:eastAsia="等线" w:cs="Arial"/>
          <w:sz w:val="22"/>
        </w:rPr>
        <w:t>：企业破产清算时，普通股股东在 “员工工资→IRS 税款→有担保债权人→无担保债权人→优先股股东” 之后获得剩余资产（通常清算时已无剩余，风险最高）。</w:t>
      </w:r>
    </w:p>
    <w:p w14:paraId="49044BF1">
      <w:pPr>
        <w:numPr>
          <w:ilvl w:val="0"/>
          <w:numId w:val="39"/>
        </w:numPr>
        <w:spacing w:before="120" w:after="120" w:line="288" w:lineRule="auto"/>
        <w:ind w:left="453"/>
        <w:jc w:val="left"/>
      </w:pPr>
      <w:r>
        <w:rPr>
          <w:rFonts w:ascii="Arial" w:hAnsi="Arial" w:eastAsia="等线" w:cs="Arial"/>
          <w:b/>
          <w:sz w:val="22"/>
        </w:rPr>
        <w:t>优先认购权（Preemptive Rights）</w:t>
      </w:r>
      <w:r>
        <w:rPr>
          <w:rFonts w:ascii="Arial" w:hAnsi="Arial" w:eastAsia="等线" w:cs="Arial"/>
          <w:sz w:val="22"/>
        </w:rPr>
        <w:t>：企业增发新股时，现有股东有权按持股比例 “优先以折扣价认购新股”，以维持持股比例（部分企业可通过章程取消该权利）。</w:t>
      </w:r>
    </w:p>
    <w:p w14:paraId="4A1C2E0A">
      <w:pPr>
        <w:spacing w:before="260" w:after="120" w:line="288" w:lineRule="auto"/>
        <w:ind w:left="0"/>
        <w:jc w:val="left"/>
        <w:outlineLvl w:val="3"/>
      </w:pPr>
      <w:bookmarkStart w:id="10" w:name="heading_10"/>
      <w:r>
        <w:rPr>
          <w:rFonts w:ascii="Arial" w:hAnsi="Arial" w:eastAsia="等线" w:cs="Arial"/>
          <w:color w:val="3370FF"/>
          <w:sz w:val="28"/>
        </w:rPr>
        <w:t xml:space="preserve">2.2.2.3 </w:t>
      </w:r>
      <w:r>
        <w:rPr>
          <w:rFonts w:ascii="Arial" w:hAnsi="Arial" w:eastAsia="等线" w:cs="Arial"/>
          <w:b/>
          <w:sz w:val="28"/>
        </w:rPr>
        <w:t>关键属性</w:t>
      </w:r>
      <w:bookmarkEnd w:id="10"/>
    </w:p>
    <w:p w14:paraId="683D5303">
      <w:pPr>
        <w:numPr>
          <w:ilvl w:val="0"/>
          <w:numId w:val="40"/>
        </w:numPr>
        <w:spacing w:before="120" w:after="120" w:line="288" w:lineRule="auto"/>
        <w:ind w:left="0"/>
        <w:jc w:val="left"/>
      </w:pPr>
      <w:r>
        <w:rPr>
          <w:rFonts w:ascii="Arial" w:hAnsi="Arial" w:eastAsia="等线" w:cs="Arial"/>
          <w:sz w:val="22"/>
        </w:rPr>
        <w:t xml:space="preserve">无固定收益：股息不保证，依赖公司盈利；  </w:t>
      </w:r>
    </w:p>
    <w:p w14:paraId="1409BF25">
      <w:pPr>
        <w:numPr>
          <w:ilvl w:val="0"/>
          <w:numId w:val="41"/>
        </w:numPr>
        <w:spacing w:before="120" w:after="120" w:line="288" w:lineRule="auto"/>
        <w:ind w:left="0"/>
        <w:jc w:val="left"/>
      </w:pPr>
      <w:r>
        <w:rPr>
          <w:rFonts w:ascii="Arial" w:hAnsi="Arial" w:eastAsia="等线" w:cs="Arial"/>
          <w:sz w:val="22"/>
        </w:rPr>
        <w:t xml:space="preserve">价格波动大：受公司业绩、市场供需影响，长期增值潜力高于债券；  </w:t>
      </w:r>
    </w:p>
    <w:p w14:paraId="7341DCC8">
      <w:pPr>
        <w:numPr>
          <w:ilvl w:val="0"/>
          <w:numId w:val="42"/>
        </w:numPr>
        <w:spacing w:before="120" w:after="120" w:line="288" w:lineRule="auto"/>
        <w:ind w:left="0"/>
        <w:jc w:val="left"/>
      </w:pPr>
      <w:r>
        <w:rPr>
          <w:rFonts w:ascii="Arial" w:hAnsi="Arial" w:eastAsia="等线" w:cs="Arial"/>
          <w:sz w:val="22"/>
        </w:rPr>
        <w:t>有限责任：股东亏损仅限“投资额”，不承担额外债务（</w:t>
      </w:r>
      <w:r>
        <w:rPr>
          <w:rFonts w:ascii="Arial" w:hAnsi="Arial" w:eastAsia="等线" w:cs="Arial"/>
          <w:sz w:val="22"/>
          <w:shd w:val="clear" w:fill="FFF67A"/>
        </w:rPr>
        <w:t>核心风险保护机制</w:t>
      </w:r>
      <w:r>
        <w:rPr>
          <w:rFonts w:ascii="Arial" w:hAnsi="Arial" w:eastAsia="等线" w:cs="Arial"/>
          <w:sz w:val="22"/>
        </w:rPr>
        <w:t xml:space="preserve">）。  </w:t>
      </w:r>
    </w:p>
    <w:p w14:paraId="66BA12CA">
      <w:pPr>
        <w:spacing w:before="120" w:after="120" w:line="288" w:lineRule="auto"/>
        <w:ind w:left="0"/>
        <w:jc w:val="left"/>
      </w:pPr>
    </w:p>
    <w:p w14:paraId="7B317DAC">
      <w:pPr>
        <w:spacing w:before="120" w:after="120" w:line="288" w:lineRule="auto"/>
        <w:ind w:left="0"/>
        <w:jc w:val="left"/>
      </w:pPr>
    </w:p>
    <w:p w14:paraId="251B7EAE">
      <w:pPr>
        <w:numPr>
          <w:ilvl w:val="0"/>
          <w:numId w:val="43"/>
        </w:numPr>
        <w:spacing w:before="120" w:after="120" w:line="288" w:lineRule="auto"/>
        <w:ind w:left="0"/>
        <w:jc w:val="left"/>
      </w:pPr>
      <w:r>
        <w:rPr>
          <w:rFonts w:ascii="Arial" w:hAnsi="Arial" w:eastAsia="等线" w:cs="Arial"/>
          <w:b/>
          <w:sz w:val="22"/>
        </w:rPr>
        <w:t>股票分类与数量关系</w:t>
      </w:r>
      <w:r>
        <w:rPr>
          <w:rFonts w:ascii="Arial" w:hAnsi="Arial" w:eastAsia="等线" w:cs="Arial"/>
          <w:sz w:val="22"/>
        </w:rPr>
        <w:t>：公司股票按“所有权归属”分为三类，需区分计算流通股（Outstanding Shares）。</w:t>
      </w:r>
    </w:p>
    <w:p w14:paraId="39635063">
      <w:pPr>
        <w:numPr>
          <w:ilvl w:val="0"/>
          <w:numId w:val="44"/>
        </w:numPr>
        <w:spacing w:before="120" w:after="120" w:line="288" w:lineRule="auto"/>
        <w:ind w:left="453"/>
        <w:jc w:val="left"/>
      </w:pPr>
      <w:r>
        <w:rPr>
          <w:rFonts w:ascii="Arial" w:hAnsi="Arial" w:eastAsia="等线" w:cs="Arial"/>
          <w:sz w:val="22"/>
        </w:rPr>
        <w:t>授权股（Authorized Shares）：公司章程允许发行的最大数量，需股东投票修改。</w:t>
      </w:r>
    </w:p>
    <w:p w14:paraId="48217A87">
      <w:pPr>
        <w:numPr>
          <w:ilvl w:val="0"/>
          <w:numId w:val="45"/>
        </w:numPr>
        <w:spacing w:before="120" w:after="120" w:line="288" w:lineRule="auto"/>
        <w:ind w:left="453"/>
        <w:jc w:val="left"/>
      </w:pPr>
      <w:r>
        <w:rPr>
          <w:rFonts w:ascii="Arial" w:hAnsi="Arial" w:eastAsia="等线" w:cs="Arial"/>
          <w:sz w:val="22"/>
        </w:rPr>
        <w:t>已发行股（Issued Shares）：实际向公众/股东发行的数量（含创始人持股）。</w:t>
      </w:r>
    </w:p>
    <w:p w14:paraId="063D6998">
      <w:pPr>
        <w:numPr>
          <w:ilvl w:val="0"/>
          <w:numId w:val="46"/>
        </w:numPr>
        <w:spacing w:before="120" w:after="120" w:line="288" w:lineRule="auto"/>
        <w:ind w:left="453"/>
        <w:jc w:val="left"/>
      </w:pPr>
      <w:r>
        <w:rPr>
          <w:rFonts w:ascii="Arial" w:hAnsi="Arial" w:eastAsia="等线" w:cs="Arial"/>
          <w:sz w:val="22"/>
        </w:rPr>
        <w:t>已发行股=流通股（Outstanding Shares）+库存股（Treasury Stock）。</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00"/>
        <w:gridCol w:w="930"/>
        <w:gridCol w:w="5550"/>
      </w:tblGrid>
      <w:tr w14:paraId="146A78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65FA0E17">
            <w:pPr>
              <w:spacing w:before="120" w:after="120" w:line="288" w:lineRule="auto"/>
              <w:ind w:left="0"/>
              <w:jc w:val="left"/>
            </w:pPr>
            <w:r>
              <w:rPr>
                <w:rFonts w:ascii="Arial" w:hAnsi="Arial" w:eastAsia="等线" w:cs="Arial"/>
                <w:b/>
                <w:sz w:val="22"/>
              </w:rPr>
              <w:t>英文</w:t>
            </w:r>
          </w:p>
        </w:tc>
        <w:tc>
          <w:tcPr>
            <w:tcW w:w="930" w:type="dxa"/>
            <w:tcMar>
              <w:top w:w="60" w:type="dxa"/>
              <w:left w:w="120" w:type="dxa"/>
              <w:bottom w:w="30" w:type="dxa"/>
              <w:right w:w="120" w:type="dxa"/>
            </w:tcMar>
          </w:tcPr>
          <w:p w14:paraId="4C7CA7BE">
            <w:pPr>
              <w:spacing w:before="120" w:after="120" w:line="288" w:lineRule="auto"/>
              <w:ind w:left="0"/>
              <w:jc w:val="left"/>
            </w:pPr>
            <w:r>
              <w:rPr>
                <w:rFonts w:ascii="Arial" w:hAnsi="Arial" w:eastAsia="等线" w:cs="Arial"/>
                <w:b/>
                <w:sz w:val="22"/>
              </w:rPr>
              <w:t>中文</w:t>
            </w:r>
          </w:p>
        </w:tc>
        <w:tc>
          <w:tcPr>
            <w:tcW w:w="5550" w:type="dxa"/>
            <w:tcMar>
              <w:top w:w="60" w:type="dxa"/>
              <w:left w:w="120" w:type="dxa"/>
              <w:bottom w:w="30" w:type="dxa"/>
              <w:right w:w="120" w:type="dxa"/>
            </w:tcMar>
          </w:tcPr>
          <w:p w14:paraId="1FCD7894">
            <w:pPr>
              <w:spacing w:before="120" w:after="120" w:line="288" w:lineRule="auto"/>
              <w:ind w:left="0"/>
              <w:jc w:val="left"/>
            </w:pPr>
            <w:r>
              <w:rPr>
                <w:rFonts w:ascii="Arial" w:hAnsi="Arial" w:eastAsia="等线" w:cs="Arial"/>
                <w:b/>
                <w:sz w:val="22"/>
              </w:rPr>
              <w:t>定义说明</w:t>
            </w:r>
          </w:p>
        </w:tc>
      </w:tr>
      <w:tr w14:paraId="0F282B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7B1D6A1F">
            <w:pPr>
              <w:spacing w:before="120" w:after="120" w:line="288" w:lineRule="auto"/>
              <w:ind w:left="0"/>
              <w:jc w:val="left"/>
            </w:pPr>
            <w:r>
              <w:rPr>
                <w:rFonts w:ascii="Arial" w:hAnsi="Arial" w:eastAsia="等线" w:cs="Arial"/>
                <w:b/>
                <w:sz w:val="22"/>
              </w:rPr>
              <w:t>Authorized Shares</w:t>
            </w:r>
          </w:p>
        </w:tc>
        <w:tc>
          <w:tcPr>
            <w:tcW w:w="930" w:type="dxa"/>
            <w:tcMar>
              <w:top w:w="60" w:type="dxa"/>
              <w:left w:w="120" w:type="dxa"/>
              <w:bottom w:w="30" w:type="dxa"/>
              <w:right w:w="120" w:type="dxa"/>
            </w:tcMar>
          </w:tcPr>
          <w:p w14:paraId="23D688A6">
            <w:pPr>
              <w:spacing w:before="120" w:after="120" w:line="288" w:lineRule="auto"/>
              <w:ind w:left="0"/>
              <w:jc w:val="left"/>
            </w:pPr>
            <w:r>
              <w:rPr>
                <w:rFonts w:ascii="Arial" w:hAnsi="Arial" w:eastAsia="等线" w:cs="Arial"/>
                <w:sz w:val="22"/>
              </w:rPr>
              <w:t>授权股</w:t>
            </w:r>
          </w:p>
        </w:tc>
        <w:tc>
          <w:tcPr>
            <w:tcW w:w="5550" w:type="dxa"/>
            <w:tcMar>
              <w:top w:w="60" w:type="dxa"/>
              <w:left w:w="120" w:type="dxa"/>
              <w:bottom w:w="30" w:type="dxa"/>
              <w:right w:w="120" w:type="dxa"/>
            </w:tcMar>
          </w:tcPr>
          <w:p w14:paraId="41B15D35">
            <w:pPr>
              <w:spacing w:before="120" w:after="120" w:line="288" w:lineRule="auto"/>
              <w:ind w:left="0"/>
              <w:jc w:val="left"/>
            </w:pPr>
            <w:r>
              <w:rPr>
                <w:rFonts w:ascii="Arial" w:hAnsi="Arial" w:eastAsia="等线" w:cs="Arial"/>
                <w:sz w:val="22"/>
              </w:rPr>
              <w:t>公司依据公司章程（corporate charter）获准发行的股票最大数量。</w:t>
            </w:r>
          </w:p>
        </w:tc>
      </w:tr>
      <w:tr w14:paraId="2DB381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4E8315A2">
            <w:pPr>
              <w:spacing w:before="120" w:after="120" w:line="288" w:lineRule="auto"/>
              <w:ind w:left="0"/>
              <w:jc w:val="left"/>
            </w:pPr>
            <w:r>
              <w:rPr>
                <w:rFonts w:ascii="Arial" w:hAnsi="Arial" w:eastAsia="等线" w:cs="Arial"/>
                <w:b/>
                <w:sz w:val="22"/>
              </w:rPr>
              <w:t>Issued Shares</w:t>
            </w:r>
          </w:p>
        </w:tc>
        <w:tc>
          <w:tcPr>
            <w:tcW w:w="930" w:type="dxa"/>
            <w:tcMar>
              <w:top w:w="60" w:type="dxa"/>
              <w:left w:w="120" w:type="dxa"/>
              <w:bottom w:w="30" w:type="dxa"/>
              <w:right w:w="120" w:type="dxa"/>
            </w:tcMar>
          </w:tcPr>
          <w:p w14:paraId="02D3FFB1">
            <w:pPr>
              <w:spacing w:before="120" w:after="120" w:line="288" w:lineRule="auto"/>
              <w:ind w:left="0"/>
              <w:jc w:val="left"/>
            </w:pPr>
            <w:r>
              <w:rPr>
                <w:rFonts w:ascii="Arial" w:hAnsi="Arial" w:eastAsia="等线" w:cs="Arial"/>
                <w:sz w:val="22"/>
              </w:rPr>
              <w:t>已发行股</w:t>
            </w:r>
          </w:p>
        </w:tc>
        <w:tc>
          <w:tcPr>
            <w:tcW w:w="5550" w:type="dxa"/>
            <w:tcMar>
              <w:top w:w="60" w:type="dxa"/>
              <w:left w:w="120" w:type="dxa"/>
              <w:bottom w:w="30" w:type="dxa"/>
              <w:right w:w="120" w:type="dxa"/>
            </w:tcMar>
          </w:tcPr>
          <w:p w14:paraId="2D1D260C">
            <w:pPr>
              <w:spacing w:before="120" w:after="120" w:line="288" w:lineRule="auto"/>
              <w:ind w:left="0"/>
              <w:jc w:val="left"/>
            </w:pPr>
            <w:r>
              <w:rPr>
                <w:rFonts w:ascii="Arial" w:hAnsi="Arial" w:eastAsia="等线" w:cs="Arial"/>
                <w:sz w:val="22"/>
              </w:rPr>
              <w:t>公司实际已发行的股票（包含库存股）。</w:t>
            </w:r>
          </w:p>
        </w:tc>
      </w:tr>
      <w:tr w14:paraId="6177C5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512FCA02">
            <w:pPr>
              <w:spacing w:before="120" w:after="120" w:line="288" w:lineRule="auto"/>
              <w:ind w:left="0"/>
              <w:jc w:val="left"/>
            </w:pPr>
            <w:r>
              <w:rPr>
                <w:rFonts w:ascii="Arial" w:hAnsi="Arial" w:eastAsia="等线" w:cs="Arial"/>
                <w:b/>
                <w:sz w:val="22"/>
              </w:rPr>
              <w:t>Outstanding Shares</w:t>
            </w:r>
          </w:p>
          <w:p w14:paraId="57A76D48">
            <w:pPr>
              <w:spacing w:before="120" w:after="120" w:line="288" w:lineRule="auto"/>
              <w:ind w:left="0"/>
              <w:jc w:val="left"/>
            </w:pPr>
          </w:p>
        </w:tc>
        <w:tc>
          <w:tcPr>
            <w:tcW w:w="930" w:type="dxa"/>
            <w:tcMar>
              <w:top w:w="60" w:type="dxa"/>
              <w:left w:w="120" w:type="dxa"/>
              <w:bottom w:w="30" w:type="dxa"/>
              <w:right w:w="120" w:type="dxa"/>
            </w:tcMar>
          </w:tcPr>
          <w:p w14:paraId="57738F77">
            <w:pPr>
              <w:spacing w:before="120" w:after="120" w:line="288" w:lineRule="auto"/>
              <w:ind w:left="0"/>
              <w:jc w:val="left"/>
            </w:pPr>
            <w:r>
              <w:rPr>
                <w:rFonts w:ascii="Arial" w:hAnsi="Arial" w:eastAsia="等线" w:cs="Arial"/>
                <w:sz w:val="22"/>
              </w:rPr>
              <w:t>流通股</w:t>
            </w:r>
          </w:p>
          <w:p w14:paraId="2DBF0611">
            <w:pPr>
              <w:spacing w:before="120" w:after="120" w:line="288" w:lineRule="auto"/>
              <w:ind w:left="0"/>
              <w:jc w:val="left"/>
            </w:pPr>
          </w:p>
        </w:tc>
        <w:tc>
          <w:tcPr>
            <w:tcW w:w="5550" w:type="dxa"/>
            <w:tcMar>
              <w:top w:w="60" w:type="dxa"/>
              <w:left w:w="120" w:type="dxa"/>
              <w:bottom w:w="30" w:type="dxa"/>
              <w:right w:w="120" w:type="dxa"/>
            </w:tcMar>
          </w:tcPr>
          <w:p w14:paraId="6462DA24">
            <w:pPr>
              <w:spacing w:before="120" w:after="120" w:line="288" w:lineRule="auto"/>
              <w:ind w:left="0"/>
              <w:jc w:val="left"/>
            </w:pPr>
            <w:r>
              <w:rPr>
                <w:rFonts w:ascii="Arial" w:hAnsi="Arial" w:eastAsia="等线" w:cs="Arial"/>
                <w:sz w:val="22"/>
              </w:rPr>
              <w:t>由投资者持有的股票（计算公式：已发行股 - 库存股）；一级发行（Primary Offering, PO）会增加流通股数量。</w:t>
            </w:r>
          </w:p>
        </w:tc>
      </w:tr>
      <w:tr w14:paraId="6BBE36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00" w:type="dxa"/>
            <w:tcMar>
              <w:top w:w="60" w:type="dxa"/>
              <w:left w:w="120" w:type="dxa"/>
              <w:bottom w:w="30" w:type="dxa"/>
              <w:right w:w="120" w:type="dxa"/>
            </w:tcMar>
          </w:tcPr>
          <w:p w14:paraId="7D5D46A2">
            <w:pPr>
              <w:spacing w:before="120" w:after="120" w:line="288" w:lineRule="auto"/>
              <w:ind w:left="0"/>
              <w:jc w:val="left"/>
            </w:pPr>
            <w:r>
              <w:rPr>
                <w:rFonts w:ascii="Arial" w:hAnsi="Arial" w:eastAsia="等线" w:cs="Arial"/>
                <w:b/>
                <w:sz w:val="22"/>
              </w:rPr>
              <w:t>Treasury Stock</w:t>
            </w:r>
          </w:p>
        </w:tc>
        <w:tc>
          <w:tcPr>
            <w:tcW w:w="930" w:type="dxa"/>
            <w:tcMar>
              <w:top w:w="60" w:type="dxa"/>
              <w:left w:w="120" w:type="dxa"/>
              <w:bottom w:w="30" w:type="dxa"/>
              <w:right w:w="120" w:type="dxa"/>
            </w:tcMar>
          </w:tcPr>
          <w:p w14:paraId="0892ADB9">
            <w:pPr>
              <w:spacing w:before="120" w:after="120" w:line="288" w:lineRule="auto"/>
              <w:ind w:left="0"/>
              <w:jc w:val="left"/>
            </w:pPr>
            <w:r>
              <w:rPr>
                <w:rFonts w:ascii="Arial" w:hAnsi="Arial" w:eastAsia="等线" w:cs="Arial"/>
                <w:sz w:val="22"/>
              </w:rPr>
              <w:t>库存股</w:t>
            </w:r>
          </w:p>
          <w:p w14:paraId="795B292E">
            <w:pPr>
              <w:spacing w:before="120" w:after="120" w:line="288" w:lineRule="auto"/>
              <w:ind w:left="0"/>
              <w:jc w:val="left"/>
            </w:pPr>
          </w:p>
        </w:tc>
        <w:tc>
          <w:tcPr>
            <w:tcW w:w="5550" w:type="dxa"/>
            <w:tcMar>
              <w:top w:w="60" w:type="dxa"/>
              <w:left w:w="120" w:type="dxa"/>
              <w:bottom w:w="30" w:type="dxa"/>
              <w:right w:w="120" w:type="dxa"/>
            </w:tcMar>
          </w:tcPr>
          <w:p w14:paraId="7D304F6E">
            <w:pPr>
              <w:spacing w:before="120" w:after="120" w:line="288" w:lineRule="auto"/>
              <w:ind w:left="0"/>
              <w:jc w:val="left"/>
            </w:pPr>
            <w:r>
              <w:rPr>
                <w:rFonts w:ascii="Arial" w:hAnsi="Arial" w:eastAsia="等线" w:cs="Arial"/>
                <w:sz w:val="22"/>
              </w:rPr>
              <w:t>公司先发行、后又回购（repurchased）的授权股。</w:t>
            </w:r>
          </w:p>
          <w:p w14:paraId="2C9A260E">
            <w:pPr>
              <w:numPr>
                <w:ilvl w:val="0"/>
                <w:numId w:val="47"/>
              </w:numPr>
              <w:spacing w:before="120" w:after="120" w:line="288" w:lineRule="auto"/>
              <w:ind w:left="0"/>
              <w:jc w:val="left"/>
            </w:pPr>
            <w:r>
              <w:rPr>
                <w:rFonts w:ascii="Arial" w:hAnsi="Arial" w:eastAsia="等线" w:cs="Arial"/>
                <w:sz w:val="22"/>
              </w:rPr>
              <w:t>无投票权（no voting rights）且不参与股息分配（don’t receive dividends）</w:t>
            </w:r>
          </w:p>
          <w:p w14:paraId="361BA9DA">
            <w:pPr>
              <w:numPr>
                <w:ilvl w:val="0"/>
                <w:numId w:val="48"/>
              </w:numPr>
              <w:spacing w:before="120" w:after="120" w:line="288" w:lineRule="auto"/>
              <w:ind w:left="0"/>
              <w:jc w:val="left"/>
            </w:pPr>
            <w:r>
              <w:rPr>
                <w:rFonts w:ascii="Arial" w:hAnsi="Arial" w:eastAsia="等线" w:cs="Arial"/>
                <w:sz w:val="22"/>
              </w:rPr>
              <w:t>其出售属于二级发行（Secondary Offering）。</w:t>
            </w:r>
          </w:p>
        </w:tc>
      </w:tr>
    </w:tbl>
    <w:p w14:paraId="45044E2A">
      <w:pPr>
        <w:spacing w:before="260" w:after="120" w:line="288" w:lineRule="auto"/>
        <w:ind w:left="0"/>
        <w:jc w:val="left"/>
        <w:outlineLvl w:val="3"/>
      </w:pPr>
      <w:bookmarkStart w:id="11" w:name="heading_11"/>
      <w:r>
        <w:rPr>
          <w:rFonts w:ascii="Arial" w:hAnsi="Arial" w:eastAsia="等线" w:cs="Arial"/>
          <w:color w:val="3370FF"/>
          <w:sz w:val="28"/>
        </w:rPr>
        <w:t xml:space="preserve">2.2.2.4 </w:t>
      </w:r>
      <w:r>
        <w:rPr>
          <w:rFonts w:ascii="Arial" w:hAnsi="Arial" w:eastAsia="等线" w:cs="Arial"/>
          <w:b/>
          <w:sz w:val="28"/>
        </w:rPr>
        <w:t>代理人：邮寄投票（Proxies: Voting by mail）</w:t>
      </w:r>
      <w:bookmarkEnd w:id="11"/>
    </w:p>
    <w:p w14:paraId="134FB6AA">
      <w:pPr>
        <w:spacing w:before="120" w:after="120" w:line="288" w:lineRule="auto"/>
        <w:ind w:left="0"/>
        <w:jc w:val="left"/>
      </w:pPr>
      <w:r>
        <w:rPr>
          <w:rFonts w:ascii="Arial" w:hAnsi="Arial" w:eastAsia="等线" w:cs="Arial"/>
          <w:sz w:val="22"/>
        </w:rPr>
        <w:t>如果股东无法出席股东大会行使投票权，可以通过委托投票（基本上就是缺席选票 absentee ballot）的方式投票。</w:t>
      </w:r>
    </w:p>
    <w:p w14:paraId="09EC4E41">
      <w:pPr>
        <w:spacing w:before="120" w:after="120" w:line="288" w:lineRule="auto"/>
        <w:ind w:left="0"/>
        <w:jc w:val="left"/>
      </w:pPr>
    </w:p>
    <w:p w14:paraId="4FED7BF8">
      <w:pPr>
        <w:spacing w:before="120" w:after="120" w:line="288" w:lineRule="auto"/>
        <w:ind w:left="0"/>
        <w:jc w:val="left"/>
      </w:pPr>
      <w:r>
        <w:rPr>
          <w:rFonts w:ascii="Arial" w:hAnsi="Arial" w:eastAsia="等线" w:cs="Arial"/>
          <w:sz w:val="22"/>
        </w:rPr>
        <w:t>发行方会给你寄一份委托书，上面会说明要投票的议题。你可以勾选表明你投票意向的方框，然后把委托书寄回去。通过这样做，你就是在授权（赋予有限的代理权给）另一个人按照你的意愿投票。过户代理人（transfer agent）负责发送委托书。</w:t>
      </w:r>
    </w:p>
    <w:p w14:paraId="65A58858">
      <w:pPr>
        <w:spacing w:before="120" w:after="120" w:line="288" w:lineRule="auto"/>
        <w:ind w:left="0"/>
        <w:jc w:val="left"/>
      </w:pPr>
    </w:p>
    <w:p w14:paraId="6D40C7DD">
      <w:pPr>
        <w:spacing w:before="120" w:after="120" w:line="288" w:lineRule="auto"/>
        <w:ind w:left="0"/>
        <w:jc w:val="left"/>
      </w:pPr>
      <w:r>
        <w:rPr>
          <w:rFonts w:ascii="Arial" w:hAnsi="Arial" w:eastAsia="等线" w:cs="Arial"/>
          <w:sz w:val="22"/>
        </w:rPr>
        <w:t>代理权争夺（proxy fight or proxy battle）是指公司的一群股东决定联合投票以获得公司控制权的不友好事件。这种情况通常发生在股东对公司的运营方式不满时。通常，他们试图更换董事会成员或管理层人员。</w:t>
      </w:r>
    </w:p>
    <w:p w14:paraId="0332D412">
      <w:pPr>
        <w:spacing w:before="120" w:after="120" w:line="288" w:lineRule="auto"/>
        <w:ind w:left="0"/>
        <w:jc w:val="left"/>
      </w:pPr>
    </w:p>
    <w:p w14:paraId="2E055269">
      <w:pPr>
        <w:spacing w:before="300" w:after="120" w:line="288" w:lineRule="auto"/>
        <w:ind w:left="0"/>
        <w:jc w:val="left"/>
        <w:outlineLvl w:val="2"/>
      </w:pPr>
      <w:bookmarkStart w:id="12" w:name="heading_12"/>
      <w:r>
        <w:rPr>
          <w:rFonts w:ascii="Arial" w:hAnsi="Arial" w:eastAsia="等线" w:cs="Arial"/>
          <w:color w:val="3370FF"/>
          <w:sz w:val="30"/>
        </w:rPr>
        <w:t xml:space="preserve">2.2.3 </w:t>
      </w:r>
      <w:r>
        <w:rPr>
          <w:rFonts w:ascii="Arial" w:hAnsi="Arial" w:eastAsia="等线" w:cs="Arial"/>
          <w:b/>
          <w:sz w:val="30"/>
        </w:rPr>
        <w:t>优先股（Preferred Stock）</w:t>
      </w:r>
      <w:bookmarkEnd w:id="12"/>
    </w:p>
    <w:p w14:paraId="30E0F535">
      <w:pPr>
        <w:spacing w:before="260" w:after="120" w:line="288" w:lineRule="auto"/>
        <w:ind w:left="0"/>
        <w:jc w:val="left"/>
        <w:outlineLvl w:val="3"/>
      </w:pPr>
      <w:bookmarkStart w:id="13" w:name="heading_13"/>
      <w:r>
        <w:rPr>
          <w:rFonts w:ascii="Arial" w:hAnsi="Arial" w:eastAsia="等线" w:cs="Arial"/>
          <w:color w:val="3370FF"/>
          <w:sz w:val="28"/>
        </w:rPr>
        <w:t xml:space="preserve">2.2.3.1 </w:t>
      </w:r>
      <w:r>
        <w:rPr>
          <w:rFonts w:ascii="Arial" w:hAnsi="Arial" w:eastAsia="等线" w:cs="Arial"/>
          <w:b/>
          <w:sz w:val="28"/>
        </w:rPr>
        <w:t>核心特征</w:t>
      </w:r>
      <w:bookmarkEnd w:id="13"/>
    </w:p>
    <w:p w14:paraId="6870328C">
      <w:pPr>
        <w:spacing w:before="120" w:after="120" w:line="288" w:lineRule="auto"/>
        <w:ind w:left="0"/>
        <w:jc w:val="left"/>
      </w:pPr>
      <w:r>
        <w:rPr>
          <w:rFonts w:ascii="Arial" w:hAnsi="Arial" w:eastAsia="等线" w:cs="Arial"/>
          <w:sz w:val="22"/>
        </w:rPr>
        <w:t>优先股是“优先分配+有限权利”的混合权益。</w:t>
      </w:r>
    </w:p>
    <w:p w14:paraId="09572540">
      <w:pPr>
        <w:spacing w:before="120" w:after="120" w:line="288" w:lineRule="auto"/>
        <w:ind w:left="0"/>
        <w:jc w:val="left"/>
      </w:pPr>
    </w:p>
    <w:p w14:paraId="783D2A07">
      <w:pPr>
        <w:numPr>
          <w:ilvl w:val="0"/>
          <w:numId w:val="49"/>
        </w:numPr>
        <w:spacing w:before="120" w:after="120" w:line="288" w:lineRule="auto"/>
        <w:ind w:left="0"/>
        <w:jc w:val="left"/>
      </w:pPr>
      <w:r>
        <w:rPr>
          <w:rFonts w:ascii="Arial" w:hAnsi="Arial" w:eastAsia="等线" w:cs="Arial"/>
          <w:sz w:val="22"/>
        </w:rPr>
        <w:t>两大优先分配权：</w:t>
      </w:r>
    </w:p>
    <w:p w14:paraId="01B2A451">
      <w:pPr>
        <w:numPr>
          <w:ilvl w:val="0"/>
          <w:numId w:val="50"/>
        </w:numPr>
        <w:spacing w:before="120" w:after="120" w:line="288" w:lineRule="auto"/>
        <w:ind w:left="453"/>
        <w:jc w:val="left"/>
      </w:pPr>
      <w:r>
        <w:rPr>
          <w:rFonts w:ascii="Arial" w:hAnsi="Arial" w:eastAsia="等线" w:cs="Arial"/>
          <w:sz w:val="22"/>
        </w:rPr>
        <w:t>股息优先：股息率固定（Fixed Dividend Rate），按面值计算，如 6% 优先股，面值$100，年股息$6，且在普通股股息分配前支付。</w:t>
      </w:r>
    </w:p>
    <w:p w14:paraId="18D2AC1F">
      <w:pPr>
        <w:numPr>
          <w:ilvl w:val="0"/>
          <w:numId w:val="51"/>
        </w:numPr>
        <w:spacing w:before="120" w:after="120" w:line="288" w:lineRule="auto"/>
        <w:ind w:left="453"/>
        <w:jc w:val="left"/>
      </w:pPr>
      <w:r>
        <w:rPr>
          <w:rFonts w:ascii="Arial" w:hAnsi="Arial" w:eastAsia="等线" w:cs="Arial"/>
          <w:sz w:val="22"/>
        </w:rPr>
        <w:t>清算优先：企业破产时，优先股股东在普通股股东前、债权人后受偿。</w:t>
      </w:r>
    </w:p>
    <w:p w14:paraId="2BD57C7C">
      <w:pPr>
        <w:numPr>
          <w:ilvl w:val="0"/>
          <w:numId w:val="52"/>
        </w:numPr>
        <w:spacing w:before="120" w:after="120" w:line="288" w:lineRule="auto"/>
        <w:ind w:left="0"/>
        <w:jc w:val="left"/>
      </w:pPr>
      <w:r>
        <w:rPr>
          <w:rFonts w:ascii="Arial" w:hAnsi="Arial" w:eastAsia="等线" w:cs="Arial"/>
          <w:sz w:val="22"/>
        </w:rPr>
        <w:t>非投票权：默认无投票权，仅在 “股息连续未支付（如累计优先股欠付股息）” 时，可能临时获得投票权（考点：优先股投票权的例外情况）。</w:t>
      </w:r>
    </w:p>
    <w:p w14:paraId="14FE8C38">
      <w:pPr>
        <w:numPr>
          <w:ilvl w:val="0"/>
          <w:numId w:val="53"/>
        </w:numPr>
        <w:spacing w:before="120" w:after="120" w:line="288" w:lineRule="auto"/>
        <w:ind w:left="0"/>
        <w:jc w:val="left"/>
      </w:pPr>
      <w:r>
        <w:rPr>
          <w:rFonts w:ascii="Arial" w:hAnsi="Arial" w:eastAsia="等线" w:cs="Arial"/>
          <w:sz w:val="22"/>
        </w:rPr>
        <w:t>面值重要性：优先股面值通常为$100（与普通股 $1 面值不同），是计算股息的基准。普通股面值无实际意义，仅记账用。</w:t>
      </w:r>
    </w:p>
    <w:p w14:paraId="490BB081">
      <w:pPr>
        <w:spacing w:before="120" w:after="120" w:line="288" w:lineRule="auto"/>
        <w:ind w:left="0"/>
        <w:jc w:val="left"/>
      </w:pPr>
    </w:p>
    <w:p w14:paraId="5A28A5DD">
      <w:pPr>
        <w:spacing w:before="260" w:after="120" w:line="288" w:lineRule="auto"/>
        <w:ind w:left="0"/>
        <w:jc w:val="left"/>
        <w:outlineLvl w:val="3"/>
      </w:pPr>
      <w:bookmarkStart w:id="14" w:name="heading_14"/>
      <w:r>
        <w:rPr>
          <w:rFonts w:ascii="Arial" w:hAnsi="Arial" w:eastAsia="等线" w:cs="Arial"/>
          <w:color w:val="3370FF"/>
          <w:sz w:val="28"/>
        </w:rPr>
        <w:t xml:space="preserve">2.2.3.2 </w:t>
      </w:r>
      <w:r>
        <w:rPr>
          <w:rFonts w:ascii="Arial" w:hAnsi="Arial" w:eastAsia="等线" w:cs="Arial"/>
          <w:b/>
          <w:sz w:val="28"/>
        </w:rPr>
        <w:t>优先股分类（高频考点）</w:t>
      </w:r>
      <w:bookmarkEnd w:id="14"/>
    </w:p>
    <w:p w14:paraId="4D172C46">
      <w:pPr>
        <w:spacing w:before="120" w:after="120" w:line="288" w:lineRule="auto"/>
        <w:ind w:left="0"/>
        <w:jc w:val="left"/>
      </w:pPr>
      <w:r>
        <w:rPr>
          <w:rFonts w:ascii="Arial" w:hAnsi="Arial" w:eastAsia="等线" w:cs="Arial"/>
          <w:sz w:val="22"/>
        </w:rPr>
        <w:t>需掌握不同类型的风险与收益差异，明确适用场景：</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520"/>
        <w:gridCol w:w="2400"/>
        <w:gridCol w:w="3360"/>
      </w:tblGrid>
      <w:tr w14:paraId="3636E2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65ABCFD8">
            <w:pPr>
              <w:spacing w:before="120" w:after="120" w:line="288" w:lineRule="auto"/>
              <w:ind w:left="0"/>
              <w:jc w:val="left"/>
            </w:pPr>
            <w:r>
              <w:rPr>
                <w:rFonts w:ascii="Arial" w:hAnsi="Arial" w:eastAsia="等线" w:cs="Arial"/>
                <w:b/>
                <w:sz w:val="22"/>
              </w:rPr>
              <w:t>类型</w:t>
            </w:r>
          </w:p>
        </w:tc>
        <w:tc>
          <w:tcPr>
            <w:tcW w:w="2400" w:type="dxa"/>
            <w:tcMar>
              <w:top w:w="60" w:type="dxa"/>
              <w:left w:w="120" w:type="dxa"/>
              <w:bottom w:w="30" w:type="dxa"/>
              <w:right w:w="120" w:type="dxa"/>
            </w:tcMar>
          </w:tcPr>
          <w:p w14:paraId="5C1E0B07">
            <w:pPr>
              <w:spacing w:before="120" w:after="120" w:line="288" w:lineRule="auto"/>
              <w:ind w:left="0"/>
              <w:jc w:val="left"/>
            </w:pPr>
            <w:r>
              <w:rPr>
                <w:rFonts w:ascii="Arial" w:hAnsi="Arial" w:eastAsia="等线" w:cs="Arial"/>
                <w:b/>
                <w:sz w:val="22"/>
              </w:rPr>
              <w:t>核心特征</w:t>
            </w:r>
          </w:p>
        </w:tc>
        <w:tc>
          <w:tcPr>
            <w:tcW w:w="3360" w:type="dxa"/>
            <w:tcMar>
              <w:top w:w="60" w:type="dxa"/>
              <w:left w:w="120" w:type="dxa"/>
              <w:bottom w:w="30" w:type="dxa"/>
              <w:right w:w="120" w:type="dxa"/>
            </w:tcMar>
          </w:tcPr>
          <w:p w14:paraId="18283E81">
            <w:pPr>
              <w:spacing w:before="120" w:after="120" w:line="288" w:lineRule="auto"/>
              <w:ind w:left="0"/>
              <w:jc w:val="left"/>
            </w:pPr>
            <w:r>
              <w:rPr>
                <w:rFonts w:ascii="Arial" w:hAnsi="Arial" w:eastAsia="等线" w:cs="Arial"/>
                <w:b/>
                <w:sz w:val="22"/>
              </w:rPr>
              <w:t>风险与收益特点</w:t>
            </w:r>
          </w:p>
        </w:tc>
      </w:tr>
      <w:tr w14:paraId="1CCD6F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16797C02">
            <w:pPr>
              <w:spacing w:before="120" w:after="120" w:line="288" w:lineRule="auto"/>
              <w:ind w:left="0"/>
              <w:jc w:val="left"/>
            </w:pPr>
            <w:r>
              <w:rPr>
                <w:rFonts w:ascii="Arial" w:hAnsi="Arial" w:eastAsia="等线" w:cs="Arial"/>
                <w:sz w:val="22"/>
              </w:rPr>
              <w:t>累积优先股</w:t>
            </w:r>
          </w:p>
          <w:p w14:paraId="2C5FFBB9">
            <w:pPr>
              <w:spacing w:before="120" w:after="120" w:line="288" w:lineRule="auto"/>
              <w:ind w:left="0"/>
              <w:jc w:val="left"/>
            </w:pPr>
            <w:r>
              <w:rPr>
                <w:rFonts w:ascii="Arial" w:hAnsi="Arial" w:eastAsia="等线" w:cs="Arial"/>
                <w:sz w:val="22"/>
              </w:rPr>
              <w:t>Cumulative Preferred</w:t>
            </w:r>
          </w:p>
        </w:tc>
        <w:tc>
          <w:tcPr>
            <w:tcW w:w="2400" w:type="dxa"/>
            <w:tcMar>
              <w:top w:w="60" w:type="dxa"/>
              <w:left w:w="120" w:type="dxa"/>
              <w:bottom w:w="30" w:type="dxa"/>
              <w:right w:w="120" w:type="dxa"/>
            </w:tcMar>
          </w:tcPr>
          <w:p w14:paraId="0658018D">
            <w:pPr>
              <w:spacing w:before="120" w:after="120" w:line="288" w:lineRule="auto"/>
              <w:ind w:left="0"/>
              <w:jc w:val="left"/>
            </w:pPr>
            <w:r>
              <w:rPr>
                <w:rFonts w:ascii="Arial" w:hAnsi="Arial" w:eastAsia="等线" w:cs="Arial"/>
                <w:sz w:val="22"/>
              </w:rPr>
              <w:t>未支付股息（Dividends in Arrears）需在未来普通股分红前补足（如 2 年欠付$6/股，需先付$12 / 股）</w:t>
            </w:r>
          </w:p>
        </w:tc>
        <w:tc>
          <w:tcPr>
            <w:tcW w:w="3360" w:type="dxa"/>
            <w:tcMar>
              <w:top w:w="60" w:type="dxa"/>
              <w:left w:w="120" w:type="dxa"/>
              <w:bottom w:w="30" w:type="dxa"/>
              <w:right w:w="120" w:type="dxa"/>
            </w:tcMar>
          </w:tcPr>
          <w:p w14:paraId="70B39EF2">
            <w:pPr>
              <w:spacing w:before="120" w:after="120" w:line="288" w:lineRule="auto"/>
              <w:ind w:left="0"/>
              <w:jc w:val="left"/>
            </w:pPr>
            <w:r>
              <w:rPr>
                <w:rFonts w:ascii="Arial" w:hAnsi="Arial" w:eastAsia="等线" w:cs="Arial"/>
                <w:b/>
                <w:sz w:val="22"/>
              </w:rPr>
              <w:t>风险低，股息率低于非累积优先股</w:t>
            </w:r>
          </w:p>
          <w:p w14:paraId="0EF04A10">
            <w:pPr>
              <w:spacing w:before="120" w:after="120" w:line="288" w:lineRule="auto"/>
              <w:ind w:left="0"/>
              <w:jc w:val="left"/>
            </w:pPr>
          </w:p>
        </w:tc>
      </w:tr>
      <w:tr w14:paraId="72149E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3BEAC201">
            <w:pPr>
              <w:spacing w:before="120" w:after="120" w:line="288" w:lineRule="auto"/>
              <w:ind w:left="0"/>
              <w:jc w:val="left"/>
            </w:pPr>
            <w:r>
              <w:rPr>
                <w:rFonts w:ascii="Arial" w:hAnsi="Arial" w:eastAsia="等线" w:cs="Arial"/>
                <w:sz w:val="22"/>
              </w:rPr>
              <w:t>非累积优先股</w:t>
            </w:r>
          </w:p>
          <w:p w14:paraId="3B013338">
            <w:pPr>
              <w:spacing w:before="120" w:after="120" w:line="288" w:lineRule="auto"/>
              <w:ind w:left="0"/>
              <w:jc w:val="left"/>
            </w:pPr>
            <w:r>
              <w:rPr>
                <w:rFonts w:ascii="Arial" w:hAnsi="Arial" w:eastAsia="等线" w:cs="Arial"/>
                <w:sz w:val="22"/>
              </w:rPr>
              <w:t>Noncumulative (straight) preferred</w:t>
            </w:r>
          </w:p>
        </w:tc>
        <w:tc>
          <w:tcPr>
            <w:tcW w:w="2400" w:type="dxa"/>
            <w:tcMar>
              <w:top w:w="60" w:type="dxa"/>
              <w:left w:w="120" w:type="dxa"/>
              <w:bottom w:w="30" w:type="dxa"/>
              <w:right w:w="120" w:type="dxa"/>
            </w:tcMar>
          </w:tcPr>
          <w:p w14:paraId="745C0F27">
            <w:pPr>
              <w:spacing w:before="120" w:after="120" w:line="288" w:lineRule="auto"/>
              <w:ind w:left="0"/>
              <w:jc w:val="left"/>
            </w:pPr>
            <w:r>
              <w:rPr>
                <w:rFonts w:ascii="Arial" w:hAnsi="Arial" w:eastAsia="等线" w:cs="Arial"/>
                <w:sz w:val="22"/>
              </w:rPr>
              <w:t>未支付股息无需补足。</w:t>
            </w:r>
          </w:p>
          <w:p w14:paraId="7E414D29">
            <w:pPr>
              <w:spacing w:before="120" w:after="120" w:line="288" w:lineRule="auto"/>
              <w:ind w:left="0"/>
              <w:jc w:val="left"/>
            </w:pPr>
          </w:p>
        </w:tc>
        <w:tc>
          <w:tcPr>
            <w:tcW w:w="3360" w:type="dxa"/>
            <w:tcMar>
              <w:top w:w="60" w:type="dxa"/>
              <w:left w:w="120" w:type="dxa"/>
              <w:bottom w:w="30" w:type="dxa"/>
              <w:right w:w="120" w:type="dxa"/>
            </w:tcMar>
          </w:tcPr>
          <w:p w14:paraId="35428728">
            <w:pPr>
              <w:spacing w:before="120" w:after="120" w:line="288" w:lineRule="auto"/>
              <w:ind w:left="0"/>
              <w:jc w:val="left"/>
            </w:pPr>
            <w:r>
              <w:rPr>
                <w:rFonts w:ascii="Arial" w:hAnsi="Arial" w:eastAsia="等线" w:cs="Arial"/>
                <w:b/>
                <w:sz w:val="22"/>
              </w:rPr>
              <w:t>风险高，股息率高于累积优先股。</w:t>
            </w:r>
          </w:p>
          <w:p w14:paraId="7C528D1F">
            <w:pPr>
              <w:spacing w:before="120" w:after="120" w:line="288" w:lineRule="auto"/>
              <w:ind w:left="0"/>
              <w:jc w:val="left"/>
            </w:pPr>
          </w:p>
        </w:tc>
      </w:tr>
      <w:tr w14:paraId="5A3030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2611A944">
            <w:pPr>
              <w:spacing w:before="120" w:after="120" w:line="288" w:lineRule="auto"/>
              <w:ind w:left="0"/>
              <w:jc w:val="left"/>
            </w:pPr>
            <w:r>
              <w:rPr>
                <w:rFonts w:ascii="Arial" w:hAnsi="Arial" w:eastAsia="等线" w:cs="Arial"/>
                <w:sz w:val="22"/>
              </w:rPr>
              <w:t>可转换优先股</w:t>
            </w:r>
          </w:p>
          <w:p w14:paraId="2D47974F">
            <w:pPr>
              <w:spacing w:before="120" w:after="120" w:line="288" w:lineRule="auto"/>
              <w:ind w:left="0"/>
              <w:jc w:val="left"/>
            </w:pPr>
            <w:r>
              <w:rPr>
                <w:rFonts w:ascii="Arial" w:hAnsi="Arial" w:eastAsia="等线" w:cs="Arial"/>
                <w:sz w:val="22"/>
              </w:rPr>
              <w:t>Convertible Preferred</w:t>
            </w:r>
          </w:p>
        </w:tc>
        <w:tc>
          <w:tcPr>
            <w:tcW w:w="2400" w:type="dxa"/>
            <w:tcMar>
              <w:top w:w="60" w:type="dxa"/>
              <w:left w:w="120" w:type="dxa"/>
              <w:bottom w:w="30" w:type="dxa"/>
              <w:right w:w="120" w:type="dxa"/>
            </w:tcMar>
          </w:tcPr>
          <w:p w14:paraId="1522709B">
            <w:pPr>
              <w:spacing w:before="120" w:after="120" w:line="288" w:lineRule="auto"/>
              <w:ind w:left="0"/>
              <w:jc w:val="left"/>
            </w:pPr>
            <w:r>
              <w:rPr>
                <w:rFonts w:ascii="Arial" w:hAnsi="Arial" w:eastAsia="等线" w:cs="Arial"/>
                <w:sz w:val="22"/>
              </w:rPr>
              <w:t>可按约定 “转换比例” 转为普通股（如 1 股转 25 股）</w:t>
            </w:r>
          </w:p>
        </w:tc>
        <w:tc>
          <w:tcPr>
            <w:tcW w:w="3360" w:type="dxa"/>
            <w:tcMar>
              <w:top w:w="60" w:type="dxa"/>
              <w:left w:w="120" w:type="dxa"/>
              <w:bottom w:w="30" w:type="dxa"/>
              <w:right w:w="120" w:type="dxa"/>
            </w:tcMar>
          </w:tcPr>
          <w:p w14:paraId="61998E4D">
            <w:pPr>
              <w:spacing w:before="120" w:after="120" w:line="288" w:lineRule="auto"/>
              <w:ind w:left="0"/>
              <w:jc w:val="left"/>
            </w:pPr>
            <w:r>
              <w:rPr>
                <w:rFonts w:ascii="Arial" w:hAnsi="Arial" w:eastAsia="等线" w:cs="Arial"/>
                <w:sz w:val="22"/>
              </w:rPr>
              <w:t>有转换权，</w:t>
            </w:r>
            <w:r>
              <w:rPr>
                <w:rFonts w:ascii="Arial" w:hAnsi="Arial" w:eastAsia="等线" w:cs="Arial"/>
                <w:b/>
                <w:sz w:val="22"/>
              </w:rPr>
              <w:t>股息率低于普通优先股</w:t>
            </w:r>
            <w:r>
              <w:rPr>
                <w:rFonts w:ascii="Arial" w:hAnsi="Arial" w:eastAsia="等线" w:cs="Arial"/>
                <w:sz w:val="22"/>
              </w:rPr>
              <w:t>。</w:t>
            </w:r>
          </w:p>
          <w:p w14:paraId="25D5906E">
            <w:pPr>
              <w:spacing w:before="120" w:after="120" w:line="288" w:lineRule="auto"/>
              <w:ind w:left="0"/>
              <w:jc w:val="left"/>
            </w:pPr>
          </w:p>
        </w:tc>
      </w:tr>
      <w:tr w14:paraId="63F919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0706C6D1">
            <w:pPr>
              <w:spacing w:before="120" w:after="120" w:line="288" w:lineRule="auto"/>
              <w:ind w:left="0"/>
              <w:jc w:val="left"/>
            </w:pPr>
            <w:r>
              <w:rPr>
                <w:rFonts w:ascii="Arial" w:hAnsi="Arial" w:eastAsia="等线" w:cs="Arial"/>
                <w:sz w:val="22"/>
              </w:rPr>
              <w:t>可赎回优先股</w:t>
            </w:r>
          </w:p>
          <w:p w14:paraId="5FB11F24">
            <w:pPr>
              <w:spacing w:before="120" w:after="120" w:line="288" w:lineRule="auto"/>
              <w:ind w:left="0"/>
              <w:jc w:val="left"/>
            </w:pPr>
            <w:r>
              <w:rPr>
                <w:rFonts w:ascii="Arial" w:hAnsi="Arial" w:eastAsia="等线" w:cs="Arial"/>
                <w:sz w:val="22"/>
              </w:rPr>
              <w:t>Callable Preferred</w:t>
            </w:r>
          </w:p>
        </w:tc>
        <w:tc>
          <w:tcPr>
            <w:tcW w:w="2400" w:type="dxa"/>
            <w:tcMar>
              <w:top w:w="60" w:type="dxa"/>
              <w:left w:w="120" w:type="dxa"/>
              <w:bottom w:w="30" w:type="dxa"/>
              <w:right w:w="120" w:type="dxa"/>
            </w:tcMar>
          </w:tcPr>
          <w:p w14:paraId="31CA5555">
            <w:pPr>
              <w:spacing w:before="120" w:after="120" w:line="288" w:lineRule="auto"/>
              <w:ind w:left="0"/>
              <w:jc w:val="left"/>
            </w:pPr>
            <w:r>
              <w:rPr>
                <w:rFonts w:ascii="Arial" w:hAnsi="Arial" w:eastAsia="等线" w:cs="Arial"/>
                <w:sz w:val="22"/>
              </w:rPr>
              <w:t>发行人可在 “赎回日” 后的任何时间按约定价格（通常高于面值）赎回。</w:t>
            </w:r>
          </w:p>
        </w:tc>
        <w:tc>
          <w:tcPr>
            <w:tcW w:w="3360" w:type="dxa"/>
            <w:tcMar>
              <w:top w:w="60" w:type="dxa"/>
              <w:left w:w="120" w:type="dxa"/>
              <w:bottom w:w="30" w:type="dxa"/>
              <w:right w:w="120" w:type="dxa"/>
            </w:tcMar>
          </w:tcPr>
          <w:p w14:paraId="022D8056">
            <w:pPr>
              <w:spacing w:before="120" w:after="120" w:line="288" w:lineRule="auto"/>
              <w:ind w:left="0"/>
              <w:jc w:val="left"/>
            </w:pPr>
            <w:r>
              <w:rPr>
                <w:rFonts w:ascii="Arial" w:hAnsi="Arial" w:eastAsia="等线" w:cs="Arial"/>
                <w:sz w:val="22"/>
              </w:rPr>
              <w:t>投资者面临 “再投资风险”，</w:t>
            </w:r>
            <w:r>
              <w:rPr>
                <w:rFonts w:ascii="Arial" w:hAnsi="Arial" w:eastAsia="等线" w:cs="Arial"/>
                <w:b/>
                <w:sz w:val="22"/>
              </w:rPr>
              <w:t>股息率高于普通优先股。</w:t>
            </w:r>
          </w:p>
          <w:p w14:paraId="69F56136">
            <w:pPr>
              <w:spacing w:before="120" w:after="120" w:line="288" w:lineRule="auto"/>
              <w:ind w:left="0"/>
              <w:jc w:val="left"/>
            </w:pPr>
          </w:p>
          <w:p w14:paraId="307DC6E5">
            <w:pPr>
              <w:spacing w:before="120" w:after="120" w:line="288" w:lineRule="auto"/>
              <w:ind w:left="0"/>
              <w:jc w:val="left"/>
            </w:pPr>
            <w:r>
              <w:rPr>
                <w:rFonts w:ascii="Arial" w:hAnsi="Arial" w:eastAsia="等线" w:cs="Arial"/>
                <w:sz w:val="22"/>
              </w:rPr>
              <w:t>对于公司而言，优势在于它允许发行人在赎回日之后发行固定股息较低的优先股。</w:t>
            </w:r>
          </w:p>
        </w:tc>
      </w:tr>
      <w:tr w14:paraId="2F5A9B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0C80FE38">
            <w:pPr>
              <w:spacing w:before="120" w:after="120" w:line="288" w:lineRule="auto"/>
              <w:ind w:left="0"/>
              <w:jc w:val="left"/>
            </w:pPr>
            <w:r>
              <w:rPr>
                <w:rFonts w:ascii="Arial" w:hAnsi="Arial" w:eastAsia="等线" w:cs="Arial"/>
                <w:sz w:val="22"/>
              </w:rPr>
              <w:t>参与优先股</w:t>
            </w:r>
          </w:p>
          <w:p w14:paraId="1C020528">
            <w:pPr>
              <w:spacing w:before="120" w:after="120" w:line="288" w:lineRule="auto"/>
              <w:ind w:left="0"/>
              <w:jc w:val="left"/>
            </w:pPr>
            <w:r>
              <w:rPr>
                <w:rFonts w:ascii="Arial" w:hAnsi="Arial" w:eastAsia="等线" w:cs="Arial"/>
                <w:sz w:val="22"/>
              </w:rPr>
              <w:t>Participating Preferred</w:t>
            </w:r>
          </w:p>
        </w:tc>
        <w:tc>
          <w:tcPr>
            <w:tcW w:w="2400" w:type="dxa"/>
            <w:tcMar>
              <w:top w:w="60" w:type="dxa"/>
              <w:left w:w="120" w:type="dxa"/>
              <w:bottom w:w="30" w:type="dxa"/>
              <w:right w:w="120" w:type="dxa"/>
            </w:tcMar>
          </w:tcPr>
          <w:p w14:paraId="31833859">
            <w:pPr>
              <w:spacing w:before="120" w:after="120" w:line="288" w:lineRule="auto"/>
              <w:ind w:left="0"/>
              <w:jc w:val="left"/>
            </w:pPr>
            <w:r>
              <w:rPr>
                <w:rFonts w:ascii="Arial" w:hAnsi="Arial" w:eastAsia="等线" w:cs="Arial"/>
                <w:sz w:val="22"/>
              </w:rPr>
              <w:t>除固定股息外，可参与普通股的超额分红。</w:t>
            </w:r>
          </w:p>
          <w:p w14:paraId="55A850FE">
            <w:pPr>
              <w:spacing w:before="120" w:after="120" w:line="288" w:lineRule="auto"/>
              <w:ind w:left="0"/>
              <w:jc w:val="left"/>
            </w:pPr>
          </w:p>
        </w:tc>
        <w:tc>
          <w:tcPr>
            <w:tcW w:w="3360" w:type="dxa"/>
            <w:tcMar>
              <w:top w:w="60" w:type="dxa"/>
              <w:left w:w="120" w:type="dxa"/>
              <w:bottom w:w="30" w:type="dxa"/>
              <w:right w:w="120" w:type="dxa"/>
            </w:tcMar>
          </w:tcPr>
          <w:p w14:paraId="71BEF889">
            <w:pPr>
              <w:spacing w:before="120" w:after="120" w:line="288" w:lineRule="auto"/>
              <w:ind w:left="0"/>
              <w:jc w:val="left"/>
            </w:pPr>
            <w:r>
              <w:rPr>
                <w:rFonts w:ascii="Arial" w:hAnsi="Arial" w:eastAsia="等线" w:cs="Arial"/>
                <w:sz w:val="22"/>
              </w:rPr>
              <w:t>发行较少，但参与型优先股允许投资者在获得通常的优先股股息之外，还能获得一定数额的普通股股息。</w:t>
            </w:r>
            <w:r>
              <w:rPr>
                <w:rFonts w:ascii="Arial" w:hAnsi="Arial" w:eastAsia="等线" w:cs="Arial"/>
                <w:b/>
                <w:sz w:val="22"/>
              </w:rPr>
              <w:t>收益潜力高。</w:t>
            </w:r>
          </w:p>
        </w:tc>
      </w:tr>
      <w:tr w14:paraId="2ED338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3AFAB075">
            <w:pPr>
              <w:spacing w:before="120" w:after="120" w:line="288" w:lineRule="auto"/>
              <w:ind w:left="0"/>
              <w:jc w:val="left"/>
            </w:pPr>
            <w:r>
              <w:rPr>
                <w:rFonts w:ascii="Arial" w:hAnsi="Arial" w:eastAsia="等线" w:cs="Arial"/>
                <w:sz w:val="22"/>
              </w:rPr>
              <w:t>优先（高级）优先股</w:t>
            </w:r>
          </w:p>
          <w:p w14:paraId="09530604">
            <w:pPr>
              <w:spacing w:before="120" w:after="120" w:line="288" w:lineRule="auto"/>
              <w:ind w:left="0"/>
              <w:jc w:val="left"/>
            </w:pPr>
            <w:r>
              <w:rPr>
                <w:rFonts w:ascii="Arial" w:hAnsi="Arial" w:eastAsia="等线" w:cs="Arial"/>
                <w:sz w:val="22"/>
              </w:rPr>
              <w:t>Prior (senior) preferred</w:t>
            </w:r>
          </w:p>
        </w:tc>
        <w:tc>
          <w:tcPr>
            <w:tcW w:w="2400" w:type="dxa"/>
            <w:tcMar>
              <w:top w:w="60" w:type="dxa"/>
              <w:left w:w="120" w:type="dxa"/>
              <w:bottom w:w="30" w:type="dxa"/>
              <w:right w:w="120" w:type="dxa"/>
            </w:tcMar>
          </w:tcPr>
          <w:p w14:paraId="08FAE592">
            <w:pPr>
              <w:spacing w:before="120" w:after="120" w:line="288" w:lineRule="auto"/>
              <w:ind w:left="0"/>
              <w:jc w:val="left"/>
            </w:pPr>
            <w:r>
              <w:rPr>
                <w:rFonts w:ascii="Arial" w:hAnsi="Arial" w:eastAsia="等线" w:cs="Arial"/>
                <w:sz w:val="22"/>
              </w:rPr>
              <w:t>在公司破产时，普通优先股股东比普通股股东先获得赔偿。然而，高级优先股股东甚至比其他优先股股东先获得赔偿。</w:t>
            </w:r>
          </w:p>
        </w:tc>
        <w:tc>
          <w:tcPr>
            <w:tcW w:w="3360" w:type="dxa"/>
            <w:tcMar>
              <w:top w:w="60" w:type="dxa"/>
              <w:left w:w="120" w:type="dxa"/>
              <w:bottom w:w="30" w:type="dxa"/>
              <w:right w:w="120" w:type="dxa"/>
            </w:tcMar>
          </w:tcPr>
          <w:p w14:paraId="10FCD071">
            <w:pPr>
              <w:spacing w:before="120" w:after="120" w:line="288" w:lineRule="auto"/>
              <w:ind w:left="0"/>
              <w:jc w:val="left"/>
            </w:pPr>
            <w:r>
              <w:rPr>
                <w:rFonts w:ascii="Arial" w:hAnsi="Arial" w:eastAsia="等线" w:cs="Arial"/>
                <w:sz w:val="22"/>
              </w:rPr>
              <w:t>由于额外的安全系数，同一发行人的高级优先股支付的</w:t>
            </w:r>
            <w:r>
              <w:rPr>
                <w:rFonts w:ascii="Arial" w:hAnsi="Arial" w:eastAsia="等线" w:cs="Arial"/>
                <w:b/>
                <w:sz w:val="22"/>
              </w:rPr>
              <w:t>股息略低于其他优先股。</w:t>
            </w:r>
          </w:p>
          <w:p w14:paraId="4E8EDC30">
            <w:pPr>
              <w:spacing w:before="120" w:after="120" w:line="288" w:lineRule="auto"/>
              <w:ind w:left="0"/>
              <w:jc w:val="left"/>
            </w:pPr>
          </w:p>
        </w:tc>
      </w:tr>
      <w:tr w14:paraId="6C63AC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0" w:type="dxa"/>
            <w:tcMar>
              <w:top w:w="60" w:type="dxa"/>
              <w:left w:w="120" w:type="dxa"/>
              <w:bottom w:w="30" w:type="dxa"/>
              <w:right w:w="120" w:type="dxa"/>
            </w:tcMar>
          </w:tcPr>
          <w:p w14:paraId="453045F5">
            <w:pPr>
              <w:spacing w:before="120" w:after="120" w:line="288" w:lineRule="auto"/>
              <w:ind w:left="0"/>
              <w:jc w:val="left"/>
            </w:pPr>
            <w:r>
              <w:rPr>
                <w:rFonts w:ascii="Arial" w:hAnsi="Arial" w:eastAsia="等线" w:cs="Arial"/>
                <w:sz w:val="22"/>
              </w:rPr>
              <w:t>可调整（可变或浮动利率）优先股</w:t>
            </w:r>
          </w:p>
          <w:p w14:paraId="7EECBCFF">
            <w:pPr>
              <w:spacing w:before="120" w:after="120" w:line="288" w:lineRule="auto"/>
              <w:ind w:left="0"/>
              <w:jc w:val="left"/>
            </w:pPr>
            <w:r>
              <w:rPr>
                <w:rFonts w:ascii="Arial" w:hAnsi="Arial" w:eastAsia="等线" w:cs="Arial"/>
                <w:sz w:val="22"/>
              </w:rPr>
              <w:t>Adjustable (variable - or floating-rate) preferred</w:t>
            </w:r>
          </w:p>
        </w:tc>
        <w:tc>
          <w:tcPr>
            <w:tcW w:w="2400" w:type="dxa"/>
            <w:tcMar>
              <w:top w:w="60" w:type="dxa"/>
              <w:left w:w="120" w:type="dxa"/>
              <w:bottom w:w="30" w:type="dxa"/>
              <w:right w:w="120" w:type="dxa"/>
            </w:tcMar>
          </w:tcPr>
          <w:p w14:paraId="0AB6AF0A">
            <w:pPr>
              <w:spacing w:before="120" w:after="120" w:line="288" w:lineRule="auto"/>
              <w:ind w:left="0"/>
              <w:jc w:val="left"/>
            </w:pPr>
            <w:r>
              <w:rPr>
                <w:rFonts w:ascii="Arial" w:hAnsi="Arial" w:eastAsia="等线" w:cs="Arial"/>
                <w:sz w:val="22"/>
              </w:rPr>
              <w:t>可调整优先股的持有人获得的股息每三个月重置一次，以匹配当前利率的变动。</w:t>
            </w:r>
          </w:p>
          <w:p w14:paraId="3E49D6ED">
            <w:pPr>
              <w:spacing w:before="120" w:after="120" w:line="288" w:lineRule="auto"/>
              <w:ind w:left="0"/>
              <w:jc w:val="left"/>
            </w:pPr>
          </w:p>
        </w:tc>
        <w:tc>
          <w:tcPr>
            <w:tcW w:w="3360" w:type="dxa"/>
            <w:tcMar>
              <w:top w:w="60" w:type="dxa"/>
              <w:left w:w="120" w:type="dxa"/>
              <w:bottom w:w="30" w:type="dxa"/>
              <w:right w:w="120" w:type="dxa"/>
            </w:tcMar>
          </w:tcPr>
          <w:p w14:paraId="0904CAE5">
            <w:pPr>
              <w:spacing w:before="120" w:after="120" w:line="288" w:lineRule="auto"/>
              <w:ind w:left="0"/>
              <w:jc w:val="left"/>
            </w:pPr>
            <w:r>
              <w:rPr>
                <w:rFonts w:ascii="Arial" w:hAnsi="Arial" w:eastAsia="等线" w:cs="Arial"/>
                <w:sz w:val="22"/>
              </w:rPr>
              <w:t>由于股息会根据利率变化进行调整（通常基于某个基准，如短期国库券利率），</w:t>
            </w:r>
            <w:r>
              <w:rPr>
                <w:rFonts w:ascii="Arial" w:hAnsi="Arial" w:eastAsia="等线" w:cs="Arial"/>
                <w:b/>
                <w:sz w:val="22"/>
              </w:rPr>
              <w:t>因此股票价格保持更稳定。</w:t>
            </w:r>
          </w:p>
          <w:p w14:paraId="74BEAFB8">
            <w:pPr>
              <w:spacing w:before="120" w:after="120" w:line="288" w:lineRule="auto"/>
              <w:ind w:left="0"/>
              <w:jc w:val="left"/>
            </w:pPr>
          </w:p>
        </w:tc>
      </w:tr>
    </w:tbl>
    <w:p w14:paraId="127AC6A5">
      <w:pPr>
        <w:numPr>
          <w:ilvl w:val="0"/>
          <w:numId w:val="54"/>
        </w:numPr>
        <w:spacing w:before="120" w:after="120" w:line="288" w:lineRule="auto"/>
        <w:ind w:left="0"/>
        <w:jc w:val="left"/>
      </w:pPr>
      <w:r>
        <w:rPr>
          <w:rFonts w:ascii="Arial" w:hAnsi="Arial" w:eastAsia="等线" w:cs="Arial"/>
          <w:sz w:val="22"/>
        </w:rPr>
        <w:t>优先股股息计算（必考）</w:t>
      </w:r>
    </w:p>
    <w:p w14:paraId="67EF157F">
      <w:pPr>
        <w:numPr>
          <w:ilvl w:val="0"/>
          <w:numId w:val="55"/>
        </w:numPr>
        <w:spacing w:before="120" w:after="120" w:line="288" w:lineRule="auto"/>
        <w:ind w:left="0"/>
        <w:jc w:val="left"/>
      </w:pPr>
      <w:r>
        <w:rPr>
          <w:rFonts w:ascii="Arial" w:hAnsi="Arial" w:eastAsia="等线" w:cs="Arial"/>
          <w:sz w:val="22"/>
        </w:rPr>
        <w:t>公式：年度股息 = 优先股面值 × 股息率（默认面值 $100，除非题目特殊说明）；</w:t>
      </w:r>
    </w:p>
    <w:p w14:paraId="0FFFFCFC">
      <w:pPr>
        <w:numPr>
          <w:ilvl w:val="0"/>
          <w:numId w:val="56"/>
        </w:numPr>
        <w:spacing w:before="120" w:after="120" w:line="288" w:lineRule="auto"/>
        <w:ind w:left="0"/>
        <w:jc w:val="left"/>
      </w:pPr>
      <w:r>
        <w:rPr>
          <w:rFonts w:ascii="Arial" w:hAnsi="Arial" w:eastAsia="等线" w:cs="Arial"/>
          <w:sz w:val="22"/>
        </w:rPr>
        <w:t>示例：某投资者持有 100 股 8% 优先股（面值$100），年股息=100股×$100×8%=$800，若按半年支付，则每半年$400。</w:t>
      </w:r>
    </w:p>
    <w:p w14:paraId="29799F02">
      <w:pPr>
        <w:spacing w:before="120" w:after="120" w:line="288" w:lineRule="auto"/>
        <w:ind w:left="0"/>
        <w:jc w:val="left"/>
      </w:pPr>
    </w:p>
    <w:p w14:paraId="55A58BFF">
      <w:pPr>
        <w:numPr>
          <w:ilvl w:val="0"/>
          <w:numId w:val="57"/>
        </w:numPr>
        <w:spacing w:before="120" w:after="120" w:line="288" w:lineRule="auto"/>
        <w:ind w:left="0"/>
        <w:jc w:val="left"/>
      </w:pPr>
      <w:r>
        <w:rPr>
          <w:rFonts w:ascii="Arial" w:hAnsi="Arial" w:eastAsia="等线" w:cs="Arial"/>
          <w:sz w:val="22"/>
        </w:rPr>
        <w:t>优先股转换</w:t>
      </w:r>
    </w:p>
    <w:p w14:paraId="19A0D2EB">
      <w:pPr>
        <w:spacing w:before="120" w:after="120" w:line="288" w:lineRule="auto"/>
        <w:ind w:left="0"/>
        <w:jc w:val="left"/>
      </w:pPr>
      <w:r>
        <w:rPr>
          <w:rFonts w:ascii="Arial" w:hAnsi="Arial" w:eastAsia="等线" w:cs="Arial"/>
          <w:sz w:val="22"/>
        </w:rPr>
        <w:t>可转换优先股（Convertible Preferred Stock）的 “转换比率（Conversion Ratio）” 与 “平价价格（Parity Price）” 是核心计算类考点，需结合定义、公式及实例理解其逻辑，尤其关注 “平价状态” 与 “套利机会” 的判断。</w:t>
      </w:r>
    </w:p>
    <w:p w14:paraId="5ED9D489">
      <w:pPr>
        <w:numPr>
          <w:ilvl w:val="0"/>
          <w:numId w:val="58"/>
        </w:numPr>
        <w:spacing w:before="120" w:after="120" w:line="288" w:lineRule="auto"/>
        <w:ind w:left="0"/>
        <w:jc w:val="left"/>
      </w:pPr>
      <w:r>
        <w:rPr>
          <w:rFonts w:ascii="Arial" w:hAnsi="Arial" w:eastAsia="等线" w:cs="Arial"/>
          <w:sz w:val="22"/>
        </w:rPr>
        <w:t>公式记忆：转换比率推导（面值 ÷ 转换价格）、平价价格计算（两种场景）是必考公式，需避免与债券转换混淆（可转换债券公式相同，但债券面值默认 $1000）。</w:t>
      </w:r>
    </w:p>
    <w:p w14:paraId="647993F9">
      <w:pPr>
        <w:numPr>
          <w:ilvl w:val="0"/>
          <w:numId w:val="59"/>
        </w:numPr>
        <w:spacing w:before="120" w:after="120" w:line="288" w:lineRule="auto"/>
        <w:ind w:left="0"/>
        <w:jc w:val="left"/>
      </w:pPr>
      <w:r>
        <w:rPr>
          <w:rFonts w:ascii="Arial" w:hAnsi="Arial" w:eastAsia="等线" w:cs="Arial"/>
          <w:sz w:val="22"/>
        </w:rPr>
        <w:t>平价判断：核心是比较 “转换后普通股总价值” 与 “优先股市场价格”，高于则转换盈利，低于则不转换。</w:t>
      </w:r>
    </w:p>
    <w:p w14:paraId="26EB50C5">
      <w:pPr>
        <w:numPr>
          <w:ilvl w:val="0"/>
          <w:numId w:val="60"/>
        </w:numPr>
        <w:spacing w:before="120" w:after="120" w:line="288" w:lineRule="auto"/>
        <w:ind w:left="0"/>
        <w:jc w:val="left"/>
      </w:pPr>
      <w:r>
        <w:rPr>
          <w:rFonts w:ascii="Arial" w:hAnsi="Arial" w:eastAsia="等线" w:cs="Arial"/>
          <w:sz w:val="22"/>
        </w:rPr>
        <w:t>面值默认值：参考文件及 SIE 考试中，若无特殊说明，可转换优先股面值均为 $100，需熟练代入计算。</w:t>
      </w:r>
    </w:p>
    <w:p w14:paraId="03884FD3">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94942B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tcBorders>
              <w:top w:val="nil"/>
              <w:left w:val="single" w:color="BBBFC4" w:sz="18" w:space="0"/>
              <w:bottom w:val="nil"/>
              <w:right w:val="nil"/>
            </w:tcBorders>
            <w:tcMar>
              <w:top w:w="60" w:type="dxa"/>
              <w:left w:w="120" w:type="dxa"/>
              <w:bottom w:w="30" w:type="dxa"/>
              <w:right w:w="120" w:type="dxa"/>
            </w:tcMar>
          </w:tcPr>
          <w:p w14:paraId="2C0186C1">
            <w:pPr>
              <w:spacing w:before="120" w:after="120" w:line="288" w:lineRule="auto"/>
              <w:ind w:left="0"/>
              <w:jc w:val="left"/>
            </w:pPr>
            <w:r>
              <w:rPr>
                <w:rFonts w:ascii="Arial" w:hAnsi="Arial" w:eastAsia="等线" w:cs="Arial"/>
                <w:b/>
                <w:color w:val="646A73"/>
                <w:sz w:val="22"/>
              </w:rPr>
              <w:t>核心概念：转换比率（Conversion Ratio）</w:t>
            </w:r>
          </w:p>
          <w:p w14:paraId="750053C1">
            <w:pPr>
              <w:spacing w:before="120" w:after="120" w:line="288" w:lineRule="auto"/>
              <w:ind w:left="0"/>
              <w:jc w:val="left"/>
            </w:pPr>
            <w:r>
              <w:rPr>
                <w:rFonts w:ascii="Arial" w:hAnsi="Arial" w:eastAsia="等线" w:cs="Arial"/>
                <w:color w:val="646A73"/>
                <w:sz w:val="22"/>
              </w:rPr>
              <w:t>定义</w:t>
            </w:r>
          </w:p>
          <w:p w14:paraId="517D4926">
            <w:pPr>
              <w:spacing w:before="120" w:after="120" w:line="288" w:lineRule="auto"/>
              <w:ind w:left="0"/>
              <w:jc w:val="left"/>
            </w:pPr>
            <w:r>
              <w:rPr>
                <w:rFonts w:ascii="Arial" w:hAnsi="Arial" w:eastAsia="等线" w:cs="Arial"/>
                <w:color w:val="646A73"/>
                <w:sz w:val="22"/>
              </w:rPr>
              <w:t>转换比率是指 “每 1 股可转换优先股可兑换的普通股数量”，是连接可转换优先股与普通股的关键指标，由发行时约定的 “转换价格（Conversion Price）” 推导得出，公式为：</w:t>
            </w:r>
          </w:p>
          <w:p w14:paraId="1CDA30A9">
            <w:pPr>
              <w:spacing w:before="120" w:after="120" w:line="288" w:lineRule="auto"/>
              <w:ind w:left="0"/>
              <w:jc w:val="left"/>
            </w:pPr>
            <w:r>
              <w:rPr>
                <w:rFonts w:ascii="Arial" w:hAnsi="Arial" w:eastAsia="等线" w:cs="Arial"/>
                <w:color w:val="646A73"/>
                <w:sz w:val="22"/>
              </w:rPr>
              <w:t>转换比率 = 可转换优先股面值 ÷ 转换价格</w:t>
            </w:r>
          </w:p>
          <w:p w14:paraId="749464A8">
            <w:pPr>
              <w:spacing w:before="120" w:after="120" w:line="288" w:lineRule="auto"/>
              <w:ind w:left="0"/>
              <w:jc w:val="left"/>
            </w:pPr>
            <w:r>
              <w:rPr>
                <w:rFonts w:ascii="Arial" w:hAnsi="Arial" w:eastAsia="等线" w:cs="Arial"/>
                <w:color w:val="646A73"/>
                <w:sz w:val="22"/>
              </w:rPr>
              <w:t>（参考文件中默认优先股面值为 $100，除非题目特殊说明；转换价格是发行时确定的 “每股优先股可兑换普通股的固定价格”）</w:t>
            </w:r>
          </w:p>
          <w:p w14:paraId="4F700D26">
            <w:pPr>
              <w:spacing w:before="120" w:after="120" w:line="288" w:lineRule="auto"/>
              <w:ind w:left="0"/>
              <w:jc w:val="left"/>
            </w:pPr>
            <w:r>
              <w:rPr>
                <w:rFonts w:ascii="Arial" w:hAnsi="Arial" w:eastAsia="等线" w:cs="Arial"/>
                <w:color w:val="646A73"/>
                <w:sz w:val="22"/>
              </w:rPr>
              <w:t>参考文件实例关联</w:t>
            </w:r>
          </w:p>
          <w:p w14:paraId="7EF778B9">
            <w:pPr>
              <w:spacing w:before="120" w:after="120" w:line="288" w:lineRule="auto"/>
              <w:ind w:left="0"/>
              <w:jc w:val="left"/>
            </w:pPr>
            <w:r>
              <w:rPr>
                <w:rFonts w:ascii="Arial" w:hAnsi="Arial" w:eastAsia="等线" w:cs="Arial"/>
                <w:color w:val="646A73"/>
                <w:sz w:val="22"/>
              </w:rPr>
              <w:t>参考文件中提到 “可转换优先股可兑换 4 股普通股”，即转换比率为 4:1。若该优先股面值为$100，可反向推导其转换价格：</w:t>
            </w:r>
          </w:p>
          <w:p w14:paraId="615BCD5F">
            <w:pPr>
              <w:spacing w:before="120" w:after="120" w:line="288" w:lineRule="auto"/>
              <w:ind w:left="0"/>
              <w:jc w:val="left"/>
            </w:pPr>
            <w:r>
              <w:rPr>
                <w:rFonts w:ascii="Arial" w:hAnsi="Arial" w:eastAsia="等线" w:cs="Arial"/>
                <w:color w:val="646A73"/>
                <w:sz w:val="22"/>
              </w:rPr>
              <w:t>转换价格 = 优先股面值 ÷ 转换比率 = $100 ÷ 4 = $25</w:t>
            </w:r>
          </w:p>
          <w:p w14:paraId="6A46CBBC">
            <w:pPr>
              <w:spacing w:before="120" w:after="120" w:line="288" w:lineRule="auto"/>
              <w:ind w:left="0"/>
              <w:jc w:val="left"/>
            </w:pPr>
            <w:r>
              <w:rPr>
                <w:rFonts w:ascii="Arial" w:hAnsi="Arial" w:eastAsia="等线" w:cs="Arial"/>
                <w:color w:val="646A73"/>
                <w:sz w:val="22"/>
              </w:rPr>
              <w:t>这意味着：投资者持有的1股面值$100 的可转换优先股，可按 $25 / 股的固定价格，兑换为 4 股普通股。</w:t>
            </w:r>
          </w:p>
          <w:p w14:paraId="7827CED3">
            <w:pPr>
              <w:spacing w:before="120" w:after="120" w:line="288" w:lineRule="auto"/>
              <w:ind w:left="0"/>
              <w:jc w:val="left"/>
            </w:pPr>
          </w:p>
          <w:p w14:paraId="07F041D2">
            <w:pPr>
              <w:spacing w:before="120" w:after="120" w:line="288" w:lineRule="auto"/>
              <w:ind w:left="0"/>
              <w:jc w:val="left"/>
            </w:pPr>
            <w:r>
              <w:rPr>
                <w:rFonts w:ascii="Arial" w:hAnsi="Arial" w:eastAsia="等线" w:cs="Arial"/>
                <w:b/>
                <w:color w:val="646A73"/>
                <w:sz w:val="22"/>
              </w:rPr>
              <w:t>核心应用：平价价格（Parity Price）</w:t>
            </w:r>
          </w:p>
          <w:p w14:paraId="0E7332D9">
            <w:pPr>
              <w:spacing w:before="120" w:after="120" w:line="288" w:lineRule="auto"/>
              <w:ind w:left="0"/>
              <w:jc w:val="left"/>
            </w:pPr>
            <w:r>
              <w:rPr>
                <w:rFonts w:ascii="Arial" w:hAnsi="Arial" w:eastAsia="等线" w:cs="Arial"/>
                <w:color w:val="646A73"/>
                <w:sz w:val="22"/>
              </w:rPr>
              <w:t>定义</w:t>
            </w:r>
          </w:p>
          <w:p w14:paraId="205F3F78">
            <w:pPr>
              <w:spacing w:before="120" w:after="120" w:line="288" w:lineRule="auto"/>
              <w:ind w:left="0"/>
              <w:jc w:val="left"/>
            </w:pPr>
            <w:r>
              <w:rPr>
                <w:rFonts w:ascii="Arial" w:hAnsi="Arial" w:eastAsia="等线" w:cs="Arial"/>
                <w:color w:val="646A73"/>
                <w:sz w:val="22"/>
              </w:rPr>
              <w:t>平价价格是指 “可转换优先股与普通股交易价值相等时的价格”，是判断是否值得转换的核心标准 —— 当两者价格处于平价时，转换无套利空间；当存在价格差异时，可能产生盈利机会。</w:t>
            </w:r>
          </w:p>
          <w:p w14:paraId="6264DD2A">
            <w:pPr>
              <w:spacing w:before="120" w:after="120" w:line="288" w:lineRule="auto"/>
              <w:ind w:left="0"/>
              <w:jc w:val="left"/>
            </w:pPr>
            <w:r>
              <w:rPr>
                <w:rFonts w:ascii="Arial" w:hAnsi="Arial" w:eastAsia="等线" w:cs="Arial"/>
                <w:color w:val="646A73"/>
                <w:sz w:val="22"/>
              </w:rPr>
              <w:t>两类平价价格的计算（必考）</w:t>
            </w:r>
          </w:p>
          <w:p w14:paraId="6B96E585">
            <w:pPr>
              <w:spacing w:before="120" w:after="120" w:line="288" w:lineRule="auto"/>
              <w:ind w:left="0"/>
              <w:jc w:val="left"/>
            </w:pPr>
            <w:r>
              <w:rPr>
                <w:rFonts w:ascii="Arial" w:hAnsi="Arial" w:eastAsia="等线" w:cs="Arial"/>
                <w:color w:val="646A73"/>
                <w:sz w:val="22"/>
              </w:rPr>
              <w:t>根据参考文件实例，需掌握两种场景下的平价价格计算：</w:t>
            </w:r>
          </w:p>
          <w:p w14:paraId="26AA3B58">
            <w:pPr>
              <w:spacing w:before="120" w:after="120" w:line="288" w:lineRule="auto"/>
              <w:ind w:left="0"/>
              <w:jc w:val="left"/>
            </w:pPr>
            <w:r>
              <w:rPr>
                <w:rFonts w:ascii="Arial" w:hAnsi="Arial" w:eastAsia="等线" w:cs="Arial"/>
                <w:color w:val="646A73"/>
                <w:sz w:val="22"/>
              </w:rPr>
              <w:t>（1）优先股的平价价格（判断普通股价格是否合理）</w:t>
            </w:r>
          </w:p>
          <w:p w14:paraId="17AFA53B">
            <w:pPr>
              <w:spacing w:before="120" w:after="120" w:line="288" w:lineRule="auto"/>
              <w:ind w:left="0"/>
              <w:jc w:val="left"/>
            </w:pPr>
            <w:r>
              <w:rPr>
                <w:rFonts w:ascii="Arial" w:hAnsi="Arial" w:eastAsia="等线" w:cs="Arial"/>
                <w:color w:val="646A73"/>
                <w:sz w:val="22"/>
              </w:rPr>
              <w:t>若已知普通股市场价格，优先股的平价价格 = 普通股市场价格 × 转换比率</w:t>
            </w:r>
          </w:p>
          <w:p w14:paraId="34697178">
            <w:pPr>
              <w:numPr>
                <w:ilvl w:val="0"/>
                <w:numId w:val="61"/>
              </w:numPr>
              <w:spacing w:before="120" w:after="120" w:line="288" w:lineRule="auto"/>
              <w:ind w:left="0"/>
              <w:jc w:val="left"/>
            </w:pPr>
            <w:r>
              <w:rPr>
                <w:rFonts w:ascii="Arial" w:hAnsi="Arial" w:eastAsia="等线" w:cs="Arial"/>
                <w:color w:val="646A73"/>
                <w:sz w:val="22"/>
              </w:rPr>
              <w:t>实例：普通股交易价$25，转换比率4:1</w:t>
            </w:r>
            <w:r>
              <w:rPr>
                <w:rFonts w:ascii="Arial" w:hAnsi="Arial" w:eastAsia="等线" w:cs="Arial"/>
                <w:color w:val="646A73"/>
                <w:sz w:val="22"/>
              </w:rPr>
              <w:br w:type="textWrapping"/>
            </w:r>
            <w:r>
              <w:rPr>
                <w:rFonts w:ascii="Arial" w:hAnsi="Arial" w:eastAsia="等线" w:cs="Arial"/>
                <w:color w:val="646A73"/>
                <w:sz w:val="22"/>
              </w:rPr>
              <w:t>优先股平价价格 = $25 × 4 = $100</w:t>
            </w:r>
            <w:r>
              <w:rPr>
                <w:rFonts w:ascii="Arial" w:hAnsi="Arial" w:eastAsia="等线" w:cs="Arial"/>
                <w:color w:val="646A73"/>
                <w:sz w:val="22"/>
              </w:rPr>
              <w:br w:type="textWrapping"/>
            </w:r>
            <w:r>
              <w:rPr>
                <w:rFonts w:ascii="Arial" w:hAnsi="Arial" w:eastAsia="等线" w:cs="Arial"/>
                <w:color w:val="646A73"/>
                <w:sz w:val="22"/>
              </w:rPr>
              <w:t>此时优先股若也以$100 交易，两者处于平价状态（价值相等，转换无意义）。</w:t>
            </w:r>
          </w:p>
          <w:p w14:paraId="083F9948">
            <w:pPr>
              <w:spacing w:before="120" w:after="120" w:line="288" w:lineRule="auto"/>
              <w:ind w:left="0"/>
              <w:jc w:val="left"/>
            </w:pPr>
            <w:r>
              <w:rPr>
                <w:rFonts w:ascii="Arial" w:hAnsi="Arial" w:eastAsia="等线" w:cs="Arial"/>
                <w:color w:val="646A73"/>
                <w:sz w:val="22"/>
              </w:rPr>
              <w:t>（2）普通股的平价价格（判断优先股价格是否合理）</w:t>
            </w:r>
          </w:p>
          <w:p w14:paraId="2AEE48CB">
            <w:pPr>
              <w:spacing w:before="120" w:after="120" w:line="288" w:lineRule="auto"/>
              <w:ind w:left="0"/>
              <w:jc w:val="left"/>
            </w:pPr>
            <w:r>
              <w:rPr>
                <w:rFonts w:ascii="Arial" w:hAnsi="Arial" w:eastAsia="等线" w:cs="Arial"/>
                <w:color w:val="646A73"/>
                <w:sz w:val="22"/>
              </w:rPr>
              <w:t>若已知优先股市场价格，普通股的平价价格 = 优先股市场价格 ÷ 转换比率</w:t>
            </w:r>
          </w:p>
          <w:p w14:paraId="2B9EFC37">
            <w:pPr>
              <w:numPr>
                <w:ilvl w:val="0"/>
                <w:numId w:val="62"/>
              </w:numPr>
              <w:spacing w:before="120" w:after="120" w:line="288" w:lineRule="auto"/>
              <w:ind w:left="0"/>
              <w:jc w:val="left"/>
            </w:pPr>
            <w:r>
              <w:rPr>
                <w:rFonts w:ascii="Arial" w:hAnsi="Arial" w:eastAsia="等线" w:cs="Arial"/>
                <w:color w:val="646A73"/>
                <w:sz w:val="22"/>
              </w:rPr>
              <w:t>实例变形：优先股交易价$100，转换比率4:1</w:t>
            </w:r>
            <w:r>
              <w:rPr>
                <w:rFonts w:ascii="Arial" w:hAnsi="Arial" w:eastAsia="等线" w:cs="Arial"/>
                <w:color w:val="646A73"/>
                <w:sz w:val="22"/>
              </w:rPr>
              <w:br w:type="textWrapping"/>
            </w:r>
            <w:r>
              <w:rPr>
                <w:rFonts w:ascii="Arial" w:hAnsi="Arial" w:eastAsia="等线" w:cs="Arial"/>
                <w:color w:val="646A73"/>
                <w:sz w:val="22"/>
              </w:rPr>
              <w:t>普通股平价价格 = $100 ÷ 4 = $25</w:t>
            </w:r>
            <w:r>
              <w:rPr>
                <w:rFonts w:ascii="Arial" w:hAnsi="Arial" w:eastAsia="等线" w:cs="Arial"/>
                <w:color w:val="646A73"/>
                <w:sz w:val="22"/>
              </w:rPr>
              <w:br w:type="textWrapping"/>
            </w:r>
            <w:r>
              <w:rPr>
                <w:rFonts w:ascii="Arial" w:hAnsi="Arial" w:eastAsia="等线" w:cs="Arial"/>
                <w:color w:val="646A73"/>
                <w:sz w:val="22"/>
              </w:rPr>
              <w:t>若普通股实际交易价高于$25（如文件中 $28），则普通股价格 “高于平价”，转换可盈利。</w:t>
            </w:r>
          </w:p>
          <w:p w14:paraId="5E0C6669">
            <w:pPr>
              <w:spacing w:before="120" w:after="120" w:line="288" w:lineRule="auto"/>
              <w:ind w:left="0"/>
              <w:jc w:val="left"/>
            </w:pPr>
          </w:p>
          <w:p w14:paraId="193D8B1C">
            <w:pPr>
              <w:spacing w:before="120" w:after="120" w:line="288" w:lineRule="auto"/>
              <w:ind w:left="0"/>
              <w:jc w:val="left"/>
            </w:pPr>
            <w:r>
              <w:rPr>
                <w:rFonts w:ascii="Arial" w:hAnsi="Arial" w:eastAsia="等线" w:cs="Arial"/>
                <w:b/>
                <w:color w:val="646A73"/>
                <w:sz w:val="22"/>
              </w:rPr>
              <w:t>平价状态与套利机会</w:t>
            </w:r>
          </w:p>
          <w:p w14:paraId="75163524">
            <w:pPr>
              <w:numPr>
                <w:ilvl w:val="0"/>
                <w:numId w:val="63"/>
              </w:numPr>
              <w:spacing w:before="120" w:after="120" w:line="288" w:lineRule="auto"/>
              <w:ind w:left="0"/>
              <w:jc w:val="left"/>
            </w:pPr>
            <w:r>
              <w:rPr>
                <w:rFonts w:ascii="Arial" w:hAnsi="Arial" w:eastAsia="等线" w:cs="Arial"/>
                <w:color w:val="646A73"/>
                <w:sz w:val="22"/>
              </w:rPr>
              <w:t>平价状态（无套利）</w:t>
            </w:r>
          </w:p>
          <w:p w14:paraId="2727544F">
            <w:pPr>
              <w:spacing w:before="120" w:after="120" w:line="288" w:lineRule="auto"/>
              <w:ind w:left="0"/>
              <w:jc w:val="left"/>
            </w:pPr>
            <w:r>
              <w:rPr>
                <w:rFonts w:ascii="Arial" w:hAnsi="Arial" w:eastAsia="等线" w:cs="Arial"/>
                <w:color w:val="646A73"/>
                <w:sz w:val="22"/>
              </w:rPr>
              <w:t>当 “优先股市场价格 = 普通股市场价格 × 转换比率” 时，两者价值相等，转换无法带来额外收益，可转换优先股通常会围绕平价价格交易（参考文件强调 “可转换优先股通常非常接近平价价格交易”）。</w:t>
            </w:r>
          </w:p>
          <w:p w14:paraId="7A3B195A">
            <w:pPr>
              <w:numPr>
                <w:ilvl w:val="0"/>
                <w:numId w:val="64"/>
              </w:numPr>
              <w:spacing w:before="120" w:after="120" w:line="288" w:lineRule="auto"/>
              <w:ind w:left="0"/>
              <w:jc w:val="left"/>
            </w:pPr>
            <w:r>
              <w:rPr>
                <w:rFonts w:ascii="Arial" w:hAnsi="Arial" w:eastAsia="等线" w:cs="Arial"/>
                <w:color w:val="646A73"/>
                <w:sz w:val="22"/>
              </w:rPr>
              <w:t>实例：优先股$100，普通股$25，转换比率 4:1 → $100 = $25×4，平价无套利。</w:t>
            </w:r>
          </w:p>
          <w:p w14:paraId="47330AB4">
            <w:pPr>
              <w:numPr>
                <w:ilvl w:val="0"/>
                <w:numId w:val="65"/>
              </w:numPr>
              <w:spacing w:before="120" w:after="120" w:line="288" w:lineRule="auto"/>
              <w:ind w:left="0"/>
              <w:jc w:val="left"/>
            </w:pPr>
            <w:r>
              <w:rPr>
                <w:rFonts w:ascii="Arial" w:hAnsi="Arial" w:eastAsia="等线" w:cs="Arial"/>
                <w:color w:val="646A73"/>
                <w:sz w:val="22"/>
              </w:rPr>
              <w:t>套利机会（转换盈利）</w:t>
            </w:r>
          </w:p>
          <w:p w14:paraId="6F3A74C5">
            <w:pPr>
              <w:spacing w:before="120" w:after="120" w:line="288" w:lineRule="auto"/>
              <w:ind w:left="0"/>
              <w:jc w:val="left"/>
            </w:pPr>
            <w:r>
              <w:rPr>
                <w:rFonts w:ascii="Arial" w:hAnsi="Arial" w:eastAsia="等线" w:cs="Arial"/>
                <w:color w:val="646A73"/>
                <w:sz w:val="22"/>
              </w:rPr>
              <w:t>当普通股价格高于平价价格时，转换可获利；反之则不建议转换。</w:t>
            </w:r>
          </w:p>
          <w:p w14:paraId="1E627CD5">
            <w:pPr>
              <w:numPr>
                <w:ilvl w:val="0"/>
                <w:numId w:val="66"/>
              </w:numPr>
              <w:spacing w:before="120" w:after="120" w:line="288" w:lineRule="auto"/>
              <w:ind w:left="0"/>
              <w:jc w:val="left"/>
            </w:pPr>
            <w:r>
              <w:rPr>
                <w:rFonts w:ascii="Arial" w:hAnsi="Arial" w:eastAsia="等线" w:cs="Arial"/>
                <w:color w:val="646A73"/>
                <w:sz w:val="22"/>
              </w:rPr>
              <w:t>参考文件实例：优先股$100，普通股$28，转换比率 4:1</w:t>
            </w:r>
            <w:r>
              <w:rPr>
                <w:rFonts w:ascii="Arial" w:hAnsi="Arial" w:eastAsia="等线" w:cs="Arial"/>
                <w:color w:val="646A73"/>
                <w:sz w:val="22"/>
              </w:rPr>
              <w:br w:type="textWrapping"/>
            </w:r>
            <w:r>
              <w:rPr>
                <w:rFonts w:ascii="Arial" w:hAnsi="Arial" w:eastAsia="等线" w:cs="Arial"/>
                <w:color w:val="646A73"/>
                <w:sz w:val="22"/>
              </w:rPr>
              <w:t>转换后普通股总价值 = $28 × 4 = $112</w:t>
            </w:r>
            <w:r>
              <w:rPr>
                <w:rFonts w:ascii="Arial" w:hAnsi="Arial" w:eastAsia="等线" w:cs="Arial"/>
                <w:color w:val="646A73"/>
                <w:sz w:val="22"/>
              </w:rPr>
              <w:br w:type="textWrapping"/>
            </w:r>
            <w:r>
              <w:rPr>
                <w:rFonts w:ascii="Arial" w:hAnsi="Arial" w:eastAsia="等线" w:cs="Arial"/>
                <w:color w:val="646A73"/>
                <w:sz w:val="22"/>
              </w:rPr>
              <w:t>投资者用$100的优先股转换为$112 的普通股，净盈利 $12，此时转换具备盈利空间（即 “普通股高于平价”）。</w:t>
            </w:r>
          </w:p>
        </w:tc>
      </w:tr>
    </w:tbl>
    <w:p w14:paraId="5F9B140A">
      <w:pPr>
        <w:spacing w:before="120" w:after="120" w:line="288" w:lineRule="auto"/>
        <w:ind w:left="0"/>
        <w:jc w:val="left"/>
      </w:pPr>
    </w:p>
    <w:p w14:paraId="1F5DBA21">
      <w:pPr>
        <w:spacing w:before="120" w:after="120" w:line="288" w:lineRule="auto"/>
        <w:ind w:left="0"/>
        <w:jc w:val="left"/>
      </w:pPr>
      <w:r>
        <w:rPr>
          <w:rFonts w:ascii="Arial" w:hAnsi="Arial" w:eastAsia="等线" w:cs="Arial"/>
          <w:sz w:val="22"/>
        </w:rPr>
        <w:t>通过以上逻辑，可快速解决 “转换是否盈利” 的选择题，例如：若某可转换优先股转换比率为 5:1，当前普通股价格$22，优先股市场价格$105，是否值得转换？</w:t>
      </w:r>
    </w:p>
    <w:p w14:paraId="5934FBF6">
      <w:pPr>
        <w:spacing w:before="120" w:after="120" w:line="288" w:lineRule="auto"/>
        <w:ind w:left="0"/>
        <w:jc w:val="left"/>
      </w:pPr>
      <w:r>
        <w:rPr>
          <w:rFonts w:ascii="Arial" w:hAnsi="Arial" w:eastAsia="等线" w:cs="Arial"/>
          <w:sz w:val="22"/>
        </w:rPr>
        <w:t>计算：转换后普通股总价值 = $22×5 = $110 &gt; $105（优先股价格），因此转换可盈利，答案为 “是”。</w:t>
      </w:r>
    </w:p>
    <w:p w14:paraId="20ACBAD0">
      <w:pPr>
        <w:spacing w:before="120" w:after="120" w:line="288" w:lineRule="auto"/>
        <w:ind w:left="0"/>
        <w:jc w:val="center"/>
      </w:pPr>
      <w:r>
        <w:drawing>
          <wp:inline distT="0" distB="0" distL="0" distR="0">
            <wp:extent cx="2809875" cy="638175"/>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10"/>
                    <a:stretch>
                      <a:fillRect/>
                    </a:stretch>
                  </pic:blipFill>
                  <pic:spPr>
                    <a:xfrm>
                      <a:off x="0" y="0"/>
                      <a:ext cx="2809875" cy="638175"/>
                    </a:xfrm>
                    <a:prstGeom prst="rect">
                      <a:avLst/>
                    </a:prstGeom>
                  </pic:spPr>
                </pic:pic>
              </a:graphicData>
            </a:graphic>
          </wp:inline>
        </w:drawing>
      </w:r>
    </w:p>
    <w:p w14:paraId="06570E94">
      <w:pPr>
        <w:spacing w:before="120" w:after="120" w:line="288" w:lineRule="auto"/>
        <w:ind w:left="0"/>
        <w:jc w:val="left"/>
      </w:pPr>
    </w:p>
    <w:p w14:paraId="7099BACD">
      <w:pPr>
        <w:spacing w:before="300" w:after="120" w:line="288" w:lineRule="auto"/>
        <w:ind w:left="0"/>
        <w:jc w:val="left"/>
        <w:outlineLvl w:val="2"/>
      </w:pPr>
      <w:bookmarkStart w:id="15" w:name="heading_15"/>
      <w:r>
        <w:rPr>
          <w:rFonts w:ascii="Arial" w:hAnsi="Arial" w:eastAsia="等线" w:cs="Arial"/>
          <w:color w:val="3370FF"/>
          <w:sz w:val="30"/>
        </w:rPr>
        <w:t xml:space="preserve">2.2.4 </w:t>
      </w:r>
      <w:r>
        <w:rPr>
          <w:rFonts w:ascii="Arial" w:hAnsi="Arial" w:eastAsia="等线" w:cs="Arial"/>
          <w:b/>
          <w:sz w:val="30"/>
        </w:rPr>
        <w:t>特殊权益证券</w:t>
      </w:r>
      <w:bookmarkEnd w:id="15"/>
    </w:p>
    <w:p w14:paraId="02A46785">
      <w:pPr>
        <w:spacing w:before="120" w:after="120" w:line="288" w:lineRule="auto"/>
        <w:ind w:left="0"/>
        <w:jc w:val="left"/>
      </w:pPr>
      <w:r>
        <w:rPr>
          <w:rFonts w:ascii="Arial" w:hAnsi="Arial" w:eastAsia="等线" w:cs="Arial"/>
          <w:sz w:val="22"/>
        </w:rPr>
        <w:t>三类“基于普通股的衍生权益证券”，核心功能是“补充所有权权利或拓展投资场景”。</w:t>
      </w:r>
    </w:p>
    <w:p w14:paraId="3E27BA3B">
      <w:pPr>
        <w:spacing w:before="260" w:after="120" w:line="288" w:lineRule="auto"/>
        <w:ind w:left="0"/>
        <w:jc w:val="left"/>
        <w:outlineLvl w:val="3"/>
      </w:pPr>
      <w:bookmarkStart w:id="16" w:name="heading_16"/>
      <w:r>
        <w:rPr>
          <w:rFonts w:ascii="Arial" w:hAnsi="Arial" w:eastAsia="等线" w:cs="Arial"/>
          <w:color w:val="3370FF"/>
          <w:sz w:val="28"/>
        </w:rPr>
        <w:t xml:space="preserve">2.2.4.1 </w:t>
      </w:r>
      <w:r>
        <w:rPr>
          <w:rFonts w:ascii="Arial" w:hAnsi="Arial" w:eastAsia="等线" w:cs="Arial"/>
          <w:b/>
          <w:sz w:val="28"/>
        </w:rPr>
        <w:t>美国存托凭证（ADRs）</w:t>
      </w:r>
      <w:bookmarkEnd w:id="16"/>
    </w:p>
    <w:p w14:paraId="6BC05276">
      <w:pPr>
        <w:spacing w:before="120" w:after="120" w:line="288" w:lineRule="auto"/>
        <w:ind w:left="0"/>
        <w:jc w:val="left"/>
      </w:pPr>
      <w:r>
        <w:rPr>
          <w:rFonts w:ascii="Arial" w:hAnsi="Arial" w:eastAsia="等线" w:cs="Arial"/>
          <w:sz w:val="22"/>
        </w:rPr>
        <w:t xml:space="preserve">ADR（American Depositary Receipt）代表在美交易的外国证券（foreign securities traded in the US）的凭证，投资者不会收到实际股票证书（actual certificate），仅获得代表一定数量外国股票（a certain number of foreign shares）的存托凭证。  </w:t>
      </w:r>
    </w:p>
    <w:p w14:paraId="4EB92D25">
      <w:pPr>
        <w:spacing w:before="120" w:after="120" w:line="288" w:lineRule="auto"/>
        <w:ind w:left="0"/>
        <w:jc w:val="left"/>
      </w:pPr>
    </w:p>
    <w:p w14:paraId="56D3DBC0">
      <w:pPr>
        <w:spacing w:before="120" w:after="120" w:line="288" w:lineRule="auto"/>
        <w:ind w:left="0"/>
        <w:jc w:val="left"/>
      </w:pPr>
      <w:r>
        <w:rPr>
          <w:rFonts w:ascii="Arial" w:hAnsi="Arial" w:eastAsia="等线" w:cs="Arial"/>
          <w:sz w:val="22"/>
        </w:rPr>
        <w:t>境外公司股票的“美国交易凭证”，由美国银行发行，股东获美元股息（需承担汇率风险），</w:t>
      </w:r>
      <w:r>
        <w:rPr>
          <w:rFonts w:ascii="Arial" w:hAnsi="Arial" w:eastAsia="等线" w:cs="Arial"/>
          <w:sz w:val="22"/>
          <w:shd w:val="clear" w:fill="FFF67A"/>
        </w:rPr>
        <w:t>通常无投票权（或需委托银行投票</w:t>
      </w:r>
      <w:r>
        <w:rPr>
          <w:rFonts w:ascii="Arial" w:hAnsi="Arial" w:eastAsia="等线" w:cs="Arial"/>
          <w:sz w:val="22"/>
        </w:rPr>
        <w:t xml:space="preserve">），需 SEC 注册（区别于境外证券直接交易）。  </w:t>
      </w:r>
    </w:p>
    <w:p w14:paraId="4E08BF8E">
      <w:pPr>
        <w:numPr>
          <w:ilvl w:val="0"/>
          <w:numId w:val="67"/>
        </w:numPr>
        <w:spacing w:before="120" w:after="120" w:line="288" w:lineRule="auto"/>
        <w:ind w:left="0"/>
        <w:jc w:val="left"/>
      </w:pPr>
      <w:r>
        <w:rPr>
          <w:rFonts w:ascii="Arial" w:hAnsi="Arial" w:eastAsia="等线" w:cs="Arial"/>
          <w:b/>
          <w:sz w:val="22"/>
        </w:rPr>
        <w:t>核心特征（Key Features）</w:t>
      </w:r>
      <w:r>
        <w:rPr>
          <w:rFonts w:ascii="Arial" w:hAnsi="Arial" w:eastAsia="等线" w:cs="Arial"/>
          <w:sz w:val="22"/>
        </w:rPr>
        <w:t xml:space="preserve">：  </w:t>
      </w:r>
    </w:p>
    <w:p w14:paraId="68B2DF98">
      <w:pPr>
        <w:numPr>
          <w:ilvl w:val="0"/>
          <w:numId w:val="68"/>
        </w:numPr>
        <w:spacing w:before="120" w:after="120" w:line="288" w:lineRule="auto"/>
        <w:ind w:left="453"/>
        <w:jc w:val="left"/>
      </w:pPr>
      <w:r>
        <w:rPr>
          <w:rFonts w:ascii="Arial" w:hAnsi="Arial" w:eastAsia="等线" w:cs="Arial"/>
          <w:sz w:val="22"/>
          <w:shd w:val="clear" w:fill="FFF67A"/>
        </w:rPr>
        <w:t xml:space="preserve">无投票权（No voting shares）；  </w:t>
      </w:r>
    </w:p>
    <w:p w14:paraId="75E68456">
      <w:pPr>
        <w:numPr>
          <w:ilvl w:val="0"/>
          <w:numId w:val="69"/>
        </w:numPr>
        <w:spacing w:before="120" w:after="120" w:line="288" w:lineRule="auto"/>
        <w:ind w:left="453"/>
        <w:jc w:val="left"/>
      </w:pPr>
      <w:r>
        <w:rPr>
          <w:rFonts w:ascii="Arial" w:hAnsi="Arial" w:eastAsia="等线" w:cs="Arial"/>
          <w:sz w:val="22"/>
        </w:rPr>
        <w:t xml:space="preserve">以美元（USD）计价，股价像普通股一样全天波动（fluctuate throughout the day like common stock）；  </w:t>
      </w:r>
    </w:p>
    <w:p w14:paraId="1CAC9E7A">
      <w:pPr>
        <w:numPr>
          <w:ilvl w:val="0"/>
          <w:numId w:val="70"/>
        </w:numPr>
        <w:spacing w:before="120" w:after="120" w:line="288" w:lineRule="auto"/>
        <w:ind w:left="453"/>
        <w:jc w:val="left"/>
      </w:pPr>
      <w:r>
        <w:rPr>
          <w:rFonts w:ascii="Arial" w:hAnsi="Arial" w:eastAsia="等线" w:cs="Arial"/>
          <w:sz w:val="22"/>
          <w:shd w:val="clear" w:fill="FFF67A"/>
        </w:rPr>
        <w:t xml:space="preserve">通常1份ADR对应1-10股外国公司股票（shares of a foreign corporation）；  </w:t>
      </w:r>
    </w:p>
    <w:p w14:paraId="29E728D2">
      <w:pPr>
        <w:numPr>
          <w:ilvl w:val="0"/>
          <w:numId w:val="71"/>
        </w:numPr>
        <w:spacing w:before="120" w:after="120" w:line="288" w:lineRule="auto"/>
        <w:ind w:left="453"/>
        <w:jc w:val="left"/>
      </w:pPr>
      <w:r>
        <w:rPr>
          <w:rFonts w:ascii="Arial" w:hAnsi="Arial" w:eastAsia="等线" w:cs="Arial"/>
          <w:sz w:val="22"/>
        </w:rPr>
        <w:t xml:space="preserve">可流通（negotiable）——可出售（sold）或转让（transferred）；  </w:t>
      </w:r>
    </w:p>
    <w:p w14:paraId="5C6E5693">
      <w:pPr>
        <w:numPr>
          <w:ilvl w:val="0"/>
          <w:numId w:val="72"/>
        </w:numPr>
        <w:spacing w:before="120" w:after="120" w:line="288" w:lineRule="auto"/>
        <w:ind w:left="453"/>
        <w:jc w:val="left"/>
      </w:pPr>
      <w:r>
        <w:rPr>
          <w:rFonts w:ascii="Arial" w:hAnsi="Arial" w:eastAsia="等线" w:cs="Arial"/>
          <w:sz w:val="22"/>
        </w:rPr>
        <w:t xml:space="preserve">面临额外的汇率风险（additional currency risks）。 </w:t>
      </w:r>
    </w:p>
    <w:p w14:paraId="22A5C654">
      <w:pPr>
        <w:numPr>
          <w:ilvl w:val="0"/>
          <w:numId w:val="73"/>
        </w:numPr>
        <w:spacing w:before="120" w:after="120" w:line="288" w:lineRule="auto"/>
        <w:ind w:left="0"/>
        <w:jc w:val="left"/>
      </w:pPr>
      <w:r>
        <w:rPr>
          <w:rFonts w:ascii="Arial" w:hAnsi="Arial" w:eastAsia="等线" w:cs="Arial"/>
          <w:b/>
          <w:sz w:val="22"/>
        </w:rPr>
        <w:t>监管要求（Regulatory Requirement）</w:t>
      </w:r>
      <w:r>
        <w:rPr>
          <w:rFonts w:ascii="Arial" w:hAnsi="Arial" w:eastAsia="等线" w:cs="Arial"/>
          <w:sz w:val="22"/>
        </w:rPr>
        <w:t xml:space="preserve">：需向SEC注册（must be registered），且不适用5%加价政策（5% markup policy）。  </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015E15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0F8A8AE">
            <w:pPr>
              <w:spacing w:before="120" w:after="120" w:line="288" w:lineRule="auto"/>
              <w:ind w:left="0"/>
              <w:jc w:val="left"/>
            </w:pPr>
            <w:r>
              <w:rPr>
                <w:rFonts w:ascii="Arial" w:hAnsi="Arial" w:eastAsia="等线" w:cs="Arial"/>
                <w:color w:val="646A73"/>
                <w:sz w:val="22"/>
              </w:rPr>
              <w:t>美国金融业监管局（FINRA）为经纪交易商（Broker-Dealers）向客户销售证券时，所设定的一个非正式但被广泛接受的公平加价指导标准。</w:t>
            </w:r>
          </w:p>
          <w:p w14:paraId="4742874A">
            <w:pPr>
              <w:spacing w:before="120" w:after="120" w:line="288" w:lineRule="auto"/>
              <w:ind w:left="0"/>
              <w:jc w:val="left"/>
            </w:pPr>
            <w:r>
              <w:rPr>
                <w:rFonts w:ascii="Arial" w:hAnsi="Arial" w:eastAsia="等线" w:cs="Arial"/>
                <w:color w:val="646A73"/>
                <w:sz w:val="22"/>
              </w:rPr>
              <w:t>这项政策意味着，当经纪商（券商）将证券（包括股票、债券、共同基金等）卖给零售客户时，其销售价格超过自身成本价的部分（即加价，Markup），不应超过交易金额的5%。</w:t>
            </w:r>
          </w:p>
        </w:tc>
      </w:tr>
    </w:tbl>
    <w:p w14:paraId="2FCBAEDA">
      <w:pPr>
        <w:spacing w:before="120" w:after="120" w:line="288" w:lineRule="auto"/>
        <w:ind w:left="0"/>
        <w:jc w:val="left"/>
      </w:pPr>
    </w:p>
    <w:p w14:paraId="46889634">
      <w:pPr>
        <w:spacing w:before="260" w:after="120" w:line="288" w:lineRule="auto"/>
        <w:ind w:left="0"/>
        <w:jc w:val="left"/>
        <w:outlineLvl w:val="3"/>
      </w:pPr>
      <w:bookmarkStart w:id="17" w:name="heading_17"/>
      <w:r>
        <w:rPr>
          <w:rFonts w:ascii="Arial" w:hAnsi="Arial" w:eastAsia="等线" w:cs="Arial"/>
          <w:color w:val="3370FF"/>
          <w:sz w:val="28"/>
        </w:rPr>
        <w:t xml:space="preserve">2.2.4.2 </w:t>
      </w:r>
      <w:r>
        <w:rPr>
          <w:rFonts w:ascii="Arial" w:hAnsi="Arial" w:eastAsia="等线" w:cs="Arial"/>
          <w:b/>
          <w:sz w:val="28"/>
        </w:rPr>
        <w:t>认购权（Rights）</w:t>
      </w:r>
      <w:bookmarkEnd w:id="17"/>
    </w:p>
    <w:p w14:paraId="7BF25C96">
      <w:pPr>
        <w:spacing w:before="120" w:after="120" w:line="288" w:lineRule="auto"/>
        <w:ind w:left="0"/>
        <w:jc w:val="left"/>
      </w:pPr>
      <w:r>
        <w:rPr>
          <w:rFonts w:ascii="Arial" w:hAnsi="Arial" w:eastAsia="等线" w:cs="Arial"/>
          <w:sz w:val="22"/>
          <w:shd w:val="clear" w:fill="FFF67A"/>
        </w:rPr>
        <w:t>普通股股东（common stockholders）</w:t>
      </w:r>
      <w:r>
        <w:rPr>
          <w:rFonts w:ascii="Arial" w:hAnsi="Arial" w:eastAsia="等线" w:cs="Arial"/>
          <w:sz w:val="22"/>
        </w:rPr>
        <w:t xml:space="preserve">自动获得的“短期优先认购权”，1股获1权，可按“折扣价”买新发行股票（如股价$50，权价$45），有效期 16-30天，某些情况下可能长达 60 天。可转让（市场交易），目的是“维持股东持股比例”。  </w:t>
      </w:r>
    </w:p>
    <w:p w14:paraId="3C8B1D74">
      <w:pPr>
        <w:spacing w:before="120" w:after="120" w:line="288" w:lineRule="auto"/>
        <w:ind w:left="0"/>
        <w:jc w:val="left"/>
      </w:pPr>
    </w:p>
    <w:p w14:paraId="6699BFC3">
      <w:pPr>
        <w:spacing w:before="120" w:after="120" w:line="288" w:lineRule="auto"/>
        <w:ind w:left="0"/>
        <w:jc w:val="left"/>
      </w:pPr>
      <w:r>
        <w:rPr>
          <w:rFonts w:ascii="Arial" w:hAnsi="Arial" w:eastAsia="等线" w:cs="Arial"/>
          <w:b/>
          <w:sz w:val="22"/>
        </w:rPr>
        <w:t>目的（Purpose）</w:t>
      </w:r>
    </w:p>
    <w:p w14:paraId="6EFEB225">
      <w:pPr>
        <w:spacing w:before="120" w:after="120" w:line="288" w:lineRule="auto"/>
        <w:ind w:left="0"/>
        <w:jc w:val="left"/>
      </w:pPr>
      <w:r>
        <w:rPr>
          <w:rFonts w:ascii="Arial" w:hAnsi="Arial" w:eastAsia="等线" w:cs="Arial"/>
          <w:sz w:val="22"/>
        </w:rPr>
        <w:t xml:space="preserve">允许现有普通股股东以折价（discount，非固定折价）认购新股，以维持股权比例（maintain proportionate ownership），即优先认购权（preemptive right）。  </w:t>
      </w:r>
    </w:p>
    <w:p w14:paraId="142083A8">
      <w:pPr>
        <w:spacing w:before="120" w:after="120" w:line="288" w:lineRule="auto"/>
        <w:ind w:left="453"/>
        <w:jc w:val="left"/>
      </w:pPr>
    </w:p>
    <w:p w14:paraId="4B1D0910">
      <w:pPr>
        <w:spacing w:before="120" w:after="120" w:line="288" w:lineRule="auto"/>
        <w:ind w:left="0"/>
        <w:jc w:val="left"/>
      </w:pPr>
      <w:r>
        <w:rPr>
          <w:rFonts w:ascii="Arial" w:hAnsi="Arial" w:eastAsia="等线" w:cs="Arial"/>
          <w:b/>
          <w:sz w:val="22"/>
        </w:rPr>
        <w:t>核心特征（Key Features）</w:t>
      </w:r>
    </w:p>
    <w:p w14:paraId="58F978A0">
      <w:pPr>
        <w:numPr>
          <w:ilvl w:val="0"/>
          <w:numId w:val="74"/>
        </w:numPr>
        <w:spacing w:before="120" w:after="120" w:line="288" w:lineRule="auto"/>
        <w:ind w:left="0"/>
        <w:jc w:val="left"/>
      </w:pPr>
      <w:r>
        <w:rPr>
          <w:rFonts w:ascii="Arial" w:hAnsi="Arial" w:eastAsia="等线" w:cs="Arial"/>
          <w:sz w:val="22"/>
        </w:rPr>
        <w:t xml:space="preserve">短期（Short-term），有效期 16-30天，某些情况下可能长达 60 天；  </w:t>
      </w:r>
    </w:p>
    <w:p w14:paraId="0F02276F">
      <w:pPr>
        <w:numPr>
          <w:ilvl w:val="0"/>
          <w:numId w:val="75"/>
        </w:numPr>
        <w:spacing w:before="120" w:after="120" w:line="288" w:lineRule="auto"/>
        <w:ind w:left="0"/>
        <w:jc w:val="left"/>
      </w:pPr>
      <w:r>
        <w:rPr>
          <w:rFonts w:ascii="Arial" w:hAnsi="Arial" w:eastAsia="等线" w:cs="Arial"/>
          <w:sz w:val="22"/>
        </w:rPr>
        <w:t>普通股股东自动获得（automatically received）；  Rights 是 “自动发放” 给普通股股东的，</w:t>
      </w:r>
      <w:r>
        <w:rPr>
          <w:rFonts w:ascii="Arial" w:hAnsi="Arial" w:eastAsia="等线" w:cs="Arial"/>
          <w:sz w:val="22"/>
          <w:shd w:val="clear" w:fill="FFF67A"/>
        </w:rPr>
        <w:t>优先股股东无此权利；</w:t>
      </w:r>
    </w:p>
    <w:p w14:paraId="09FF4D6D">
      <w:pPr>
        <w:numPr>
          <w:ilvl w:val="0"/>
          <w:numId w:val="76"/>
        </w:numPr>
        <w:spacing w:before="120" w:after="120" w:line="288" w:lineRule="auto"/>
        <w:ind w:left="0"/>
        <w:jc w:val="left"/>
      </w:pPr>
      <w:r>
        <w:rPr>
          <w:rFonts w:ascii="Arial" w:hAnsi="Arial" w:eastAsia="等线" w:cs="Arial"/>
          <w:sz w:val="22"/>
        </w:rPr>
        <w:t xml:space="preserve">通常配有备用承销商（standby underwriter）。 </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23C83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FD0AC15">
            <w:pPr>
              <w:spacing w:before="120" w:after="120" w:line="288" w:lineRule="auto"/>
              <w:ind w:left="0"/>
              <w:jc w:val="left"/>
            </w:pPr>
            <w:r>
              <w:rPr>
                <w:rFonts w:ascii="Arial" w:hAnsi="Arial" w:eastAsia="等线" w:cs="Arial"/>
                <w:color w:val="646A73"/>
                <w:sz w:val="22"/>
              </w:rPr>
              <w:t>“配股认购权/权利 (rights)” 在“除权（ex-rights）”之前是与正股（基础已发行普通股持仓）绑定的：你只要在除权前持有正股，就自动拥有相应的认购权；到除权日，正股开始“除权”独立交易，而你获得一个可单独行使或（在允许市场）卖出的“权利”头寸（如零股权/未缴款权 nil-paid right / Rights Entitlement）。因此：</w:t>
            </w:r>
          </w:p>
          <w:p w14:paraId="08548CF1">
            <w:pPr>
              <w:numPr>
                <w:ilvl w:val="0"/>
                <w:numId w:val="77"/>
              </w:numPr>
              <w:spacing w:before="120" w:after="120" w:line="288" w:lineRule="auto"/>
              <w:ind w:left="0"/>
              <w:jc w:val="left"/>
            </w:pPr>
            <w:r>
              <w:rPr>
                <w:rFonts w:ascii="Arial" w:hAnsi="Arial" w:eastAsia="等线" w:cs="Arial"/>
                <w:color w:val="646A73"/>
                <w:sz w:val="22"/>
              </w:rPr>
              <w:t>除权前：权利不单独存在，不可单独转让（你也看不到单独代码），实质“附着”在正股上。</w:t>
            </w:r>
          </w:p>
          <w:p w14:paraId="016BC6AF">
            <w:pPr>
              <w:numPr>
                <w:ilvl w:val="0"/>
                <w:numId w:val="78"/>
              </w:numPr>
              <w:spacing w:before="120" w:after="120" w:line="288" w:lineRule="auto"/>
              <w:ind w:left="0"/>
              <w:jc w:val="left"/>
            </w:pPr>
            <w:r>
              <w:rPr>
                <w:rFonts w:ascii="Arial" w:hAnsi="Arial" w:eastAsia="等线" w:cs="Arial"/>
                <w:color w:val="646A73"/>
                <w:sz w:val="22"/>
              </w:rPr>
              <w:t>除权日（含）及之后：权利与正股“脱离”，在允许的市场上可独立交易，直至认购期结束或失效。</w:t>
            </w:r>
          </w:p>
          <w:p w14:paraId="4B3B9F0B">
            <w:pPr>
              <w:numPr>
                <w:ilvl w:val="0"/>
                <w:numId w:val="79"/>
              </w:numPr>
              <w:spacing w:before="120" w:after="120" w:line="288" w:lineRule="auto"/>
              <w:ind w:left="0"/>
              <w:jc w:val="left"/>
            </w:pPr>
            <w:r>
              <w:rPr>
                <w:rFonts w:ascii="Arial" w:hAnsi="Arial" w:eastAsia="等线" w:cs="Arial"/>
                <w:color w:val="646A73"/>
                <w:sz w:val="22"/>
              </w:rPr>
              <w:t>若是仅法律上的“股东优先认购权”（未设计为可转让的配股权），则它只是一个内在权利，不形成单独可流通证券，不存在“绑定/脱绑定”的二级市场问题。</w:t>
            </w:r>
          </w:p>
        </w:tc>
      </w:tr>
    </w:tbl>
    <w:p w14:paraId="16A183DF">
      <w:pPr>
        <w:spacing w:before="120" w:after="120" w:line="288" w:lineRule="auto"/>
        <w:ind w:left="0"/>
        <w:jc w:val="left"/>
      </w:pPr>
    </w:p>
    <w:p w14:paraId="45B8C6A4">
      <w:pPr>
        <w:spacing w:before="260" w:after="120" w:line="288" w:lineRule="auto"/>
        <w:ind w:left="0"/>
        <w:jc w:val="left"/>
        <w:outlineLvl w:val="3"/>
      </w:pPr>
      <w:bookmarkStart w:id="18" w:name="heading_18"/>
      <w:r>
        <w:rPr>
          <w:rFonts w:ascii="Arial" w:hAnsi="Arial" w:eastAsia="等线" w:cs="Arial"/>
          <w:color w:val="3370FF"/>
          <w:sz w:val="28"/>
        </w:rPr>
        <w:t xml:space="preserve">2.2.4.3 </w:t>
      </w:r>
      <w:r>
        <w:rPr>
          <w:rFonts w:ascii="Arial" w:hAnsi="Arial" w:eastAsia="等线" w:cs="Arial"/>
          <w:b/>
          <w:sz w:val="28"/>
        </w:rPr>
        <w:t>认股权证（Warrants）</w:t>
      </w:r>
      <w:bookmarkEnd w:id="18"/>
    </w:p>
    <w:p w14:paraId="46B99A91">
      <w:pPr>
        <w:spacing w:before="120" w:after="120" w:line="288" w:lineRule="auto"/>
        <w:ind w:left="0"/>
        <w:jc w:val="left"/>
      </w:pPr>
      <w:r>
        <w:rPr>
          <w:rFonts w:ascii="Arial" w:hAnsi="Arial" w:eastAsia="等线" w:cs="Arial"/>
          <w:sz w:val="22"/>
        </w:rPr>
        <w:t>认股权证（Warrants）赋予持有者 “在约定时间内以固定价格购买普通股” 的权利，通常作为甜味剂（sweeteners）与债券/优先股捆绑发行，如买 1000 元债券送 10 张 Warrants。</w:t>
      </w:r>
    </w:p>
    <w:p w14:paraId="17AE6A2C">
      <w:pPr>
        <w:spacing w:before="120" w:after="120" w:line="288" w:lineRule="auto"/>
        <w:ind w:left="0"/>
        <w:jc w:val="left"/>
      </w:pPr>
    </w:p>
    <w:p w14:paraId="39D2D4D8">
      <w:pPr>
        <w:spacing w:before="120" w:after="120" w:line="288" w:lineRule="auto"/>
        <w:ind w:left="0"/>
        <w:jc w:val="left"/>
      </w:pPr>
      <w:r>
        <w:rPr>
          <w:rFonts w:ascii="Arial" w:hAnsi="Arial" w:eastAsia="等线" w:cs="Arial"/>
          <w:b/>
          <w:sz w:val="22"/>
        </w:rPr>
        <w:t>目的（Purpose）</w:t>
      </w:r>
      <w:r>
        <w:rPr>
          <w:rFonts w:ascii="Arial" w:hAnsi="Arial" w:eastAsia="等线" w:cs="Arial"/>
          <w:sz w:val="22"/>
        </w:rPr>
        <w:t xml:space="preserve">：允许持有者（holders）以固定价格（fixed price）认购股票，常与股票或债券发行（stock or bond offering）捆绑，以吸引投资者（sweeten the deal）。  </w:t>
      </w:r>
    </w:p>
    <w:p w14:paraId="54E22280">
      <w:pPr>
        <w:spacing w:before="120" w:after="120" w:line="288" w:lineRule="auto"/>
        <w:ind w:left="0"/>
        <w:jc w:val="left"/>
      </w:pPr>
    </w:p>
    <w:p w14:paraId="6F1F53E5">
      <w:pPr>
        <w:spacing w:before="120" w:after="120" w:line="288" w:lineRule="auto"/>
        <w:ind w:left="0"/>
        <w:jc w:val="left"/>
      </w:pPr>
      <w:r>
        <w:rPr>
          <w:rFonts w:ascii="Arial" w:hAnsi="Arial" w:eastAsia="等线" w:cs="Arial"/>
          <w:b/>
          <w:sz w:val="22"/>
        </w:rPr>
        <w:t>核心特征（Key Features）</w:t>
      </w:r>
      <w:r>
        <w:rPr>
          <w:rFonts w:ascii="Arial" w:hAnsi="Arial" w:eastAsia="等线" w:cs="Arial"/>
          <w:sz w:val="22"/>
        </w:rPr>
        <w:t xml:space="preserve">：  </w:t>
      </w:r>
    </w:p>
    <w:p w14:paraId="7CB3A662">
      <w:pPr>
        <w:numPr>
          <w:ilvl w:val="0"/>
          <w:numId w:val="80"/>
        </w:numPr>
        <w:spacing w:before="120" w:after="120" w:line="288" w:lineRule="auto"/>
        <w:ind w:left="0"/>
        <w:jc w:val="left"/>
      </w:pPr>
      <w:r>
        <w:rPr>
          <w:rFonts w:ascii="Arial" w:hAnsi="Arial" w:eastAsia="等线" w:cs="Arial"/>
          <w:sz w:val="22"/>
        </w:rPr>
        <w:t xml:space="preserve">长期（Long-term）或永久有效（perpetual）；  </w:t>
      </w:r>
    </w:p>
    <w:p w14:paraId="10A6A9F7">
      <w:pPr>
        <w:numPr>
          <w:ilvl w:val="0"/>
          <w:numId w:val="81"/>
        </w:numPr>
        <w:spacing w:before="120" w:after="120" w:line="288" w:lineRule="auto"/>
        <w:ind w:left="0"/>
        <w:jc w:val="left"/>
      </w:pPr>
      <w:r>
        <w:rPr>
          <w:rFonts w:ascii="Arial" w:hAnsi="Arial" w:eastAsia="等线" w:cs="Arial"/>
          <w:sz w:val="22"/>
        </w:rPr>
        <w:t>属于可流通证券（marketable securities），可单独交易（traded separately）；</w:t>
      </w:r>
    </w:p>
    <w:p w14:paraId="234E4812">
      <w:pPr>
        <w:numPr>
          <w:ilvl w:val="0"/>
          <w:numId w:val="82"/>
        </w:numPr>
        <w:spacing w:before="120" w:after="120" w:line="288" w:lineRule="auto"/>
        <w:ind w:left="0"/>
        <w:jc w:val="left"/>
      </w:pPr>
      <w:r>
        <w:rPr>
          <w:rFonts w:ascii="Arial" w:hAnsi="Arial" w:eastAsia="等线" w:cs="Arial"/>
          <w:sz w:val="22"/>
        </w:rPr>
        <w:t>属衍生证券，价值依赖普通股价格；</w:t>
      </w:r>
    </w:p>
    <w:p w14:paraId="27C18507">
      <w:pPr>
        <w:numPr>
          <w:ilvl w:val="0"/>
          <w:numId w:val="83"/>
        </w:numPr>
        <w:spacing w:before="120" w:after="120" w:line="288" w:lineRule="auto"/>
        <w:ind w:left="0"/>
        <w:jc w:val="left"/>
      </w:pPr>
      <w:r>
        <w:rPr>
          <w:rFonts w:ascii="Arial" w:hAnsi="Arial" w:eastAsia="等线" w:cs="Arial"/>
          <w:sz w:val="22"/>
          <w:shd w:val="clear" w:fill="FFF67A"/>
        </w:rPr>
        <w:t>发行时行权价＞市价</w:t>
      </w:r>
      <w:r>
        <w:rPr>
          <w:rFonts w:ascii="Arial" w:hAnsi="Arial" w:eastAsia="等线" w:cs="Arial"/>
          <w:sz w:val="22"/>
        </w:rPr>
        <w:t>（如股价$12，行权价$20），需市场价格上涨才具价值；</w:t>
      </w:r>
    </w:p>
    <w:p w14:paraId="75759C10">
      <w:pPr>
        <w:numPr>
          <w:ilvl w:val="0"/>
          <w:numId w:val="84"/>
        </w:numPr>
        <w:spacing w:before="120" w:after="120" w:line="288" w:lineRule="auto"/>
        <w:ind w:left="0"/>
        <w:jc w:val="left"/>
      </w:pPr>
      <w:r>
        <w:rPr>
          <w:rFonts w:ascii="Arial" w:hAnsi="Arial" w:eastAsia="等线" w:cs="Arial"/>
          <w:sz w:val="22"/>
        </w:rPr>
        <w:t>认股权证持有人没有投票权（no voting rights），也不获得股息（no dividends）；</w:t>
      </w:r>
    </w:p>
    <w:p w14:paraId="705830C1">
      <w:pPr>
        <w:numPr>
          <w:ilvl w:val="0"/>
          <w:numId w:val="85"/>
        </w:numPr>
        <w:spacing w:before="120" w:after="120" w:line="288" w:lineRule="auto"/>
        <w:ind w:left="0"/>
        <w:jc w:val="left"/>
      </w:pPr>
      <w:r>
        <w:rPr>
          <w:rFonts w:ascii="Arial" w:hAnsi="Arial" w:eastAsia="等线" w:cs="Arial"/>
          <w:sz w:val="22"/>
        </w:rPr>
        <w:t>捆绑在一起的债券与认股权证，或股票与认股权证，被称为单位（units）。</w:t>
      </w:r>
    </w:p>
    <w:p w14:paraId="54218948">
      <w:pPr>
        <w:spacing w:before="120" w:after="120" w:line="288" w:lineRule="auto"/>
        <w:ind w:left="0"/>
        <w:jc w:val="left"/>
      </w:pPr>
    </w:p>
    <w:p w14:paraId="0A88B21C">
      <w:pPr>
        <w:spacing w:before="120" w:after="120" w:line="288" w:lineRule="auto"/>
        <w:ind w:left="453"/>
        <w:jc w:val="left"/>
      </w:pPr>
      <w:r>
        <w:rPr>
          <w:rFonts w:ascii="Arial" w:hAnsi="Arial" w:eastAsia="等线" w:cs="Arial"/>
          <w:b/>
          <w:sz w:val="22"/>
        </w:rPr>
        <w:t>与 Rights 的核心对比：</w:t>
      </w:r>
    </w:p>
    <w:p w14:paraId="6C931B9D">
      <w:pPr>
        <w:spacing w:before="120" w:after="120" w:line="288" w:lineRule="auto"/>
        <w:ind w:left="453"/>
      </w:pPr>
      <w:r>
        <w:object>
          <v:shape id="_x0000_i1027" o:spt="75" type="#_x0000_t75" style="height:90pt;width:414pt;" o:ole="t" filled="f" o:preferrelative="t" stroked="f" coordsize="21600,21600">
            <v:path/>
            <v:fill on="f" focussize="0,0"/>
            <v:stroke on="f" joinstyle="miter"/>
            <v:imagedata r:id="rId12" o:title=""/>
            <o:lock v:ext="edit" aspectratio="t"/>
            <w10:wrap type="none"/>
            <w10:anchorlock/>
          </v:shape>
          <o:OLEObject Type="Embed" ProgID="Excel.Sheet.12" ShapeID="_x0000_i1027" DrawAspect="Icon" ObjectID="_1468075727" r:id="rId11">
            <o:LockedField>false</o:LockedField>
          </o:OLEObject>
        </w:object>
      </w:r>
    </w:p>
    <w:p w14:paraId="64ECD7DB">
      <w:pPr>
        <w:spacing w:after="120"/>
        <w:ind w:left="453"/>
        <w:jc w:val="center"/>
      </w:pPr>
      <w:r>
        <w:rPr>
          <w:rFonts w:ascii="Arial" w:hAnsi="Arial" w:eastAsia="等线" w:cs="Arial"/>
          <w:b/>
          <w:sz w:val="22"/>
        </w:rPr>
        <w:t>点击图片可查看完整电子表格</w:t>
      </w:r>
    </w:p>
    <w:p w14:paraId="281DA269">
      <w:pPr>
        <w:spacing w:before="320" w:after="120" w:line="288" w:lineRule="auto"/>
        <w:ind w:left="0"/>
        <w:jc w:val="left"/>
        <w:outlineLvl w:val="1"/>
      </w:pPr>
      <w:bookmarkStart w:id="19" w:name="heading_19"/>
      <w:r>
        <w:rPr>
          <w:rFonts w:ascii="Arial" w:hAnsi="Arial" w:eastAsia="等线" w:cs="Arial"/>
          <w:color w:val="3370FF"/>
          <w:sz w:val="32"/>
        </w:rPr>
        <w:t xml:space="preserve">2.3 </w:t>
      </w:r>
      <w:r>
        <w:rPr>
          <w:rFonts w:ascii="Arial" w:hAnsi="Arial" w:eastAsia="等线" w:cs="Arial"/>
          <w:b/>
          <w:sz w:val="32"/>
        </w:rPr>
        <w:t>公司行动（Corporate Actions）</w:t>
      </w:r>
      <w:bookmarkEnd w:id="19"/>
    </w:p>
    <w:p w14:paraId="29188FF3">
      <w:pPr>
        <w:spacing w:before="120" w:after="120" w:line="288" w:lineRule="auto"/>
        <w:ind w:left="0"/>
        <w:jc w:val="left"/>
      </w:pPr>
      <w:r>
        <w:rPr>
          <w:rFonts w:ascii="Arial" w:hAnsi="Arial" w:eastAsia="等线" w:cs="Arial"/>
          <w:sz w:val="22"/>
        </w:rPr>
        <w:t>公司行为会对权益证券产生影响，核心包括</w:t>
      </w:r>
      <w:r>
        <w:rPr>
          <w:rFonts w:ascii="Arial" w:hAnsi="Arial" w:eastAsia="等线" w:cs="Arial"/>
          <w:b/>
          <w:sz w:val="22"/>
        </w:rPr>
        <w:t>股票拆分、股息分配、回购</w:t>
      </w:r>
      <w:r>
        <w:rPr>
          <w:rFonts w:ascii="Arial" w:hAnsi="Arial" w:eastAsia="等线" w:cs="Arial"/>
          <w:sz w:val="22"/>
        </w:rPr>
        <w:t>等，直接影响股东持股数量、价格及收益。</w:t>
      </w:r>
    </w:p>
    <w:p w14:paraId="2CD36304">
      <w:pPr>
        <w:spacing w:before="120" w:after="120" w:line="288" w:lineRule="auto"/>
        <w:ind w:left="0"/>
        <w:jc w:val="left"/>
      </w:pPr>
    </w:p>
    <w:p w14:paraId="1FA60DEB">
      <w:pPr>
        <w:spacing w:before="300" w:after="120" w:line="288" w:lineRule="auto"/>
        <w:ind w:left="0"/>
        <w:jc w:val="left"/>
        <w:outlineLvl w:val="2"/>
      </w:pPr>
      <w:bookmarkStart w:id="20" w:name="heading_20"/>
      <w:r>
        <w:rPr>
          <w:rFonts w:ascii="Arial" w:hAnsi="Arial" w:eastAsia="等线" w:cs="Arial"/>
          <w:color w:val="3370FF"/>
          <w:sz w:val="30"/>
        </w:rPr>
        <w:t xml:space="preserve">2.3.1 </w:t>
      </w:r>
      <w:r>
        <w:rPr>
          <w:rFonts w:ascii="Arial" w:hAnsi="Arial" w:eastAsia="等线" w:cs="Arial"/>
          <w:b/>
          <w:sz w:val="30"/>
        </w:rPr>
        <w:t>股票拆分</w:t>
      </w:r>
      <w:bookmarkEnd w:id="20"/>
    </w:p>
    <w:p w14:paraId="1DC1820F">
      <w:pPr>
        <w:spacing w:before="120" w:after="120" w:line="288" w:lineRule="auto"/>
        <w:ind w:left="0"/>
        <w:jc w:val="left"/>
      </w:pPr>
      <w:r>
        <w:rPr>
          <w:rFonts w:ascii="Arial" w:hAnsi="Arial" w:eastAsia="等线" w:cs="Arial"/>
          <w:sz w:val="22"/>
        </w:rPr>
        <w:t>股票拆分（Stock Splits）调整股数与价格，不改变总价值。</w:t>
      </w:r>
    </w:p>
    <w:p w14:paraId="2C2B1C3C">
      <w:pPr>
        <w:spacing w:before="120" w:after="120" w:line="288" w:lineRule="auto"/>
        <w:ind w:left="0"/>
        <w:jc w:val="left"/>
      </w:pPr>
    </w:p>
    <w:p w14:paraId="2B4AAE73">
      <w:pPr>
        <w:spacing w:before="120" w:after="120" w:line="288" w:lineRule="auto"/>
        <w:ind w:left="0"/>
        <w:jc w:val="left"/>
      </w:pPr>
      <w:r>
        <w:rPr>
          <w:rFonts w:ascii="Arial" w:hAnsi="Arial" w:eastAsia="等线" w:cs="Arial"/>
          <w:sz w:val="22"/>
        </w:rPr>
        <w:t>股票拆分分为正向拆分（Forward Split）和反向拆分（Reverse Split）。</w:t>
      </w:r>
    </w:p>
    <w:p w14:paraId="162E34C3">
      <w:pPr>
        <w:spacing w:before="120" w:after="120" w:line="288" w:lineRule="auto"/>
        <w:ind w:left="0"/>
        <w:jc w:val="left"/>
      </w:pPr>
    </w:p>
    <w:p w14:paraId="741A9183">
      <w:pPr>
        <w:numPr>
          <w:ilvl w:val="0"/>
          <w:numId w:val="86"/>
        </w:numPr>
        <w:spacing w:before="120" w:after="120" w:line="288" w:lineRule="auto"/>
        <w:ind w:left="0"/>
        <w:jc w:val="left"/>
      </w:pPr>
      <w:r>
        <w:rPr>
          <w:rFonts w:ascii="Arial" w:hAnsi="Arial" w:eastAsia="等线" w:cs="Arial"/>
          <w:b/>
          <w:sz w:val="22"/>
        </w:rPr>
        <w:t>正向拆分</w:t>
      </w:r>
    </w:p>
    <w:p w14:paraId="4DD85160">
      <w:pPr>
        <w:spacing w:before="120" w:after="120" w:line="288" w:lineRule="auto"/>
        <w:ind w:left="0"/>
        <w:jc w:val="left"/>
      </w:pPr>
      <w:r>
        <w:rPr>
          <w:rFonts w:ascii="Arial" w:hAnsi="Arial" w:eastAsia="等线" w:cs="Arial"/>
          <w:sz w:val="22"/>
        </w:rPr>
        <w:t>股数增加，价格同比下降，总价值不变。目的是降低购买门槛，提升流动性。如 2-for-1、3-for-2。</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D470CA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4FC05981">
            <w:pPr>
              <w:spacing w:before="120" w:after="120" w:line="288" w:lineRule="auto"/>
              <w:ind w:left="0"/>
              <w:jc w:val="left"/>
            </w:pPr>
            <w:r>
              <w:rPr>
                <w:rFonts w:ascii="Arial" w:hAnsi="Arial" w:eastAsia="等线" w:cs="Arial"/>
                <w:sz w:val="22"/>
              </w:rPr>
              <w:t xml:space="preserve"> 计算公式：拆分后股数 = 原股数 × 拆分比例；拆分后股价 = 原股价 ÷ 拆分比例；</w:t>
            </w:r>
          </w:p>
          <w:p w14:paraId="3885DA17">
            <w:pPr>
              <w:spacing w:before="120" w:after="120" w:line="288" w:lineRule="auto"/>
              <w:ind w:left="0"/>
              <w:jc w:val="left"/>
            </w:pPr>
            <w:r>
              <w:rPr>
                <w:rFonts w:ascii="Arial" w:hAnsi="Arial" w:eastAsia="等线" w:cs="Arial"/>
                <w:sz w:val="22"/>
              </w:rPr>
              <w:t xml:space="preserve">示例：1200股×$90，3-for-1拆分后→3600股×$30（总价值均为$108,000）。  </w:t>
            </w:r>
          </w:p>
          <w:p w14:paraId="058F7A59">
            <w:pPr>
              <w:spacing w:before="120" w:after="120" w:line="288" w:lineRule="auto"/>
              <w:ind w:left="0"/>
              <w:jc w:val="left"/>
            </w:pPr>
          </w:p>
          <w:p w14:paraId="1D5016F3">
            <w:pPr>
              <w:spacing w:before="120" w:after="120" w:line="288" w:lineRule="auto"/>
              <w:ind w:left="0"/>
              <w:jc w:val="left"/>
            </w:pPr>
            <w:r>
              <w:rPr>
                <w:rFonts w:ascii="Arial" w:hAnsi="Arial" w:eastAsia="等线" w:cs="Arial"/>
                <w:sz w:val="22"/>
              </w:rPr>
              <w:t>3-for-1 拆分意味着1 股变 3股，股价除以 3</w:t>
            </w:r>
          </w:p>
          <w:p w14:paraId="436DA96C">
            <w:pPr>
              <w:spacing w:before="120" w:after="120" w:line="288" w:lineRule="auto"/>
              <w:ind w:left="0"/>
              <w:jc w:val="left"/>
            </w:pPr>
            <w:r>
              <w:rPr>
                <w:rFonts w:ascii="Arial" w:hAnsi="Arial" w:eastAsia="等线" w:cs="Arial"/>
                <w:sz w:val="22"/>
              </w:rPr>
              <w:t>关键结论：拆分不改变股东总市值（如 100 股 ×$100=200股×$50），仅改变股数和单价。</w:t>
            </w:r>
          </w:p>
        </w:tc>
      </w:tr>
    </w:tbl>
    <w:p w14:paraId="477D2B57">
      <w:pPr>
        <w:numPr>
          <w:ilvl w:val="0"/>
          <w:numId w:val="87"/>
        </w:numPr>
        <w:spacing w:before="120" w:after="120" w:line="288" w:lineRule="auto"/>
        <w:ind w:left="0"/>
        <w:jc w:val="left"/>
      </w:pPr>
      <w:r>
        <w:rPr>
          <w:rFonts w:ascii="Arial" w:hAnsi="Arial" w:eastAsia="等线" w:cs="Arial"/>
          <w:b/>
          <w:sz w:val="22"/>
        </w:rPr>
        <w:t>反向拆分</w:t>
      </w:r>
    </w:p>
    <w:p w14:paraId="2E06B90E">
      <w:pPr>
        <w:spacing w:before="120" w:after="120" w:line="288" w:lineRule="auto"/>
        <w:ind w:left="0"/>
        <w:jc w:val="left"/>
      </w:pPr>
      <w:r>
        <w:rPr>
          <w:rFonts w:ascii="Arial" w:hAnsi="Arial" w:eastAsia="等线" w:cs="Arial"/>
          <w:sz w:val="22"/>
        </w:rPr>
        <w:t>股数减少，价格同比上升，总价值不变。目的是避免股价过低被退市。</w:t>
      </w:r>
    </w:p>
    <w:p w14:paraId="285CC959">
      <w:pPr>
        <w:spacing w:before="120" w:after="120" w:line="288" w:lineRule="auto"/>
        <w:ind w:left="0"/>
        <w:jc w:val="left"/>
      </w:pPr>
      <w:r>
        <w:rPr>
          <w:rFonts w:ascii="Arial" w:hAnsi="Arial" w:eastAsia="等线" w:cs="Arial"/>
          <w:sz w:val="22"/>
        </w:rPr>
        <w:t xml:space="preserve">示例：3600股×$2，1-for-5 拆分 → 720股×$10（总价值均为$7200）。  </w:t>
      </w:r>
    </w:p>
    <w:p w14:paraId="26DEC778">
      <w:pPr>
        <w:spacing w:before="120" w:after="120" w:line="288" w:lineRule="auto"/>
        <w:ind w:left="0"/>
        <w:jc w:val="left"/>
      </w:pPr>
    </w:p>
    <w:p w14:paraId="38D7E6AB">
      <w:pPr>
        <w:spacing w:before="120" w:after="120" w:line="288" w:lineRule="auto"/>
        <w:ind w:left="0"/>
        <w:jc w:val="left"/>
      </w:pPr>
      <w:r>
        <w:rPr>
          <w:rFonts w:ascii="Arial" w:hAnsi="Arial" w:eastAsia="等线" w:cs="Arial"/>
          <w:b/>
          <w:sz w:val="22"/>
        </w:rPr>
        <w:t>注意</w:t>
      </w:r>
      <w:r>
        <w:rPr>
          <w:rFonts w:ascii="Arial" w:hAnsi="Arial" w:eastAsia="等线" w:cs="Arial"/>
          <w:sz w:val="22"/>
        </w:rPr>
        <w:t>：拆分需股东投票，</w:t>
      </w:r>
      <w:r>
        <w:rPr>
          <w:rFonts w:ascii="Arial" w:hAnsi="Arial" w:eastAsia="等线" w:cs="Arial"/>
          <w:sz w:val="22"/>
          <w:shd w:val="clear" w:fill="FFF67A"/>
        </w:rPr>
        <w:t>且会调整股票“面值（Par Value）</w:t>
      </w:r>
      <w:r>
        <w:rPr>
          <w:rFonts w:ascii="Arial" w:hAnsi="Arial" w:eastAsia="等线" w:cs="Arial"/>
          <w:sz w:val="22"/>
        </w:rPr>
        <w:t xml:space="preserve">”，如 $1 面值 2-for-1 正向拆分后变为 $0.5 面值。 </w:t>
      </w:r>
    </w:p>
    <w:p w14:paraId="22537516">
      <w:pPr>
        <w:spacing w:before="300" w:after="120" w:line="288" w:lineRule="auto"/>
        <w:ind w:left="0"/>
        <w:jc w:val="left"/>
        <w:outlineLvl w:val="2"/>
      </w:pPr>
      <w:bookmarkStart w:id="21" w:name="heading_21"/>
      <w:r>
        <w:rPr>
          <w:rFonts w:ascii="Arial" w:hAnsi="Arial" w:eastAsia="等线" w:cs="Arial"/>
          <w:color w:val="3370FF"/>
          <w:sz w:val="30"/>
        </w:rPr>
        <w:t xml:space="preserve">2.3.2 </w:t>
      </w:r>
      <w:r>
        <w:rPr>
          <w:rFonts w:ascii="Arial" w:hAnsi="Arial" w:eastAsia="等线" w:cs="Arial"/>
          <w:b/>
          <w:sz w:val="30"/>
        </w:rPr>
        <w:t>股息分配（Dividends）——权益收益的核心形式</w:t>
      </w:r>
      <w:bookmarkEnd w:id="21"/>
    </w:p>
    <w:p w14:paraId="6D435BF5">
      <w:pPr>
        <w:spacing w:before="120" w:after="120" w:line="288" w:lineRule="auto"/>
        <w:ind w:left="0"/>
        <w:jc w:val="left"/>
      </w:pPr>
      <w:r>
        <w:rPr>
          <w:rFonts w:ascii="Arial" w:hAnsi="Arial" w:eastAsia="等线" w:cs="Arial"/>
          <w:sz w:val="22"/>
        </w:rPr>
        <w:t>文档区分“现金股息”和“股票股息”，重点强调税收差异和价格影响。</w:t>
      </w:r>
    </w:p>
    <w:p w14:paraId="0691FD9B">
      <w:pPr>
        <w:spacing w:before="120" w:after="120" w:line="288" w:lineRule="auto"/>
        <w:ind w:left="0"/>
        <w:jc w:val="left"/>
      </w:pPr>
    </w:p>
    <w:p w14:paraId="3E44D9BA">
      <w:pPr>
        <w:numPr>
          <w:ilvl w:val="0"/>
          <w:numId w:val="88"/>
        </w:numPr>
        <w:spacing w:before="120" w:after="120" w:line="288" w:lineRule="auto"/>
        <w:ind w:left="0"/>
        <w:jc w:val="left"/>
      </w:pPr>
      <w:r>
        <w:rPr>
          <w:rFonts w:ascii="Arial" w:hAnsi="Arial" w:eastAsia="等线" w:cs="Arial"/>
          <w:sz w:val="22"/>
        </w:rPr>
        <w:t>现金股息（Cash Dividends）</w:t>
      </w:r>
    </w:p>
    <w:p w14:paraId="56F0A946">
      <w:pPr>
        <w:spacing w:before="120" w:after="120" w:line="288" w:lineRule="auto"/>
        <w:ind w:left="0"/>
        <w:jc w:val="left"/>
      </w:pPr>
      <w:r>
        <w:rPr>
          <w:rFonts w:ascii="Arial" w:hAnsi="Arial" w:eastAsia="等线" w:cs="Arial"/>
          <w:sz w:val="22"/>
        </w:rPr>
        <w:t>最常见，股东收到现金，需缴纳个税；股息发放有固定流程（宣告日→除息日→登记日→付息日），除息日股价会下跌（通常等于股息金额）（如股价$50，股息$2，除息日开盘价≈$48）。</w:t>
      </w:r>
    </w:p>
    <w:p w14:paraId="01012548">
      <w:pPr>
        <w:spacing w:before="120" w:after="120" w:line="288" w:lineRule="auto"/>
        <w:ind w:left="0"/>
        <w:jc w:val="left"/>
      </w:pPr>
    </w:p>
    <w:p w14:paraId="15AD151C">
      <w:pPr>
        <w:numPr>
          <w:ilvl w:val="0"/>
          <w:numId w:val="89"/>
        </w:numPr>
        <w:spacing w:before="120" w:after="120" w:line="288" w:lineRule="auto"/>
        <w:ind w:left="0"/>
        <w:jc w:val="left"/>
      </w:pPr>
      <w:r>
        <w:rPr>
          <w:rFonts w:ascii="Arial" w:hAnsi="Arial" w:eastAsia="等线" w:cs="Arial"/>
          <w:sz w:val="22"/>
        </w:rPr>
        <w:t>股票股息（Stock Dividends）</w:t>
      </w:r>
    </w:p>
    <w:p w14:paraId="0FDBAA8D">
      <w:pPr>
        <w:spacing w:before="120" w:after="120" w:line="288" w:lineRule="auto"/>
        <w:ind w:left="0"/>
        <w:jc w:val="left"/>
      </w:pPr>
      <w:r>
        <w:rPr>
          <w:rFonts w:ascii="Arial" w:hAnsi="Arial" w:eastAsia="等线" w:cs="Arial"/>
          <w:sz w:val="22"/>
        </w:rPr>
        <w:t>以股票形式发放（如 10% 股票股息，100 股变 110 股），不影响股东总市值（100 股 ×$50=110股×≈$45.45），</w:t>
      </w:r>
      <w:r>
        <w:rPr>
          <w:rFonts w:ascii="Arial" w:hAnsi="Arial" w:eastAsia="等线" w:cs="Arial"/>
          <w:sz w:val="22"/>
          <w:shd w:val="clear" w:fill="FFF67A"/>
        </w:rPr>
        <w:t>且暂不征税</w:t>
      </w:r>
      <w:r>
        <w:rPr>
          <w:rFonts w:ascii="Arial" w:hAnsi="Arial" w:eastAsia="等线" w:cs="Arial"/>
          <w:sz w:val="22"/>
        </w:rPr>
        <w:t>（仅在未来卖出时按资本利得缴税）。</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92911AE">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3671F0E4">
            <w:pPr>
              <w:spacing w:before="120" w:after="120" w:line="288" w:lineRule="auto"/>
              <w:ind w:left="0"/>
              <w:jc w:val="left"/>
            </w:pPr>
            <w:r>
              <w:rPr>
                <w:rFonts w:ascii="Arial" w:hAnsi="Arial" w:eastAsia="等线" w:cs="Arial"/>
                <w:sz w:val="22"/>
              </w:rPr>
              <w:t>股票股息的股票来源？</w:t>
            </w:r>
          </w:p>
          <w:p w14:paraId="63C1EA21">
            <w:pPr>
              <w:spacing w:before="120" w:after="120" w:line="288" w:lineRule="auto"/>
              <w:ind w:left="0"/>
              <w:jc w:val="left"/>
            </w:pPr>
            <w:r>
              <w:rPr>
                <w:rFonts w:ascii="Arial" w:hAnsi="Arial" w:eastAsia="等线" w:cs="Arial"/>
                <w:sz w:val="22"/>
              </w:rPr>
              <w:t xml:space="preserve">股票股息（Stock Dividend）所派发的股票，主要来源于公司的 </w:t>
            </w:r>
            <w:r>
              <w:rPr>
                <w:rFonts w:ascii="Arial" w:hAnsi="Arial" w:eastAsia="等线" w:cs="Arial"/>
                <w:b/>
                <w:sz w:val="22"/>
              </w:rPr>
              <w:t>未发行股份（Unissued Shares）</w:t>
            </w:r>
            <w:r>
              <w:rPr>
                <w:rFonts w:ascii="Arial" w:hAnsi="Arial" w:eastAsia="等线" w:cs="Arial"/>
                <w:sz w:val="22"/>
              </w:rPr>
              <w:t xml:space="preserve"> 或 </w:t>
            </w:r>
            <w:r>
              <w:rPr>
                <w:rFonts w:ascii="Arial" w:hAnsi="Arial" w:eastAsia="等线" w:cs="Arial"/>
                <w:b/>
                <w:sz w:val="22"/>
              </w:rPr>
              <w:t>库存股（Treasury Stock）。</w:t>
            </w:r>
          </w:p>
        </w:tc>
      </w:tr>
    </w:tbl>
    <w:p w14:paraId="14825E8B">
      <w:pPr>
        <w:spacing w:before="300" w:after="120" w:line="288" w:lineRule="auto"/>
        <w:ind w:left="0"/>
        <w:jc w:val="left"/>
        <w:outlineLvl w:val="2"/>
      </w:pPr>
      <w:bookmarkStart w:id="22" w:name="heading_22"/>
      <w:r>
        <w:rPr>
          <w:rFonts w:ascii="Arial" w:hAnsi="Arial" w:eastAsia="等线" w:cs="Arial"/>
          <w:color w:val="3370FF"/>
          <w:sz w:val="30"/>
        </w:rPr>
        <w:t xml:space="preserve">2.3.3 </w:t>
      </w:r>
      <w:r>
        <w:rPr>
          <w:rFonts w:ascii="Arial" w:hAnsi="Arial" w:eastAsia="等线" w:cs="Arial"/>
          <w:b/>
          <w:sz w:val="30"/>
        </w:rPr>
        <w:t>股票回购（Share Repurchases）——公司减少流通股</w:t>
      </w:r>
      <w:bookmarkEnd w:id="22"/>
    </w:p>
    <w:p w14:paraId="34A3FDDC">
      <w:pPr>
        <w:spacing w:before="120" w:after="120" w:line="288" w:lineRule="auto"/>
        <w:ind w:left="0"/>
        <w:jc w:val="left"/>
      </w:pPr>
      <w:r>
        <w:rPr>
          <w:rFonts w:ascii="Arial" w:hAnsi="Arial" w:eastAsia="等线" w:cs="Arial"/>
          <w:sz w:val="22"/>
        </w:rPr>
        <w:t>文档提及公司可回购自家股票</w:t>
      </w:r>
      <w:r>
        <w:rPr>
          <w:rFonts w:ascii="Arial" w:hAnsi="Arial" w:eastAsia="等线" w:cs="Arial"/>
          <w:sz w:val="22"/>
          <w:shd w:val="clear" w:fill="FFF67A"/>
        </w:rPr>
        <w:t>（转为库存股）</w:t>
      </w:r>
      <w:r>
        <w:rPr>
          <w:rFonts w:ascii="Arial" w:hAnsi="Arial" w:eastAsia="等线" w:cs="Arial"/>
          <w:sz w:val="22"/>
        </w:rPr>
        <w:t>，目的包括“提升股价（减少流通股→每股收益上升）”“避免敌意收购”，回购后流通股减少（如1500万股已发行，</w:t>
      </w:r>
      <w:r>
        <w:rPr>
          <w:rFonts w:ascii="Arial" w:hAnsi="Arial" w:eastAsia="等线" w:cs="Arial"/>
          <w:sz w:val="22"/>
          <w:shd w:val="clear" w:fill="FFF67A"/>
        </w:rPr>
        <w:t>回购150万→1350万股流通</w:t>
      </w:r>
      <w:r>
        <w:rPr>
          <w:rFonts w:ascii="Arial" w:hAnsi="Arial" w:eastAsia="等线" w:cs="Arial"/>
          <w:sz w:val="22"/>
        </w:rPr>
        <w:t>），股东可选择出售股票（获现金）或</w:t>
      </w:r>
      <w:r>
        <w:rPr>
          <w:rFonts w:ascii="Arial" w:hAnsi="Arial" w:eastAsia="等线" w:cs="Arial"/>
          <w:sz w:val="22"/>
          <w:shd w:val="clear" w:fill="FFF67A"/>
        </w:rPr>
        <w:t>继续持有（持股比例被动提升）</w:t>
      </w:r>
      <w:r>
        <w:rPr>
          <w:rFonts w:ascii="Arial" w:hAnsi="Arial" w:eastAsia="等线" w:cs="Arial"/>
          <w:sz w:val="22"/>
        </w:rPr>
        <w:t xml:space="preserve">。  </w:t>
      </w:r>
    </w:p>
    <w:p w14:paraId="54642EF1">
      <w:pPr>
        <w:spacing w:before="120" w:after="120" w:line="288" w:lineRule="auto"/>
        <w:ind w:left="0"/>
        <w:jc w:val="left"/>
      </w:pPr>
    </w:p>
    <w:p w14:paraId="7EF81358">
      <w:pPr>
        <w:spacing w:before="320" w:after="120" w:line="288" w:lineRule="auto"/>
        <w:ind w:left="0"/>
        <w:jc w:val="left"/>
        <w:outlineLvl w:val="1"/>
      </w:pPr>
      <w:bookmarkStart w:id="23" w:name="heading_23"/>
      <w:r>
        <w:rPr>
          <w:rFonts w:ascii="Arial" w:hAnsi="Arial" w:eastAsia="等线" w:cs="Arial"/>
          <w:color w:val="3370FF"/>
          <w:sz w:val="32"/>
        </w:rPr>
        <w:t xml:space="preserve">2.4 </w:t>
      </w:r>
      <w:r>
        <w:rPr>
          <w:rFonts w:ascii="Arial" w:hAnsi="Arial" w:eastAsia="等线" w:cs="Arial"/>
          <w:b/>
          <w:sz w:val="32"/>
        </w:rPr>
        <w:t>权益证券的关联规则与风险</w:t>
      </w:r>
      <w:bookmarkEnd w:id="23"/>
    </w:p>
    <w:p w14:paraId="0F7EC786">
      <w:pPr>
        <w:spacing w:before="120" w:after="120" w:line="288" w:lineRule="auto"/>
        <w:ind w:left="0"/>
        <w:jc w:val="left"/>
      </w:pPr>
      <w:r>
        <w:rPr>
          <w:rFonts w:ascii="Arial" w:hAnsi="Arial" w:eastAsia="等线" w:cs="Arial"/>
          <w:sz w:val="22"/>
        </w:rPr>
        <w:t xml:space="preserve">文档中权益证券并非孤立存在，需结合“发行流程、税收、风险”等规则，核心关联点：  </w:t>
      </w:r>
    </w:p>
    <w:p w14:paraId="70A08EBA">
      <w:pPr>
        <w:spacing w:before="300" w:after="120" w:line="288" w:lineRule="auto"/>
        <w:ind w:left="0"/>
        <w:jc w:val="left"/>
        <w:outlineLvl w:val="2"/>
      </w:pPr>
      <w:bookmarkStart w:id="24" w:name="heading_24"/>
      <w:r>
        <w:rPr>
          <w:rFonts w:ascii="Arial" w:hAnsi="Arial" w:eastAsia="等线" w:cs="Arial"/>
          <w:b/>
          <w:sz w:val="30"/>
        </w:rPr>
        <w:t>1. 发行规则（关联Chapter 5“证券承销”）</w:t>
      </w:r>
      <w:bookmarkEnd w:id="24"/>
    </w:p>
    <w:p w14:paraId="0EF83B22">
      <w:pPr>
        <w:numPr>
          <w:ilvl w:val="0"/>
          <w:numId w:val="90"/>
        </w:numPr>
        <w:spacing w:before="120" w:after="120" w:line="288" w:lineRule="auto"/>
        <w:ind w:left="0"/>
        <w:jc w:val="left"/>
      </w:pPr>
      <w:r>
        <w:rPr>
          <w:rFonts w:ascii="Arial" w:hAnsi="Arial" w:eastAsia="等线" w:cs="Arial"/>
          <w:sz w:val="22"/>
        </w:rPr>
        <w:t xml:space="preserve">普通股/优先股的公开发行需遵循“SEC注册流程”：提交注册说明书→20天冷却期→生效日销售，需披露“股东权利、股息政策”等（文档Chapter 5）；  </w:t>
      </w:r>
    </w:p>
    <w:p w14:paraId="4C60310F">
      <w:pPr>
        <w:numPr>
          <w:ilvl w:val="0"/>
          <w:numId w:val="91"/>
        </w:numPr>
        <w:spacing w:before="120" w:after="120" w:line="288" w:lineRule="auto"/>
        <w:ind w:left="0"/>
        <w:jc w:val="left"/>
      </w:pPr>
      <w:r>
        <w:rPr>
          <w:rFonts w:ascii="Arial" w:hAnsi="Arial" w:eastAsia="等线" w:cs="Arial"/>
          <w:sz w:val="22"/>
        </w:rPr>
        <w:t xml:space="preserve">豁免发行场景：如Reg D私募（≤35名非合格投资者）可发行权益证券，无需SEC注册（文档Chapter 5）。  </w:t>
      </w:r>
    </w:p>
    <w:p w14:paraId="7A0EFD91">
      <w:pPr>
        <w:spacing w:before="300" w:after="120" w:line="288" w:lineRule="auto"/>
        <w:ind w:left="0"/>
        <w:jc w:val="left"/>
        <w:outlineLvl w:val="2"/>
      </w:pPr>
      <w:bookmarkStart w:id="25" w:name="heading_25"/>
      <w:r>
        <w:rPr>
          <w:rFonts w:ascii="Arial" w:hAnsi="Arial" w:eastAsia="等线" w:cs="Arial"/>
          <w:b/>
          <w:sz w:val="30"/>
        </w:rPr>
        <w:t>2. 税收规则（关联Chapter 8“市政债税收”）</w:t>
      </w:r>
      <w:bookmarkEnd w:id="25"/>
    </w:p>
    <w:p w14:paraId="767EEF3D">
      <w:pPr>
        <w:numPr>
          <w:ilvl w:val="0"/>
          <w:numId w:val="92"/>
        </w:numPr>
        <w:spacing w:before="120" w:after="120" w:line="288" w:lineRule="auto"/>
        <w:ind w:left="0"/>
        <w:jc w:val="left"/>
      </w:pPr>
      <w:r>
        <w:rPr>
          <w:rFonts w:ascii="Arial" w:hAnsi="Arial" w:eastAsia="等线" w:cs="Arial"/>
          <w:sz w:val="22"/>
        </w:rPr>
        <w:t xml:space="preserve">普通股/优先股的“现金股息、资本利得（买卖价差）”需缴联邦税，州税依居住地而定；  </w:t>
      </w:r>
    </w:p>
    <w:p w14:paraId="3ECE692A">
      <w:pPr>
        <w:numPr>
          <w:ilvl w:val="0"/>
          <w:numId w:val="93"/>
        </w:numPr>
        <w:spacing w:before="120" w:after="120" w:line="288" w:lineRule="auto"/>
        <w:ind w:left="0"/>
        <w:jc w:val="left"/>
      </w:pPr>
      <w:r>
        <w:rPr>
          <w:rFonts w:ascii="Arial" w:hAnsi="Arial" w:eastAsia="等线" w:cs="Arial"/>
          <w:sz w:val="22"/>
        </w:rPr>
        <w:t xml:space="preserve">例外：市政债相关权益证券（如市政基金中的优先股）可能部分免税，但文档强调“权益证券税收以联邦 taxable 为主，区别于市政债利息免税”（文档Chapter 8）。  </w:t>
      </w:r>
    </w:p>
    <w:p w14:paraId="4B4F54C2">
      <w:pPr>
        <w:spacing w:before="300" w:after="120" w:line="288" w:lineRule="auto"/>
        <w:ind w:left="0"/>
        <w:jc w:val="left"/>
        <w:outlineLvl w:val="2"/>
      </w:pPr>
      <w:bookmarkStart w:id="26" w:name="heading_26"/>
      <w:r>
        <w:rPr>
          <w:rFonts w:ascii="Arial" w:hAnsi="Arial" w:eastAsia="等线" w:cs="Arial"/>
          <w:b/>
          <w:sz w:val="30"/>
        </w:rPr>
        <w:t>3. 核心风险（关联Chapter 13“风险类型”）</w:t>
      </w:r>
      <w:bookmarkEnd w:id="26"/>
    </w:p>
    <w:p w14:paraId="0EB20F7C">
      <w:pPr>
        <w:spacing w:before="120" w:after="120" w:line="288" w:lineRule="auto"/>
        <w:ind w:left="0"/>
        <w:jc w:val="left"/>
      </w:pPr>
      <w:r>
        <w:rPr>
          <w:rFonts w:ascii="Arial" w:hAnsi="Arial" w:eastAsia="等线" w:cs="Arial"/>
          <w:sz w:val="22"/>
        </w:rPr>
        <w:t xml:space="preserve">文档隐含权益证券的三大风险：  </w:t>
      </w:r>
    </w:p>
    <w:p w14:paraId="70805D02">
      <w:pPr>
        <w:numPr>
          <w:ilvl w:val="0"/>
          <w:numId w:val="94"/>
        </w:numPr>
        <w:spacing w:before="120" w:after="120" w:line="288" w:lineRule="auto"/>
        <w:ind w:left="0"/>
        <w:jc w:val="left"/>
      </w:pPr>
      <w:r>
        <w:rPr>
          <w:rFonts w:ascii="Arial" w:hAnsi="Arial" w:eastAsia="等线" w:cs="Arial"/>
          <w:sz w:val="22"/>
        </w:rPr>
        <w:t xml:space="preserve">市场风险：价格受公司业绩、宏观经济影响大（如成长股受利率上升冲击）；  </w:t>
      </w:r>
    </w:p>
    <w:p w14:paraId="4710166F">
      <w:pPr>
        <w:numPr>
          <w:ilvl w:val="0"/>
          <w:numId w:val="95"/>
        </w:numPr>
        <w:spacing w:before="120" w:after="120" w:line="288" w:lineRule="auto"/>
        <w:ind w:left="0"/>
        <w:jc w:val="left"/>
      </w:pPr>
      <w:r>
        <w:rPr>
          <w:rFonts w:ascii="Arial" w:hAnsi="Arial" w:eastAsia="等线" w:cs="Arial"/>
          <w:sz w:val="22"/>
        </w:rPr>
        <w:t xml:space="preserve">流动性风险：小盘股可能交易不活跃，难以快速变现；  </w:t>
      </w:r>
    </w:p>
    <w:p w14:paraId="607CDE34">
      <w:pPr>
        <w:numPr>
          <w:ilvl w:val="0"/>
          <w:numId w:val="96"/>
        </w:numPr>
        <w:spacing w:before="120" w:after="120" w:line="288" w:lineRule="auto"/>
        <w:ind w:left="0"/>
        <w:jc w:val="left"/>
      </w:pPr>
      <w:r>
        <w:rPr>
          <w:rFonts w:ascii="Arial" w:hAnsi="Arial" w:eastAsia="等线" w:cs="Arial"/>
          <w:sz w:val="22"/>
        </w:rPr>
        <w:t xml:space="preserve">清算风险：破产时普通股股东为“最后分配者”，可能无资产可分（文档Chapter 6“order of liquidation”）。  </w:t>
      </w:r>
    </w:p>
    <w:p w14:paraId="3ABEEFEA">
      <w:pPr>
        <w:spacing w:before="120" w:after="120" w:line="288" w:lineRule="auto"/>
        <w:ind w:left="0"/>
        <w:jc w:val="left"/>
      </w:pPr>
    </w:p>
    <w:p w14:paraId="0D7398BE">
      <w:pPr>
        <w:spacing w:before="380" w:after="140" w:line="288" w:lineRule="auto"/>
        <w:ind w:left="0"/>
        <w:jc w:val="left"/>
        <w:outlineLvl w:val="0"/>
      </w:pPr>
      <w:bookmarkStart w:id="27" w:name="heading_27"/>
      <w:r>
        <w:rPr>
          <w:rFonts w:ascii="Arial" w:hAnsi="Arial" w:eastAsia="等线" w:cs="Arial"/>
          <w:color w:val="3370FF"/>
          <w:sz w:val="36"/>
        </w:rPr>
        <w:t xml:space="preserve">3. </w:t>
      </w:r>
      <w:r>
        <w:rPr>
          <w:rFonts w:ascii="Arial" w:hAnsi="Arial" w:eastAsia="等线" w:cs="Arial"/>
          <w:b/>
          <w:sz w:val="36"/>
        </w:rPr>
        <w:t xml:space="preserve">中英文对照  </w:t>
      </w:r>
      <w:bookmarkEnd w:id="27"/>
    </w:p>
    <w:p w14:paraId="24A4AAB6">
      <w:pPr>
        <w:spacing w:before="320" w:after="120" w:line="288" w:lineRule="auto"/>
        <w:ind w:left="0"/>
        <w:jc w:val="left"/>
        <w:outlineLvl w:val="1"/>
      </w:pPr>
      <w:bookmarkStart w:id="28" w:name="heading_28"/>
      <w:r>
        <w:rPr>
          <w:rFonts w:ascii="Arial" w:hAnsi="Arial" w:eastAsia="等线" w:cs="Arial"/>
          <w:color w:val="3370FF"/>
          <w:sz w:val="32"/>
        </w:rPr>
        <w:t xml:space="preserve">3.1 </w:t>
      </w:r>
      <w:r>
        <w:rPr>
          <w:rFonts w:ascii="Arial" w:hAnsi="Arial" w:eastAsia="等线" w:cs="Arial"/>
          <w:b/>
          <w:sz w:val="32"/>
        </w:rPr>
        <w:t>Core Types of Equity Securities (权益证券核心类型)</w:t>
      </w:r>
      <w:bookmarkEnd w:id="2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30"/>
        <w:gridCol w:w="915"/>
        <w:gridCol w:w="2640"/>
        <w:gridCol w:w="3480"/>
      </w:tblGrid>
      <w:tr w14:paraId="2AD4FB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34224C12">
            <w:pPr>
              <w:spacing w:before="120" w:after="120" w:line="288" w:lineRule="auto"/>
              <w:ind w:left="0"/>
              <w:jc w:val="left"/>
            </w:pPr>
            <w:r>
              <w:rPr>
                <w:rFonts w:ascii="Arial" w:hAnsi="Arial" w:eastAsia="等线" w:cs="Arial"/>
                <w:sz w:val="22"/>
              </w:rPr>
              <w:t>英文分类</w:t>
            </w:r>
          </w:p>
        </w:tc>
        <w:tc>
          <w:tcPr>
            <w:tcW w:w="915" w:type="dxa"/>
            <w:tcMar>
              <w:top w:w="60" w:type="dxa"/>
              <w:left w:w="120" w:type="dxa"/>
              <w:bottom w:w="30" w:type="dxa"/>
              <w:right w:w="120" w:type="dxa"/>
            </w:tcMar>
          </w:tcPr>
          <w:p w14:paraId="76A5B3DB">
            <w:pPr>
              <w:spacing w:before="120" w:after="120" w:line="288" w:lineRule="auto"/>
              <w:ind w:left="0"/>
              <w:jc w:val="left"/>
            </w:pPr>
            <w:r>
              <w:rPr>
                <w:rFonts w:ascii="Arial" w:hAnsi="Arial" w:eastAsia="等线" w:cs="Arial"/>
                <w:sz w:val="22"/>
              </w:rPr>
              <w:t>中文名称</w:t>
            </w:r>
          </w:p>
        </w:tc>
        <w:tc>
          <w:tcPr>
            <w:tcW w:w="2640" w:type="dxa"/>
            <w:tcMar>
              <w:top w:w="60" w:type="dxa"/>
              <w:left w:w="120" w:type="dxa"/>
              <w:bottom w:w="30" w:type="dxa"/>
              <w:right w:w="120" w:type="dxa"/>
            </w:tcMar>
          </w:tcPr>
          <w:p w14:paraId="1920E7F3">
            <w:pPr>
              <w:spacing w:before="120" w:after="120" w:line="288" w:lineRule="auto"/>
              <w:ind w:left="0"/>
              <w:jc w:val="left"/>
            </w:pPr>
            <w:r>
              <w:rPr>
                <w:rFonts w:ascii="Arial" w:hAnsi="Arial" w:eastAsia="等线" w:cs="Arial"/>
                <w:sz w:val="22"/>
              </w:rPr>
              <w:t>Key Features (核心特征)</w:t>
            </w:r>
          </w:p>
        </w:tc>
        <w:tc>
          <w:tcPr>
            <w:tcW w:w="3480" w:type="dxa"/>
            <w:tcMar>
              <w:top w:w="60" w:type="dxa"/>
              <w:left w:w="120" w:type="dxa"/>
              <w:bottom w:w="30" w:type="dxa"/>
              <w:right w:w="120" w:type="dxa"/>
            </w:tcMar>
          </w:tcPr>
          <w:p w14:paraId="1FFEBC68">
            <w:pPr>
              <w:spacing w:before="120" w:after="120" w:line="288" w:lineRule="auto"/>
              <w:ind w:left="0"/>
              <w:jc w:val="left"/>
            </w:pPr>
            <w:r>
              <w:rPr>
                <w:rFonts w:ascii="Arial" w:hAnsi="Arial" w:eastAsia="等线" w:cs="Arial"/>
                <w:sz w:val="22"/>
              </w:rPr>
              <w:t>Key Exam Points (高频考点)</w:t>
            </w:r>
          </w:p>
        </w:tc>
      </w:tr>
      <w:tr w14:paraId="6BAC32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4F1F9935">
            <w:pPr>
              <w:spacing w:before="120" w:after="120" w:line="288" w:lineRule="auto"/>
              <w:ind w:left="0"/>
              <w:jc w:val="left"/>
            </w:pPr>
            <w:r>
              <w:rPr>
                <w:rFonts w:ascii="Arial" w:hAnsi="Arial" w:eastAsia="等线" w:cs="Arial"/>
                <w:sz w:val="22"/>
              </w:rPr>
              <w:t>Common Stock</w:t>
            </w:r>
          </w:p>
        </w:tc>
        <w:tc>
          <w:tcPr>
            <w:tcW w:w="915" w:type="dxa"/>
            <w:tcMar>
              <w:top w:w="60" w:type="dxa"/>
              <w:left w:w="120" w:type="dxa"/>
              <w:bottom w:w="30" w:type="dxa"/>
              <w:right w:w="120" w:type="dxa"/>
            </w:tcMar>
          </w:tcPr>
          <w:p w14:paraId="08428834">
            <w:pPr>
              <w:spacing w:before="120" w:after="120" w:line="288" w:lineRule="auto"/>
              <w:ind w:left="0"/>
              <w:jc w:val="left"/>
            </w:pPr>
            <w:r>
              <w:rPr>
                <w:rFonts w:ascii="Arial" w:hAnsi="Arial" w:eastAsia="等线" w:cs="Arial"/>
                <w:sz w:val="22"/>
              </w:rPr>
              <w:t>普通股</w:t>
            </w:r>
          </w:p>
          <w:p w14:paraId="1E0BA580">
            <w:pPr>
              <w:spacing w:before="120" w:after="120" w:line="288" w:lineRule="auto"/>
              <w:ind w:left="0"/>
              <w:jc w:val="left"/>
            </w:pPr>
          </w:p>
        </w:tc>
        <w:tc>
          <w:tcPr>
            <w:tcW w:w="2640" w:type="dxa"/>
            <w:tcMar>
              <w:top w:w="60" w:type="dxa"/>
              <w:left w:w="120" w:type="dxa"/>
              <w:bottom w:w="30" w:type="dxa"/>
              <w:right w:w="120" w:type="dxa"/>
            </w:tcMar>
          </w:tcPr>
          <w:p w14:paraId="79DFF9CF">
            <w:pPr>
              <w:spacing w:before="120" w:after="120" w:line="288" w:lineRule="auto"/>
              <w:ind w:left="0"/>
              <w:jc w:val="left"/>
            </w:pPr>
            <w:r>
              <w:rPr>
                <w:rFonts w:ascii="Arial" w:hAnsi="Arial" w:eastAsia="等线" w:cs="Arial"/>
                <w:sz w:val="22"/>
              </w:rPr>
              <w:t>1. Voting rights (投票权: statutory/cumulative)</w:t>
            </w:r>
          </w:p>
          <w:p w14:paraId="28C92E08">
            <w:pPr>
              <w:spacing w:before="120" w:after="120" w:line="288" w:lineRule="auto"/>
              <w:ind w:left="0"/>
              <w:jc w:val="left"/>
            </w:pPr>
            <w:r>
              <w:rPr>
                <w:rFonts w:ascii="Arial" w:hAnsi="Arial" w:eastAsia="等线" w:cs="Arial"/>
                <w:sz w:val="22"/>
              </w:rPr>
              <w:t>2. Residual rights (剩余分配权)</w:t>
            </w:r>
          </w:p>
          <w:p w14:paraId="417F9ABE">
            <w:pPr>
              <w:spacing w:before="120" w:after="120" w:line="288" w:lineRule="auto"/>
              <w:ind w:left="0"/>
              <w:jc w:val="left"/>
            </w:pPr>
            <w:r>
              <w:rPr>
                <w:rFonts w:ascii="Arial" w:hAnsi="Arial" w:eastAsia="等线" w:cs="Arial"/>
                <w:sz w:val="22"/>
              </w:rPr>
              <w:t>3. Dividends not fixed (股息不固定)</w:t>
            </w:r>
          </w:p>
        </w:tc>
        <w:tc>
          <w:tcPr>
            <w:tcW w:w="3480" w:type="dxa"/>
            <w:tcMar>
              <w:top w:w="60" w:type="dxa"/>
              <w:left w:w="120" w:type="dxa"/>
              <w:bottom w:w="30" w:type="dxa"/>
              <w:right w:w="120" w:type="dxa"/>
            </w:tcMar>
          </w:tcPr>
          <w:p w14:paraId="4ACE68E6">
            <w:pPr>
              <w:spacing w:before="120" w:after="120" w:line="288" w:lineRule="auto"/>
              <w:ind w:left="0"/>
              <w:jc w:val="left"/>
            </w:pPr>
            <w:r>
              <w:rPr>
                <w:rFonts w:ascii="Arial" w:hAnsi="Arial" w:eastAsia="等线" w:cs="Arial"/>
                <w:sz w:val="22"/>
              </w:rPr>
              <w:t>1. Cumulative voting calculation (累积投票计算: 股数×席位)</w:t>
            </w:r>
          </w:p>
          <w:p w14:paraId="483D5AAE">
            <w:pPr>
              <w:spacing w:before="120" w:after="120" w:line="288" w:lineRule="auto"/>
              <w:ind w:left="0"/>
              <w:jc w:val="left"/>
            </w:pPr>
            <w:r>
              <w:rPr>
                <w:rFonts w:ascii="Arial" w:hAnsi="Arial" w:eastAsia="等线" w:cs="Arial"/>
                <w:sz w:val="22"/>
              </w:rPr>
              <w:t>2. Outstanding shares = Issued - Treasury (流通股公式)</w:t>
            </w:r>
          </w:p>
        </w:tc>
      </w:tr>
      <w:tr w14:paraId="226F95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78A62B87">
            <w:pPr>
              <w:spacing w:before="120" w:after="120" w:line="288" w:lineRule="auto"/>
              <w:ind w:left="0"/>
              <w:jc w:val="left"/>
            </w:pPr>
            <w:r>
              <w:rPr>
                <w:rFonts w:ascii="Arial" w:hAnsi="Arial" w:eastAsia="等线" w:cs="Arial"/>
                <w:sz w:val="22"/>
              </w:rPr>
              <w:t>Preferred Stock</w:t>
            </w:r>
          </w:p>
        </w:tc>
        <w:tc>
          <w:tcPr>
            <w:tcW w:w="915" w:type="dxa"/>
            <w:tcMar>
              <w:top w:w="60" w:type="dxa"/>
              <w:left w:w="120" w:type="dxa"/>
              <w:bottom w:w="30" w:type="dxa"/>
              <w:right w:w="120" w:type="dxa"/>
            </w:tcMar>
          </w:tcPr>
          <w:p w14:paraId="3270E321">
            <w:pPr>
              <w:spacing w:before="120" w:after="120" w:line="288" w:lineRule="auto"/>
              <w:ind w:left="0"/>
              <w:jc w:val="left"/>
            </w:pPr>
            <w:r>
              <w:rPr>
                <w:rFonts w:ascii="Arial" w:hAnsi="Arial" w:eastAsia="等线" w:cs="Arial"/>
                <w:sz w:val="22"/>
              </w:rPr>
              <w:t>优先股</w:t>
            </w:r>
          </w:p>
        </w:tc>
        <w:tc>
          <w:tcPr>
            <w:tcW w:w="2640" w:type="dxa"/>
            <w:tcMar>
              <w:top w:w="60" w:type="dxa"/>
              <w:left w:w="120" w:type="dxa"/>
              <w:bottom w:w="30" w:type="dxa"/>
              <w:right w:w="120" w:type="dxa"/>
            </w:tcMar>
          </w:tcPr>
          <w:p w14:paraId="50A5E464">
            <w:pPr>
              <w:spacing w:before="120" w:after="120" w:line="288" w:lineRule="auto"/>
              <w:ind w:left="0"/>
              <w:jc w:val="left"/>
            </w:pPr>
            <w:r>
              <w:rPr>
                <w:rFonts w:ascii="Arial" w:hAnsi="Arial" w:eastAsia="等线" w:cs="Arial"/>
                <w:sz w:val="22"/>
              </w:rPr>
              <w:t>1. Fixed dividends (固定股息: 面值×股息率)</w:t>
            </w:r>
          </w:p>
          <w:p w14:paraId="7A7DF6CF">
            <w:pPr>
              <w:spacing w:before="120" w:after="120" w:line="288" w:lineRule="auto"/>
              <w:ind w:left="0"/>
              <w:jc w:val="left"/>
            </w:pPr>
            <w:r>
              <w:rPr>
                <w:rFonts w:ascii="Arial" w:hAnsi="Arial" w:eastAsia="等线" w:cs="Arial"/>
                <w:sz w:val="22"/>
              </w:rPr>
              <w:t>2. Dividend priority (股息优先)</w:t>
            </w:r>
          </w:p>
          <w:p w14:paraId="50910A37">
            <w:pPr>
              <w:spacing w:before="120" w:after="120" w:line="288" w:lineRule="auto"/>
              <w:ind w:left="0"/>
              <w:jc w:val="left"/>
            </w:pPr>
            <w:r>
              <w:rPr>
                <w:rFonts w:ascii="Arial" w:hAnsi="Arial" w:eastAsia="等线" w:cs="Arial"/>
                <w:sz w:val="22"/>
              </w:rPr>
              <w:t>3. No voting rights (默认无投票权)</w:t>
            </w:r>
          </w:p>
        </w:tc>
        <w:tc>
          <w:tcPr>
            <w:tcW w:w="3480" w:type="dxa"/>
            <w:tcMar>
              <w:top w:w="60" w:type="dxa"/>
              <w:left w:w="120" w:type="dxa"/>
              <w:bottom w:w="30" w:type="dxa"/>
              <w:right w:w="120" w:type="dxa"/>
            </w:tcMar>
          </w:tcPr>
          <w:p w14:paraId="44A596BF">
            <w:pPr>
              <w:spacing w:before="120" w:after="120" w:line="288" w:lineRule="auto"/>
              <w:ind w:left="0"/>
              <w:jc w:val="left"/>
            </w:pPr>
            <w:r>
              <w:rPr>
                <w:rFonts w:ascii="Arial" w:hAnsi="Arial" w:eastAsia="等线" w:cs="Arial"/>
                <w:sz w:val="22"/>
              </w:rPr>
              <w:t>1. Cumulative preferred dividend arrears (累积优先股欠付补发)</w:t>
            </w:r>
          </w:p>
          <w:p w14:paraId="7124423E">
            <w:pPr>
              <w:spacing w:before="120" w:after="120" w:line="288" w:lineRule="auto"/>
              <w:ind w:left="0"/>
              <w:jc w:val="left"/>
            </w:pPr>
            <w:r>
              <w:rPr>
                <w:rFonts w:ascii="Arial" w:hAnsi="Arial" w:eastAsia="等线" w:cs="Arial"/>
                <w:sz w:val="22"/>
              </w:rPr>
              <w:t>2. Convertible preferred conversion ratio (转换比=面值/转换价)</w:t>
            </w:r>
          </w:p>
        </w:tc>
      </w:tr>
      <w:tr w14:paraId="1663A0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14F611B6">
            <w:pPr>
              <w:spacing w:before="120" w:after="120" w:line="288" w:lineRule="auto"/>
              <w:ind w:left="0"/>
              <w:jc w:val="left"/>
            </w:pPr>
            <w:r>
              <w:rPr>
                <w:rFonts w:ascii="Arial" w:hAnsi="Arial" w:eastAsia="等线" w:cs="Arial"/>
                <w:sz w:val="22"/>
              </w:rPr>
              <w:t>Special Equity Securities</w:t>
            </w:r>
          </w:p>
          <w:p w14:paraId="68034B72">
            <w:pPr>
              <w:spacing w:before="120" w:after="120" w:line="288" w:lineRule="auto"/>
              <w:ind w:left="0"/>
              <w:jc w:val="left"/>
            </w:pPr>
          </w:p>
        </w:tc>
        <w:tc>
          <w:tcPr>
            <w:tcW w:w="915" w:type="dxa"/>
            <w:tcMar>
              <w:top w:w="60" w:type="dxa"/>
              <w:left w:w="120" w:type="dxa"/>
              <w:bottom w:w="30" w:type="dxa"/>
              <w:right w:w="120" w:type="dxa"/>
            </w:tcMar>
          </w:tcPr>
          <w:p w14:paraId="0AAABFA7">
            <w:pPr>
              <w:spacing w:before="120" w:after="120" w:line="288" w:lineRule="auto"/>
              <w:ind w:left="0"/>
              <w:jc w:val="left"/>
            </w:pPr>
            <w:r>
              <w:rPr>
                <w:rFonts w:ascii="Arial" w:hAnsi="Arial" w:eastAsia="等线" w:cs="Arial"/>
                <w:sz w:val="22"/>
              </w:rPr>
              <w:t>特殊权益证券</w:t>
            </w:r>
          </w:p>
        </w:tc>
        <w:tc>
          <w:tcPr>
            <w:tcW w:w="2640" w:type="dxa"/>
            <w:tcMar>
              <w:top w:w="60" w:type="dxa"/>
              <w:left w:w="120" w:type="dxa"/>
              <w:bottom w:w="30" w:type="dxa"/>
              <w:right w:w="120" w:type="dxa"/>
            </w:tcMar>
          </w:tcPr>
          <w:p w14:paraId="248D1D17">
            <w:pPr>
              <w:spacing w:before="120" w:after="120" w:line="288" w:lineRule="auto"/>
              <w:ind w:left="0"/>
              <w:jc w:val="left"/>
            </w:pPr>
            <w:r>
              <w:rPr>
                <w:rFonts w:ascii="Arial" w:hAnsi="Arial" w:eastAsia="等线" w:cs="Arial"/>
                <w:sz w:val="22"/>
              </w:rPr>
              <w:t>1. ADRs (美国存托凭证: 境外股美国交易)</w:t>
            </w:r>
          </w:p>
          <w:p w14:paraId="58A19A3A">
            <w:pPr>
              <w:spacing w:before="120" w:after="120" w:line="288" w:lineRule="auto"/>
              <w:ind w:left="0"/>
              <w:jc w:val="left"/>
            </w:pPr>
            <w:r>
              <w:rPr>
                <w:rFonts w:ascii="Arial" w:hAnsi="Arial" w:eastAsia="等线" w:cs="Arial"/>
                <w:sz w:val="22"/>
              </w:rPr>
              <w:t>2. Rights (认购权: 短期优先购股)</w:t>
            </w:r>
          </w:p>
          <w:p w14:paraId="1F2CACEE">
            <w:pPr>
              <w:spacing w:before="120" w:after="120" w:line="288" w:lineRule="auto"/>
              <w:ind w:left="0"/>
              <w:jc w:val="left"/>
            </w:pPr>
            <w:r>
              <w:rPr>
                <w:rFonts w:ascii="Arial" w:hAnsi="Arial" w:eastAsia="等线" w:cs="Arial"/>
                <w:sz w:val="22"/>
              </w:rPr>
              <w:t>3. Warrants (认股权证: 长期甜味剂)</w:t>
            </w:r>
          </w:p>
        </w:tc>
        <w:tc>
          <w:tcPr>
            <w:tcW w:w="3480" w:type="dxa"/>
            <w:tcMar>
              <w:top w:w="60" w:type="dxa"/>
              <w:left w:w="120" w:type="dxa"/>
              <w:bottom w:w="30" w:type="dxa"/>
              <w:right w:w="120" w:type="dxa"/>
            </w:tcMar>
          </w:tcPr>
          <w:p w14:paraId="1EF315C0">
            <w:pPr>
              <w:spacing w:before="120" w:after="120" w:line="288" w:lineRule="auto"/>
              <w:ind w:left="0"/>
              <w:jc w:val="left"/>
            </w:pPr>
            <w:r>
              <w:rPr>
                <w:rFonts w:ascii="Arial" w:hAnsi="Arial" w:eastAsia="等线" w:cs="Arial"/>
                <w:sz w:val="22"/>
              </w:rPr>
              <w:t>1. Rights vs. Warrants (短期vs长期, 行权价差异)</w:t>
            </w:r>
          </w:p>
          <w:p w14:paraId="1A27943C">
            <w:pPr>
              <w:spacing w:before="120" w:after="120" w:line="288" w:lineRule="auto"/>
              <w:ind w:left="0"/>
              <w:jc w:val="left"/>
            </w:pPr>
            <w:r>
              <w:rPr>
                <w:rFonts w:ascii="Arial" w:hAnsi="Arial" w:eastAsia="等线" w:cs="Arial"/>
                <w:sz w:val="22"/>
              </w:rPr>
              <w:t xml:space="preserve">Rights短期（16-30天）、折扣小，Warrants长期、行权价高（发行时虚值）。 </w:t>
            </w:r>
          </w:p>
          <w:p w14:paraId="419FAE65">
            <w:pPr>
              <w:spacing w:before="120" w:after="120" w:line="288" w:lineRule="auto"/>
              <w:ind w:left="0"/>
              <w:jc w:val="left"/>
            </w:pPr>
            <w:r>
              <w:rPr>
                <w:rFonts w:ascii="Arial" w:hAnsi="Arial" w:eastAsia="等线" w:cs="Arial"/>
                <w:sz w:val="22"/>
              </w:rPr>
              <w:t>2. ADR currency risk (ADR汇率风险)</w:t>
            </w:r>
          </w:p>
        </w:tc>
      </w:tr>
    </w:tbl>
    <w:p w14:paraId="47B7F65A">
      <w:pPr>
        <w:spacing w:before="120" w:after="120" w:line="288" w:lineRule="auto"/>
        <w:ind w:left="0"/>
        <w:jc w:val="left"/>
      </w:pPr>
    </w:p>
    <w:p w14:paraId="653E40FB">
      <w:pPr>
        <w:spacing w:before="320" w:after="120" w:line="288" w:lineRule="auto"/>
        <w:ind w:left="0"/>
        <w:jc w:val="left"/>
        <w:outlineLvl w:val="1"/>
      </w:pPr>
      <w:bookmarkStart w:id="29" w:name="heading_29"/>
      <w:r>
        <w:rPr>
          <w:rFonts w:ascii="Arial" w:hAnsi="Arial" w:eastAsia="等线" w:cs="Arial"/>
          <w:color w:val="3370FF"/>
          <w:sz w:val="32"/>
        </w:rPr>
        <w:t xml:space="preserve">3.2 </w:t>
      </w:r>
      <w:r>
        <w:rPr>
          <w:rFonts w:ascii="Arial" w:hAnsi="Arial" w:eastAsia="等线" w:cs="Arial"/>
          <w:b/>
          <w:sz w:val="32"/>
        </w:rPr>
        <w:t>Corporate Actions Affecting Equity (影响权益的公司行为)</w:t>
      </w:r>
      <w:bookmarkEnd w:id="2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80"/>
        <w:gridCol w:w="840"/>
        <w:gridCol w:w="2805"/>
        <w:gridCol w:w="3570"/>
      </w:tblGrid>
      <w:tr w14:paraId="37CCA3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080" w:type="dxa"/>
            <w:tcMar>
              <w:top w:w="60" w:type="dxa"/>
              <w:left w:w="120" w:type="dxa"/>
              <w:bottom w:w="30" w:type="dxa"/>
              <w:right w:w="120" w:type="dxa"/>
            </w:tcMar>
          </w:tcPr>
          <w:p w14:paraId="42E5E918">
            <w:pPr>
              <w:spacing w:before="120" w:after="120" w:line="288" w:lineRule="auto"/>
              <w:ind w:left="0"/>
              <w:jc w:val="left"/>
            </w:pPr>
            <w:r>
              <w:rPr>
                <w:rFonts w:ascii="Arial" w:hAnsi="Arial" w:eastAsia="等线" w:cs="Arial"/>
                <w:b/>
                <w:sz w:val="22"/>
              </w:rPr>
              <w:t>英文</w:t>
            </w:r>
          </w:p>
        </w:tc>
        <w:tc>
          <w:tcPr>
            <w:tcW w:w="840" w:type="dxa"/>
            <w:tcMar>
              <w:top w:w="60" w:type="dxa"/>
              <w:left w:w="120" w:type="dxa"/>
              <w:bottom w:w="30" w:type="dxa"/>
              <w:right w:w="120" w:type="dxa"/>
            </w:tcMar>
          </w:tcPr>
          <w:p w14:paraId="0816F0C0">
            <w:pPr>
              <w:spacing w:before="120" w:after="120" w:line="288" w:lineRule="auto"/>
              <w:ind w:left="0"/>
              <w:jc w:val="left"/>
            </w:pPr>
            <w:r>
              <w:rPr>
                <w:rFonts w:ascii="Arial" w:hAnsi="Arial" w:eastAsia="等线" w:cs="Arial"/>
                <w:b/>
                <w:sz w:val="22"/>
              </w:rPr>
              <w:t>中文</w:t>
            </w:r>
          </w:p>
        </w:tc>
        <w:tc>
          <w:tcPr>
            <w:tcW w:w="2805" w:type="dxa"/>
            <w:tcMar>
              <w:top w:w="60" w:type="dxa"/>
              <w:left w:w="120" w:type="dxa"/>
              <w:bottom w:w="30" w:type="dxa"/>
              <w:right w:w="120" w:type="dxa"/>
            </w:tcMar>
          </w:tcPr>
          <w:p w14:paraId="7954B45F">
            <w:pPr>
              <w:spacing w:before="120" w:after="120" w:line="288" w:lineRule="auto"/>
              <w:ind w:left="0"/>
              <w:jc w:val="left"/>
            </w:pPr>
            <w:r>
              <w:rPr>
                <w:rFonts w:ascii="Arial" w:hAnsi="Arial" w:eastAsia="等线" w:cs="Arial"/>
                <w:b/>
                <w:sz w:val="22"/>
              </w:rPr>
              <w:t>核心规则</w:t>
            </w:r>
          </w:p>
        </w:tc>
        <w:tc>
          <w:tcPr>
            <w:tcW w:w="3570" w:type="dxa"/>
            <w:tcMar>
              <w:top w:w="60" w:type="dxa"/>
              <w:left w:w="120" w:type="dxa"/>
              <w:bottom w:w="30" w:type="dxa"/>
              <w:right w:w="120" w:type="dxa"/>
            </w:tcMar>
          </w:tcPr>
          <w:p w14:paraId="16DA4846">
            <w:pPr>
              <w:spacing w:before="120" w:after="120" w:line="288" w:lineRule="auto"/>
              <w:ind w:left="0"/>
              <w:jc w:val="left"/>
            </w:pPr>
            <w:r>
              <w:rPr>
                <w:rFonts w:ascii="Arial" w:hAnsi="Arial" w:eastAsia="等线" w:cs="Arial"/>
                <w:b/>
                <w:sz w:val="22"/>
              </w:rPr>
              <w:t>高频考点</w:t>
            </w:r>
          </w:p>
        </w:tc>
      </w:tr>
      <w:tr w14:paraId="7AC43B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506E83A5">
            <w:pPr>
              <w:spacing w:before="120" w:after="120" w:line="288" w:lineRule="auto"/>
              <w:ind w:left="0"/>
              <w:jc w:val="left"/>
            </w:pPr>
            <w:r>
              <w:rPr>
                <w:rFonts w:ascii="Arial" w:hAnsi="Arial" w:eastAsia="等线" w:cs="Arial"/>
                <w:sz w:val="22"/>
              </w:rPr>
              <w:t>Stock Splits</w:t>
            </w:r>
          </w:p>
        </w:tc>
        <w:tc>
          <w:tcPr>
            <w:tcW w:w="840" w:type="dxa"/>
            <w:tcMar>
              <w:top w:w="60" w:type="dxa"/>
              <w:left w:w="120" w:type="dxa"/>
              <w:bottom w:w="30" w:type="dxa"/>
              <w:right w:w="120" w:type="dxa"/>
            </w:tcMar>
          </w:tcPr>
          <w:p w14:paraId="40B5AEB8">
            <w:pPr>
              <w:spacing w:before="120" w:after="120" w:line="288" w:lineRule="auto"/>
              <w:ind w:left="0"/>
              <w:jc w:val="left"/>
            </w:pPr>
            <w:r>
              <w:rPr>
                <w:rFonts w:ascii="Arial" w:hAnsi="Arial" w:eastAsia="等线" w:cs="Arial"/>
                <w:sz w:val="22"/>
              </w:rPr>
              <w:t>股票拆分</w:t>
            </w:r>
          </w:p>
        </w:tc>
        <w:tc>
          <w:tcPr>
            <w:tcW w:w="2805" w:type="dxa"/>
            <w:tcMar>
              <w:top w:w="60" w:type="dxa"/>
              <w:left w:w="120" w:type="dxa"/>
              <w:bottom w:w="30" w:type="dxa"/>
              <w:right w:w="120" w:type="dxa"/>
            </w:tcMar>
          </w:tcPr>
          <w:p w14:paraId="75E8F295">
            <w:pPr>
              <w:spacing w:before="120" w:after="120" w:line="288" w:lineRule="auto"/>
              <w:ind w:left="0"/>
              <w:jc w:val="left"/>
            </w:pPr>
            <w:r>
              <w:rPr>
                <w:rFonts w:ascii="Arial" w:hAnsi="Arial" w:eastAsia="等线" w:cs="Arial"/>
                <w:sz w:val="22"/>
              </w:rPr>
              <w:t>1. Forward Split (正向拆分: 股数↑, 价格↓)</w:t>
            </w:r>
          </w:p>
          <w:p w14:paraId="2F00A446">
            <w:pPr>
              <w:spacing w:before="120" w:after="120" w:line="288" w:lineRule="auto"/>
              <w:ind w:left="0"/>
              <w:jc w:val="left"/>
            </w:pPr>
            <w:r>
              <w:rPr>
                <w:rFonts w:ascii="Arial" w:hAnsi="Arial" w:eastAsia="等线" w:cs="Arial"/>
                <w:sz w:val="22"/>
              </w:rPr>
              <w:t>2. Reverse Split (反向拆分: 股数↓, 价格↑)</w:t>
            </w:r>
          </w:p>
          <w:p w14:paraId="60DB8651">
            <w:pPr>
              <w:spacing w:before="120" w:after="120" w:line="288" w:lineRule="auto"/>
              <w:ind w:left="0"/>
              <w:jc w:val="left"/>
            </w:pPr>
            <w:r>
              <w:rPr>
                <w:rFonts w:ascii="Arial" w:hAnsi="Arial" w:eastAsia="等线" w:cs="Arial"/>
                <w:sz w:val="22"/>
              </w:rPr>
              <w:t>3. Total value unchanged (总价值不变)</w:t>
            </w:r>
          </w:p>
        </w:tc>
        <w:tc>
          <w:tcPr>
            <w:tcW w:w="3570" w:type="dxa"/>
            <w:tcMar>
              <w:top w:w="60" w:type="dxa"/>
              <w:left w:w="120" w:type="dxa"/>
              <w:bottom w:w="30" w:type="dxa"/>
              <w:right w:w="120" w:type="dxa"/>
            </w:tcMar>
          </w:tcPr>
          <w:p w14:paraId="6B5A43F3">
            <w:pPr>
              <w:spacing w:before="120" w:after="120" w:line="288" w:lineRule="auto"/>
              <w:ind w:left="0"/>
              <w:jc w:val="left"/>
            </w:pPr>
            <w:r>
              <w:rPr>
                <w:rFonts w:ascii="Arial" w:hAnsi="Arial" w:eastAsia="等线" w:cs="Arial"/>
                <w:sz w:val="22"/>
              </w:rPr>
              <w:t>1. Post-split shares/price calculation (拆分后股数/价格计算)</w:t>
            </w:r>
          </w:p>
          <w:p w14:paraId="632FB772">
            <w:pPr>
              <w:spacing w:before="120" w:after="120" w:line="288" w:lineRule="auto"/>
              <w:ind w:left="0"/>
              <w:jc w:val="left"/>
            </w:pPr>
            <w:r>
              <w:rPr>
                <w:rFonts w:ascii="Arial" w:hAnsi="Arial" w:eastAsia="等线" w:cs="Arial"/>
                <w:sz w:val="22"/>
              </w:rPr>
              <w:t>2. Split requires shareholder vote (拆分需股东投票)</w:t>
            </w:r>
          </w:p>
        </w:tc>
      </w:tr>
      <w:tr w14:paraId="2C06FF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3A5FF140">
            <w:pPr>
              <w:spacing w:before="120" w:after="120" w:line="288" w:lineRule="auto"/>
              <w:ind w:left="0"/>
              <w:jc w:val="left"/>
            </w:pPr>
            <w:r>
              <w:rPr>
                <w:rFonts w:ascii="Arial" w:hAnsi="Arial" w:eastAsia="等线" w:cs="Arial"/>
                <w:sz w:val="22"/>
              </w:rPr>
              <w:t>Dividends</w:t>
            </w:r>
          </w:p>
        </w:tc>
        <w:tc>
          <w:tcPr>
            <w:tcW w:w="840" w:type="dxa"/>
            <w:tcMar>
              <w:top w:w="60" w:type="dxa"/>
              <w:left w:w="120" w:type="dxa"/>
              <w:bottom w:w="30" w:type="dxa"/>
              <w:right w:w="120" w:type="dxa"/>
            </w:tcMar>
          </w:tcPr>
          <w:p w14:paraId="70E3374F">
            <w:pPr>
              <w:spacing w:before="120" w:after="120" w:line="288" w:lineRule="auto"/>
              <w:ind w:left="0"/>
              <w:jc w:val="left"/>
            </w:pPr>
            <w:r>
              <w:rPr>
                <w:rFonts w:ascii="Arial" w:hAnsi="Arial" w:eastAsia="等线" w:cs="Arial"/>
                <w:sz w:val="22"/>
              </w:rPr>
              <w:t>股息</w:t>
            </w:r>
          </w:p>
          <w:p w14:paraId="15AC73AD">
            <w:pPr>
              <w:spacing w:before="120" w:after="120" w:line="288" w:lineRule="auto"/>
              <w:ind w:left="0"/>
              <w:jc w:val="left"/>
            </w:pPr>
          </w:p>
        </w:tc>
        <w:tc>
          <w:tcPr>
            <w:tcW w:w="2805" w:type="dxa"/>
            <w:tcMar>
              <w:top w:w="60" w:type="dxa"/>
              <w:left w:w="120" w:type="dxa"/>
              <w:bottom w:w="30" w:type="dxa"/>
              <w:right w:w="120" w:type="dxa"/>
            </w:tcMar>
          </w:tcPr>
          <w:p w14:paraId="59FCE2FA">
            <w:pPr>
              <w:spacing w:before="120" w:after="120" w:line="288" w:lineRule="auto"/>
              <w:ind w:left="0"/>
              <w:jc w:val="left"/>
            </w:pPr>
            <w:r>
              <w:rPr>
                <w:rFonts w:ascii="Arial" w:hAnsi="Arial" w:eastAsia="等线" w:cs="Arial"/>
                <w:sz w:val="22"/>
              </w:rPr>
              <w:t>1. Cash dividends (现金股息: taxable, 除权价=原价-股息)</w:t>
            </w:r>
          </w:p>
          <w:p w14:paraId="04ADBD16">
            <w:pPr>
              <w:spacing w:before="120" w:after="120" w:line="288" w:lineRule="auto"/>
              <w:ind w:left="0"/>
              <w:jc w:val="left"/>
            </w:pPr>
            <w:r>
              <w:rPr>
                <w:rFonts w:ascii="Arial" w:hAnsi="Arial" w:eastAsia="等线" w:cs="Arial"/>
                <w:sz w:val="22"/>
              </w:rPr>
              <w:t>2. Stock dividends (股票股息: 免税, 股数↑价格↓)</w:t>
            </w:r>
          </w:p>
        </w:tc>
        <w:tc>
          <w:tcPr>
            <w:tcW w:w="3570" w:type="dxa"/>
            <w:tcMar>
              <w:top w:w="60" w:type="dxa"/>
              <w:left w:w="120" w:type="dxa"/>
              <w:bottom w:w="30" w:type="dxa"/>
              <w:right w:w="120" w:type="dxa"/>
            </w:tcMar>
          </w:tcPr>
          <w:p w14:paraId="64DF9E69">
            <w:pPr>
              <w:spacing w:before="120" w:after="120" w:line="288" w:lineRule="auto"/>
              <w:ind w:left="0"/>
              <w:jc w:val="left"/>
            </w:pPr>
            <w:r>
              <w:rPr>
                <w:rFonts w:ascii="Arial" w:hAnsi="Arial" w:eastAsia="等线" w:cs="Arial"/>
                <w:sz w:val="22"/>
              </w:rPr>
              <w:t>1. Ex-dividend date price adjustment (除权价调整)</w:t>
            </w:r>
          </w:p>
          <w:p w14:paraId="71691EF7">
            <w:pPr>
              <w:spacing w:before="120" w:after="120" w:line="288" w:lineRule="auto"/>
              <w:ind w:left="0"/>
              <w:jc w:val="left"/>
            </w:pPr>
            <w:r>
              <w:rPr>
                <w:rFonts w:ascii="Arial" w:hAnsi="Arial" w:eastAsia="等线" w:cs="Arial"/>
                <w:sz w:val="22"/>
              </w:rPr>
              <w:t>2. Stock dividend share/price calculation (股票股息后股数/价格)</w:t>
            </w:r>
          </w:p>
        </w:tc>
      </w:tr>
      <w:tr w14:paraId="1F01CF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80" w:type="dxa"/>
            <w:tcMar>
              <w:top w:w="60" w:type="dxa"/>
              <w:left w:w="120" w:type="dxa"/>
              <w:bottom w:w="30" w:type="dxa"/>
              <w:right w:w="120" w:type="dxa"/>
            </w:tcMar>
          </w:tcPr>
          <w:p w14:paraId="2FBEC4FD">
            <w:pPr>
              <w:spacing w:before="120" w:after="120" w:line="288" w:lineRule="auto"/>
              <w:ind w:left="0"/>
              <w:jc w:val="left"/>
            </w:pPr>
            <w:r>
              <w:rPr>
                <w:rFonts w:ascii="Arial" w:hAnsi="Arial" w:eastAsia="等线" w:cs="Arial"/>
                <w:sz w:val="22"/>
              </w:rPr>
              <w:t>Share Repurchases</w:t>
            </w:r>
          </w:p>
        </w:tc>
        <w:tc>
          <w:tcPr>
            <w:tcW w:w="840" w:type="dxa"/>
            <w:tcMar>
              <w:top w:w="60" w:type="dxa"/>
              <w:left w:w="120" w:type="dxa"/>
              <w:bottom w:w="30" w:type="dxa"/>
              <w:right w:w="120" w:type="dxa"/>
            </w:tcMar>
          </w:tcPr>
          <w:p w14:paraId="5B549455">
            <w:pPr>
              <w:spacing w:before="120" w:after="120" w:line="288" w:lineRule="auto"/>
              <w:ind w:left="0"/>
              <w:jc w:val="left"/>
            </w:pPr>
            <w:r>
              <w:rPr>
                <w:rFonts w:ascii="Arial" w:hAnsi="Arial" w:eastAsia="等线" w:cs="Arial"/>
                <w:sz w:val="22"/>
              </w:rPr>
              <w:t>股票回购</w:t>
            </w:r>
          </w:p>
        </w:tc>
        <w:tc>
          <w:tcPr>
            <w:tcW w:w="2805" w:type="dxa"/>
            <w:tcMar>
              <w:top w:w="60" w:type="dxa"/>
              <w:left w:w="120" w:type="dxa"/>
              <w:bottom w:w="30" w:type="dxa"/>
              <w:right w:w="120" w:type="dxa"/>
            </w:tcMar>
          </w:tcPr>
          <w:p w14:paraId="545CF40F">
            <w:pPr>
              <w:spacing w:before="120" w:after="120" w:line="288" w:lineRule="auto"/>
              <w:ind w:left="0"/>
              <w:jc w:val="left"/>
            </w:pPr>
            <w:r>
              <w:rPr>
                <w:rFonts w:ascii="Arial" w:hAnsi="Arial" w:eastAsia="等线" w:cs="Arial"/>
                <w:sz w:val="22"/>
              </w:rPr>
              <w:t>1. Treasury stock increases (库存股增加)</w:t>
            </w:r>
          </w:p>
          <w:p w14:paraId="1CA3D7E5">
            <w:pPr>
              <w:spacing w:before="120" w:after="120" w:line="288" w:lineRule="auto"/>
              <w:ind w:left="0"/>
              <w:jc w:val="left"/>
            </w:pPr>
            <w:r>
              <w:rPr>
                <w:rFonts w:ascii="Arial" w:hAnsi="Arial" w:eastAsia="等线" w:cs="Arial"/>
                <w:sz w:val="22"/>
              </w:rPr>
              <w:t>2. Outstanding shares decreases (流通股减少)</w:t>
            </w:r>
          </w:p>
        </w:tc>
        <w:tc>
          <w:tcPr>
            <w:tcW w:w="3570" w:type="dxa"/>
            <w:tcMar>
              <w:top w:w="60" w:type="dxa"/>
              <w:left w:w="120" w:type="dxa"/>
              <w:bottom w:w="30" w:type="dxa"/>
              <w:right w:w="120" w:type="dxa"/>
            </w:tcMar>
          </w:tcPr>
          <w:p w14:paraId="43FEA507">
            <w:pPr>
              <w:spacing w:before="120" w:after="120" w:line="288" w:lineRule="auto"/>
              <w:ind w:left="0"/>
              <w:jc w:val="left"/>
            </w:pPr>
            <w:r>
              <w:rPr>
                <w:rFonts w:ascii="Arial" w:hAnsi="Arial" w:eastAsia="等线" w:cs="Arial"/>
                <w:sz w:val="22"/>
              </w:rPr>
              <w:t>1. Impact on EPS (对每股收益的影响: 流通股↓→EPS↑)</w:t>
            </w:r>
          </w:p>
          <w:p w14:paraId="3B1CE862">
            <w:pPr>
              <w:spacing w:before="120" w:after="120" w:line="288" w:lineRule="auto"/>
              <w:ind w:left="0"/>
              <w:jc w:val="left"/>
            </w:pPr>
            <w:r>
              <w:rPr>
                <w:rFonts w:ascii="Arial" w:hAnsi="Arial" w:eastAsia="等线" w:cs="Arial"/>
                <w:sz w:val="22"/>
              </w:rPr>
              <w:t>2. Repurchase purpose (回购目的: 提振股价/防收购)</w:t>
            </w:r>
          </w:p>
        </w:tc>
      </w:tr>
    </w:tbl>
    <w:p w14:paraId="42A8ECBE">
      <w:pPr>
        <w:spacing w:before="320" w:after="120" w:line="288" w:lineRule="auto"/>
        <w:ind w:left="0"/>
        <w:jc w:val="left"/>
        <w:outlineLvl w:val="1"/>
      </w:pPr>
      <w:bookmarkStart w:id="30" w:name="heading_30"/>
      <w:r>
        <w:rPr>
          <w:rFonts w:ascii="Arial" w:hAnsi="Arial" w:eastAsia="等线" w:cs="Arial"/>
          <w:color w:val="3370FF"/>
          <w:sz w:val="32"/>
        </w:rPr>
        <w:t xml:space="preserve">3.3 </w:t>
      </w:r>
      <w:r>
        <w:rPr>
          <w:rFonts w:ascii="Arial" w:hAnsi="Arial" w:eastAsia="等线" w:cs="Arial"/>
          <w:b/>
          <w:sz w:val="32"/>
        </w:rPr>
        <w:t>Key Rights &amp; Priorities (核心权利与优先级)</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40"/>
        <w:gridCol w:w="975"/>
        <w:gridCol w:w="3000"/>
        <w:gridCol w:w="2550"/>
      </w:tblGrid>
      <w:tr w14:paraId="049448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0362840E">
            <w:pPr>
              <w:spacing w:before="120" w:after="120" w:line="288" w:lineRule="auto"/>
              <w:ind w:left="0"/>
              <w:jc w:val="left"/>
            </w:pPr>
            <w:r>
              <w:rPr>
                <w:rFonts w:ascii="Arial" w:hAnsi="Arial" w:eastAsia="等线" w:cs="Arial"/>
                <w:b/>
                <w:sz w:val="22"/>
              </w:rPr>
              <w:t>英文</w:t>
            </w:r>
          </w:p>
        </w:tc>
        <w:tc>
          <w:tcPr>
            <w:tcW w:w="975" w:type="dxa"/>
            <w:tcMar>
              <w:top w:w="60" w:type="dxa"/>
              <w:left w:w="120" w:type="dxa"/>
              <w:bottom w:w="30" w:type="dxa"/>
              <w:right w:w="120" w:type="dxa"/>
            </w:tcMar>
          </w:tcPr>
          <w:p w14:paraId="2C8CFA6E">
            <w:pPr>
              <w:spacing w:before="120" w:after="120" w:line="288" w:lineRule="auto"/>
              <w:ind w:left="0"/>
              <w:jc w:val="left"/>
            </w:pPr>
            <w:r>
              <w:rPr>
                <w:rFonts w:ascii="Arial" w:hAnsi="Arial" w:eastAsia="等线" w:cs="Arial"/>
                <w:b/>
                <w:sz w:val="22"/>
              </w:rPr>
              <w:t>中文</w:t>
            </w:r>
          </w:p>
        </w:tc>
        <w:tc>
          <w:tcPr>
            <w:tcW w:w="3000" w:type="dxa"/>
            <w:tcMar>
              <w:top w:w="60" w:type="dxa"/>
              <w:left w:w="120" w:type="dxa"/>
              <w:bottom w:w="30" w:type="dxa"/>
              <w:right w:w="120" w:type="dxa"/>
            </w:tcMar>
          </w:tcPr>
          <w:p w14:paraId="3221B83C">
            <w:pPr>
              <w:spacing w:before="120" w:after="120" w:line="288" w:lineRule="auto"/>
              <w:ind w:left="0"/>
              <w:jc w:val="left"/>
            </w:pPr>
            <w:r>
              <w:rPr>
                <w:rFonts w:ascii="Arial" w:hAnsi="Arial" w:eastAsia="等线" w:cs="Arial"/>
                <w:b/>
                <w:sz w:val="22"/>
              </w:rPr>
              <w:t>核心细节</w:t>
            </w:r>
          </w:p>
        </w:tc>
        <w:tc>
          <w:tcPr>
            <w:tcW w:w="2550" w:type="dxa"/>
            <w:tcMar>
              <w:top w:w="60" w:type="dxa"/>
              <w:left w:w="120" w:type="dxa"/>
              <w:bottom w:w="30" w:type="dxa"/>
              <w:right w:w="120" w:type="dxa"/>
            </w:tcMar>
          </w:tcPr>
          <w:p w14:paraId="72851068">
            <w:pPr>
              <w:spacing w:before="120" w:after="120" w:line="288" w:lineRule="auto"/>
              <w:ind w:left="0"/>
              <w:jc w:val="left"/>
            </w:pPr>
            <w:r>
              <w:rPr>
                <w:rFonts w:ascii="Arial" w:hAnsi="Arial" w:eastAsia="等线" w:cs="Arial"/>
                <w:b/>
                <w:sz w:val="22"/>
              </w:rPr>
              <w:t>高频考点</w:t>
            </w:r>
          </w:p>
        </w:tc>
      </w:tr>
      <w:tr w14:paraId="6F573D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52B8533E">
            <w:pPr>
              <w:spacing w:before="120" w:after="120" w:line="288" w:lineRule="auto"/>
              <w:ind w:left="0"/>
              <w:jc w:val="left"/>
            </w:pPr>
            <w:r>
              <w:rPr>
                <w:rFonts w:ascii="Arial" w:hAnsi="Arial" w:eastAsia="等线" w:cs="Arial"/>
                <w:sz w:val="22"/>
              </w:rPr>
              <w:t>Liquidation Priority</w:t>
            </w:r>
          </w:p>
          <w:p w14:paraId="371D511B">
            <w:pPr>
              <w:spacing w:before="120" w:after="120" w:line="288" w:lineRule="auto"/>
              <w:ind w:left="0"/>
              <w:jc w:val="left"/>
            </w:pPr>
          </w:p>
        </w:tc>
        <w:tc>
          <w:tcPr>
            <w:tcW w:w="975" w:type="dxa"/>
            <w:tcMar>
              <w:top w:w="60" w:type="dxa"/>
              <w:left w:w="120" w:type="dxa"/>
              <w:bottom w:w="30" w:type="dxa"/>
              <w:right w:w="120" w:type="dxa"/>
            </w:tcMar>
          </w:tcPr>
          <w:p w14:paraId="3418D653">
            <w:pPr>
              <w:spacing w:before="120" w:after="120" w:line="288" w:lineRule="auto"/>
              <w:ind w:left="0"/>
              <w:jc w:val="left"/>
            </w:pPr>
            <w:r>
              <w:rPr>
                <w:rFonts w:ascii="Arial" w:hAnsi="Arial" w:eastAsia="等线" w:cs="Arial"/>
                <w:sz w:val="22"/>
              </w:rPr>
              <w:t>清算优先级</w:t>
            </w:r>
          </w:p>
        </w:tc>
        <w:tc>
          <w:tcPr>
            <w:tcW w:w="3000" w:type="dxa"/>
            <w:tcMar>
              <w:top w:w="60" w:type="dxa"/>
              <w:left w:w="120" w:type="dxa"/>
              <w:bottom w:w="30" w:type="dxa"/>
              <w:right w:w="120" w:type="dxa"/>
            </w:tcMar>
          </w:tcPr>
          <w:p w14:paraId="3901430D">
            <w:pPr>
              <w:spacing w:before="120" w:after="120" w:line="288" w:lineRule="auto"/>
              <w:ind w:left="0"/>
              <w:jc w:val="left"/>
            </w:pPr>
            <w:r>
              <w:rPr>
                <w:rFonts w:ascii="Arial" w:hAnsi="Arial" w:eastAsia="等线" w:cs="Arial"/>
                <w:sz w:val="22"/>
              </w:rPr>
              <w:t>未支付工资（Unpaid workers）→美国国税局（IRS）→有担保债权人（Secured creditors）→普通债权人（General creditors）→次级债券持有人（Subordinated debenture holders）→优先股股东（Preferred stockholders）→普通股股东（Common stockholders）</w:t>
            </w:r>
          </w:p>
        </w:tc>
        <w:tc>
          <w:tcPr>
            <w:tcW w:w="2550" w:type="dxa"/>
            <w:tcMar>
              <w:top w:w="60" w:type="dxa"/>
              <w:left w:w="120" w:type="dxa"/>
              <w:bottom w:w="30" w:type="dxa"/>
              <w:right w:w="120" w:type="dxa"/>
            </w:tcMar>
          </w:tcPr>
          <w:p w14:paraId="0D47CCC7">
            <w:pPr>
              <w:spacing w:before="120" w:after="120" w:line="288" w:lineRule="auto"/>
              <w:ind w:left="0"/>
              <w:jc w:val="left"/>
            </w:pPr>
            <w:r>
              <w:rPr>
                <w:rFonts w:ascii="Arial" w:hAnsi="Arial" w:eastAsia="等线" w:cs="Arial"/>
                <w:sz w:val="22"/>
              </w:rPr>
              <w:t>1. Common stockholders: residual claimants (普通股为剩余索取者)</w:t>
            </w:r>
          </w:p>
          <w:p w14:paraId="1A3D318C">
            <w:pPr>
              <w:spacing w:before="120" w:after="120" w:line="288" w:lineRule="auto"/>
              <w:ind w:left="0"/>
              <w:jc w:val="left"/>
            </w:pPr>
            <w:r>
              <w:rPr>
                <w:rFonts w:ascii="Arial" w:hAnsi="Arial" w:eastAsia="等线" w:cs="Arial"/>
                <w:sz w:val="22"/>
              </w:rPr>
              <w:t>2. Preferred priority over common (优先股优先于普通股)</w:t>
            </w:r>
          </w:p>
        </w:tc>
      </w:tr>
      <w:tr w14:paraId="7BAC03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7DAFD277">
            <w:pPr>
              <w:spacing w:before="120" w:after="120" w:line="288" w:lineRule="auto"/>
              <w:ind w:left="0"/>
              <w:jc w:val="left"/>
            </w:pPr>
            <w:r>
              <w:rPr>
                <w:rFonts w:ascii="Arial" w:hAnsi="Arial" w:eastAsia="等线" w:cs="Arial"/>
                <w:sz w:val="22"/>
              </w:rPr>
              <w:t>Dividend Payment Order</w:t>
            </w:r>
          </w:p>
          <w:p w14:paraId="57AB39DC">
            <w:pPr>
              <w:spacing w:before="120" w:after="120" w:line="288" w:lineRule="auto"/>
              <w:ind w:left="0"/>
              <w:jc w:val="left"/>
            </w:pPr>
          </w:p>
        </w:tc>
        <w:tc>
          <w:tcPr>
            <w:tcW w:w="975" w:type="dxa"/>
            <w:tcMar>
              <w:top w:w="60" w:type="dxa"/>
              <w:left w:w="120" w:type="dxa"/>
              <w:bottom w:w="30" w:type="dxa"/>
              <w:right w:w="120" w:type="dxa"/>
            </w:tcMar>
          </w:tcPr>
          <w:p w14:paraId="790DAF21">
            <w:pPr>
              <w:spacing w:before="120" w:after="120" w:line="288" w:lineRule="auto"/>
              <w:ind w:left="0"/>
              <w:jc w:val="left"/>
            </w:pPr>
            <w:r>
              <w:rPr>
                <w:rFonts w:ascii="Arial" w:hAnsi="Arial" w:eastAsia="等线" w:cs="Arial"/>
                <w:sz w:val="22"/>
              </w:rPr>
              <w:t>股息支付顺序</w:t>
            </w:r>
          </w:p>
        </w:tc>
        <w:tc>
          <w:tcPr>
            <w:tcW w:w="3000" w:type="dxa"/>
            <w:tcMar>
              <w:top w:w="60" w:type="dxa"/>
              <w:left w:w="120" w:type="dxa"/>
              <w:bottom w:w="30" w:type="dxa"/>
              <w:right w:w="120" w:type="dxa"/>
            </w:tcMar>
          </w:tcPr>
          <w:p w14:paraId="50B701C8">
            <w:pPr>
              <w:spacing w:before="120" w:after="120" w:line="288" w:lineRule="auto"/>
              <w:ind w:left="0"/>
              <w:jc w:val="left"/>
            </w:pPr>
            <w:r>
              <w:rPr>
                <w:rFonts w:ascii="Arial" w:hAnsi="Arial" w:eastAsia="等线" w:cs="Arial"/>
                <w:sz w:val="22"/>
              </w:rPr>
              <w:t>Preferred dividends (累积欠付+当年) → Common dividends (普通股股息)</w:t>
            </w:r>
          </w:p>
        </w:tc>
        <w:tc>
          <w:tcPr>
            <w:tcW w:w="2550" w:type="dxa"/>
            <w:tcMar>
              <w:top w:w="60" w:type="dxa"/>
              <w:left w:w="120" w:type="dxa"/>
              <w:bottom w:w="30" w:type="dxa"/>
              <w:right w:w="120" w:type="dxa"/>
            </w:tcMar>
          </w:tcPr>
          <w:p w14:paraId="69070D58">
            <w:pPr>
              <w:spacing w:before="120" w:after="120" w:line="288" w:lineRule="auto"/>
              <w:ind w:left="0"/>
              <w:jc w:val="left"/>
            </w:pPr>
            <w:r>
              <w:rPr>
                <w:rFonts w:ascii="Arial" w:hAnsi="Arial" w:eastAsia="等线" w:cs="Arial"/>
                <w:sz w:val="22"/>
              </w:rPr>
              <w:t>Cumulative preferred: arrears must be paid first (累积优先股需先补发欠付)</w:t>
            </w:r>
          </w:p>
        </w:tc>
      </w:tr>
      <w:tr w14:paraId="59C6B7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01CA1AA8">
            <w:pPr>
              <w:spacing w:before="120" w:after="120" w:line="288" w:lineRule="auto"/>
              <w:ind w:left="0"/>
              <w:jc w:val="left"/>
            </w:pPr>
            <w:r>
              <w:rPr>
                <w:rFonts w:ascii="Arial" w:hAnsi="Arial" w:eastAsia="等线" w:cs="Arial"/>
                <w:sz w:val="22"/>
              </w:rPr>
              <w:t>Voting Rights</w:t>
            </w:r>
          </w:p>
          <w:p w14:paraId="227FFE62">
            <w:pPr>
              <w:spacing w:before="120" w:after="120" w:line="288" w:lineRule="auto"/>
              <w:ind w:left="0"/>
              <w:jc w:val="left"/>
            </w:pPr>
          </w:p>
        </w:tc>
        <w:tc>
          <w:tcPr>
            <w:tcW w:w="975" w:type="dxa"/>
            <w:tcMar>
              <w:top w:w="60" w:type="dxa"/>
              <w:left w:w="120" w:type="dxa"/>
              <w:bottom w:w="30" w:type="dxa"/>
              <w:right w:w="120" w:type="dxa"/>
            </w:tcMar>
          </w:tcPr>
          <w:p w14:paraId="403FDA98">
            <w:pPr>
              <w:spacing w:before="120" w:after="120" w:line="288" w:lineRule="auto"/>
              <w:ind w:left="0"/>
              <w:jc w:val="left"/>
            </w:pPr>
            <w:r>
              <w:rPr>
                <w:rFonts w:ascii="Arial" w:hAnsi="Arial" w:eastAsia="等线" w:cs="Arial"/>
                <w:sz w:val="22"/>
              </w:rPr>
              <w:t>投票权</w:t>
            </w:r>
          </w:p>
          <w:p w14:paraId="1E2CC1E0">
            <w:pPr>
              <w:spacing w:before="120" w:after="120" w:line="288" w:lineRule="auto"/>
              <w:ind w:left="0"/>
              <w:jc w:val="left"/>
            </w:pPr>
          </w:p>
        </w:tc>
        <w:tc>
          <w:tcPr>
            <w:tcW w:w="3000" w:type="dxa"/>
            <w:tcMar>
              <w:top w:w="60" w:type="dxa"/>
              <w:left w:w="120" w:type="dxa"/>
              <w:bottom w:w="30" w:type="dxa"/>
              <w:right w:w="120" w:type="dxa"/>
            </w:tcMar>
          </w:tcPr>
          <w:p w14:paraId="6AF99086">
            <w:pPr>
              <w:spacing w:before="120" w:after="120" w:line="288" w:lineRule="auto"/>
              <w:ind w:left="0"/>
              <w:jc w:val="left"/>
            </w:pPr>
            <w:r>
              <w:rPr>
                <w:rFonts w:ascii="Arial" w:hAnsi="Arial" w:eastAsia="等线" w:cs="Arial"/>
                <w:sz w:val="22"/>
              </w:rPr>
              <w:t>1. Common: full rights (普通股完整投票权)</w:t>
            </w:r>
          </w:p>
          <w:p w14:paraId="2295A094">
            <w:pPr>
              <w:spacing w:before="120" w:after="120" w:line="288" w:lineRule="auto"/>
              <w:ind w:left="0"/>
              <w:jc w:val="left"/>
            </w:pPr>
            <w:r>
              <w:rPr>
                <w:rFonts w:ascii="Arial" w:hAnsi="Arial" w:eastAsia="等线" w:cs="Arial"/>
                <w:sz w:val="22"/>
              </w:rPr>
              <w:t>2. Preferred: no rights (优先股默认无)</w:t>
            </w:r>
          </w:p>
        </w:tc>
        <w:tc>
          <w:tcPr>
            <w:tcW w:w="2550" w:type="dxa"/>
            <w:tcMar>
              <w:top w:w="60" w:type="dxa"/>
              <w:left w:w="120" w:type="dxa"/>
              <w:bottom w:w="30" w:type="dxa"/>
              <w:right w:w="120" w:type="dxa"/>
            </w:tcMar>
          </w:tcPr>
          <w:p w14:paraId="5B4AB9A4">
            <w:pPr>
              <w:spacing w:before="120" w:after="120" w:line="288" w:lineRule="auto"/>
              <w:ind w:left="0"/>
              <w:jc w:val="left"/>
            </w:pPr>
            <w:r>
              <w:rPr>
                <w:rFonts w:ascii="Arial" w:hAnsi="Arial" w:eastAsia="等线" w:cs="Arial"/>
                <w:sz w:val="22"/>
              </w:rPr>
              <w:t>Cumulative voting benefits minority shareholders (累积投票利好小股东)</w:t>
            </w:r>
          </w:p>
        </w:tc>
      </w:tr>
    </w:tbl>
    <w:p w14:paraId="28220ED5">
      <w:pPr>
        <w:spacing w:before="320" w:after="120" w:line="288" w:lineRule="auto"/>
        <w:ind w:left="0"/>
        <w:jc w:val="left"/>
        <w:outlineLvl w:val="1"/>
      </w:pPr>
      <w:bookmarkStart w:id="31" w:name="heading_31"/>
      <w:r>
        <w:rPr>
          <w:rFonts w:ascii="Arial" w:hAnsi="Arial" w:eastAsia="等线" w:cs="Arial"/>
          <w:color w:val="3370FF"/>
          <w:sz w:val="32"/>
        </w:rPr>
        <w:t xml:space="preserve">3.4 </w:t>
      </w:r>
      <w:r>
        <w:rPr>
          <w:rFonts w:ascii="Arial" w:hAnsi="Arial" w:eastAsia="等线" w:cs="Arial"/>
          <w:b/>
          <w:sz w:val="32"/>
        </w:rPr>
        <w:t>Key Calculations (核心计算公式)</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15"/>
        <w:gridCol w:w="1260"/>
        <w:gridCol w:w="2055"/>
        <w:gridCol w:w="3135"/>
      </w:tblGrid>
      <w:tr w14:paraId="127EEE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023D0155">
            <w:pPr>
              <w:spacing w:before="120" w:after="120" w:line="288" w:lineRule="auto"/>
              <w:ind w:left="0"/>
              <w:jc w:val="left"/>
            </w:pPr>
            <w:r>
              <w:rPr>
                <w:rFonts w:ascii="Arial" w:hAnsi="Arial" w:eastAsia="等线" w:cs="Arial"/>
                <w:b/>
                <w:sz w:val="22"/>
              </w:rPr>
              <w:t>英文</w:t>
            </w:r>
          </w:p>
        </w:tc>
        <w:tc>
          <w:tcPr>
            <w:tcW w:w="1260" w:type="dxa"/>
            <w:tcMar>
              <w:top w:w="60" w:type="dxa"/>
              <w:left w:w="120" w:type="dxa"/>
              <w:bottom w:w="30" w:type="dxa"/>
              <w:right w:w="120" w:type="dxa"/>
            </w:tcMar>
          </w:tcPr>
          <w:p w14:paraId="4B1033F3">
            <w:pPr>
              <w:spacing w:before="120" w:after="120" w:line="288" w:lineRule="auto"/>
              <w:ind w:left="0"/>
              <w:jc w:val="left"/>
            </w:pPr>
            <w:r>
              <w:rPr>
                <w:rFonts w:ascii="Arial" w:hAnsi="Arial" w:eastAsia="等线" w:cs="Arial"/>
                <w:b/>
                <w:sz w:val="22"/>
              </w:rPr>
              <w:t>中文</w:t>
            </w:r>
          </w:p>
        </w:tc>
        <w:tc>
          <w:tcPr>
            <w:tcW w:w="2055" w:type="dxa"/>
            <w:tcMar>
              <w:top w:w="60" w:type="dxa"/>
              <w:left w:w="120" w:type="dxa"/>
              <w:bottom w:w="30" w:type="dxa"/>
              <w:right w:w="120" w:type="dxa"/>
            </w:tcMar>
          </w:tcPr>
          <w:p w14:paraId="21E664A0">
            <w:pPr>
              <w:spacing w:before="120" w:after="120" w:line="288" w:lineRule="auto"/>
              <w:ind w:left="0"/>
              <w:jc w:val="left"/>
            </w:pPr>
            <w:r>
              <w:rPr>
                <w:rFonts w:ascii="Arial" w:hAnsi="Arial" w:eastAsia="等线" w:cs="Arial"/>
                <w:b/>
                <w:sz w:val="22"/>
              </w:rPr>
              <w:t>Formula (公式)</w:t>
            </w:r>
          </w:p>
        </w:tc>
        <w:tc>
          <w:tcPr>
            <w:tcW w:w="3135" w:type="dxa"/>
            <w:tcMar>
              <w:top w:w="60" w:type="dxa"/>
              <w:left w:w="120" w:type="dxa"/>
              <w:bottom w:w="30" w:type="dxa"/>
              <w:right w:w="120" w:type="dxa"/>
            </w:tcMar>
          </w:tcPr>
          <w:p w14:paraId="08CC85F0">
            <w:pPr>
              <w:spacing w:before="120" w:after="120" w:line="288" w:lineRule="auto"/>
              <w:ind w:left="0"/>
              <w:jc w:val="left"/>
            </w:pPr>
            <w:r>
              <w:rPr>
                <w:rFonts w:ascii="Arial" w:hAnsi="Arial" w:eastAsia="等线" w:cs="Arial"/>
                <w:b/>
                <w:sz w:val="22"/>
              </w:rPr>
              <w:t>Example (示例)</w:t>
            </w:r>
          </w:p>
        </w:tc>
      </w:tr>
      <w:tr w14:paraId="4BA225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2454F3B4">
            <w:pPr>
              <w:spacing w:before="120" w:after="120" w:line="288" w:lineRule="auto"/>
              <w:ind w:left="0"/>
              <w:jc w:val="left"/>
            </w:pPr>
            <w:r>
              <w:rPr>
                <w:rFonts w:ascii="Arial" w:hAnsi="Arial" w:eastAsia="等线" w:cs="Arial"/>
                <w:sz w:val="22"/>
              </w:rPr>
              <w:t>Outstanding Shares</w:t>
            </w:r>
          </w:p>
          <w:p w14:paraId="75F96498">
            <w:pPr>
              <w:spacing w:before="120" w:after="120" w:line="288" w:lineRule="auto"/>
              <w:ind w:left="0"/>
              <w:jc w:val="left"/>
            </w:pPr>
          </w:p>
        </w:tc>
        <w:tc>
          <w:tcPr>
            <w:tcW w:w="1260" w:type="dxa"/>
            <w:tcMar>
              <w:top w:w="60" w:type="dxa"/>
              <w:left w:w="120" w:type="dxa"/>
              <w:bottom w:w="30" w:type="dxa"/>
              <w:right w:w="120" w:type="dxa"/>
            </w:tcMar>
          </w:tcPr>
          <w:p w14:paraId="217192E9">
            <w:pPr>
              <w:spacing w:before="120" w:after="120" w:line="288" w:lineRule="auto"/>
              <w:ind w:left="0"/>
              <w:jc w:val="left"/>
            </w:pPr>
            <w:r>
              <w:rPr>
                <w:rFonts w:ascii="Arial" w:hAnsi="Arial" w:eastAsia="等线" w:cs="Arial"/>
                <w:sz w:val="22"/>
              </w:rPr>
              <w:t>流通股</w:t>
            </w:r>
          </w:p>
          <w:p w14:paraId="40093EC2">
            <w:pPr>
              <w:spacing w:before="120" w:after="120" w:line="288" w:lineRule="auto"/>
              <w:ind w:left="0"/>
              <w:jc w:val="left"/>
            </w:pPr>
          </w:p>
        </w:tc>
        <w:tc>
          <w:tcPr>
            <w:tcW w:w="2055" w:type="dxa"/>
            <w:tcMar>
              <w:top w:w="60" w:type="dxa"/>
              <w:left w:w="120" w:type="dxa"/>
              <w:bottom w:w="30" w:type="dxa"/>
              <w:right w:w="120" w:type="dxa"/>
            </w:tcMar>
          </w:tcPr>
          <w:p w14:paraId="0203EB76">
            <w:pPr>
              <w:spacing w:before="120" w:after="120" w:line="288" w:lineRule="auto"/>
              <w:ind w:left="0"/>
              <w:jc w:val="left"/>
            </w:pPr>
            <w:r>
              <w:rPr>
                <w:rFonts w:ascii="Arial" w:hAnsi="Arial" w:eastAsia="等线" w:cs="Arial"/>
                <w:sz w:val="22"/>
              </w:rPr>
              <w:t>Outstanding = Issued Shares - Treasury Stock</w:t>
            </w:r>
          </w:p>
        </w:tc>
        <w:tc>
          <w:tcPr>
            <w:tcW w:w="3135" w:type="dxa"/>
            <w:tcMar>
              <w:top w:w="60" w:type="dxa"/>
              <w:left w:w="120" w:type="dxa"/>
              <w:bottom w:w="30" w:type="dxa"/>
              <w:right w:w="120" w:type="dxa"/>
            </w:tcMar>
          </w:tcPr>
          <w:p w14:paraId="40E1435C">
            <w:pPr>
              <w:spacing w:before="120" w:after="120" w:line="288" w:lineRule="auto"/>
              <w:ind w:left="0"/>
              <w:jc w:val="left"/>
            </w:pPr>
            <w:r>
              <w:rPr>
                <w:rFonts w:ascii="Arial" w:hAnsi="Arial" w:eastAsia="等线" w:cs="Arial"/>
                <w:sz w:val="22"/>
              </w:rPr>
              <w:t>Issued=15M, Treasury=1.5M → Outstanding=13.5M</w:t>
            </w:r>
          </w:p>
        </w:tc>
      </w:tr>
      <w:tr w14:paraId="2AD2CD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09E44719">
            <w:pPr>
              <w:spacing w:before="120" w:after="120" w:line="288" w:lineRule="auto"/>
              <w:ind w:left="0"/>
              <w:jc w:val="left"/>
            </w:pPr>
            <w:r>
              <w:rPr>
                <w:rFonts w:ascii="Arial" w:hAnsi="Arial" w:eastAsia="等线" w:cs="Arial"/>
                <w:sz w:val="22"/>
              </w:rPr>
              <w:t>Stock Split - Post-Split Shares</w:t>
            </w:r>
          </w:p>
        </w:tc>
        <w:tc>
          <w:tcPr>
            <w:tcW w:w="1260" w:type="dxa"/>
            <w:tcMar>
              <w:top w:w="60" w:type="dxa"/>
              <w:left w:w="120" w:type="dxa"/>
              <w:bottom w:w="30" w:type="dxa"/>
              <w:right w:w="120" w:type="dxa"/>
            </w:tcMar>
          </w:tcPr>
          <w:p w14:paraId="2AC71D68">
            <w:pPr>
              <w:spacing w:before="120" w:after="120" w:line="288" w:lineRule="auto"/>
              <w:ind w:left="0"/>
              <w:jc w:val="left"/>
            </w:pPr>
            <w:r>
              <w:rPr>
                <w:rFonts w:ascii="Arial" w:hAnsi="Arial" w:eastAsia="等线" w:cs="Arial"/>
                <w:sz w:val="22"/>
              </w:rPr>
              <w:t>股票分割后持股数量</w:t>
            </w:r>
          </w:p>
        </w:tc>
        <w:tc>
          <w:tcPr>
            <w:tcW w:w="2055" w:type="dxa"/>
            <w:tcMar>
              <w:top w:w="60" w:type="dxa"/>
              <w:left w:w="120" w:type="dxa"/>
              <w:bottom w:w="30" w:type="dxa"/>
              <w:right w:w="120" w:type="dxa"/>
            </w:tcMar>
          </w:tcPr>
          <w:p w14:paraId="5D79A7A5">
            <w:pPr>
              <w:spacing w:before="120" w:after="120" w:line="288" w:lineRule="auto"/>
              <w:ind w:left="0"/>
              <w:jc w:val="left"/>
            </w:pPr>
            <w:r>
              <w:rPr>
                <w:rFonts w:ascii="Arial" w:hAnsi="Arial" w:eastAsia="等线" w:cs="Arial"/>
                <w:sz w:val="22"/>
              </w:rPr>
              <w:t>Post-Split Shares = Original Shares × (New Shares/Old Shares)</w:t>
            </w:r>
          </w:p>
        </w:tc>
        <w:tc>
          <w:tcPr>
            <w:tcW w:w="3135" w:type="dxa"/>
            <w:tcMar>
              <w:top w:w="60" w:type="dxa"/>
              <w:left w:w="120" w:type="dxa"/>
              <w:bottom w:w="30" w:type="dxa"/>
              <w:right w:w="120" w:type="dxa"/>
            </w:tcMar>
          </w:tcPr>
          <w:p w14:paraId="0BFDBCA6">
            <w:pPr>
              <w:spacing w:before="120" w:after="120" w:line="288" w:lineRule="auto"/>
              <w:ind w:left="0"/>
              <w:jc w:val="left"/>
            </w:pPr>
            <w:r>
              <w:rPr>
                <w:rFonts w:ascii="Arial" w:hAnsi="Arial" w:eastAsia="等线" w:cs="Arial"/>
                <w:sz w:val="22"/>
              </w:rPr>
              <w:t>1,200 shares, 3-for-1 split → 1,200×(3/1)=3,600 shares</w:t>
            </w:r>
          </w:p>
        </w:tc>
      </w:tr>
      <w:tr w14:paraId="39053A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418F4EEA">
            <w:pPr>
              <w:spacing w:before="120" w:after="120" w:line="288" w:lineRule="auto"/>
              <w:ind w:left="0"/>
              <w:jc w:val="left"/>
            </w:pPr>
            <w:r>
              <w:rPr>
                <w:rFonts w:ascii="Arial" w:hAnsi="Arial" w:eastAsia="等线" w:cs="Arial"/>
                <w:sz w:val="22"/>
              </w:rPr>
              <w:t>Stock Split - Post-Split Price</w:t>
            </w:r>
          </w:p>
        </w:tc>
        <w:tc>
          <w:tcPr>
            <w:tcW w:w="1260" w:type="dxa"/>
            <w:tcMar>
              <w:top w:w="60" w:type="dxa"/>
              <w:left w:w="120" w:type="dxa"/>
              <w:bottom w:w="30" w:type="dxa"/>
              <w:right w:w="120" w:type="dxa"/>
            </w:tcMar>
          </w:tcPr>
          <w:p w14:paraId="70C4CC94">
            <w:pPr>
              <w:spacing w:before="120" w:after="120" w:line="288" w:lineRule="auto"/>
              <w:ind w:left="0"/>
              <w:jc w:val="left"/>
            </w:pPr>
            <w:r>
              <w:rPr>
                <w:rFonts w:ascii="Arial" w:hAnsi="Arial" w:eastAsia="等线" w:cs="Arial"/>
                <w:sz w:val="22"/>
              </w:rPr>
              <w:t>股票分割后股价</w:t>
            </w:r>
          </w:p>
        </w:tc>
        <w:tc>
          <w:tcPr>
            <w:tcW w:w="2055" w:type="dxa"/>
            <w:tcMar>
              <w:top w:w="60" w:type="dxa"/>
              <w:left w:w="120" w:type="dxa"/>
              <w:bottom w:w="30" w:type="dxa"/>
              <w:right w:w="120" w:type="dxa"/>
            </w:tcMar>
          </w:tcPr>
          <w:p w14:paraId="174DA17B">
            <w:pPr>
              <w:spacing w:before="120" w:after="120" w:line="288" w:lineRule="auto"/>
              <w:ind w:left="0"/>
              <w:jc w:val="left"/>
            </w:pPr>
            <w:r>
              <w:rPr>
                <w:rFonts w:ascii="Arial" w:hAnsi="Arial" w:eastAsia="等线" w:cs="Arial"/>
                <w:sz w:val="22"/>
              </w:rPr>
              <w:t>Post-Split Price = Original Price × (Old Shares/New Shares)</w:t>
            </w:r>
          </w:p>
        </w:tc>
        <w:tc>
          <w:tcPr>
            <w:tcW w:w="3135" w:type="dxa"/>
            <w:tcMar>
              <w:top w:w="60" w:type="dxa"/>
              <w:left w:w="120" w:type="dxa"/>
              <w:bottom w:w="30" w:type="dxa"/>
              <w:right w:w="120" w:type="dxa"/>
            </w:tcMar>
          </w:tcPr>
          <w:p w14:paraId="0FB4F69D">
            <w:pPr>
              <w:spacing w:before="120" w:after="120" w:line="288" w:lineRule="auto"/>
              <w:ind w:left="0"/>
              <w:jc w:val="left"/>
            </w:pPr>
            <w:r>
              <w:rPr>
                <w:rFonts w:ascii="Arial" w:hAnsi="Arial" w:eastAsia="等线" w:cs="Arial"/>
                <w:sz w:val="22"/>
              </w:rPr>
              <w:t>$90 price, 3-for-1 split → $90×(1/3)=$30</w:t>
            </w:r>
          </w:p>
        </w:tc>
      </w:tr>
      <w:tr w14:paraId="3C8F0B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00B101F4">
            <w:pPr>
              <w:spacing w:before="120" w:after="120" w:line="288" w:lineRule="auto"/>
              <w:ind w:left="0"/>
              <w:jc w:val="left"/>
            </w:pPr>
            <w:r>
              <w:rPr>
                <w:rFonts w:ascii="Arial" w:hAnsi="Arial" w:eastAsia="等线" w:cs="Arial"/>
                <w:sz w:val="22"/>
              </w:rPr>
              <w:t>Stock Dividend Shares</w:t>
            </w:r>
          </w:p>
          <w:p w14:paraId="63F33109">
            <w:pPr>
              <w:spacing w:before="120" w:after="120" w:line="288" w:lineRule="auto"/>
              <w:ind w:left="0"/>
              <w:jc w:val="left"/>
            </w:pPr>
          </w:p>
        </w:tc>
        <w:tc>
          <w:tcPr>
            <w:tcW w:w="1260" w:type="dxa"/>
            <w:tcMar>
              <w:top w:w="60" w:type="dxa"/>
              <w:left w:w="120" w:type="dxa"/>
              <w:bottom w:w="30" w:type="dxa"/>
              <w:right w:w="120" w:type="dxa"/>
            </w:tcMar>
          </w:tcPr>
          <w:p w14:paraId="3A883D90">
            <w:pPr>
              <w:spacing w:before="120" w:after="120" w:line="288" w:lineRule="auto"/>
              <w:ind w:left="0"/>
              <w:jc w:val="left"/>
            </w:pPr>
            <w:r>
              <w:rPr>
                <w:rFonts w:ascii="Arial" w:hAnsi="Arial" w:eastAsia="等线" w:cs="Arial"/>
                <w:sz w:val="22"/>
              </w:rPr>
              <w:t>股票股息后股数</w:t>
            </w:r>
          </w:p>
        </w:tc>
        <w:tc>
          <w:tcPr>
            <w:tcW w:w="2055" w:type="dxa"/>
            <w:tcMar>
              <w:top w:w="60" w:type="dxa"/>
              <w:left w:w="120" w:type="dxa"/>
              <w:bottom w:w="30" w:type="dxa"/>
              <w:right w:w="120" w:type="dxa"/>
            </w:tcMar>
          </w:tcPr>
          <w:p w14:paraId="3EF04188">
            <w:pPr>
              <w:spacing w:before="120" w:after="120" w:line="288" w:lineRule="auto"/>
              <w:ind w:left="0"/>
              <w:jc w:val="left"/>
            </w:pPr>
            <w:r>
              <w:rPr>
                <w:rFonts w:ascii="Arial" w:hAnsi="Arial" w:eastAsia="等线" w:cs="Arial"/>
                <w:sz w:val="22"/>
              </w:rPr>
              <w:t>Post-dividend Shares = Original × (1 + Dividend %)</w:t>
            </w:r>
          </w:p>
        </w:tc>
        <w:tc>
          <w:tcPr>
            <w:tcW w:w="3135" w:type="dxa"/>
            <w:tcMar>
              <w:top w:w="60" w:type="dxa"/>
              <w:left w:w="120" w:type="dxa"/>
              <w:bottom w:w="30" w:type="dxa"/>
              <w:right w:w="120" w:type="dxa"/>
            </w:tcMar>
          </w:tcPr>
          <w:p w14:paraId="333D643F">
            <w:pPr>
              <w:spacing w:before="120" w:after="120" w:line="288" w:lineRule="auto"/>
              <w:ind w:left="0"/>
              <w:jc w:val="left"/>
            </w:pPr>
            <w:r>
              <w:rPr>
                <w:rFonts w:ascii="Arial" w:hAnsi="Arial" w:eastAsia="等线" w:cs="Arial"/>
                <w:sz w:val="22"/>
              </w:rPr>
              <w:t>400 shares, 10% dividend → 440 shares</w:t>
            </w:r>
          </w:p>
        </w:tc>
      </w:tr>
      <w:tr w14:paraId="04A18E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56FC8634">
            <w:pPr>
              <w:spacing w:before="120" w:after="120" w:line="288" w:lineRule="auto"/>
              <w:ind w:left="0"/>
              <w:jc w:val="left"/>
            </w:pPr>
            <w:r>
              <w:rPr>
                <w:rFonts w:ascii="Arial" w:hAnsi="Arial" w:eastAsia="等线" w:cs="Arial"/>
                <w:sz w:val="22"/>
              </w:rPr>
              <w:t>Stock Dividend - Adjusted Price</w:t>
            </w:r>
          </w:p>
        </w:tc>
        <w:tc>
          <w:tcPr>
            <w:tcW w:w="1260" w:type="dxa"/>
            <w:tcMar>
              <w:top w:w="60" w:type="dxa"/>
              <w:left w:w="120" w:type="dxa"/>
              <w:bottom w:w="30" w:type="dxa"/>
              <w:right w:w="120" w:type="dxa"/>
            </w:tcMar>
          </w:tcPr>
          <w:p w14:paraId="2AC6A1B6">
            <w:pPr>
              <w:spacing w:before="120" w:after="120" w:line="288" w:lineRule="auto"/>
              <w:ind w:left="0"/>
              <w:jc w:val="left"/>
            </w:pPr>
            <w:r>
              <w:rPr>
                <w:rFonts w:ascii="Arial" w:hAnsi="Arial" w:eastAsia="等线" w:cs="Arial"/>
                <w:sz w:val="22"/>
              </w:rPr>
              <w:t>股票股息后调整股价</w:t>
            </w:r>
          </w:p>
          <w:p w14:paraId="7D135966">
            <w:pPr>
              <w:spacing w:before="120" w:after="120" w:line="288" w:lineRule="auto"/>
              <w:ind w:left="0"/>
              <w:jc w:val="left"/>
            </w:pPr>
          </w:p>
        </w:tc>
        <w:tc>
          <w:tcPr>
            <w:tcW w:w="2055" w:type="dxa"/>
            <w:tcMar>
              <w:top w:w="60" w:type="dxa"/>
              <w:left w:w="120" w:type="dxa"/>
              <w:bottom w:w="30" w:type="dxa"/>
              <w:right w:w="120" w:type="dxa"/>
            </w:tcMar>
          </w:tcPr>
          <w:p w14:paraId="62306528">
            <w:pPr>
              <w:spacing w:before="120" w:after="120" w:line="288" w:lineRule="auto"/>
              <w:ind w:left="0"/>
              <w:jc w:val="left"/>
            </w:pPr>
            <w:r>
              <w:rPr>
                <w:rFonts w:ascii="Arial" w:hAnsi="Arial" w:eastAsia="等线" w:cs="Arial"/>
                <w:sz w:val="22"/>
              </w:rPr>
              <w:t>Adjusted Price = (Original Price × Original Shares) ÷ Post-Dividend Shares</w:t>
            </w:r>
          </w:p>
          <w:p w14:paraId="151EC87E">
            <w:pPr>
              <w:spacing w:before="120" w:after="120" w:line="288" w:lineRule="auto"/>
              <w:ind w:left="0"/>
              <w:jc w:val="left"/>
            </w:pPr>
          </w:p>
        </w:tc>
        <w:tc>
          <w:tcPr>
            <w:tcW w:w="3135" w:type="dxa"/>
            <w:tcMar>
              <w:top w:w="60" w:type="dxa"/>
              <w:left w:w="120" w:type="dxa"/>
              <w:bottom w:w="30" w:type="dxa"/>
              <w:right w:w="120" w:type="dxa"/>
            </w:tcMar>
          </w:tcPr>
          <w:p w14:paraId="1FBF793B">
            <w:pPr>
              <w:spacing w:before="120" w:after="120" w:line="288" w:lineRule="auto"/>
              <w:ind w:left="0"/>
              <w:jc w:val="left"/>
            </w:pPr>
            <w:r>
              <w:rPr>
                <w:rFonts w:ascii="Arial" w:hAnsi="Arial" w:eastAsia="等线" w:cs="Arial"/>
                <w:sz w:val="22"/>
              </w:rPr>
              <w:t>JKL common stock trades at $33 before a 10% stock dividend (400 shares → 440 shares).</w:t>
            </w:r>
          </w:p>
          <w:p w14:paraId="1463977D">
            <w:pPr>
              <w:spacing w:before="120" w:after="120" w:line="288" w:lineRule="auto"/>
              <w:ind w:left="0"/>
              <w:jc w:val="left"/>
            </w:pPr>
            <w:r>
              <w:rPr>
                <w:rFonts w:ascii="Arial" w:hAnsi="Arial" w:eastAsia="等线" w:cs="Arial"/>
                <w:sz w:val="22"/>
              </w:rPr>
              <w:t>Total market value before dividend = 400 × $33 = $13,200</w:t>
            </w:r>
          </w:p>
          <w:p w14:paraId="1E5C0D80">
            <w:pPr>
              <w:spacing w:before="120" w:after="120" w:line="288" w:lineRule="auto"/>
              <w:ind w:left="0"/>
              <w:jc w:val="left"/>
            </w:pPr>
            <w:r>
              <w:rPr>
                <w:rFonts w:ascii="Arial" w:hAnsi="Arial" w:eastAsia="等线" w:cs="Arial"/>
                <w:sz w:val="22"/>
              </w:rPr>
              <w:t>Adjusted Price = $13,200 ÷ 440 = $30</w:t>
            </w:r>
          </w:p>
          <w:p w14:paraId="3E49BDDD">
            <w:pPr>
              <w:spacing w:before="120" w:after="120" w:line="288" w:lineRule="auto"/>
              <w:ind w:left="0"/>
              <w:jc w:val="left"/>
            </w:pPr>
          </w:p>
        </w:tc>
      </w:tr>
      <w:tr w14:paraId="7009A7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6ED4BA7B">
            <w:pPr>
              <w:spacing w:before="120" w:after="120" w:line="288" w:lineRule="auto"/>
              <w:ind w:left="0"/>
              <w:jc w:val="left"/>
            </w:pPr>
            <w:r>
              <w:rPr>
                <w:rFonts w:ascii="Arial" w:hAnsi="Arial" w:eastAsia="等线" w:cs="Arial"/>
                <w:sz w:val="22"/>
              </w:rPr>
              <w:t>Ex-Dividend Date Price</w:t>
            </w:r>
          </w:p>
        </w:tc>
        <w:tc>
          <w:tcPr>
            <w:tcW w:w="1260" w:type="dxa"/>
            <w:tcMar>
              <w:top w:w="60" w:type="dxa"/>
              <w:left w:w="120" w:type="dxa"/>
              <w:bottom w:w="30" w:type="dxa"/>
              <w:right w:w="120" w:type="dxa"/>
            </w:tcMar>
          </w:tcPr>
          <w:p w14:paraId="4C0ECB5B">
            <w:pPr>
              <w:spacing w:before="120" w:after="120" w:line="288" w:lineRule="auto"/>
              <w:ind w:left="0"/>
              <w:jc w:val="left"/>
            </w:pPr>
            <w:r>
              <w:rPr>
                <w:rFonts w:ascii="Arial" w:hAnsi="Arial" w:eastAsia="等线" w:cs="Arial"/>
                <w:sz w:val="22"/>
              </w:rPr>
              <w:t>除息日股价</w:t>
            </w:r>
          </w:p>
        </w:tc>
        <w:tc>
          <w:tcPr>
            <w:tcW w:w="2055" w:type="dxa"/>
            <w:tcMar>
              <w:top w:w="60" w:type="dxa"/>
              <w:left w:w="120" w:type="dxa"/>
              <w:bottom w:w="30" w:type="dxa"/>
              <w:right w:w="120" w:type="dxa"/>
            </w:tcMar>
          </w:tcPr>
          <w:p w14:paraId="1B90FD6F">
            <w:pPr>
              <w:spacing w:before="120" w:after="120" w:line="288" w:lineRule="auto"/>
              <w:ind w:left="0"/>
              <w:jc w:val="left"/>
            </w:pPr>
            <w:r>
              <w:rPr>
                <w:rFonts w:ascii="Arial" w:hAnsi="Arial" w:eastAsia="等线" w:cs="Arial"/>
                <w:sz w:val="22"/>
              </w:rPr>
              <w:t>Ex-Dividend Price = Previous Close - Dividend Amount</w:t>
            </w:r>
          </w:p>
        </w:tc>
        <w:tc>
          <w:tcPr>
            <w:tcW w:w="3135" w:type="dxa"/>
            <w:tcMar>
              <w:top w:w="60" w:type="dxa"/>
              <w:left w:w="120" w:type="dxa"/>
              <w:bottom w:w="30" w:type="dxa"/>
              <w:right w:w="120" w:type="dxa"/>
            </w:tcMar>
          </w:tcPr>
          <w:p w14:paraId="729F3794">
            <w:pPr>
              <w:spacing w:before="120" w:after="120" w:line="288" w:lineRule="auto"/>
              <w:ind w:left="0"/>
              <w:jc w:val="left"/>
            </w:pPr>
            <w:r>
              <w:rPr>
                <w:rFonts w:ascii="Arial" w:hAnsi="Arial" w:eastAsia="等线" w:cs="Arial"/>
                <w:sz w:val="22"/>
              </w:rPr>
              <w:t>Previous close=$49.50, dividend=$0.75 → $49.50-$0.75=$48.75</w:t>
            </w:r>
          </w:p>
        </w:tc>
      </w:tr>
      <w:tr w14:paraId="46395C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3E2EF7F8">
            <w:pPr>
              <w:spacing w:before="120" w:after="120" w:line="288" w:lineRule="auto"/>
              <w:ind w:left="0"/>
              <w:jc w:val="left"/>
            </w:pPr>
            <w:r>
              <w:rPr>
                <w:rFonts w:ascii="Arial" w:hAnsi="Arial" w:eastAsia="等线" w:cs="Arial"/>
                <w:sz w:val="22"/>
              </w:rPr>
              <w:t>Preferred Stock Annual Dividend</w:t>
            </w:r>
          </w:p>
          <w:p w14:paraId="4DBC87C6">
            <w:pPr>
              <w:spacing w:before="120" w:after="120" w:line="288" w:lineRule="auto"/>
              <w:ind w:left="0"/>
              <w:jc w:val="left"/>
            </w:pPr>
          </w:p>
        </w:tc>
        <w:tc>
          <w:tcPr>
            <w:tcW w:w="1260" w:type="dxa"/>
            <w:tcMar>
              <w:top w:w="60" w:type="dxa"/>
              <w:left w:w="120" w:type="dxa"/>
              <w:bottom w:w="30" w:type="dxa"/>
              <w:right w:w="120" w:type="dxa"/>
            </w:tcMar>
          </w:tcPr>
          <w:p w14:paraId="398780EE">
            <w:pPr>
              <w:spacing w:before="120" w:after="120" w:line="288" w:lineRule="auto"/>
              <w:ind w:left="0"/>
              <w:jc w:val="left"/>
            </w:pPr>
            <w:r>
              <w:rPr>
                <w:rFonts w:ascii="Arial" w:hAnsi="Arial" w:eastAsia="等线" w:cs="Arial"/>
                <w:sz w:val="22"/>
              </w:rPr>
              <w:t>优先股年度股息</w:t>
            </w:r>
          </w:p>
        </w:tc>
        <w:tc>
          <w:tcPr>
            <w:tcW w:w="2055" w:type="dxa"/>
            <w:tcMar>
              <w:top w:w="60" w:type="dxa"/>
              <w:left w:w="120" w:type="dxa"/>
              <w:bottom w:w="30" w:type="dxa"/>
              <w:right w:w="120" w:type="dxa"/>
            </w:tcMar>
          </w:tcPr>
          <w:p w14:paraId="6C35A63E">
            <w:pPr>
              <w:spacing w:before="120" w:after="120" w:line="288" w:lineRule="auto"/>
              <w:ind w:left="0"/>
              <w:jc w:val="left"/>
            </w:pPr>
            <w:r>
              <w:rPr>
                <w:rFonts w:ascii="Arial" w:hAnsi="Arial" w:eastAsia="等线" w:cs="Arial"/>
                <w:sz w:val="22"/>
              </w:rPr>
              <w:t>Annual Dividend = Par Value × Dividend Rate</w:t>
            </w:r>
            <w:r>
              <w:rPr>
                <w:rFonts w:ascii="Arial" w:hAnsi="Arial" w:eastAsia="等线" w:cs="Arial"/>
                <w:sz w:val="22"/>
              </w:rPr>
              <w:br w:type="textWrapping"/>
            </w:r>
          </w:p>
          <w:p w14:paraId="1AA00376">
            <w:pPr>
              <w:spacing w:before="120" w:after="120" w:line="288" w:lineRule="auto"/>
              <w:ind w:left="0"/>
              <w:jc w:val="left"/>
            </w:pPr>
          </w:p>
        </w:tc>
        <w:tc>
          <w:tcPr>
            <w:tcW w:w="3135" w:type="dxa"/>
            <w:tcMar>
              <w:top w:w="60" w:type="dxa"/>
              <w:left w:w="120" w:type="dxa"/>
              <w:bottom w:w="30" w:type="dxa"/>
              <w:right w:w="120" w:type="dxa"/>
            </w:tcMar>
          </w:tcPr>
          <w:p w14:paraId="64E2A2F2">
            <w:pPr>
              <w:spacing w:before="120" w:after="120" w:line="288" w:lineRule="auto"/>
              <w:ind w:left="0"/>
              <w:jc w:val="left"/>
            </w:pPr>
            <w:r>
              <w:rPr>
                <w:rFonts w:ascii="Arial" w:hAnsi="Arial" w:eastAsia="等线" w:cs="Arial"/>
                <w:sz w:val="22"/>
              </w:rPr>
              <w:t>计算优先股股东每年固定收益，</w:t>
            </w:r>
          </w:p>
          <w:p w14:paraId="302651A9">
            <w:pPr>
              <w:spacing w:before="120" w:after="120" w:line="288" w:lineRule="auto"/>
              <w:ind w:left="0"/>
              <w:jc w:val="left"/>
            </w:pPr>
            <w:r>
              <w:rPr>
                <w:rFonts w:ascii="Arial" w:hAnsi="Arial" w:eastAsia="等线" w:cs="Arial"/>
                <w:sz w:val="22"/>
              </w:rPr>
              <w:t>An investor holds 300 shares of 6% $100 par cumulative preferred stock.</w:t>
            </w:r>
          </w:p>
          <w:p w14:paraId="4EC91D46">
            <w:pPr>
              <w:spacing w:before="120" w:after="120" w:line="288" w:lineRule="auto"/>
              <w:ind w:left="0"/>
              <w:jc w:val="left"/>
            </w:pPr>
            <w:r>
              <w:rPr>
                <w:rFonts w:ascii="Arial" w:hAnsi="Arial" w:eastAsia="等线" w:cs="Arial"/>
                <w:sz w:val="22"/>
              </w:rPr>
              <w:t>Step 1: Dividend per share = $100 × 6% = $6</w:t>
            </w:r>
          </w:p>
          <w:p w14:paraId="0AFFDD94">
            <w:pPr>
              <w:spacing w:before="120" w:after="120" w:line="288" w:lineRule="auto"/>
              <w:ind w:left="0"/>
              <w:jc w:val="left"/>
            </w:pPr>
            <w:r>
              <w:rPr>
                <w:rFonts w:ascii="Arial" w:hAnsi="Arial" w:eastAsia="等线" w:cs="Arial"/>
                <w:sz w:val="22"/>
              </w:rPr>
              <w:t>Step 2: Total annual dividend = 300 shares × $6 = $1,800</w:t>
            </w:r>
          </w:p>
        </w:tc>
      </w:tr>
      <w:tr w14:paraId="3C4612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338C6B7C">
            <w:pPr>
              <w:spacing w:before="120" w:after="120" w:line="288" w:lineRule="auto"/>
              <w:ind w:left="0"/>
              <w:jc w:val="left"/>
            </w:pPr>
            <w:r>
              <w:rPr>
                <w:rFonts w:ascii="Arial" w:hAnsi="Arial" w:eastAsia="等线" w:cs="Arial"/>
                <w:sz w:val="22"/>
              </w:rPr>
              <w:t>Cumulative Preferred Dividends(with Arrears)</w:t>
            </w:r>
          </w:p>
        </w:tc>
        <w:tc>
          <w:tcPr>
            <w:tcW w:w="1260" w:type="dxa"/>
            <w:tcMar>
              <w:top w:w="60" w:type="dxa"/>
              <w:left w:w="120" w:type="dxa"/>
              <w:bottom w:w="30" w:type="dxa"/>
              <w:right w:w="120" w:type="dxa"/>
            </w:tcMar>
          </w:tcPr>
          <w:p w14:paraId="12EEA41E">
            <w:pPr>
              <w:spacing w:before="120" w:after="120" w:line="288" w:lineRule="auto"/>
              <w:ind w:left="0"/>
              <w:jc w:val="left"/>
            </w:pPr>
            <w:r>
              <w:rPr>
                <w:rFonts w:ascii="Arial" w:hAnsi="Arial" w:eastAsia="等线" w:cs="Arial"/>
                <w:sz w:val="22"/>
              </w:rPr>
              <w:t>累积优先股股息（含欠付）</w:t>
            </w:r>
          </w:p>
        </w:tc>
        <w:tc>
          <w:tcPr>
            <w:tcW w:w="2055" w:type="dxa"/>
            <w:tcMar>
              <w:top w:w="60" w:type="dxa"/>
              <w:left w:w="120" w:type="dxa"/>
              <w:bottom w:w="30" w:type="dxa"/>
              <w:right w:w="120" w:type="dxa"/>
            </w:tcMar>
          </w:tcPr>
          <w:p w14:paraId="729A2F68">
            <w:pPr>
              <w:spacing w:before="120" w:after="120" w:line="288" w:lineRule="auto"/>
              <w:ind w:left="0"/>
              <w:jc w:val="left"/>
            </w:pPr>
            <w:r>
              <w:rPr>
                <w:rFonts w:ascii="Arial" w:hAnsi="Arial" w:eastAsia="等线" w:cs="Arial"/>
                <w:sz w:val="22"/>
              </w:rPr>
              <w:t>Total Dividend = Arrears (Unpaid Dividends) + Current Year Dividend</w:t>
            </w:r>
          </w:p>
          <w:p w14:paraId="5811797C">
            <w:pPr>
              <w:spacing w:before="120" w:after="120" w:line="288" w:lineRule="auto"/>
              <w:ind w:left="0"/>
              <w:jc w:val="left"/>
            </w:pPr>
          </w:p>
        </w:tc>
        <w:tc>
          <w:tcPr>
            <w:tcW w:w="3135" w:type="dxa"/>
            <w:tcMar>
              <w:top w:w="60" w:type="dxa"/>
              <w:left w:w="120" w:type="dxa"/>
              <w:bottom w:w="30" w:type="dxa"/>
              <w:right w:w="120" w:type="dxa"/>
            </w:tcMar>
          </w:tcPr>
          <w:p w14:paraId="4487A620">
            <w:pPr>
              <w:spacing w:before="120" w:after="120" w:line="288" w:lineRule="auto"/>
              <w:ind w:left="0"/>
              <w:jc w:val="left"/>
            </w:pPr>
            <w:r>
              <w:rPr>
                <w:rFonts w:ascii="Arial" w:hAnsi="Arial" w:eastAsia="等线" w:cs="Arial"/>
                <w:sz w:val="22"/>
              </w:rPr>
              <w:t>An investor holds 100 shares of 5% $100 par cumulative preferred stock. The company owed $300 in arrears (2 years of unpaid dividends) and declares current-year dividends.</w:t>
            </w:r>
          </w:p>
          <w:p w14:paraId="6BA4E142">
            <w:pPr>
              <w:spacing w:before="120" w:after="120" w:line="288" w:lineRule="auto"/>
              <w:ind w:left="0"/>
              <w:jc w:val="left"/>
            </w:pPr>
            <w:r>
              <w:rPr>
                <w:rFonts w:ascii="Arial" w:hAnsi="Arial" w:eastAsia="等线" w:cs="Arial"/>
                <w:sz w:val="22"/>
              </w:rPr>
              <w:t>Step 1: Current year dividend = 100 × $100 × 5% = $500</w:t>
            </w:r>
          </w:p>
          <w:p w14:paraId="110F25FB">
            <w:pPr>
              <w:spacing w:before="120" w:after="120" w:line="288" w:lineRule="auto"/>
              <w:ind w:left="0"/>
              <w:jc w:val="left"/>
            </w:pPr>
            <w:r>
              <w:rPr>
                <w:rFonts w:ascii="Arial" w:hAnsi="Arial" w:eastAsia="等线" w:cs="Arial"/>
                <w:sz w:val="22"/>
              </w:rPr>
              <w:t>Step 2: Total dividend to investor = $300 (arrears) + $500 (current) = $800</w:t>
            </w:r>
          </w:p>
        </w:tc>
      </w:tr>
      <w:tr w14:paraId="41FC48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15" w:type="dxa"/>
            <w:tcMar>
              <w:top w:w="60" w:type="dxa"/>
              <w:left w:w="120" w:type="dxa"/>
              <w:bottom w:w="30" w:type="dxa"/>
              <w:right w:w="120" w:type="dxa"/>
            </w:tcMar>
          </w:tcPr>
          <w:p w14:paraId="244174B1">
            <w:pPr>
              <w:spacing w:before="120" w:after="120" w:line="288" w:lineRule="auto"/>
              <w:ind w:left="0"/>
              <w:jc w:val="left"/>
            </w:pPr>
            <w:r>
              <w:rPr>
                <w:rFonts w:ascii="Arial" w:hAnsi="Arial" w:eastAsia="等线" w:cs="Arial"/>
                <w:sz w:val="22"/>
              </w:rPr>
              <w:t>Conversion Ratio (Convertible Preferred)</w:t>
            </w:r>
          </w:p>
        </w:tc>
        <w:tc>
          <w:tcPr>
            <w:tcW w:w="1260" w:type="dxa"/>
            <w:tcMar>
              <w:top w:w="60" w:type="dxa"/>
              <w:left w:w="120" w:type="dxa"/>
              <w:bottom w:w="30" w:type="dxa"/>
              <w:right w:w="120" w:type="dxa"/>
            </w:tcMar>
          </w:tcPr>
          <w:p w14:paraId="1F316370">
            <w:pPr>
              <w:spacing w:before="120" w:after="120" w:line="288" w:lineRule="auto"/>
              <w:ind w:left="0"/>
              <w:jc w:val="left"/>
            </w:pPr>
            <w:r>
              <w:rPr>
                <w:rFonts w:ascii="Arial" w:hAnsi="Arial" w:eastAsia="等线" w:cs="Arial"/>
                <w:sz w:val="22"/>
              </w:rPr>
              <w:t>可转换优先股转换比</w:t>
            </w:r>
          </w:p>
        </w:tc>
        <w:tc>
          <w:tcPr>
            <w:tcW w:w="2055" w:type="dxa"/>
            <w:tcMar>
              <w:top w:w="60" w:type="dxa"/>
              <w:left w:w="120" w:type="dxa"/>
              <w:bottom w:w="30" w:type="dxa"/>
              <w:right w:w="120" w:type="dxa"/>
            </w:tcMar>
          </w:tcPr>
          <w:p w14:paraId="7B9E0E0D">
            <w:pPr>
              <w:spacing w:before="120" w:after="120" w:line="288" w:lineRule="auto"/>
              <w:ind w:left="0"/>
              <w:jc w:val="left"/>
            </w:pPr>
            <w:r>
              <w:rPr>
                <w:rFonts w:ascii="Arial" w:hAnsi="Arial" w:eastAsia="等线" w:cs="Arial"/>
                <w:sz w:val="22"/>
              </w:rPr>
              <w:t>Conversion Ratio = Par Value ÷ Conversion Price</w:t>
            </w:r>
          </w:p>
        </w:tc>
        <w:tc>
          <w:tcPr>
            <w:tcW w:w="3135" w:type="dxa"/>
            <w:tcMar>
              <w:top w:w="60" w:type="dxa"/>
              <w:left w:w="120" w:type="dxa"/>
              <w:bottom w:w="30" w:type="dxa"/>
              <w:right w:w="120" w:type="dxa"/>
            </w:tcMar>
          </w:tcPr>
          <w:p w14:paraId="01917714">
            <w:pPr>
              <w:spacing w:before="120" w:after="120" w:line="288" w:lineRule="auto"/>
              <w:ind w:left="0"/>
              <w:jc w:val="left"/>
            </w:pPr>
            <w:r>
              <w:rPr>
                <w:rFonts w:ascii="Arial" w:hAnsi="Arial" w:eastAsia="等线" w:cs="Arial"/>
                <w:sz w:val="22"/>
              </w:rPr>
              <w:t>A company issues convertible preferred stock with $100 par and $25 conversion price.</w:t>
            </w:r>
          </w:p>
          <w:p w14:paraId="07B5138E">
            <w:pPr>
              <w:spacing w:before="120" w:after="120" w:line="288" w:lineRule="auto"/>
              <w:ind w:left="0"/>
              <w:jc w:val="left"/>
            </w:pPr>
            <w:r>
              <w:rPr>
                <w:rFonts w:ascii="Arial" w:hAnsi="Arial" w:eastAsia="等线" w:cs="Arial"/>
                <w:sz w:val="22"/>
              </w:rPr>
              <w:t>Conversion Ratio = $100 ÷ $25 = 4</w:t>
            </w:r>
          </w:p>
          <w:p w14:paraId="5751C488">
            <w:pPr>
              <w:spacing w:before="120" w:after="120" w:line="288" w:lineRule="auto"/>
              <w:ind w:left="0"/>
              <w:jc w:val="left"/>
            </w:pPr>
            <w:r>
              <w:rPr>
                <w:rFonts w:ascii="Arial" w:hAnsi="Arial" w:eastAsia="等线" w:cs="Arial"/>
                <w:sz w:val="22"/>
              </w:rPr>
              <w:t>If an investor owns 200 preferred shares, post-conversion common shares = 200 × 4 = 800</w:t>
            </w:r>
          </w:p>
        </w:tc>
      </w:tr>
    </w:tbl>
    <w:p w14:paraId="3CAC91AB">
      <w:pPr>
        <w:spacing w:before="320" w:after="120" w:line="288" w:lineRule="auto"/>
        <w:ind w:left="0"/>
        <w:jc w:val="left"/>
        <w:outlineLvl w:val="1"/>
      </w:pPr>
      <w:bookmarkStart w:id="32" w:name="heading_32"/>
      <w:r>
        <w:rPr>
          <w:rFonts w:ascii="Arial" w:hAnsi="Arial" w:eastAsia="等线" w:cs="Arial"/>
          <w:color w:val="3370FF"/>
          <w:sz w:val="32"/>
        </w:rPr>
        <w:t xml:space="preserve">3.5 </w:t>
      </w:r>
      <w:r>
        <w:rPr>
          <w:rFonts w:ascii="Arial" w:hAnsi="Arial" w:eastAsia="等线" w:cs="Arial"/>
          <w:b/>
          <w:sz w:val="32"/>
        </w:rPr>
        <w:t>Key Risk &amp; Regulation （关联核心风险与监管)</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70"/>
        <w:gridCol w:w="1095"/>
        <w:gridCol w:w="2820"/>
        <w:gridCol w:w="3210"/>
      </w:tblGrid>
      <w:tr w14:paraId="560090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70" w:type="dxa"/>
            <w:tcMar>
              <w:top w:w="60" w:type="dxa"/>
              <w:left w:w="120" w:type="dxa"/>
              <w:bottom w:w="30" w:type="dxa"/>
              <w:right w:w="120" w:type="dxa"/>
            </w:tcMar>
          </w:tcPr>
          <w:p w14:paraId="40B00C32">
            <w:pPr>
              <w:spacing w:before="120" w:after="120" w:line="288" w:lineRule="auto"/>
              <w:ind w:left="0"/>
              <w:jc w:val="left"/>
            </w:pPr>
            <w:r>
              <w:rPr>
                <w:rFonts w:ascii="Arial" w:hAnsi="Arial" w:eastAsia="等线" w:cs="Arial"/>
                <w:sz w:val="22"/>
              </w:rPr>
              <w:t>英文Item</w:t>
            </w:r>
          </w:p>
        </w:tc>
        <w:tc>
          <w:tcPr>
            <w:tcW w:w="1095" w:type="dxa"/>
            <w:tcMar>
              <w:top w:w="60" w:type="dxa"/>
              <w:left w:w="120" w:type="dxa"/>
              <w:bottom w:w="30" w:type="dxa"/>
              <w:right w:w="120" w:type="dxa"/>
            </w:tcMar>
          </w:tcPr>
          <w:p w14:paraId="60F05317">
            <w:pPr>
              <w:spacing w:before="120" w:after="120" w:line="288" w:lineRule="auto"/>
              <w:ind w:left="0"/>
              <w:jc w:val="left"/>
            </w:pPr>
            <w:r>
              <w:rPr>
                <w:rFonts w:ascii="Arial" w:hAnsi="Arial" w:eastAsia="等线" w:cs="Arial"/>
                <w:sz w:val="22"/>
              </w:rPr>
              <w:t>中文名称</w:t>
            </w:r>
          </w:p>
        </w:tc>
        <w:tc>
          <w:tcPr>
            <w:tcW w:w="2820" w:type="dxa"/>
            <w:tcMar>
              <w:top w:w="60" w:type="dxa"/>
              <w:left w:w="120" w:type="dxa"/>
              <w:bottom w:w="30" w:type="dxa"/>
              <w:right w:w="120" w:type="dxa"/>
            </w:tcMar>
          </w:tcPr>
          <w:p w14:paraId="10CFDDB9">
            <w:pPr>
              <w:spacing w:before="120" w:after="120" w:line="288" w:lineRule="auto"/>
              <w:ind w:left="0"/>
              <w:jc w:val="left"/>
            </w:pPr>
            <w:r>
              <w:rPr>
                <w:rFonts w:ascii="Arial" w:hAnsi="Arial" w:eastAsia="等线" w:cs="Arial"/>
                <w:sz w:val="22"/>
              </w:rPr>
              <w:t>Key Content (核心内容)</w:t>
            </w:r>
          </w:p>
        </w:tc>
        <w:tc>
          <w:tcPr>
            <w:tcW w:w="3210" w:type="dxa"/>
            <w:tcMar>
              <w:top w:w="60" w:type="dxa"/>
              <w:left w:w="120" w:type="dxa"/>
              <w:bottom w:w="30" w:type="dxa"/>
              <w:right w:w="120" w:type="dxa"/>
            </w:tcMar>
          </w:tcPr>
          <w:p w14:paraId="0057EDDD">
            <w:pPr>
              <w:spacing w:before="120" w:after="120" w:line="288" w:lineRule="auto"/>
              <w:ind w:left="0"/>
              <w:jc w:val="left"/>
            </w:pPr>
            <w:r>
              <w:rPr>
                <w:rFonts w:ascii="Arial" w:hAnsi="Arial" w:eastAsia="等线" w:cs="Arial"/>
                <w:sz w:val="22"/>
              </w:rPr>
              <w:t>Key Exam Points (高频考点)</w:t>
            </w:r>
          </w:p>
        </w:tc>
      </w:tr>
      <w:tr w14:paraId="1B06B5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70" w:type="dxa"/>
            <w:tcMar>
              <w:top w:w="60" w:type="dxa"/>
              <w:left w:w="120" w:type="dxa"/>
              <w:bottom w:w="30" w:type="dxa"/>
              <w:right w:w="120" w:type="dxa"/>
            </w:tcMar>
          </w:tcPr>
          <w:p w14:paraId="56C3472D">
            <w:pPr>
              <w:spacing w:before="120" w:after="120" w:line="288" w:lineRule="auto"/>
              <w:ind w:left="0"/>
              <w:jc w:val="left"/>
            </w:pPr>
            <w:r>
              <w:rPr>
                <w:rFonts w:ascii="Arial" w:hAnsi="Arial" w:eastAsia="等线" w:cs="Arial"/>
                <w:sz w:val="22"/>
              </w:rPr>
              <w:t>Equity Risks</w:t>
            </w:r>
          </w:p>
          <w:p w14:paraId="1D5B1F82">
            <w:pPr>
              <w:spacing w:before="120" w:after="120" w:line="288" w:lineRule="auto"/>
              <w:ind w:left="0"/>
              <w:jc w:val="left"/>
            </w:pPr>
          </w:p>
        </w:tc>
        <w:tc>
          <w:tcPr>
            <w:tcW w:w="1095" w:type="dxa"/>
            <w:tcMar>
              <w:top w:w="60" w:type="dxa"/>
              <w:left w:w="120" w:type="dxa"/>
              <w:bottom w:w="30" w:type="dxa"/>
              <w:right w:w="120" w:type="dxa"/>
            </w:tcMar>
          </w:tcPr>
          <w:p w14:paraId="3B48E931">
            <w:pPr>
              <w:spacing w:before="120" w:after="120" w:line="288" w:lineRule="auto"/>
              <w:ind w:left="0"/>
              <w:jc w:val="left"/>
            </w:pPr>
            <w:r>
              <w:rPr>
                <w:rFonts w:ascii="Arial" w:hAnsi="Arial" w:eastAsia="等线" w:cs="Arial"/>
                <w:sz w:val="22"/>
              </w:rPr>
              <w:t>权益风险</w:t>
            </w:r>
          </w:p>
          <w:p w14:paraId="27B08BB9">
            <w:pPr>
              <w:spacing w:before="120" w:after="120" w:line="288" w:lineRule="auto"/>
              <w:ind w:left="0"/>
              <w:jc w:val="left"/>
            </w:pPr>
          </w:p>
        </w:tc>
        <w:tc>
          <w:tcPr>
            <w:tcW w:w="2820" w:type="dxa"/>
            <w:tcMar>
              <w:top w:w="60" w:type="dxa"/>
              <w:left w:w="120" w:type="dxa"/>
              <w:bottom w:w="30" w:type="dxa"/>
              <w:right w:w="120" w:type="dxa"/>
            </w:tcMar>
          </w:tcPr>
          <w:p w14:paraId="264FED4E">
            <w:pPr>
              <w:spacing w:before="120" w:after="120" w:line="288" w:lineRule="auto"/>
              <w:ind w:left="0"/>
              <w:jc w:val="left"/>
            </w:pPr>
            <w:r>
              <w:rPr>
                <w:rFonts w:ascii="Arial" w:hAnsi="Arial" w:eastAsia="等线" w:cs="Arial"/>
                <w:sz w:val="22"/>
              </w:rPr>
              <w:t>1. Market risk (市场风险: 价格波动)</w:t>
            </w:r>
          </w:p>
          <w:p w14:paraId="470568CF">
            <w:pPr>
              <w:spacing w:before="120" w:after="120" w:line="288" w:lineRule="auto"/>
              <w:ind w:left="0"/>
              <w:jc w:val="left"/>
            </w:pPr>
            <w:r>
              <w:rPr>
                <w:rFonts w:ascii="Arial" w:hAnsi="Arial" w:eastAsia="等线" w:cs="Arial"/>
                <w:sz w:val="22"/>
              </w:rPr>
              <w:t>2. Liquidity risk (流动性风险: 小盘股难变现)</w:t>
            </w:r>
          </w:p>
          <w:p w14:paraId="46B02ED5">
            <w:pPr>
              <w:spacing w:before="120" w:after="120" w:line="288" w:lineRule="auto"/>
              <w:ind w:left="0"/>
              <w:jc w:val="left"/>
            </w:pPr>
            <w:r>
              <w:rPr>
                <w:rFonts w:ascii="Arial" w:hAnsi="Arial" w:eastAsia="等线" w:cs="Arial"/>
                <w:sz w:val="22"/>
              </w:rPr>
              <w:t>3. Residual risk (剩余风险: 清算最后)</w:t>
            </w:r>
          </w:p>
        </w:tc>
        <w:tc>
          <w:tcPr>
            <w:tcW w:w="3210" w:type="dxa"/>
            <w:tcMar>
              <w:top w:w="60" w:type="dxa"/>
              <w:left w:w="120" w:type="dxa"/>
              <w:bottom w:w="30" w:type="dxa"/>
              <w:right w:w="120" w:type="dxa"/>
            </w:tcMar>
          </w:tcPr>
          <w:p w14:paraId="1B750395">
            <w:pPr>
              <w:spacing w:before="120" w:after="120" w:line="288" w:lineRule="auto"/>
              <w:ind w:left="0"/>
              <w:jc w:val="left"/>
            </w:pPr>
            <w:r>
              <w:rPr>
                <w:rFonts w:ascii="Arial" w:hAnsi="Arial" w:eastAsia="等线" w:cs="Arial"/>
                <w:sz w:val="22"/>
              </w:rPr>
              <w:t>1. Common stock higher risk than preferred (普通股风险高于优先股)</w:t>
            </w:r>
          </w:p>
          <w:p w14:paraId="0336BD1A">
            <w:pPr>
              <w:spacing w:before="120" w:after="120" w:line="288" w:lineRule="auto"/>
              <w:ind w:left="0"/>
              <w:jc w:val="left"/>
            </w:pPr>
            <w:r>
              <w:rPr>
                <w:rFonts w:ascii="Arial" w:hAnsi="Arial" w:eastAsia="等线" w:cs="Arial"/>
                <w:sz w:val="22"/>
              </w:rPr>
              <w:t>2. No principal guarantee (无本金保障)</w:t>
            </w:r>
          </w:p>
          <w:p w14:paraId="0D776EC8">
            <w:pPr>
              <w:spacing w:before="120" w:after="120" w:line="288" w:lineRule="auto"/>
              <w:ind w:left="0"/>
              <w:jc w:val="left"/>
            </w:pPr>
          </w:p>
        </w:tc>
      </w:tr>
      <w:tr w14:paraId="27E024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70" w:type="dxa"/>
            <w:tcMar>
              <w:top w:w="60" w:type="dxa"/>
              <w:left w:w="120" w:type="dxa"/>
              <w:bottom w:w="30" w:type="dxa"/>
              <w:right w:w="120" w:type="dxa"/>
            </w:tcMar>
          </w:tcPr>
          <w:p w14:paraId="18C9C490">
            <w:pPr>
              <w:spacing w:before="120" w:after="120" w:line="288" w:lineRule="auto"/>
              <w:ind w:left="0"/>
              <w:jc w:val="left"/>
            </w:pPr>
            <w:r>
              <w:rPr>
                <w:rFonts w:ascii="Arial" w:hAnsi="Arial" w:eastAsia="等线" w:cs="Arial"/>
                <w:sz w:val="22"/>
              </w:rPr>
              <w:t>Issuance Regulation</w:t>
            </w:r>
          </w:p>
        </w:tc>
        <w:tc>
          <w:tcPr>
            <w:tcW w:w="1095" w:type="dxa"/>
            <w:tcMar>
              <w:top w:w="60" w:type="dxa"/>
              <w:left w:w="120" w:type="dxa"/>
              <w:bottom w:w="30" w:type="dxa"/>
              <w:right w:w="120" w:type="dxa"/>
            </w:tcMar>
          </w:tcPr>
          <w:p w14:paraId="79D07F9A">
            <w:pPr>
              <w:spacing w:before="120" w:after="120" w:line="288" w:lineRule="auto"/>
              <w:ind w:left="0"/>
              <w:jc w:val="left"/>
            </w:pPr>
            <w:r>
              <w:rPr>
                <w:rFonts w:ascii="Arial" w:hAnsi="Arial" w:eastAsia="等线" w:cs="Arial"/>
                <w:sz w:val="22"/>
              </w:rPr>
              <w:t>发行监管</w:t>
            </w:r>
          </w:p>
        </w:tc>
        <w:tc>
          <w:tcPr>
            <w:tcW w:w="2820" w:type="dxa"/>
            <w:tcMar>
              <w:top w:w="60" w:type="dxa"/>
              <w:left w:w="120" w:type="dxa"/>
              <w:bottom w:w="30" w:type="dxa"/>
              <w:right w:w="120" w:type="dxa"/>
            </w:tcMar>
          </w:tcPr>
          <w:p w14:paraId="42DCFDF9">
            <w:pPr>
              <w:spacing w:before="120" w:after="120" w:line="288" w:lineRule="auto"/>
              <w:ind w:left="0"/>
              <w:jc w:val="left"/>
            </w:pPr>
            <w:r>
              <w:rPr>
                <w:rFonts w:ascii="Arial" w:hAnsi="Arial" w:eastAsia="等线" w:cs="Arial"/>
                <w:sz w:val="22"/>
              </w:rPr>
              <w:t>1. SEC registration (SEC注册: 1933 Act)</w:t>
            </w:r>
          </w:p>
          <w:p w14:paraId="21B0D775">
            <w:pPr>
              <w:spacing w:before="120" w:after="120" w:line="288" w:lineRule="auto"/>
              <w:ind w:left="0"/>
              <w:jc w:val="left"/>
            </w:pPr>
            <w:r>
              <w:rPr>
                <w:rFonts w:ascii="Arial" w:hAnsi="Arial" w:eastAsia="等线" w:cs="Arial"/>
                <w:sz w:val="22"/>
              </w:rPr>
              <w:t>2. Exempt offerings (豁免发行: Reg D)</w:t>
            </w:r>
          </w:p>
        </w:tc>
        <w:tc>
          <w:tcPr>
            <w:tcW w:w="3210" w:type="dxa"/>
            <w:tcMar>
              <w:top w:w="60" w:type="dxa"/>
              <w:left w:w="120" w:type="dxa"/>
              <w:bottom w:w="30" w:type="dxa"/>
              <w:right w:w="120" w:type="dxa"/>
            </w:tcMar>
          </w:tcPr>
          <w:p w14:paraId="1C0EE931">
            <w:pPr>
              <w:spacing w:before="120" w:after="120" w:line="288" w:lineRule="auto"/>
              <w:ind w:left="0"/>
              <w:jc w:val="left"/>
            </w:pPr>
            <w:r>
              <w:rPr>
                <w:rFonts w:ascii="Arial" w:hAnsi="Arial" w:eastAsia="等线" w:cs="Arial"/>
                <w:sz w:val="22"/>
              </w:rPr>
              <w:t>1. Cooling-off period (冷却期: 20天)</w:t>
            </w:r>
          </w:p>
          <w:p w14:paraId="0A1469B6">
            <w:pPr>
              <w:spacing w:before="120" w:after="120" w:line="288" w:lineRule="auto"/>
              <w:ind w:left="0"/>
              <w:jc w:val="left"/>
            </w:pPr>
            <w:r>
              <w:rPr>
                <w:rFonts w:ascii="Arial" w:hAnsi="Arial" w:eastAsia="等线" w:cs="Arial"/>
                <w:sz w:val="22"/>
              </w:rPr>
              <w:t>2. Prospectus requirement (招股书要求)</w:t>
            </w:r>
          </w:p>
        </w:tc>
      </w:tr>
    </w:tbl>
    <w:p w14:paraId="632A917F">
      <w:pPr>
        <w:spacing w:before="380" w:after="140" w:line="288" w:lineRule="auto"/>
        <w:ind w:left="0"/>
        <w:jc w:val="left"/>
        <w:outlineLvl w:val="0"/>
      </w:pPr>
      <w:bookmarkStart w:id="33" w:name="heading_33"/>
      <w:r>
        <w:rPr>
          <w:rFonts w:ascii="Arial" w:hAnsi="Arial" w:eastAsia="等线" w:cs="Arial"/>
          <w:color w:val="3370FF"/>
          <w:sz w:val="36"/>
        </w:rPr>
        <w:t xml:space="preserve">4. </w:t>
      </w:r>
      <w:r>
        <w:rPr>
          <w:rFonts w:ascii="Arial" w:hAnsi="Arial" w:eastAsia="等线" w:cs="Arial"/>
          <w:b/>
          <w:sz w:val="36"/>
        </w:rPr>
        <w:t>核心词汇整理</w:t>
      </w:r>
      <w:bookmarkEnd w:id="33"/>
    </w:p>
    <w:p w14:paraId="5B75AFC2">
      <w:pPr>
        <w:spacing w:before="320" w:after="120" w:line="288" w:lineRule="auto"/>
        <w:ind w:left="0"/>
        <w:jc w:val="left"/>
        <w:outlineLvl w:val="1"/>
      </w:pPr>
      <w:bookmarkStart w:id="34" w:name="heading_34"/>
      <w:r>
        <w:rPr>
          <w:rFonts w:ascii="Arial" w:hAnsi="Arial" w:eastAsia="等线" w:cs="Arial"/>
          <w:color w:val="3370FF"/>
          <w:sz w:val="32"/>
        </w:rPr>
        <w:t xml:space="preserve">4.1 </w:t>
      </w:r>
      <w:r>
        <w:rPr>
          <w:rFonts w:ascii="Arial" w:hAnsi="Arial" w:eastAsia="等线" w:cs="Arial"/>
          <w:b/>
          <w:sz w:val="32"/>
        </w:rPr>
        <w:t>普通股核心概念相关</w:t>
      </w:r>
      <w:bookmarkEnd w:id="34"/>
    </w:p>
    <w:p w14:paraId="02D5DFAB">
      <w:pPr>
        <w:numPr>
          <w:ilvl w:val="0"/>
          <w:numId w:val="97"/>
        </w:numPr>
        <w:spacing w:before="120" w:after="120" w:line="288" w:lineRule="auto"/>
        <w:ind w:left="0"/>
        <w:jc w:val="left"/>
      </w:pPr>
      <w:r>
        <w:rPr>
          <w:rFonts w:ascii="Arial" w:hAnsi="Arial" w:eastAsia="等线" w:cs="Arial"/>
          <w:sz w:val="22"/>
        </w:rPr>
        <w:t>Common stock /ˈkɒmən stɒk/</w:t>
      </w:r>
    </w:p>
    <w:p w14:paraId="31D4303B">
      <w:pPr>
        <w:numPr>
          <w:ilvl w:val="0"/>
          <w:numId w:val="98"/>
        </w:numPr>
        <w:spacing w:before="120" w:after="120" w:line="288" w:lineRule="auto"/>
        <w:ind w:left="453"/>
        <w:jc w:val="left"/>
      </w:pPr>
      <w:r>
        <w:rPr>
          <w:rFonts w:ascii="Arial" w:hAnsi="Arial" w:eastAsia="等线" w:cs="Arial"/>
          <w:sz w:val="22"/>
        </w:rPr>
        <w:t>词性：n.</w:t>
      </w:r>
    </w:p>
    <w:p w14:paraId="21E809DB">
      <w:pPr>
        <w:numPr>
          <w:ilvl w:val="0"/>
          <w:numId w:val="99"/>
        </w:numPr>
        <w:spacing w:before="120" w:after="120" w:line="288" w:lineRule="auto"/>
        <w:ind w:left="453"/>
        <w:jc w:val="left"/>
      </w:pPr>
      <w:r>
        <w:rPr>
          <w:rFonts w:ascii="Arial" w:hAnsi="Arial" w:eastAsia="等线" w:cs="Arial"/>
          <w:sz w:val="22"/>
        </w:rPr>
        <w:t>含义：普通股，代表对发行公司所有权的权益证券，股东享有投票权、股息分配权（若董事会宣布发放）及公司破产清算时的剩余资产分配权（位于债权人、优先股股东之后）。</w:t>
      </w:r>
    </w:p>
    <w:p w14:paraId="2D28D3BB">
      <w:pPr>
        <w:numPr>
          <w:ilvl w:val="0"/>
          <w:numId w:val="100"/>
        </w:numPr>
        <w:spacing w:before="120" w:after="120" w:line="288" w:lineRule="auto"/>
        <w:ind w:left="453"/>
        <w:jc w:val="left"/>
      </w:pPr>
      <w:r>
        <w:rPr>
          <w:rFonts w:ascii="Arial" w:hAnsi="Arial" w:eastAsia="等线" w:cs="Arial"/>
          <w:sz w:val="22"/>
        </w:rPr>
        <w:t>例句：Common stockholders have the right to vote on key corporate matters such as the election of board members.（普通股股东有权就董事会成员选举等重要公司事务投票。）</w:t>
      </w:r>
    </w:p>
    <w:p w14:paraId="1981709E">
      <w:pPr>
        <w:numPr>
          <w:ilvl w:val="0"/>
          <w:numId w:val="101"/>
        </w:numPr>
        <w:spacing w:before="120" w:after="120" w:line="288" w:lineRule="auto"/>
        <w:ind w:left="453"/>
        <w:jc w:val="left"/>
      </w:pPr>
      <w:r>
        <w:rPr>
          <w:rFonts w:ascii="Arial" w:hAnsi="Arial" w:eastAsia="等线" w:cs="Arial"/>
          <w:sz w:val="22"/>
        </w:rPr>
        <w:t>文档依据：对应（Beginning with the Basics: Common Stock），文中明确普通股是公司向投资者发行的基础权益证券，体现股东对公司的所有权。</w:t>
      </w:r>
    </w:p>
    <w:p w14:paraId="0529B0DF">
      <w:pPr>
        <w:numPr>
          <w:ilvl w:val="0"/>
          <w:numId w:val="102"/>
        </w:numPr>
        <w:spacing w:before="120" w:after="120" w:line="288" w:lineRule="auto"/>
        <w:ind w:left="0"/>
        <w:jc w:val="left"/>
      </w:pPr>
      <w:r>
        <w:rPr>
          <w:rFonts w:ascii="Arial" w:hAnsi="Arial" w:eastAsia="等线" w:cs="Arial"/>
          <w:sz w:val="22"/>
        </w:rPr>
        <w:t>Voting rights /ˈvəʊtɪŋ raɪts/</w:t>
      </w:r>
    </w:p>
    <w:p w14:paraId="24CC5B20">
      <w:pPr>
        <w:numPr>
          <w:ilvl w:val="0"/>
          <w:numId w:val="103"/>
        </w:numPr>
        <w:spacing w:before="120" w:after="120" w:line="288" w:lineRule="auto"/>
        <w:ind w:left="453"/>
        <w:jc w:val="left"/>
      </w:pPr>
      <w:r>
        <w:rPr>
          <w:rFonts w:ascii="Arial" w:hAnsi="Arial" w:eastAsia="等线" w:cs="Arial"/>
          <w:sz w:val="22"/>
        </w:rPr>
        <w:t>词性：n.</w:t>
      </w:r>
    </w:p>
    <w:p w14:paraId="28014CEC">
      <w:pPr>
        <w:numPr>
          <w:ilvl w:val="0"/>
          <w:numId w:val="104"/>
        </w:numPr>
        <w:spacing w:before="120" w:after="120" w:line="288" w:lineRule="auto"/>
        <w:ind w:left="453"/>
        <w:jc w:val="left"/>
      </w:pPr>
      <w:r>
        <w:rPr>
          <w:rFonts w:ascii="Arial" w:hAnsi="Arial" w:eastAsia="等线" w:cs="Arial"/>
          <w:sz w:val="22"/>
        </w:rPr>
        <w:t>含义：投票权，普通股股东的核心权利之一，分为statutory voting（法定投票） 和cumulative voting（累积投票） 两类。法定投票中，股东每股对每个董事职位投 1 票；累积投票中，股东可将总票数（持股数 × 董事空缺数）集中投给部分董事，利于小股东获得董事会代表权。</w:t>
      </w:r>
    </w:p>
    <w:p w14:paraId="67A0AB05">
      <w:pPr>
        <w:numPr>
          <w:ilvl w:val="0"/>
          <w:numId w:val="105"/>
        </w:numPr>
        <w:spacing w:before="120" w:after="120" w:line="288" w:lineRule="auto"/>
        <w:ind w:left="453"/>
        <w:jc w:val="left"/>
      </w:pPr>
      <w:r>
        <w:rPr>
          <w:rFonts w:ascii="Arial" w:hAnsi="Arial" w:eastAsia="等线" w:cs="Arial"/>
          <w:sz w:val="22"/>
        </w:rPr>
        <w:t>例句：Cumulative voting gives minority shareholders a better chance to elect directors by allowing them to concentrate their votes.（累积投票允许小股东集中票数，使其更易选举出代表自身利益的董事。）</w:t>
      </w:r>
    </w:p>
    <w:p w14:paraId="70274683">
      <w:pPr>
        <w:numPr>
          <w:ilvl w:val="0"/>
          <w:numId w:val="106"/>
        </w:numPr>
        <w:spacing w:before="120" w:after="120" w:line="288" w:lineRule="auto"/>
        <w:ind w:left="453"/>
        <w:jc w:val="left"/>
      </w:pPr>
      <w:r>
        <w:rPr>
          <w:rFonts w:ascii="Arial" w:hAnsi="Arial" w:eastAsia="等线" w:cs="Arial"/>
          <w:sz w:val="22"/>
        </w:rPr>
        <w:t>文档依据：对应（Understanding a shareholder’s voting rights），文中详细对比了两种投票方式的规则及对股东的影响。</w:t>
      </w:r>
    </w:p>
    <w:p w14:paraId="14138B01">
      <w:pPr>
        <w:numPr>
          <w:ilvl w:val="0"/>
          <w:numId w:val="107"/>
        </w:numPr>
        <w:spacing w:before="120" w:after="120" w:line="288" w:lineRule="auto"/>
        <w:ind w:left="0"/>
        <w:jc w:val="left"/>
      </w:pPr>
      <w:r>
        <w:rPr>
          <w:rFonts w:ascii="Arial" w:hAnsi="Arial" w:eastAsia="等线" w:cs="Arial"/>
          <w:sz w:val="22"/>
        </w:rPr>
        <w:t>Proxy /ˈprɒksi/</w:t>
      </w:r>
    </w:p>
    <w:p w14:paraId="7F7CB495">
      <w:pPr>
        <w:numPr>
          <w:ilvl w:val="0"/>
          <w:numId w:val="108"/>
        </w:numPr>
        <w:spacing w:before="120" w:after="120" w:line="288" w:lineRule="auto"/>
        <w:ind w:left="453"/>
        <w:jc w:val="left"/>
      </w:pPr>
      <w:r>
        <w:rPr>
          <w:rFonts w:ascii="Arial" w:hAnsi="Arial" w:eastAsia="等线" w:cs="Arial"/>
          <w:sz w:val="22"/>
        </w:rPr>
        <w:t>词性：n.</w:t>
      </w:r>
    </w:p>
    <w:p w14:paraId="682218B0">
      <w:pPr>
        <w:numPr>
          <w:ilvl w:val="0"/>
          <w:numId w:val="109"/>
        </w:numPr>
        <w:spacing w:before="120" w:after="120" w:line="288" w:lineRule="auto"/>
        <w:ind w:left="453"/>
        <w:jc w:val="left"/>
      </w:pPr>
      <w:r>
        <w:rPr>
          <w:rFonts w:ascii="Arial" w:hAnsi="Arial" w:eastAsia="等线" w:cs="Arial"/>
          <w:sz w:val="22"/>
        </w:rPr>
        <w:t>含义：委托书，股东因无法亲自出席股东大会而委托他人（通常为公司管理层或其他股东）代为行使投票权的书面文件。委托书需明确委托范围、投票意向等关键信息，是股东参与公司决策的重要工具。</w:t>
      </w:r>
    </w:p>
    <w:p w14:paraId="18A8C263">
      <w:pPr>
        <w:numPr>
          <w:ilvl w:val="0"/>
          <w:numId w:val="110"/>
        </w:numPr>
        <w:spacing w:before="120" w:after="120" w:line="288" w:lineRule="auto"/>
        <w:ind w:left="453"/>
        <w:jc w:val="left"/>
      </w:pPr>
      <w:r>
        <w:rPr>
          <w:rFonts w:ascii="Arial" w:hAnsi="Arial" w:eastAsia="等线" w:cs="Arial"/>
          <w:sz w:val="22"/>
        </w:rPr>
        <w:t>例句：The company sent a proxy statement to all shareholders, outlining the proposals to be voted on at the annual meeting.（公司向所有股东发送了委托声明，列出了年度股东大会上需投票的提案。）</w:t>
      </w:r>
    </w:p>
    <w:p w14:paraId="3E9C5FDF">
      <w:pPr>
        <w:numPr>
          <w:ilvl w:val="0"/>
          <w:numId w:val="111"/>
        </w:numPr>
        <w:spacing w:before="120" w:after="120" w:line="288" w:lineRule="auto"/>
        <w:ind w:left="453"/>
        <w:jc w:val="left"/>
      </w:pPr>
      <w:r>
        <w:rPr>
          <w:rFonts w:ascii="Arial" w:hAnsi="Arial" w:eastAsia="等线" w:cs="Arial"/>
          <w:sz w:val="22"/>
        </w:rPr>
        <w:t>文档依据：对应（Proxies: Voting by mail），文中提及委托书由转让代理人（transfer agent）发送，股东可通过填写委托书参与投票。</w:t>
      </w:r>
    </w:p>
    <w:p w14:paraId="4FED7A71">
      <w:pPr>
        <w:numPr>
          <w:ilvl w:val="0"/>
          <w:numId w:val="112"/>
        </w:numPr>
        <w:spacing w:before="120" w:after="120" w:line="288" w:lineRule="auto"/>
        <w:ind w:left="0"/>
        <w:jc w:val="left"/>
      </w:pPr>
      <w:r>
        <w:rPr>
          <w:rFonts w:ascii="Arial" w:hAnsi="Arial" w:eastAsia="等线" w:cs="Arial"/>
          <w:sz w:val="22"/>
        </w:rPr>
        <w:t>Treasury stock /ˈtreʒəri stɒk/</w:t>
      </w:r>
    </w:p>
    <w:p w14:paraId="31A9C1D3">
      <w:pPr>
        <w:numPr>
          <w:ilvl w:val="0"/>
          <w:numId w:val="113"/>
        </w:numPr>
        <w:spacing w:before="120" w:after="120" w:line="288" w:lineRule="auto"/>
        <w:ind w:left="453"/>
        <w:jc w:val="left"/>
      </w:pPr>
      <w:r>
        <w:rPr>
          <w:rFonts w:ascii="Arial" w:hAnsi="Arial" w:eastAsia="等线" w:cs="Arial"/>
          <w:sz w:val="22"/>
        </w:rPr>
        <w:t>词性：n.</w:t>
      </w:r>
    </w:p>
    <w:p w14:paraId="63102E7F">
      <w:pPr>
        <w:numPr>
          <w:ilvl w:val="0"/>
          <w:numId w:val="114"/>
        </w:numPr>
        <w:spacing w:before="120" w:after="120" w:line="288" w:lineRule="auto"/>
        <w:ind w:left="453"/>
        <w:jc w:val="left"/>
      </w:pPr>
      <w:r>
        <w:rPr>
          <w:rFonts w:ascii="Arial" w:hAnsi="Arial" w:eastAsia="等线" w:cs="Arial"/>
          <w:sz w:val="22"/>
        </w:rPr>
        <w:t>含义：库存股，公司从市场回购的自身已发行股份，回购后不再流通，不享有投票权、股息分配权及剩余资产分配权。库存股通常用于员工持股计划、注销以减少股本或稳定股价。</w:t>
      </w:r>
    </w:p>
    <w:p w14:paraId="62AE8E1F">
      <w:pPr>
        <w:numPr>
          <w:ilvl w:val="0"/>
          <w:numId w:val="115"/>
        </w:numPr>
        <w:spacing w:before="120" w:after="120" w:line="288" w:lineRule="auto"/>
        <w:ind w:left="453"/>
        <w:jc w:val="left"/>
      </w:pPr>
      <w:r>
        <w:rPr>
          <w:rFonts w:ascii="Arial" w:hAnsi="Arial" w:eastAsia="等线" w:cs="Arial"/>
          <w:sz w:val="22"/>
        </w:rPr>
        <w:t>例句：The corporation repurchased 1 million shares of its common stock, converting them into treasury stock to boost the stock price.（该公司回购了 100 万股普通股并转为库存股，以提振股价。）</w:t>
      </w:r>
    </w:p>
    <w:p w14:paraId="702FF90A">
      <w:pPr>
        <w:numPr>
          <w:ilvl w:val="0"/>
          <w:numId w:val="116"/>
        </w:numPr>
        <w:spacing w:before="120" w:after="120" w:line="288" w:lineRule="auto"/>
        <w:ind w:left="453"/>
        <w:jc w:val="left"/>
      </w:pPr>
      <w:r>
        <w:rPr>
          <w:rFonts w:ascii="Arial" w:hAnsi="Arial" w:eastAsia="等线" w:cs="Arial"/>
          <w:sz w:val="22"/>
        </w:rPr>
        <w:t>文档依据：对应（Categorizing shares corporations can sell），文中指出库存股是公司从流通市场回购的股份，需从 “已发行股份（issued shares）” 中扣除以计算 “流通股份（outstanding shares）”。</w:t>
      </w:r>
    </w:p>
    <w:p w14:paraId="33BEC690">
      <w:pPr>
        <w:numPr>
          <w:ilvl w:val="0"/>
          <w:numId w:val="117"/>
        </w:numPr>
        <w:spacing w:before="120" w:after="120" w:line="288" w:lineRule="auto"/>
        <w:ind w:left="0"/>
        <w:jc w:val="left"/>
      </w:pPr>
      <w:r>
        <w:rPr>
          <w:rFonts w:ascii="Arial" w:hAnsi="Arial" w:eastAsia="等线" w:cs="Arial"/>
          <w:sz w:val="22"/>
        </w:rPr>
        <w:t>Stock split /stɒk splɪt/</w:t>
      </w:r>
    </w:p>
    <w:p w14:paraId="25E7387A">
      <w:pPr>
        <w:numPr>
          <w:ilvl w:val="0"/>
          <w:numId w:val="118"/>
        </w:numPr>
        <w:spacing w:before="120" w:after="120" w:line="288" w:lineRule="auto"/>
        <w:ind w:left="453"/>
        <w:jc w:val="left"/>
      </w:pPr>
      <w:r>
        <w:rPr>
          <w:rFonts w:ascii="Arial" w:hAnsi="Arial" w:eastAsia="等线" w:cs="Arial"/>
          <w:sz w:val="22"/>
        </w:rPr>
        <w:t>词性：n.</w:t>
      </w:r>
    </w:p>
    <w:p w14:paraId="61374CB7">
      <w:pPr>
        <w:numPr>
          <w:ilvl w:val="0"/>
          <w:numId w:val="119"/>
        </w:numPr>
        <w:spacing w:before="120" w:after="120" w:line="288" w:lineRule="auto"/>
        <w:ind w:left="453"/>
        <w:jc w:val="left"/>
      </w:pPr>
      <w:r>
        <w:rPr>
          <w:rFonts w:ascii="Arial" w:hAnsi="Arial" w:eastAsia="等线" w:cs="Arial"/>
          <w:sz w:val="22"/>
        </w:rPr>
        <w:t>含义：股票分割，公司通过增加股份数量、降低每股价格来提高股票流动性的行为，常见形式有 2-for-1（1 股拆为 2 股）、3-for-2（2 股拆为 3 股）等。分割后股东总持股价值不变，但每股价格按分割比例下降。</w:t>
      </w:r>
    </w:p>
    <w:p w14:paraId="70737133">
      <w:pPr>
        <w:numPr>
          <w:ilvl w:val="0"/>
          <w:numId w:val="120"/>
        </w:numPr>
        <w:spacing w:before="120" w:after="120" w:line="288" w:lineRule="auto"/>
        <w:ind w:left="453"/>
        <w:jc w:val="left"/>
      </w:pPr>
      <w:r>
        <w:rPr>
          <w:rFonts w:ascii="Arial" w:hAnsi="Arial" w:eastAsia="等线" w:cs="Arial"/>
          <w:sz w:val="22"/>
        </w:rPr>
        <w:t>例句：After a 3-for-1 stock split, a shareholder who owned 100 shares at $90 per share will own 300 shares at $30 per share.（3 比 1 股票分割后，原持有 100 股、每股 90 美元的股东，将持有 300 股、每股 30 美元的股票。）</w:t>
      </w:r>
    </w:p>
    <w:p w14:paraId="02492A9A">
      <w:pPr>
        <w:numPr>
          <w:ilvl w:val="0"/>
          <w:numId w:val="121"/>
        </w:numPr>
        <w:spacing w:before="120" w:after="120" w:line="288" w:lineRule="auto"/>
        <w:ind w:left="453"/>
        <w:jc w:val="left"/>
      </w:pPr>
      <w:r>
        <w:rPr>
          <w:rFonts w:ascii="Arial" w:hAnsi="Arial" w:eastAsia="等线" w:cs="Arial"/>
          <w:sz w:val="22"/>
        </w:rPr>
        <w:t>文档依据：对应（Splitting common stock），文中通过实例说明股票分割对股东持股数量和股价的影响，强调分割不改变股东总投资价值。</w:t>
      </w:r>
    </w:p>
    <w:p w14:paraId="61FC2BF1">
      <w:pPr>
        <w:spacing w:before="320" w:after="120" w:line="288" w:lineRule="auto"/>
        <w:ind w:left="0"/>
        <w:jc w:val="left"/>
        <w:outlineLvl w:val="1"/>
      </w:pPr>
      <w:bookmarkStart w:id="35" w:name="heading_35"/>
      <w:r>
        <w:rPr>
          <w:rFonts w:ascii="Arial" w:hAnsi="Arial" w:eastAsia="等线" w:cs="Arial"/>
          <w:color w:val="3370FF"/>
          <w:sz w:val="32"/>
        </w:rPr>
        <w:t xml:space="preserve">4.2 </w:t>
      </w:r>
      <w:r>
        <w:rPr>
          <w:rFonts w:ascii="Arial" w:hAnsi="Arial" w:eastAsia="等线" w:cs="Arial"/>
          <w:b/>
          <w:sz w:val="32"/>
        </w:rPr>
        <w:t>优先股核心概念相关</w:t>
      </w:r>
      <w:bookmarkEnd w:id="35"/>
    </w:p>
    <w:p w14:paraId="44530436">
      <w:pPr>
        <w:numPr>
          <w:ilvl w:val="0"/>
          <w:numId w:val="122"/>
        </w:numPr>
        <w:spacing w:before="120" w:after="120" w:line="288" w:lineRule="auto"/>
        <w:ind w:left="0"/>
        <w:jc w:val="left"/>
      </w:pPr>
      <w:r>
        <w:rPr>
          <w:rFonts w:ascii="Arial" w:hAnsi="Arial" w:eastAsia="等线" w:cs="Arial"/>
          <w:sz w:val="22"/>
        </w:rPr>
        <w:t>Preferred stock /prɪˈfɜːd stɒk/</w:t>
      </w:r>
    </w:p>
    <w:p w14:paraId="666BC07E">
      <w:pPr>
        <w:numPr>
          <w:ilvl w:val="0"/>
          <w:numId w:val="123"/>
        </w:numPr>
        <w:spacing w:before="120" w:after="120" w:line="288" w:lineRule="auto"/>
        <w:ind w:left="453"/>
        <w:jc w:val="left"/>
      </w:pPr>
      <w:r>
        <w:rPr>
          <w:rFonts w:ascii="Arial" w:hAnsi="Arial" w:eastAsia="等线" w:cs="Arial"/>
          <w:sz w:val="22"/>
        </w:rPr>
        <w:t>词性：n.</w:t>
      </w:r>
    </w:p>
    <w:p w14:paraId="0453B137">
      <w:pPr>
        <w:numPr>
          <w:ilvl w:val="0"/>
          <w:numId w:val="124"/>
        </w:numPr>
        <w:spacing w:before="120" w:after="120" w:line="288" w:lineRule="auto"/>
        <w:ind w:left="453"/>
        <w:jc w:val="left"/>
      </w:pPr>
      <w:r>
        <w:rPr>
          <w:rFonts w:ascii="Arial" w:hAnsi="Arial" w:eastAsia="等线" w:cs="Arial"/>
          <w:sz w:val="22"/>
        </w:rPr>
        <w:t>含义：优先股，兼具权益性与债权性的证券，股东享有优先股息分配权（通常为固定股息率，基于面值计算）和破产清算优先受偿权（位于普通股股东之前、债权人之后），但通常无投票权（除非股息拖欠）。</w:t>
      </w:r>
    </w:p>
    <w:p w14:paraId="5E2EDB07">
      <w:pPr>
        <w:numPr>
          <w:ilvl w:val="0"/>
          <w:numId w:val="125"/>
        </w:numPr>
        <w:spacing w:before="120" w:after="120" w:line="288" w:lineRule="auto"/>
        <w:ind w:left="453"/>
        <w:jc w:val="left"/>
      </w:pPr>
      <w:r>
        <w:rPr>
          <w:rFonts w:ascii="Arial" w:hAnsi="Arial" w:eastAsia="等线" w:cs="Arial"/>
          <w:sz w:val="22"/>
        </w:rPr>
        <w:t>例句：Preferred stockholders receive a fixed annual dividend of 6% of the par value before any dividends are paid to common stockholders.（优先股股东享有面值 6% 的固定年度股息，且在普通股股东获得股息前发放。）</w:t>
      </w:r>
    </w:p>
    <w:p w14:paraId="35C53A98">
      <w:pPr>
        <w:numPr>
          <w:ilvl w:val="0"/>
          <w:numId w:val="126"/>
        </w:numPr>
        <w:spacing w:before="120" w:after="120" w:line="288" w:lineRule="auto"/>
        <w:ind w:left="453"/>
        <w:jc w:val="left"/>
      </w:pPr>
      <w:r>
        <w:rPr>
          <w:rFonts w:ascii="Arial" w:hAnsi="Arial" w:eastAsia="等线" w:cs="Arial"/>
          <w:sz w:val="22"/>
        </w:rPr>
        <w:t>文档依据：对应（Getting Preferential Treatment: Preferred Stock），文中明确优先股的核心特征是 “优先于普通股的股息和资产分配权”，且股息基于面值计算。</w:t>
      </w:r>
    </w:p>
    <w:p w14:paraId="300112E8">
      <w:pPr>
        <w:numPr>
          <w:ilvl w:val="0"/>
          <w:numId w:val="127"/>
        </w:numPr>
        <w:spacing w:before="120" w:after="120" w:line="288" w:lineRule="auto"/>
        <w:ind w:left="0"/>
        <w:jc w:val="left"/>
      </w:pPr>
      <w:r>
        <w:rPr>
          <w:rFonts w:ascii="Arial" w:hAnsi="Arial" w:eastAsia="等线" w:cs="Arial"/>
          <w:sz w:val="22"/>
        </w:rPr>
        <w:t>Cumulative preferred stock /ˈkjuːmjələtɪv prɪˈfɜːd stɒk/</w:t>
      </w:r>
    </w:p>
    <w:p w14:paraId="5F5B9D84">
      <w:pPr>
        <w:numPr>
          <w:ilvl w:val="0"/>
          <w:numId w:val="128"/>
        </w:numPr>
        <w:spacing w:before="120" w:after="120" w:line="288" w:lineRule="auto"/>
        <w:ind w:left="453"/>
        <w:jc w:val="left"/>
      </w:pPr>
      <w:r>
        <w:rPr>
          <w:rFonts w:ascii="Arial" w:hAnsi="Arial" w:eastAsia="等线" w:cs="Arial"/>
          <w:sz w:val="22"/>
        </w:rPr>
        <w:t>词性：n.</w:t>
      </w:r>
    </w:p>
    <w:p w14:paraId="0B3CC5E2">
      <w:pPr>
        <w:numPr>
          <w:ilvl w:val="0"/>
          <w:numId w:val="129"/>
        </w:numPr>
        <w:spacing w:before="120" w:after="120" w:line="288" w:lineRule="auto"/>
        <w:ind w:left="453"/>
        <w:jc w:val="left"/>
      </w:pPr>
      <w:r>
        <w:rPr>
          <w:rFonts w:ascii="Arial" w:hAnsi="Arial" w:eastAsia="等线" w:cs="Arial"/>
          <w:sz w:val="22"/>
        </w:rPr>
        <w:t>含义：累积优先股，若公司因盈利不足未按约定发放股息（称为 “股息拖欠，dividends in arrears”），需在向普通股股东发放任何股息前，补足所有拖欠的优先股股息。这是最常见的优先股类型，为投资者提供更稳定的收益保障。</w:t>
      </w:r>
    </w:p>
    <w:p w14:paraId="57F3D07F">
      <w:pPr>
        <w:numPr>
          <w:ilvl w:val="0"/>
          <w:numId w:val="130"/>
        </w:numPr>
        <w:spacing w:before="120" w:after="120" w:line="288" w:lineRule="auto"/>
        <w:ind w:left="453"/>
        <w:jc w:val="left"/>
      </w:pPr>
      <w:r>
        <w:rPr>
          <w:rFonts w:ascii="Arial" w:hAnsi="Arial" w:eastAsia="等线" w:cs="Arial"/>
          <w:sz w:val="22"/>
        </w:rPr>
        <w:t>例句：The cumulative preferred stock has $2 per share in dividends in arrears, which must be paid before the company can distribute dividends to common stockholders.（该累积优先股有每股 2 美元的拖欠股息，公司需先付清这笔款项，才能向普通股股东发放股息。）</w:t>
      </w:r>
    </w:p>
    <w:p w14:paraId="2F41AF16">
      <w:pPr>
        <w:numPr>
          <w:ilvl w:val="0"/>
          <w:numId w:val="131"/>
        </w:numPr>
        <w:spacing w:before="120" w:after="120" w:line="288" w:lineRule="auto"/>
        <w:ind w:left="453"/>
        <w:jc w:val="left"/>
      </w:pPr>
      <w:r>
        <w:rPr>
          <w:rFonts w:ascii="Arial" w:hAnsi="Arial" w:eastAsia="等线" w:cs="Arial"/>
          <w:sz w:val="22"/>
        </w:rPr>
        <w:t>文档依据：对应（Cumulative preferred），文中强调累积优先股的 “股息累积义务”，即未发放的股息会持续拖欠，直至公司有能力支付。</w:t>
      </w:r>
    </w:p>
    <w:p w14:paraId="0AC39371">
      <w:pPr>
        <w:numPr>
          <w:ilvl w:val="0"/>
          <w:numId w:val="132"/>
        </w:numPr>
        <w:spacing w:before="120" w:after="120" w:line="288" w:lineRule="auto"/>
        <w:ind w:left="0"/>
        <w:jc w:val="left"/>
      </w:pPr>
      <w:r>
        <w:rPr>
          <w:rFonts w:ascii="Arial" w:hAnsi="Arial" w:eastAsia="等线" w:cs="Arial"/>
          <w:sz w:val="22"/>
        </w:rPr>
        <w:t>Convertible preferred stock /kənˈvɜːtəbl prɪˈfɜːd stɒk/</w:t>
      </w:r>
    </w:p>
    <w:p w14:paraId="2DE352A6">
      <w:pPr>
        <w:numPr>
          <w:ilvl w:val="0"/>
          <w:numId w:val="133"/>
        </w:numPr>
        <w:spacing w:before="120" w:after="120" w:line="288" w:lineRule="auto"/>
        <w:ind w:left="453"/>
        <w:jc w:val="left"/>
      </w:pPr>
      <w:r>
        <w:rPr>
          <w:rFonts w:ascii="Arial" w:hAnsi="Arial" w:eastAsia="等线" w:cs="Arial"/>
          <w:sz w:val="22"/>
        </w:rPr>
        <w:t>词性：n.</w:t>
      </w:r>
    </w:p>
    <w:p w14:paraId="13DA0A63">
      <w:pPr>
        <w:numPr>
          <w:ilvl w:val="0"/>
          <w:numId w:val="134"/>
        </w:numPr>
        <w:spacing w:before="120" w:after="120" w:line="288" w:lineRule="auto"/>
        <w:ind w:left="453"/>
        <w:jc w:val="left"/>
      </w:pPr>
      <w:r>
        <w:rPr>
          <w:rFonts w:ascii="Arial" w:hAnsi="Arial" w:eastAsia="等线" w:cs="Arial"/>
          <w:sz w:val="22"/>
        </w:rPr>
        <w:t>含义：可转换优先股，股东有权在约定条件下将优先股按conversion ratio（转换比例） 转换为发行公司普通股的证券。转换比例 = 优先股面值 ÷ 转换价格，转换后股东从固定收益投资者变为权益投资者，可参与公司股价上涨收益。</w:t>
      </w:r>
    </w:p>
    <w:p w14:paraId="3CE9BAF5">
      <w:pPr>
        <w:numPr>
          <w:ilvl w:val="0"/>
          <w:numId w:val="135"/>
        </w:numPr>
        <w:spacing w:before="120" w:after="120" w:line="288" w:lineRule="auto"/>
        <w:ind w:left="453"/>
        <w:jc w:val="left"/>
      </w:pPr>
      <w:r>
        <w:rPr>
          <w:rFonts w:ascii="Arial" w:hAnsi="Arial" w:eastAsia="等线" w:cs="Arial"/>
          <w:sz w:val="22"/>
        </w:rPr>
        <w:t>例句：The convertible preferred stock has a conversion ratio of 5, meaning each share can be converted into 5 shares of the company’s common stock.（该可转换优先股的转换比例为 5，即每股可转换为 5 股公司普通股。）</w:t>
      </w:r>
    </w:p>
    <w:p w14:paraId="175920B6">
      <w:pPr>
        <w:numPr>
          <w:ilvl w:val="0"/>
          <w:numId w:val="136"/>
        </w:numPr>
        <w:spacing w:before="120" w:after="120" w:line="288" w:lineRule="auto"/>
        <w:ind w:left="453"/>
        <w:jc w:val="left"/>
      </w:pPr>
      <w:r>
        <w:rPr>
          <w:rFonts w:ascii="Arial" w:hAnsi="Arial" w:eastAsia="等线" w:cs="Arial"/>
          <w:sz w:val="22"/>
        </w:rPr>
        <w:t>文档依据：对应（Convertible preferred），文中通过公式和实例说明转换比例的计算方式，及转换对股东权益的影响。</w:t>
      </w:r>
    </w:p>
    <w:p w14:paraId="37853D6F">
      <w:pPr>
        <w:numPr>
          <w:ilvl w:val="0"/>
          <w:numId w:val="137"/>
        </w:numPr>
        <w:spacing w:before="120" w:after="120" w:line="288" w:lineRule="auto"/>
        <w:ind w:left="0"/>
        <w:jc w:val="left"/>
      </w:pPr>
      <w:r>
        <w:rPr>
          <w:rFonts w:ascii="Arial" w:hAnsi="Arial" w:eastAsia="等线" w:cs="Arial"/>
          <w:sz w:val="22"/>
        </w:rPr>
        <w:t>Callable preferred stock /ˈkɔːləbl prɪˈfɜːd stɒk/</w:t>
      </w:r>
    </w:p>
    <w:p w14:paraId="7DBD2326">
      <w:pPr>
        <w:numPr>
          <w:ilvl w:val="0"/>
          <w:numId w:val="138"/>
        </w:numPr>
        <w:spacing w:before="120" w:after="120" w:line="288" w:lineRule="auto"/>
        <w:ind w:left="453"/>
        <w:jc w:val="left"/>
      </w:pPr>
      <w:r>
        <w:rPr>
          <w:rFonts w:ascii="Arial" w:hAnsi="Arial" w:eastAsia="等线" w:cs="Arial"/>
          <w:sz w:val="22"/>
        </w:rPr>
        <w:t>词性：n.</w:t>
      </w:r>
    </w:p>
    <w:p w14:paraId="701B7BA2">
      <w:pPr>
        <w:numPr>
          <w:ilvl w:val="0"/>
          <w:numId w:val="139"/>
        </w:numPr>
        <w:spacing w:before="120" w:after="120" w:line="288" w:lineRule="auto"/>
        <w:ind w:left="453"/>
        <w:jc w:val="left"/>
      </w:pPr>
      <w:r>
        <w:rPr>
          <w:rFonts w:ascii="Arial" w:hAnsi="Arial" w:eastAsia="等线" w:cs="Arial"/>
          <w:sz w:val="22"/>
        </w:rPr>
        <w:t>含义：可赎回优先股，发行人有权在 call date（赎回日，通常为发行后一定年限） 后，以call price（赎回价格，通常高于面值） 从股东手中回购的优先股。因投资者面临提前赎回风险，可赎回优先股的股息率通常高于普通优先股。</w:t>
      </w:r>
    </w:p>
    <w:p w14:paraId="4A39321A">
      <w:pPr>
        <w:numPr>
          <w:ilvl w:val="0"/>
          <w:numId w:val="140"/>
        </w:numPr>
        <w:spacing w:before="120" w:after="120" w:line="288" w:lineRule="auto"/>
        <w:ind w:left="453"/>
        <w:jc w:val="left"/>
      </w:pPr>
      <w:r>
        <w:rPr>
          <w:rFonts w:ascii="Arial" w:hAnsi="Arial" w:eastAsia="等线" w:cs="Arial"/>
          <w:sz w:val="22"/>
        </w:rPr>
        <w:t>例句：The callable preferred stock can be redeemed by the issuer at $105 per share starting from 2026, so investors need to consider the risk of early redemption.（该可赎回优先股从 2026 年起可由发行人以每股 105 美元赎回，投资者需考虑提前赎回风险。）</w:t>
      </w:r>
    </w:p>
    <w:p w14:paraId="7C748525">
      <w:pPr>
        <w:numPr>
          <w:ilvl w:val="0"/>
          <w:numId w:val="141"/>
        </w:numPr>
        <w:spacing w:before="120" w:after="120" w:line="288" w:lineRule="auto"/>
        <w:ind w:left="453"/>
        <w:jc w:val="left"/>
      </w:pPr>
      <w:r>
        <w:rPr>
          <w:rFonts w:ascii="Arial" w:hAnsi="Arial" w:eastAsia="等线" w:cs="Arial"/>
          <w:sz w:val="22"/>
        </w:rPr>
        <w:t>文档依据：对应（Callable preferred），文中指出可赎回优先股的 “赎回条款” 是其核心特征，发行人通常在市场利率下降时赎回，以发行更低利率的证券。</w:t>
      </w:r>
    </w:p>
    <w:p w14:paraId="02195B9E">
      <w:pPr>
        <w:spacing w:before="320" w:after="120" w:line="288" w:lineRule="auto"/>
        <w:ind w:left="0"/>
        <w:jc w:val="left"/>
        <w:outlineLvl w:val="1"/>
      </w:pPr>
      <w:bookmarkStart w:id="36" w:name="heading_36"/>
      <w:r>
        <w:rPr>
          <w:rFonts w:ascii="Arial" w:hAnsi="Arial" w:eastAsia="等线" w:cs="Arial"/>
          <w:color w:val="3370FF"/>
          <w:sz w:val="32"/>
        </w:rPr>
        <w:t xml:space="preserve">4.3 </w:t>
      </w:r>
      <w:r>
        <w:rPr>
          <w:rFonts w:ascii="Arial" w:hAnsi="Arial" w:eastAsia="等线" w:cs="Arial"/>
          <w:b/>
          <w:sz w:val="32"/>
        </w:rPr>
        <w:t>权益证券衍生及特殊类型相关</w:t>
      </w:r>
      <w:bookmarkEnd w:id="36"/>
    </w:p>
    <w:p w14:paraId="1D48D968">
      <w:pPr>
        <w:numPr>
          <w:ilvl w:val="0"/>
          <w:numId w:val="142"/>
        </w:numPr>
        <w:spacing w:before="120" w:after="120" w:line="288" w:lineRule="auto"/>
        <w:ind w:left="0"/>
        <w:jc w:val="left"/>
      </w:pPr>
      <w:r>
        <w:rPr>
          <w:rFonts w:ascii="Arial" w:hAnsi="Arial" w:eastAsia="等线" w:cs="Arial"/>
          <w:sz w:val="22"/>
        </w:rPr>
        <w:t>American Depositary Receipt (ADR)</w:t>
      </w:r>
    </w:p>
    <w:p w14:paraId="1AFFE93D">
      <w:pPr>
        <w:numPr>
          <w:ilvl w:val="0"/>
          <w:numId w:val="143"/>
        </w:numPr>
        <w:spacing w:before="120" w:after="120" w:line="288" w:lineRule="auto"/>
        <w:ind w:left="453"/>
        <w:jc w:val="left"/>
      </w:pPr>
      <w:r>
        <w:rPr>
          <w:rFonts w:ascii="Arial" w:hAnsi="Arial" w:eastAsia="等线" w:cs="Arial"/>
          <w:sz w:val="22"/>
        </w:rPr>
        <w:t>含义：美国存托凭证，由美国银行发行的、代表外国公司股票的可交易凭证。ADR 使美国投资者无需直接购买外国股票，即可在美股市场投资外国公司，股息以美元支付，但投资者需承担currency risk（汇率风险）。</w:t>
      </w:r>
    </w:p>
    <w:p w14:paraId="5F539B31">
      <w:pPr>
        <w:numPr>
          <w:ilvl w:val="0"/>
          <w:numId w:val="144"/>
        </w:numPr>
        <w:spacing w:before="120" w:after="120" w:line="288" w:lineRule="auto"/>
        <w:ind w:left="453"/>
        <w:jc w:val="left"/>
      </w:pPr>
      <w:r>
        <w:rPr>
          <w:rFonts w:ascii="Arial" w:hAnsi="Arial" w:eastAsia="等线" w:cs="Arial"/>
          <w:sz w:val="22"/>
        </w:rPr>
        <w:t>例句：The ADR of the German automaker trades on the NASDAQ, allowing U.S. investors to easily invest in the company without dealing with foreign exchanges.（这家德国汽车制造商的 ADR 在纳斯达克交易，美国投资者无需通过外国交易所即可轻松投资该公司。）</w:t>
      </w:r>
    </w:p>
    <w:p w14:paraId="7D707516">
      <w:pPr>
        <w:numPr>
          <w:ilvl w:val="0"/>
          <w:numId w:val="145"/>
        </w:numPr>
        <w:spacing w:before="120" w:after="120" w:line="288" w:lineRule="auto"/>
        <w:ind w:left="453"/>
        <w:jc w:val="left"/>
      </w:pPr>
      <w:r>
        <w:rPr>
          <w:rFonts w:ascii="Arial" w:hAnsi="Arial" w:eastAsia="等线" w:cs="Arial"/>
          <w:sz w:val="22"/>
        </w:rPr>
        <w:t>文档依据：对应（Opening national borders: ADRs），文中说明 ADR 由美国托管银行（custodian bank）持有外国股票，投资者通过 ADR 间接享有外国公司的股东权益。</w:t>
      </w:r>
    </w:p>
    <w:p w14:paraId="0DA57FB7">
      <w:pPr>
        <w:numPr>
          <w:ilvl w:val="0"/>
          <w:numId w:val="146"/>
        </w:numPr>
        <w:spacing w:before="120" w:after="120" w:line="288" w:lineRule="auto"/>
        <w:ind w:left="0"/>
        <w:jc w:val="left"/>
      </w:pPr>
      <w:r>
        <w:rPr>
          <w:rFonts w:ascii="Arial" w:hAnsi="Arial" w:eastAsia="等线" w:cs="Arial"/>
          <w:sz w:val="22"/>
        </w:rPr>
        <w:t>Rights (Subscription rights)</w:t>
      </w:r>
    </w:p>
    <w:p w14:paraId="5622C9AD">
      <w:pPr>
        <w:numPr>
          <w:ilvl w:val="0"/>
          <w:numId w:val="147"/>
        </w:numPr>
        <w:spacing w:before="120" w:after="120" w:line="288" w:lineRule="auto"/>
        <w:ind w:left="453"/>
        <w:jc w:val="left"/>
      </w:pPr>
      <w:r>
        <w:rPr>
          <w:rFonts w:ascii="Arial" w:hAnsi="Arial" w:eastAsia="等线" w:cs="Arial"/>
          <w:sz w:val="22"/>
        </w:rPr>
        <w:t>含义：认股权，公司向现有普通股股东发行的、允许其以subscription price（认购价格，通常低于市场价格） 购买新增股份的短期权利（通常 16-30 天有效）。认股权的目的是让股东维持其在公司的持股比例（preemptive right，优先认购权），且可在二级市场转让。</w:t>
      </w:r>
    </w:p>
    <w:p w14:paraId="2A67AE02">
      <w:pPr>
        <w:numPr>
          <w:ilvl w:val="0"/>
          <w:numId w:val="148"/>
        </w:numPr>
        <w:spacing w:before="120" w:after="120" w:line="288" w:lineRule="auto"/>
        <w:ind w:left="453"/>
        <w:jc w:val="left"/>
      </w:pPr>
      <w:r>
        <w:rPr>
          <w:rFonts w:ascii="Arial" w:hAnsi="Arial" w:eastAsia="等线" w:cs="Arial"/>
          <w:sz w:val="22"/>
        </w:rPr>
        <w:t>例句：Each shareholder received one right for each share owned, enabling them to buy new shares at $20 per share before the public offering.（每位股东每持有 1 股获 1 份认股权，可在公开发行前以每股 20 美元的价格购买新股份。）</w:t>
      </w:r>
    </w:p>
    <w:p w14:paraId="302E11C1">
      <w:pPr>
        <w:numPr>
          <w:ilvl w:val="0"/>
          <w:numId w:val="149"/>
        </w:numPr>
        <w:spacing w:before="120" w:after="120" w:line="288" w:lineRule="auto"/>
        <w:ind w:left="453"/>
        <w:jc w:val="left"/>
      </w:pPr>
      <w:r>
        <w:rPr>
          <w:rFonts w:ascii="Arial" w:hAnsi="Arial" w:eastAsia="等线" w:cs="Arial"/>
          <w:sz w:val="22"/>
        </w:rPr>
        <w:t>文档依据：对应（Rights: The right to buy new shares at a discount），文中强调认股权是普通股股东的固有权利，可帮助股东避免持股比例被稀释。</w:t>
      </w:r>
    </w:p>
    <w:p w14:paraId="4DA8D5A4">
      <w:pPr>
        <w:numPr>
          <w:ilvl w:val="0"/>
          <w:numId w:val="150"/>
        </w:numPr>
        <w:spacing w:before="120" w:after="120" w:line="288" w:lineRule="auto"/>
        <w:ind w:left="0"/>
        <w:jc w:val="left"/>
      </w:pPr>
      <w:r>
        <w:rPr>
          <w:rFonts w:ascii="Arial" w:hAnsi="Arial" w:eastAsia="等线" w:cs="Arial"/>
          <w:sz w:val="22"/>
        </w:rPr>
        <w:t>Warrants</w:t>
      </w:r>
    </w:p>
    <w:p w14:paraId="41DDDAA8">
      <w:pPr>
        <w:numPr>
          <w:ilvl w:val="0"/>
          <w:numId w:val="151"/>
        </w:numPr>
        <w:spacing w:before="120" w:after="120" w:line="288" w:lineRule="auto"/>
        <w:ind w:left="453"/>
        <w:jc w:val="left"/>
      </w:pPr>
      <w:r>
        <w:rPr>
          <w:rFonts w:ascii="Arial" w:hAnsi="Arial" w:eastAsia="等线" w:cs="Arial"/>
          <w:sz w:val="22"/>
        </w:rPr>
        <w:t>含义：认股权证，公司发行的、允许持有者在exercise period（行权期，通常为长期，甚至永久） 内以exercise price（行权价格，通常高于发行时的普通股市场价格） 购买普通股的证券。认股权证常与债券或优先股捆绑发行（作为 “sweetener，甜头” 吸引投资者），也可单独在二级市场交易。</w:t>
      </w:r>
    </w:p>
    <w:p w14:paraId="4CAB9A2B">
      <w:pPr>
        <w:numPr>
          <w:ilvl w:val="0"/>
          <w:numId w:val="152"/>
        </w:numPr>
        <w:spacing w:before="120" w:after="120" w:line="288" w:lineRule="auto"/>
        <w:ind w:left="453"/>
        <w:jc w:val="left"/>
      </w:pPr>
      <w:r>
        <w:rPr>
          <w:rFonts w:ascii="Arial" w:hAnsi="Arial" w:eastAsia="等线" w:cs="Arial"/>
          <w:sz w:val="22"/>
        </w:rPr>
        <w:t>例句：The warrants issued with the bonds allow investors to buy common stock at $35 per share until 2035, providing potential upside if the stock price rises.（与债券捆绑发行的认股权证允许投资者在 2035 年前以每股 35 美元购买普通股，若股价上涨，投资者可获得潜在收益。）</w:t>
      </w:r>
    </w:p>
    <w:p w14:paraId="7A9BF1F1">
      <w:pPr>
        <w:numPr>
          <w:ilvl w:val="0"/>
          <w:numId w:val="153"/>
        </w:numPr>
        <w:spacing w:before="120" w:after="120" w:line="288" w:lineRule="auto"/>
        <w:ind w:left="453"/>
        <w:jc w:val="left"/>
      </w:pPr>
      <w:r>
        <w:rPr>
          <w:rFonts w:ascii="Arial" w:hAnsi="Arial" w:eastAsia="等线" w:cs="Arial"/>
          <w:sz w:val="22"/>
        </w:rPr>
        <w:t>文档依据：对应（Warrants: The right to buy shares of stock at a fixed price），文中指出认股权证与认股权的核心区别在于 “行权期更长” 和 “行权价格通常更高”。</w:t>
      </w:r>
    </w:p>
    <w:p w14:paraId="528921C8">
      <w:pPr>
        <w:spacing w:before="320" w:after="120" w:line="288" w:lineRule="auto"/>
        <w:ind w:left="0"/>
        <w:jc w:val="left"/>
        <w:outlineLvl w:val="1"/>
      </w:pPr>
      <w:bookmarkStart w:id="37" w:name="heading_37"/>
      <w:r>
        <w:rPr>
          <w:rFonts w:ascii="Arial" w:hAnsi="Arial" w:eastAsia="等线" w:cs="Arial"/>
          <w:color w:val="3370FF"/>
          <w:sz w:val="32"/>
        </w:rPr>
        <w:t xml:space="preserve">4.4 </w:t>
      </w:r>
      <w:r>
        <w:rPr>
          <w:rFonts w:ascii="Arial" w:hAnsi="Arial" w:eastAsia="等线" w:cs="Arial"/>
          <w:b/>
          <w:sz w:val="32"/>
        </w:rPr>
        <w:t>公司行为与股东权益相关</w:t>
      </w:r>
      <w:bookmarkEnd w:id="37"/>
    </w:p>
    <w:p w14:paraId="0D3380B6">
      <w:pPr>
        <w:numPr>
          <w:ilvl w:val="0"/>
          <w:numId w:val="154"/>
        </w:numPr>
        <w:spacing w:before="120" w:after="120" w:line="288" w:lineRule="auto"/>
        <w:ind w:left="0"/>
        <w:jc w:val="left"/>
      </w:pPr>
      <w:r>
        <w:rPr>
          <w:rFonts w:ascii="Arial" w:hAnsi="Arial" w:eastAsia="等线" w:cs="Arial"/>
          <w:sz w:val="22"/>
        </w:rPr>
        <w:t>Stock dividend</w:t>
      </w:r>
    </w:p>
    <w:p w14:paraId="2A5C789E">
      <w:pPr>
        <w:numPr>
          <w:ilvl w:val="0"/>
          <w:numId w:val="155"/>
        </w:numPr>
        <w:spacing w:before="120" w:after="120" w:line="288" w:lineRule="auto"/>
        <w:ind w:left="453"/>
        <w:jc w:val="left"/>
      </w:pPr>
      <w:r>
        <w:rPr>
          <w:rFonts w:ascii="Arial" w:hAnsi="Arial" w:eastAsia="等线" w:cs="Arial"/>
          <w:sz w:val="22"/>
        </w:rPr>
        <w:t>含义：股票股息，公司以额外股份而非现金形式向股东分配的股息，通常按现有持股比例发放（如 10% 股票股息即每 10 股送 1 股）。股票股息不改变股东总投资价值，但会增加股份数量、降低每股价格，且无需缴纳当期税款（税款在股份出售时缴纳）。</w:t>
      </w:r>
    </w:p>
    <w:p w14:paraId="71E24F58">
      <w:pPr>
        <w:numPr>
          <w:ilvl w:val="0"/>
          <w:numId w:val="156"/>
        </w:numPr>
        <w:spacing w:before="120" w:after="120" w:line="288" w:lineRule="auto"/>
        <w:ind w:left="453"/>
        <w:jc w:val="left"/>
      </w:pPr>
      <w:r>
        <w:rPr>
          <w:rFonts w:ascii="Arial" w:hAnsi="Arial" w:eastAsia="等线" w:cs="Arial"/>
          <w:sz w:val="22"/>
        </w:rPr>
        <w:t>例句：After a 10% stock dividend, a shareholder with 400 shares at $33 per share will own 440 shares at $30 per share, with total value remaining $13,200.（10% 股票股息后，原持有 400 股、每股 33 美元的股东，将持有 440 股、每股 30 美元的股票，总价值仍为 13,200 美元。）</w:t>
      </w:r>
    </w:p>
    <w:p w14:paraId="3AA096B5">
      <w:pPr>
        <w:numPr>
          <w:ilvl w:val="0"/>
          <w:numId w:val="157"/>
        </w:numPr>
        <w:spacing w:before="120" w:after="120" w:line="288" w:lineRule="auto"/>
        <w:ind w:left="453"/>
        <w:jc w:val="left"/>
      </w:pPr>
      <w:r>
        <w:rPr>
          <w:rFonts w:ascii="Arial" w:hAnsi="Arial" w:eastAsia="等线" w:cs="Arial"/>
          <w:sz w:val="22"/>
        </w:rPr>
        <w:t>文档依据：对应（Stock dividends），文中通过实例计算说明股票股息对股东持股数量和股价的影响，强调其 “非应税性” 和 “维持总价值不变” 的特征。</w:t>
      </w:r>
    </w:p>
    <w:p w14:paraId="3B0FC860">
      <w:pPr>
        <w:numPr>
          <w:ilvl w:val="0"/>
          <w:numId w:val="158"/>
        </w:numPr>
        <w:spacing w:before="120" w:after="120" w:line="288" w:lineRule="auto"/>
        <w:ind w:left="0"/>
        <w:jc w:val="left"/>
      </w:pPr>
      <w:r>
        <w:rPr>
          <w:rFonts w:ascii="Arial" w:hAnsi="Arial" w:eastAsia="等线" w:cs="Arial"/>
          <w:sz w:val="22"/>
        </w:rPr>
        <w:t>Reverse stock split</w:t>
      </w:r>
    </w:p>
    <w:p w14:paraId="5B4685EA">
      <w:pPr>
        <w:numPr>
          <w:ilvl w:val="0"/>
          <w:numId w:val="159"/>
        </w:numPr>
        <w:spacing w:before="120" w:after="120" w:line="288" w:lineRule="auto"/>
        <w:ind w:left="453"/>
        <w:jc w:val="left"/>
      </w:pPr>
      <w:r>
        <w:rPr>
          <w:rFonts w:ascii="Arial" w:hAnsi="Arial" w:eastAsia="等线" w:cs="Arial"/>
          <w:sz w:val="22"/>
        </w:rPr>
        <w:t>含义：反向股票分割，公司通过减少股份数量、提高每股价格的行为（如 1-for-5 反向分割即 5 股合并为 1 股），通常用于避免股票因价格过低被交易所退市。反向分割后股东总投资价值不变，但股份数量按分割比例减少，每股价格按比例上升。</w:t>
      </w:r>
    </w:p>
    <w:p w14:paraId="36FBD0D4">
      <w:pPr>
        <w:numPr>
          <w:ilvl w:val="0"/>
          <w:numId w:val="160"/>
        </w:numPr>
        <w:spacing w:before="120" w:after="120" w:line="288" w:lineRule="auto"/>
        <w:ind w:left="453"/>
        <w:jc w:val="left"/>
      </w:pPr>
      <w:r>
        <w:rPr>
          <w:rFonts w:ascii="Arial" w:hAnsi="Arial" w:eastAsia="等线" w:cs="Arial"/>
          <w:sz w:val="22"/>
        </w:rPr>
        <w:t>例句：The company implemented a 1-for-5 reverse stock split to increase its stock price from $2 to $10, meeting the exchange’s minimum price requirement.（该公司实施 1 比 5 的反向股票分割，将股价从 2 美元提升至 10 美元，满足交易所的最低股价要求。）</w:t>
      </w:r>
    </w:p>
    <w:p w14:paraId="19CFA9A5">
      <w:pPr>
        <w:numPr>
          <w:ilvl w:val="0"/>
          <w:numId w:val="161"/>
        </w:numPr>
        <w:spacing w:before="120" w:after="120" w:line="288" w:lineRule="auto"/>
        <w:ind w:left="453"/>
        <w:jc w:val="left"/>
      </w:pPr>
      <w:r>
        <w:rPr>
          <w:rFonts w:ascii="Arial" w:hAnsi="Arial" w:eastAsia="等线" w:cs="Arial"/>
          <w:sz w:val="22"/>
        </w:rPr>
        <w:t>文档依据：对应（Reverse stock splits），文中指出反向分割与正向分割的操作相反，核心目的是 “提升股价以维持上市资格”。</w:t>
      </w:r>
    </w:p>
    <w:p w14:paraId="5FF1FE80">
      <w:pPr>
        <w:numPr>
          <w:ilvl w:val="0"/>
          <w:numId w:val="162"/>
        </w:numPr>
        <w:spacing w:before="120" w:after="120" w:line="288" w:lineRule="auto"/>
        <w:ind w:left="0"/>
        <w:jc w:val="left"/>
      </w:pPr>
      <w:r>
        <w:rPr>
          <w:rFonts w:ascii="Arial" w:hAnsi="Arial" w:eastAsia="等线" w:cs="Arial"/>
          <w:sz w:val="22"/>
        </w:rPr>
        <w:t>Liquidation priority</w:t>
      </w:r>
    </w:p>
    <w:p w14:paraId="172B5C01">
      <w:pPr>
        <w:numPr>
          <w:ilvl w:val="0"/>
          <w:numId w:val="163"/>
        </w:numPr>
        <w:spacing w:before="120" w:after="120" w:line="288" w:lineRule="auto"/>
        <w:ind w:left="453"/>
        <w:jc w:val="left"/>
      </w:pPr>
      <w:r>
        <w:rPr>
          <w:rFonts w:ascii="Arial" w:hAnsi="Arial" w:eastAsia="等线" w:cs="Arial"/>
          <w:sz w:val="22"/>
        </w:rPr>
        <w:t>含义：清算优先级，公司破产清算时资产分配的顺序，其中优先股股东的受偿顺序位于 creditors（债权人，含有担保债权人和无担保债权人） 之后、common stockholders（普通股股东） 之前。这是优先股 “优先性” 的核心体现。</w:t>
      </w:r>
    </w:p>
    <w:p w14:paraId="5F7E7815">
      <w:pPr>
        <w:numPr>
          <w:ilvl w:val="0"/>
          <w:numId w:val="164"/>
        </w:numPr>
        <w:spacing w:before="120" w:after="120" w:line="288" w:lineRule="auto"/>
        <w:ind w:left="453"/>
        <w:jc w:val="left"/>
      </w:pPr>
      <w:r>
        <w:rPr>
          <w:rFonts w:ascii="Arial" w:hAnsi="Arial" w:eastAsia="等线" w:cs="Arial"/>
          <w:sz w:val="22"/>
        </w:rPr>
        <w:t>例句：In the event of bankruptcy, secured creditors will be paid first, followed by general creditors, subordinated debenture holders, preferred stockholders, and finally common stockholders.（破产清算时，有担保债权人优先受偿，随后是无担保债权人、次级债券持有人、优先股股东，最后是普通股股东。）</w:t>
      </w:r>
    </w:p>
    <w:p w14:paraId="35D95D77">
      <w:pPr>
        <w:numPr>
          <w:ilvl w:val="0"/>
          <w:numId w:val="165"/>
        </w:numPr>
        <w:spacing w:before="120" w:after="120" w:line="288" w:lineRule="auto"/>
        <w:ind w:left="453"/>
        <w:jc w:val="left"/>
      </w:pPr>
      <w:r>
        <w:rPr>
          <w:rFonts w:ascii="Arial" w:hAnsi="Arial" w:eastAsia="等线" w:cs="Arial"/>
          <w:sz w:val="22"/>
        </w:rPr>
        <w:t>文档依据：对应（Considering corporate actions），文中详细列出了公司破产清算时的资产分配顺序，明确优先股股东的受偿位置。</w:t>
      </w:r>
    </w:p>
    <w:p w14:paraId="5DB4CEE7">
      <w:pPr>
        <w:spacing w:before="380" w:after="140" w:line="288" w:lineRule="auto"/>
        <w:ind w:left="0"/>
        <w:jc w:val="left"/>
        <w:outlineLvl w:val="0"/>
      </w:pPr>
      <w:bookmarkStart w:id="38" w:name="heading_38"/>
      <w:r>
        <w:rPr>
          <w:rFonts w:ascii="Arial" w:hAnsi="Arial" w:eastAsia="等线" w:cs="Arial"/>
          <w:color w:val="3370FF"/>
          <w:sz w:val="36"/>
        </w:rPr>
        <w:t xml:space="preserve">5. </w:t>
      </w:r>
      <w:r>
        <w:rPr>
          <w:rFonts w:ascii="Arial" w:hAnsi="Arial" w:eastAsia="等线" w:cs="Arial"/>
          <w:b/>
          <w:sz w:val="36"/>
        </w:rPr>
        <w:t>例题与答案</w:t>
      </w:r>
      <w:bookmarkEnd w:id="38"/>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2F595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E1EAFF"/>
            <w:tcMar>
              <w:top w:w="60" w:type="dxa"/>
              <w:left w:w="120" w:type="dxa"/>
              <w:bottom w:w="30" w:type="dxa"/>
              <w:right w:w="120" w:type="dxa"/>
            </w:tcMar>
          </w:tcPr>
          <w:p w14:paraId="03E0FB97">
            <w:pPr>
              <w:numPr>
                <w:ilvl w:val="0"/>
                <w:numId w:val="166"/>
              </w:numPr>
              <w:spacing w:before="120" w:after="120" w:line="288" w:lineRule="auto"/>
              <w:ind w:left="0"/>
              <w:jc w:val="left"/>
            </w:pPr>
            <w:r>
              <w:rPr>
                <w:rFonts w:ascii="Arial" w:hAnsi="Arial" w:eastAsia="等线" w:cs="Arial"/>
                <w:sz w:val="22"/>
              </w:rPr>
              <w:t>Common stockholders have the right to vote for which of the following?</w:t>
            </w:r>
          </w:p>
          <w:p w14:paraId="1DC73EA9">
            <w:pPr>
              <w:spacing w:before="120" w:after="120" w:line="288" w:lineRule="auto"/>
              <w:ind w:left="453"/>
              <w:jc w:val="left"/>
            </w:pPr>
            <w:r>
              <w:rPr>
                <w:rFonts w:ascii="Arial" w:hAnsi="Arial" w:eastAsia="等线" w:cs="Arial"/>
                <w:sz w:val="22"/>
              </w:rPr>
              <w:t>I. Stock splits</w:t>
            </w:r>
          </w:p>
          <w:p w14:paraId="3A259F8F">
            <w:pPr>
              <w:spacing w:before="120" w:after="120" w:line="288" w:lineRule="auto"/>
              <w:ind w:left="453"/>
              <w:jc w:val="left"/>
            </w:pPr>
            <w:r>
              <w:rPr>
                <w:rFonts w:ascii="Arial" w:hAnsi="Arial" w:eastAsia="等线" w:cs="Arial"/>
                <w:sz w:val="22"/>
              </w:rPr>
              <w:t>II. Cash dividends</w:t>
            </w:r>
          </w:p>
          <w:p w14:paraId="3F92645F">
            <w:pPr>
              <w:spacing w:before="120" w:after="120" w:line="288" w:lineRule="auto"/>
              <w:ind w:left="453"/>
              <w:jc w:val="left"/>
            </w:pPr>
            <w:r>
              <w:rPr>
                <w:rFonts w:ascii="Arial" w:hAnsi="Arial" w:eastAsia="等线" w:cs="Arial"/>
                <w:sz w:val="22"/>
              </w:rPr>
              <w:t>III. Board of directors</w:t>
            </w:r>
          </w:p>
          <w:p w14:paraId="57AFA1E1">
            <w:pPr>
              <w:spacing w:before="120" w:after="120" w:line="288" w:lineRule="auto"/>
              <w:ind w:left="453"/>
              <w:jc w:val="left"/>
            </w:pPr>
            <w:r>
              <w:rPr>
                <w:rFonts w:ascii="Arial" w:hAnsi="Arial" w:eastAsia="等线" w:cs="Arial"/>
                <w:sz w:val="22"/>
              </w:rPr>
              <w:t>(A) I and II</w:t>
            </w:r>
          </w:p>
          <w:p w14:paraId="67F2F846">
            <w:pPr>
              <w:spacing w:before="120" w:after="120" w:line="288" w:lineRule="auto"/>
              <w:ind w:left="453"/>
              <w:jc w:val="left"/>
            </w:pPr>
            <w:r>
              <w:rPr>
                <w:rFonts w:ascii="Arial" w:hAnsi="Arial" w:eastAsia="等线" w:cs="Arial"/>
                <w:sz w:val="22"/>
              </w:rPr>
              <w:t>(B) I and III</w:t>
            </w:r>
          </w:p>
          <w:p w14:paraId="1662AB2C">
            <w:pPr>
              <w:spacing w:before="120" w:after="120" w:line="288" w:lineRule="auto"/>
              <w:ind w:left="453"/>
              <w:jc w:val="left"/>
            </w:pPr>
            <w:r>
              <w:rPr>
                <w:rFonts w:ascii="Arial" w:hAnsi="Arial" w:eastAsia="等线" w:cs="Arial"/>
                <w:sz w:val="22"/>
              </w:rPr>
              <w:t>(C) II and III</w:t>
            </w:r>
          </w:p>
          <w:p w14:paraId="40BCCCF8">
            <w:pPr>
              <w:spacing w:before="120" w:after="120" w:line="288" w:lineRule="auto"/>
              <w:ind w:left="453"/>
              <w:jc w:val="left"/>
            </w:pPr>
            <w:r>
              <w:rPr>
                <w:rFonts w:ascii="Arial" w:hAnsi="Arial" w:eastAsia="等线" w:cs="Arial"/>
                <w:sz w:val="22"/>
              </w:rPr>
              <w:t>(D) I, II, and III</w:t>
            </w:r>
          </w:p>
          <w:p w14:paraId="5ADBF5A5">
            <w:pPr>
              <w:spacing w:before="120" w:after="120" w:line="288" w:lineRule="auto"/>
              <w:ind w:left="453"/>
              <w:jc w:val="left"/>
            </w:pPr>
          </w:p>
          <w:p w14:paraId="0A9283F1">
            <w:pPr>
              <w:numPr>
                <w:ilvl w:val="0"/>
                <w:numId w:val="167"/>
              </w:numPr>
              <w:spacing w:before="120" w:after="120" w:line="288" w:lineRule="auto"/>
              <w:ind w:left="0"/>
              <w:jc w:val="left"/>
            </w:pPr>
            <w:r>
              <w:rPr>
                <w:rFonts w:ascii="Arial" w:hAnsi="Arial" w:eastAsia="等线" w:cs="Arial"/>
                <w:sz w:val="22"/>
              </w:rPr>
              <w:t>Ayla K. owns 2,000 shares of JKL common stock. JKL has four vacancies on the board of direc-</w:t>
            </w:r>
          </w:p>
          <w:p w14:paraId="3F90775B">
            <w:pPr>
              <w:spacing w:before="120" w:after="120" w:line="288" w:lineRule="auto"/>
              <w:ind w:left="453"/>
              <w:jc w:val="left"/>
            </w:pPr>
            <w:r>
              <w:rPr>
                <w:rFonts w:ascii="Arial" w:hAnsi="Arial" w:eastAsia="等线" w:cs="Arial"/>
                <w:sz w:val="22"/>
              </w:rPr>
              <w:t>tors. If the voting is cumulative, Ayla may vote in any of the following ways except</w:t>
            </w:r>
          </w:p>
          <w:p w14:paraId="70BFE3BB">
            <w:pPr>
              <w:spacing w:before="120" w:after="120" w:line="288" w:lineRule="auto"/>
              <w:ind w:left="453"/>
              <w:jc w:val="left"/>
            </w:pPr>
            <w:r>
              <w:rPr>
                <w:rFonts w:ascii="Arial" w:hAnsi="Arial" w:eastAsia="等线" w:cs="Arial"/>
                <w:sz w:val="22"/>
              </w:rPr>
              <w:t>(A) 2,000 votes for each of the four candidate positions</w:t>
            </w:r>
          </w:p>
          <w:p w14:paraId="61B5A574">
            <w:pPr>
              <w:spacing w:before="120" w:after="120" w:line="288" w:lineRule="auto"/>
              <w:ind w:left="453"/>
              <w:jc w:val="left"/>
            </w:pPr>
            <w:r>
              <w:rPr>
                <w:rFonts w:ascii="Arial" w:hAnsi="Arial" w:eastAsia="等线" w:cs="Arial"/>
                <w:sz w:val="22"/>
              </w:rPr>
              <w:t>(B) 4,000 votes each for two candidate positions</w:t>
            </w:r>
          </w:p>
          <w:p w14:paraId="3EDB465D">
            <w:pPr>
              <w:spacing w:before="120" w:after="120" w:line="288" w:lineRule="auto"/>
              <w:ind w:left="453"/>
              <w:jc w:val="left"/>
            </w:pPr>
            <w:r>
              <w:rPr>
                <w:rFonts w:ascii="Arial" w:hAnsi="Arial" w:eastAsia="等线" w:cs="Arial"/>
                <w:sz w:val="22"/>
              </w:rPr>
              <w:t>(C) 5,000 votes for one candidate position and 3,000 votes for another candidate position</w:t>
            </w:r>
          </w:p>
          <w:p w14:paraId="1DF10A92">
            <w:pPr>
              <w:spacing w:before="120" w:after="120" w:line="288" w:lineRule="auto"/>
              <w:ind w:left="453"/>
              <w:jc w:val="left"/>
            </w:pPr>
            <w:r>
              <w:rPr>
                <w:rFonts w:ascii="Arial" w:hAnsi="Arial" w:eastAsia="等线" w:cs="Arial"/>
                <w:sz w:val="22"/>
              </w:rPr>
              <w:t>(D) 3,000 votes for each of three candidate positions</w:t>
            </w:r>
          </w:p>
          <w:p w14:paraId="74A671FD">
            <w:pPr>
              <w:spacing w:before="120" w:after="120" w:line="288" w:lineRule="auto"/>
              <w:ind w:left="0"/>
              <w:jc w:val="left"/>
            </w:pPr>
          </w:p>
          <w:p w14:paraId="4C7FF7F2">
            <w:pPr>
              <w:numPr>
                <w:ilvl w:val="0"/>
                <w:numId w:val="168"/>
              </w:numPr>
              <w:spacing w:before="120" w:after="120" w:line="288" w:lineRule="auto"/>
              <w:ind w:left="0"/>
              <w:jc w:val="left"/>
            </w:pPr>
            <w:r>
              <w:rPr>
                <w:rFonts w:ascii="Arial" w:hAnsi="Arial" w:eastAsia="等线" w:cs="Arial"/>
                <w:sz w:val="22"/>
              </w:rPr>
              <w:t>DIMM Corporation has just declared bankruptcy. Remaining assets would be distributed in</w:t>
            </w:r>
          </w:p>
          <w:p w14:paraId="6D176C77">
            <w:pPr>
              <w:spacing w:before="120" w:after="120" w:line="288" w:lineRule="auto"/>
              <w:ind w:left="453"/>
              <w:jc w:val="left"/>
            </w:pPr>
            <w:r>
              <w:rPr>
                <w:rFonts w:ascii="Arial" w:hAnsi="Arial" w:eastAsia="等线" w:cs="Arial"/>
                <w:sz w:val="22"/>
              </w:rPr>
              <w:t>which way (from first to last)?</w:t>
            </w:r>
          </w:p>
          <w:p w14:paraId="0338E9DC">
            <w:pPr>
              <w:spacing w:before="120" w:after="120" w:line="288" w:lineRule="auto"/>
              <w:ind w:left="453"/>
              <w:jc w:val="left"/>
            </w:pPr>
            <w:r>
              <w:rPr>
                <w:rFonts w:ascii="Arial" w:hAnsi="Arial" w:eastAsia="等线" w:cs="Arial"/>
                <w:sz w:val="22"/>
              </w:rPr>
              <w:t>(A) IRS, unpaid workers, general creditors, preferred stockholders, secured creditors, subor-</w:t>
            </w:r>
          </w:p>
          <w:p w14:paraId="140BC2ED">
            <w:pPr>
              <w:spacing w:before="120" w:after="120" w:line="288" w:lineRule="auto"/>
              <w:ind w:left="453"/>
              <w:jc w:val="left"/>
            </w:pPr>
            <w:r>
              <w:rPr>
                <w:rFonts w:ascii="Arial" w:hAnsi="Arial" w:eastAsia="等线" w:cs="Arial"/>
                <w:sz w:val="22"/>
              </w:rPr>
              <w:t>dinated debenture holders, and common stockholders</w:t>
            </w:r>
          </w:p>
          <w:p w14:paraId="4562E056">
            <w:pPr>
              <w:spacing w:before="120" w:after="120" w:line="288" w:lineRule="auto"/>
              <w:ind w:left="453"/>
              <w:jc w:val="left"/>
            </w:pPr>
            <w:r>
              <w:rPr>
                <w:rFonts w:ascii="Arial" w:hAnsi="Arial" w:eastAsia="等线" w:cs="Arial"/>
                <w:sz w:val="22"/>
              </w:rPr>
              <w:t>(B) Common stockholders, general creditors, preferred stockholders, subordinated debenture</w:t>
            </w:r>
          </w:p>
          <w:p w14:paraId="10CB6BD0">
            <w:pPr>
              <w:spacing w:before="120" w:after="120" w:line="288" w:lineRule="auto"/>
              <w:ind w:left="453"/>
              <w:jc w:val="left"/>
            </w:pPr>
            <w:r>
              <w:rPr>
                <w:rFonts w:ascii="Arial" w:hAnsi="Arial" w:eastAsia="等线" w:cs="Arial"/>
                <w:sz w:val="22"/>
              </w:rPr>
              <w:t>holders, secured creditors, IRS, and unpaid workers</w:t>
            </w:r>
          </w:p>
          <w:p w14:paraId="08CFDE04">
            <w:pPr>
              <w:spacing w:before="120" w:after="120" w:line="288" w:lineRule="auto"/>
              <w:ind w:left="453"/>
              <w:jc w:val="left"/>
            </w:pPr>
            <w:r>
              <w:rPr>
                <w:rFonts w:ascii="Arial" w:hAnsi="Arial" w:eastAsia="等线" w:cs="Arial"/>
                <w:sz w:val="22"/>
              </w:rPr>
              <w:t>(C) Unpaid workers, IRS, secured creditors, general creditors, subordinated debenture hold-</w:t>
            </w:r>
          </w:p>
          <w:p w14:paraId="231A0744">
            <w:pPr>
              <w:spacing w:before="120" w:after="120" w:line="288" w:lineRule="auto"/>
              <w:ind w:left="453"/>
              <w:jc w:val="left"/>
            </w:pPr>
            <w:r>
              <w:rPr>
                <w:rFonts w:ascii="Arial" w:hAnsi="Arial" w:eastAsia="等线" w:cs="Arial"/>
                <w:sz w:val="22"/>
              </w:rPr>
              <w:t>ers, preferred stockholders, and common stockholders</w:t>
            </w:r>
          </w:p>
          <w:p w14:paraId="3E460FED">
            <w:pPr>
              <w:spacing w:before="120" w:after="120" w:line="288" w:lineRule="auto"/>
              <w:ind w:left="453"/>
              <w:jc w:val="left"/>
            </w:pPr>
            <w:r>
              <w:rPr>
                <w:rFonts w:ascii="Arial" w:hAnsi="Arial" w:eastAsia="等线" w:cs="Arial"/>
                <w:sz w:val="22"/>
              </w:rPr>
              <w:t>(D) IRS, unpaid workers, secured creditors, subordinated debenture holders, general creditors,</w:t>
            </w:r>
          </w:p>
          <w:p w14:paraId="7586487C">
            <w:pPr>
              <w:spacing w:before="120" w:after="120" w:line="288" w:lineRule="auto"/>
              <w:ind w:left="453"/>
              <w:jc w:val="left"/>
            </w:pPr>
            <w:r>
              <w:rPr>
                <w:rFonts w:ascii="Arial" w:hAnsi="Arial" w:eastAsia="等线" w:cs="Arial"/>
                <w:sz w:val="22"/>
              </w:rPr>
              <w:t>preferred stockholders, and common stockholders</w:t>
            </w:r>
          </w:p>
          <w:p w14:paraId="585D90BB">
            <w:pPr>
              <w:spacing w:before="120" w:after="120" w:line="288" w:lineRule="auto"/>
              <w:ind w:left="0"/>
              <w:jc w:val="left"/>
            </w:pPr>
          </w:p>
          <w:p w14:paraId="3371B2A4">
            <w:pPr>
              <w:numPr>
                <w:ilvl w:val="0"/>
                <w:numId w:val="169"/>
              </w:numPr>
              <w:spacing w:before="120" w:after="120" w:line="288" w:lineRule="auto"/>
              <w:ind w:left="0"/>
              <w:jc w:val="left"/>
            </w:pPr>
            <w:r>
              <w:rPr>
                <w:rFonts w:ascii="Arial" w:hAnsi="Arial" w:eastAsia="等线" w:cs="Arial"/>
                <w:sz w:val="22"/>
              </w:rPr>
              <w:t>Which of the following preferred stocks would most likely pay the highest dividend if issued by</w:t>
            </w:r>
          </w:p>
          <w:p w14:paraId="3577389C">
            <w:pPr>
              <w:spacing w:before="120" w:after="120" w:line="288" w:lineRule="auto"/>
              <w:ind w:left="453"/>
              <w:jc w:val="left"/>
            </w:pPr>
            <w:r>
              <w:rPr>
                <w:rFonts w:ascii="Arial" w:hAnsi="Arial" w:eastAsia="等线" w:cs="Arial"/>
                <w:sz w:val="22"/>
              </w:rPr>
              <w:t>the same corporation?</w:t>
            </w:r>
          </w:p>
          <w:p w14:paraId="40B69EDE">
            <w:pPr>
              <w:spacing w:before="120" w:after="120" w:line="288" w:lineRule="auto"/>
              <w:ind w:left="453"/>
              <w:jc w:val="left"/>
            </w:pPr>
            <w:r>
              <w:rPr>
                <w:rFonts w:ascii="Arial" w:hAnsi="Arial" w:eastAsia="等线" w:cs="Arial"/>
                <w:sz w:val="22"/>
              </w:rPr>
              <w:t>(A) Callable preferred</w:t>
            </w:r>
          </w:p>
          <w:p w14:paraId="7C94E17E">
            <w:pPr>
              <w:spacing w:before="120" w:after="120" w:line="288" w:lineRule="auto"/>
              <w:ind w:left="453"/>
              <w:jc w:val="left"/>
            </w:pPr>
            <w:r>
              <w:rPr>
                <w:rFonts w:ascii="Arial" w:hAnsi="Arial" w:eastAsia="等线" w:cs="Arial"/>
                <w:sz w:val="22"/>
              </w:rPr>
              <w:t>(B) Convertible preferred</w:t>
            </w:r>
          </w:p>
          <w:p w14:paraId="7FAE8BA7">
            <w:pPr>
              <w:spacing w:before="120" w:after="120" w:line="288" w:lineRule="auto"/>
              <w:ind w:left="453"/>
              <w:jc w:val="left"/>
            </w:pPr>
            <w:r>
              <w:rPr>
                <w:rFonts w:ascii="Arial" w:hAnsi="Arial" w:eastAsia="等线" w:cs="Arial"/>
                <w:sz w:val="22"/>
              </w:rPr>
              <w:t>(C) Prior preferred</w:t>
            </w:r>
          </w:p>
          <w:p w14:paraId="7B15E0FB">
            <w:pPr>
              <w:spacing w:before="120" w:after="120" w:line="288" w:lineRule="auto"/>
              <w:ind w:left="453"/>
              <w:jc w:val="left"/>
            </w:pPr>
            <w:r>
              <w:rPr>
                <w:rFonts w:ascii="Arial" w:hAnsi="Arial" w:eastAsia="等线" w:cs="Arial"/>
                <w:sz w:val="22"/>
              </w:rPr>
              <w:t>(D) Can’t be determined</w:t>
            </w:r>
          </w:p>
          <w:p w14:paraId="563E03AB">
            <w:pPr>
              <w:spacing w:before="120" w:after="120" w:line="288" w:lineRule="auto"/>
              <w:ind w:left="0"/>
              <w:jc w:val="left"/>
            </w:pPr>
          </w:p>
          <w:p w14:paraId="564AC112">
            <w:pPr>
              <w:numPr>
                <w:ilvl w:val="0"/>
                <w:numId w:val="170"/>
              </w:numPr>
              <w:spacing w:before="120" w:after="120" w:line="288" w:lineRule="auto"/>
              <w:ind w:left="0"/>
              <w:jc w:val="left"/>
            </w:pPr>
            <w:r>
              <w:rPr>
                <w:rFonts w:ascii="Arial" w:hAnsi="Arial" w:eastAsia="等线" w:cs="Arial"/>
                <w:sz w:val="22"/>
              </w:rPr>
              <w:t>An ABC investor owns 8 percent cumulative preferred stock ($100 par). In the first year, ABC paid $6 in dividends; in the second year, it paid $4 in dividends. If a common dividend is declared the following year, how much must the preferred shareholders receive?</w:t>
            </w:r>
          </w:p>
          <w:p w14:paraId="6FA046E3">
            <w:pPr>
              <w:spacing w:before="120" w:after="120" w:line="288" w:lineRule="auto"/>
              <w:ind w:left="453"/>
              <w:jc w:val="left"/>
            </w:pPr>
            <w:r>
              <w:rPr>
                <w:rFonts w:ascii="Arial" w:hAnsi="Arial" w:eastAsia="等线" w:cs="Arial"/>
                <w:sz w:val="22"/>
              </w:rPr>
              <w:t>(A) $6</w:t>
            </w:r>
          </w:p>
          <w:p w14:paraId="6C643AE4">
            <w:pPr>
              <w:spacing w:before="120" w:after="120" w:line="288" w:lineRule="auto"/>
              <w:ind w:left="453"/>
              <w:jc w:val="left"/>
            </w:pPr>
            <w:r>
              <w:rPr>
                <w:rFonts w:ascii="Arial" w:hAnsi="Arial" w:eastAsia="等线" w:cs="Arial"/>
                <w:sz w:val="22"/>
              </w:rPr>
              <w:t>(B) $8</w:t>
            </w:r>
          </w:p>
          <w:p w14:paraId="23944CCD">
            <w:pPr>
              <w:spacing w:before="120" w:after="120" w:line="288" w:lineRule="auto"/>
              <w:ind w:left="453"/>
              <w:jc w:val="left"/>
            </w:pPr>
            <w:r>
              <w:rPr>
                <w:rFonts w:ascii="Arial" w:hAnsi="Arial" w:eastAsia="等线" w:cs="Arial"/>
                <w:sz w:val="22"/>
              </w:rPr>
              <w:t>(C) $12</w:t>
            </w:r>
          </w:p>
          <w:p w14:paraId="310DC9C9">
            <w:pPr>
              <w:spacing w:before="120" w:after="120" w:line="288" w:lineRule="auto"/>
              <w:ind w:left="453"/>
              <w:jc w:val="left"/>
            </w:pPr>
            <w:r>
              <w:rPr>
                <w:rFonts w:ascii="Arial" w:hAnsi="Arial" w:eastAsia="等线" w:cs="Arial"/>
                <w:sz w:val="22"/>
              </w:rPr>
              <w:t>(D) $14</w:t>
            </w:r>
          </w:p>
          <w:p w14:paraId="3F65D7C7">
            <w:pPr>
              <w:spacing w:before="120" w:after="120" w:line="288" w:lineRule="auto"/>
              <w:ind w:left="0"/>
              <w:jc w:val="left"/>
            </w:pPr>
          </w:p>
          <w:p w14:paraId="2FA11BB0">
            <w:pPr>
              <w:numPr>
                <w:ilvl w:val="0"/>
                <w:numId w:val="171"/>
              </w:numPr>
              <w:spacing w:before="120" w:after="120" w:line="288" w:lineRule="auto"/>
              <w:ind w:left="0"/>
              <w:jc w:val="left"/>
            </w:pPr>
            <w:r>
              <w:rPr>
                <w:rFonts w:ascii="Arial" w:hAnsi="Arial" w:eastAsia="等线" w:cs="Arial"/>
                <w:sz w:val="22"/>
              </w:rPr>
              <w:t>Which of the following are true regarding ADRs?</w:t>
            </w:r>
          </w:p>
          <w:p w14:paraId="1131EC1D">
            <w:pPr>
              <w:spacing w:before="120" w:after="120" w:line="288" w:lineRule="auto"/>
              <w:ind w:left="453"/>
              <w:jc w:val="left"/>
            </w:pPr>
            <w:r>
              <w:rPr>
                <w:rFonts w:ascii="Arial" w:hAnsi="Arial" w:eastAsia="等线" w:cs="Arial"/>
                <w:sz w:val="22"/>
              </w:rPr>
              <w:t>I. They’re receipts for foreign securities in U.S. markets.</w:t>
            </w:r>
          </w:p>
          <w:p w14:paraId="742324E0">
            <w:pPr>
              <w:spacing w:before="120" w:after="120" w:line="288" w:lineRule="auto"/>
              <w:ind w:left="453"/>
              <w:jc w:val="left"/>
            </w:pPr>
            <w:r>
              <w:rPr>
                <w:rFonts w:ascii="Arial" w:hAnsi="Arial" w:eastAsia="等线" w:cs="Arial"/>
                <w:sz w:val="22"/>
              </w:rPr>
              <w:t>II. Dividends are paid in the foreign currency.</w:t>
            </w:r>
          </w:p>
          <w:p w14:paraId="43EC652F">
            <w:pPr>
              <w:spacing w:before="120" w:after="120" w:line="288" w:lineRule="auto"/>
              <w:ind w:left="453"/>
              <w:jc w:val="left"/>
            </w:pPr>
            <w:r>
              <w:rPr>
                <w:rFonts w:ascii="Arial" w:hAnsi="Arial" w:eastAsia="等线" w:cs="Arial"/>
                <w:sz w:val="22"/>
              </w:rPr>
              <w:t>III. They’re negotiable.</w:t>
            </w:r>
          </w:p>
          <w:p w14:paraId="75AD134F">
            <w:pPr>
              <w:spacing w:before="120" w:after="120" w:line="288" w:lineRule="auto"/>
              <w:ind w:left="453"/>
              <w:jc w:val="left"/>
            </w:pPr>
            <w:r>
              <w:rPr>
                <w:rFonts w:ascii="Arial" w:hAnsi="Arial" w:eastAsia="等线" w:cs="Arial"/>
                <w:sz w:val="22"/>
              </w:rPr>
              <w:t>(A) I and III</w:t>
            </w:r>
          </w:p>
          <w:p w14:paraId="4707FC48">
            <w:pPr>
              <w:spacing w:before="120" w:after="120" w:line="288" w:lineRule="auto"/>
              <w:ind w:left="453"/>
              <w:jc w:val="left"/>
            </w:pPr>
            <w:r>
              <w:rPr>
                <w:rFonts w:ascii="Arial" w:hAnsi="Arial" w:eastAsia="等线" w:cs="Arial"/>
                <w:sz w:val="22"/>
              </w:rPr>
              <w:t>(B) I and II</w:t>
            </w:r>
          </w:p>
          <w:p w14:paraId="6A575B69">
            <w:pPr>
              <w:spacing w:before="120" w:after="120" w:line="288" w:lineRule="auto"/>
              <w:ind w:left="453"/>
              <w:jc w:val="left"/>
            </w:pPr>
            <w:r>
              <w:rPr>
                <w:rFonts w:ascii="Arial" w:hAnsi="Arial" w:eastAsia="等线" w:cs="Arial"/>
                <w:sz w:val="22"/>
              </w:rPr>
              <w:t>(C) II and III</w:t>
            </w:r>
          </w:p>
          <w:p w14:paraId="63F29C13">
            <w:pPr>
              <w:spacing w:before="120" w:after="120" w:line="288" w:lineRule="auto"/>
              <w:ind w:left="453"/>
              <w:jc w:val="left"/>
            </w:pPr>
            <w:r>
              <w:rPr>
                <w:rFonts w:ascii="Arial" w:hAnsi="Arial" w:eastAsia="等线" w:cs="Arial"/>
                <w:sz w:val="22"/>
              </w:rPr>
              <w:t>(D) I, II, and III</w:t>
            </w:r>
          </w:p>
          <w:p w14:paraId="18EE1E8B">
            <w:pPr>
              <w:spacing w:before="120" w:after="120" w:line="288" w:lineRule="auto"/>
              <w:ind w:left="0"/>
              <w:jc w:val="left"/>
            </w:pPr>
          </w:p>
          <w:p w14:paraId="7FA8E45C">
            <w:pPr>
              <w:numPr>
                <w:ilvl w:val="0"/>
                <w:numId w:val="172"/>
              </w:numPr>
              <w:spacing w:before="120" w:after="120" w:line="288" w:lineRule="auto"/>
              <w:ind w:left="0"/>
              <w:jc w:val="left"/>
            </w:pPr>
            <w:r>
              <w:rPr>
                <w:rFonts w:ascii="Arial" w:hAnsi="Arial" w:eastAsia="等线" w:cs="Arial"/>
                <w:sz w:val="22"/>
              </w:rPr>
              <w:t>Rights are automatically received by</w:t>
            </w:r>
          </w:p>
          <w:p w14:paraId="43BFF0B7">
            <w:pPr>
              <w:spacing w:before="120" w:after="120" w:line="288" w:lineRule="auto"/>
              <w:ind w:left="453"/>
              <w:jc w:val="left"/>
            </w:pPr>
            <w:r>
              <w:rPr>
                <w:rFonts w:ascii="Arial" w:hAnsi="Arial" w:eastAsia="等线" w:cs="Arial"/>
                <w:sz w:val="22"/>
              </w:rPr>
              <w:t>(A) convertible preferred stockholders</w:t>
            </w:r>
          </w:p>
          <w:p w14:paraId="281A551E">
            <w:pPr>
              <w:spacing w:before="120" w:after="120" w:line="288" w:lineRule="auto"/>
              <w:ind w:left="453"/>
              <w:jc w:val="left"/>
            </w:pPr>
            <w:r>
              <w:rPr>
                <w:rFonts w:ascii="Arial" w:hAnsi="Arial" w:eastAsia="等线" w:cs="Arial"/>
                <w:sz w:val="22"/>
              </w:rPr>
              <w:t>(B) senior preferred stockholders</w:t>
            </w:r>
          </w:p>
          <w:p w14:paraId="1B2B5014">
            <w:pPr>
              <w:spacing w:before="120" w:after="120" w:line="288" w:lineRule="auto"/>
              <w:ind w:left="453"/>
              <w:jc w:val="left"/>
            </w:pPr>
            <w:r>
              <w:rPr>
                <w:rFonts w:ascii="Arial" w:hAnsi="Arial" w:eastAsia="等线" w:cs="Arial"/>
                <w:sz w:val="22"/>
              </w:rPr>
              <w:t>(C) common stockholders</w:t>
            </w:r>
          </w:p>
          <w:p w14:paraId="1F0A849C">
            <w:pPr>
              <w:spacing w:before="120" w:after="120" w:line="288" w:lineRule="auto"/>
              <w:ind w:left="453"/>
              <w:jc w:val="left"/>
            </w:pPr>
            <w:r>
              <w:rPr>
                <w:rFonts w:ascii="Arial" w:hAnsi="Arial" w:eastAsia="等线" w:cs="Arial"/>
                <w:sz w:val="22"/>
              </w:rPr>
              <w:t>(D) both (A) and (B)</w:t>
            </w:r>
          </w:p>
          <w:p w14:paraId="1F0FDE88">
            <w:pPr>
              <w:spacing w:before="120" w:after="120" w:line="288" w:lineRule="auto"/>
              <w:ind w:left="0"/>
              <w:jc w:val="left"/>
            </w:pPr>
          </w:p>
          <w:p w14:paraId="233D4CAD">
            <w:pPr>
              <w:numPr>
                <w:ilvl w:val="0"/>
                <w:numId w:val="173"/>
              </w:numPr>
              <w:spacing w:before="120" w:after="120" w:line="288" w:lineRule="auto"/>
              <w:ind w:left="0"/>
              <w:jc w:val="left"/>
            </w:pPr>
            <w:r>
              <w:rPr>
                <w:rFonts w:ascii="Arial" w:hAnsi="Arial" w:eastAsia="等线" w:cs="Arial"/>
                <w:sz w:val="22"/>
              </w:rPr>
              <w:t>Alyssa H. owns 400 shares of OXX common stock at $33 per share. OXX previously declared a 10 percent stock dividend. Assuming that there’s no change in the market price of OXX before the dividend, what is Alyssa’s position after the dividend?</w:t>
            </w:r>
          </w:p>
          <w:p w14:paraId="2C3FB425">
            <w:pPr>
              <w:spacing w:before="120" w:after="120" w:line="288" w:lineRule="auto"/>
              <w:ind w:left="453"/>
              <w:jc w:val="left"/>
            </w:pPr>
            <w:r>
              <w:rPr>
                <w:rFonts w:ascii="Arial" w:hAnsi="Arial" w:eastAsia="等线" w:cs="Arial"/>
                <w:sz w:val="22"/>
              </w:rPr>
              <w:t>(A) 400 shares at $30</w:t>
            </w:r>
          </w:p>
          <w:p w14:paraId="5067DFB6">
            <w:pPr>
              <w:spacing w:before="120" w:after="120" w:line="288" w:lineRule="auto"/>
              <w:ind w:left="453"/>
              <w:jc w:val="left"/>
            </w:pPr>
            <w:r>
              <w:rPr>
                <w:rFonts w:ascii="Arial" w:hAnsi="Arial" w:eastAsia="等线" w:cs="Arial"/>
                <w:sz w:val="22"/>
              </w:rPr>
              <w:t>(B) 440 shares at $33</w:t>
            </w:r>
          </w:p>
          <w:p w14:paraId="0FC30BB1">
            <w:pPr>
              <w:spacing w:before="120" w:after="120" w:line="288" w:lineRule="auto"/>
              <w:ind w:left="453"/>
              <w:jc w:val="left"/>
            </w:pPr>
            <w:r>
              <w:rPr>
                <w:rFonts w:ascii="Arial" w:hAnsi="Arial" w:eastAsia="等线" w:cs="Arial"/>
                <w:sz w:val="22"/>
              </w:rPr>
              <w:t>(C) 400 shares at $36.30</w:t>
            </w:r>
          </w:p>
          <w:p w14:paraId="2E152673">
            <w:pPr>
              <w:spacing w:before="120" w:after="120" w:line="288" w:lineRule="auto"/>
              <w:ind w:left="453"/>
              <w:jc w:val="left"/>
            </w:pPr>
            <w:r>
              <w:rPr>
                <w:rFonts w:ascii="Arial" w:hAnsi="Arial" w:eastAsia="等线" w:cs="Arial"/>
                <w:sz w:val="22"/>
              </w:rPr>
              <w:t>(D) 440 shares at $30</w:t>
            </w:r>
          </w:p>
          <w:p w14:paraId="52A40CBD">
            <w:pPr>
              <w:spacing w:before="120" w:after="120" w:line="288" w:lineRule="auto"/>
              <w:ind w:left="453"/>
              <w:jc w:val="left"/>
            </w:pPr>
            <w:r>
              <w:rPr>
                <w:rFonts w:ascii="Arial" w:hAnsi="Arial" w:eastAsia="等线" w:cs="Arial"/>
                <w:sz w:val="22"/>
              </w:rPr>
              <w:t>(D) 440 shares at $30</w:t>
            </w:r>
          </w:p>
        </w:tc>
      </w:tr>
    </w:tbl>
    <w:p w14:paraId="2AD4CAB7">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1DD3A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D9F5D6"/>
            <w:tcMar>
              <w:top w:w="60" w:type="dxa"/>
              <w:left w:w="120" w:type="dxa"/>
              <w:bottom w:w="30" w:type="dxa"/>
              <w:right w:w="120" w:type="dxa"/>
            </w:tcMar>
          </w:tcPr>
          <w:p w14:paraId="791B375E">
            <w:pPr>
              <w:spacing w:before="120" w:after="120" w:line="288" w:lineRule="auto"/>
              <w:ind w:left="0"/>
              <w:jc w:val="left"/>
            </w:pPr>
          </w:p>
          <w:p w14:paraId="0CB8F782">
            <w:pPr>
              <w:numPr>
                <w:ilvl w:val="0"/>
                <w:numId w:val="174"/>
              </w:numPr>
              <w:spacing w:before="120" w:after="120" w:line="288" w:lineRule="auto"/>
              <w:ind w:left="0"/>
              <w:jc w:val="left"/>
            </w:pPr>
            <w:r>
              <w:rPr>
                <w:rFonts w:ascii="Arial" w:hAnsi="Arial" w:eastAsia="等线" w:cs="Arial"/>
                <w:b/>
                <w:sz w:val="22"/>
              </w:rPr>
              <w:t>(B) I and III</w:t>
            </w:r>
          </w:p>
          <w:p w14:paraId="13818AE2">
            <w:pPr>
              <w:spacing w:before="120" w:after="120" w:line="288" w:lineRule="auto"/>
              <w:ind w:left="0"/>
              <w:jc w:val="left"/>
            </w:pPr>
            <w:r>
              <w:rPr>
                <w:rFonts w:ascii="Arial" w:hAnsi="Arial" w:eastAsia="等线" w:cs="Arial"/>
                <w:sz w:val="22"/>
              </w:rPr>
              <w:t>解析：普通股股东的核心投票权包括选举董事会成员（III）和批准股票分割（I），因为这两类事项直接影响股东权益结构与公司治理。而现金股息（II）通常由董事会提议，普通股股东一般无直接投票权，仅需对特殊情况下的股息政策调整投票，因此 II 不属于普通股股东的常规投票事项。</w:t>
            </w:r>
          </w:p>
          <w:p w14:paraId="54D69ED9">
            <w:pPr>
              <w:spacing w:before="120" w:after="120" w:line="288" w:lineRule="auto"/>
              <w:ind w:left="0"/>
              <w:jc w:val="left"/>
            </w:pPr>
          </w:p>
          <w:p w14:paraId="513C3CF1">
            <w:pPr>
              <w:numPr>
                <w:ilvl w:val="0"/>
                <w:numId w:val="175"/>
              </w:numPr>
              <w:spacing w:before="120" w:after="120" w:line="288" w:lineRule="auto"/>
              <w:ind w:left="0"/>
              <w:jc w:val="left"/>
            </w:pPr>
            <w:r>
              <w:rPr>
                <w:rFonts w:ascii="Arial" w:hAnsi="Arial" w:eastAsia="等线" w:cs="Arial"/>
                <w:b/>
                <w:sz w:val="22"/>
              </w:rPr>
              <w:t>(D) 3,000 votes for each of three candidate positions</w:t>
            </w:r>
          </w:p>
          <w:p w14:paraId="3BE42499">
            <w:pPr>
              <w:spacing w:before="120" w:after="120" w:line="288" w:lineRule="auto"/>
              <w:ind w:left="0"/>
              <w:jc w:val="left"/>
            </w:pPr>
            <w:r>
              <w:rPr>
                <w:rFonts w:ascii="Arial" w:hAnsi="Arial" w:eastAsia="等线" w:cs="Arial"/>
                <w:sz w:val="22"/>
              </w:rPr>
              <w:t>累积投票制（Cumulative Voting）下，股东总投票权 = 持股数量 × 待选董事人数。Ayla 持股 2,000 股，4 个董事空缺，总投票权 = 2,000 × 4 = 8,000 票，股东可自主分配票数给候选人，但总票数不能超过 8,000 票。</w:t>
            </w:r>
          </w:p>
          <w:p w14:paraId="61786D3F">
            <w:pPr>
              <w:spacing w:before="120" w:after="120" w:line="288" w:lineRule="auto"/>
              <w:ind w:left="0"/>
              <w:jc w:val="left"/>
            </w:pPr>
            <w:r>
              <w:rPr>
                <w:rFonts w:ascii="Arial" w:hAnsi="Arial" w:eastAsia="等线" w:cs="Arial"/>
                <w:sz w:val="22"/>
              </w:rPr>
              <w:t>A 选项：2,000×4=8,000（符合）；</w:t>
            </w:r>
          </w:p>
          <w:p w14:paraId="3CEA592A">
            <w:pPr>
              <w:spacing w:before="120" w:after="120" w:line="288" w:lineRule="auto"/>
              <w:ind w:left="0"/>
              <w:jc w:val="left"/>
            </w:pPr>
            <w:r>
              <w:rPr>
                <w:rFonts w:ascii="Arial" w:hAnsi="Arial" w:eastAsia="等线" w:cs="Arial"/>
                <w:sz w:val="22"/>
              </w:rPr>
              <w:t>B 选项：4,000×2=8,000（符合）；</w:t>
            </w:r>
          </w:p>
          <w:p w14:paraId="1DD90E0C">
            <w:pPr>
              <w:spacing w:before="120" w:after="120" w:line="288" w:lineRule="auto"/>
              <w:ind w:left="0"/>
              <w:jc w:val="left"/>
            </w:pPr>
            <w:r>
              <w:rPr>
                <w:rFonts w:ascii="Arial" w:hAnsi="Arial" w:eastAsia="等线" w:cs="Arial"/>
                <w:sz w:val="22"/>
              </w:rPr>
              <w:t>C 选项：5,000+3,000=8,000（符合）；</w:t>
            </w:r>
          </w:p>
          <w:p w14:paraId="60B17488">
            <w:pPr>
              <w:spacing w:before="120" w:after="120" w:line="288" w:lineRule="auto"/>
              <w:ind w:left="0"/>
              <w:jc w:val="left"/>
            </w:pPr>
            <w:r>
              <w:rPr>
                <w:rFonts w:ascii="Arial" w:hAnsi="Arial" w:eastAsia="等线" w:cs="Arial"/>
                <w:sz w:val="22"/>
              </w:rPr>
              <w:t>D 选项：3,000×3=9,000（超过总投票权 8,000，不符合）。</w:t>
            </w:r>
          </w:p>
          <w:p w14:paraId="73237EF2">
            <w:pPr>
              <w:spacing w:before="120" w:after="120" w:line="288" w:lineRule="auto"/>
              <w:ind w:left="0"/>
              <w:jc w:val="left"/>
            </w:pPr>
          </w:p>
          <w:p w14:paraId="035814A9">
            <w:pPr>
              <w:numPr>
                <w:ilvl w:val="0"/>
                <w:numId w:val="176"/>
              </w:numPr>
              <w:spacing w:before="120" w:after="120" w:line="288" w:lineRule="auto"/>
              <w:ind w:left="0"/>
              <w:jc w:val="left"/>
            </w:pPr>
            <w:r>
              <w:rPr>
                <w:rFonts w:ascii="Arial" w:hAnsi="Arial" w:eastAsia="等线" w:cs="Arial"/>
                <w:b/>
                <w:sz w:val="22"/>
              </w:rPr>
              <w:t>(C) Unpaid workers, IRS, secured creditors, general creditors, subordinated debenture holders, preferred stockholders, and common stockholders</w:t>
            </w:r>
          </w:p>
          <w:p w14:paraId="2F72D817">
            <w:pPr>
              <w:spacing w:before="120" w:after="120" w:line="288" w:lineRule="auto"/>
              <w:ind w:left="0"/>
              <w:jc w:val="left"/>
            </w:pPr>
            <w:r>
              <w:rPr>
                <w:rFonts w:ascii="Arial" w:hAnsi="Arial" w:eastAsia="等线" w:cs="Arial"/>
                <w:sz w:val="22"/>
              </w:rPr>
              <w:t>公司破产清算时，资产分配遵循 “优先级从高到低” 原则，核心顺序为：</w:t>
            </w:r>
          </w:p>
          <w:p w14:paraId="280C3BBB">
            <w:pPr>
              <w:spacing w:before="120" w:after="120" w:line="288" w:lineRule="auto"/>
              <w:ind w:left="0"/>
              <w:jc w:val="left"/>
            </w:pPr>
          </w:p>
          <w:p w14:paraId="753B8D94">
            <w:pPr>
              <w:spacing w:before="120" w:after="120" w:line="288" w:lineRule="auto"/>
              <w:ind w:left="0"/>
              <w:jc w:val="left"/>
            </w:pPr>
            <w:r>
              <w:rPr>
                <w:rFonts w:ascii="Arial" w:hAnsi="Arial" w:eastAsia="等线" w:cs="Arial"/>
                <w:sz w:val="22"/>
              </w:rPr>
              <w:t>优先支付类：欠付员工工资（Unpaid workers）→ 欠缴税款（IRS）（员工权益优先于政府税收）；</w:t>
            </w:r>
          </w:p>
          <w:p w14:paraId="4D816EE6">
            <w:pPr>
              <w:spacing w:before="120" w:after="120" w:line="288" w:lineRule="auto"/>
              <w:ind w:left="0"/>
              <w:jc w:val="left"/>
            </w:pPr>
            <w:r>
              <w:rPr>
                <w:rFonts w:ascii="Arial" w:hAnsi="Arial" w:eastAsia="等线" w:cs="Arial"/>
                <w:sz w:val="22"/>
              </w:rPr>
              <w:t>债权人类：有担保债权人（Secured creditors，以特定资产抵押，优先级最高）→ 普通债权人（General creditors）→ 次级债券持有人（Subordinated debenture holders，优先级低于普通债权人）；</w:t>
            </w:r>
          </w:p>
          <w:p w14:paraId="6EEB53FD">
            <w:pPr>
              <w:spacing w:before="120" w:after="120" w:line="288" w:lineRule="auto"/>
              <w:ind w:left="0"/>
              <w:jc w:val="left"/>
            </w:pPr>
            <w:r>
              <w:rPr>
                <w:rFonts w:ascii="Arial" w:hAnsi="Arial" w:eastAsia="等线" w:cs="Arial"/>
                <w:sz w:val="22"/>
              </w:rPr>
              <w:t>股东类：优先股股东（Preferred stockholders，固定收益优先）→ 普通股股东（Common stockholders，剩余资产分配，优先级最低）。</w:t>
            </w:r>
          </w:p>
          <w:p w14:paraId="42A29827">
            <w:pPr>
              <w:spacing w:before="120" w:after="120" w:line="288" w:lineRule="auto"/>
              <w:ind w:left="0"/>
              <w:jc w:val="left"/>
            </w:pPr>
            <w:r>
              <w:rPr>
                <w:rFonts w:ascii="Arial" w:hAnsi="Arial" w:eastAsia="等线" w:cs="Arial"/>
                <w:sz w:val="22"/>
              </w:rPr>
              <w:t>其他选项均因优先级顺序错误（如 A 中 “有担保债权人后置”、B 中 “普通股股东前置”、D 中 “次级债券持有人优先于普通债权人”）被排除。</w:t>
            </w:r>
          </w:p>
          <w:p w14:paraId="2B2C3317">
            <w:pPr>
              <w:spacing w:before="120" w:after="120" w:line="288" w:lineRule="auto"/>
              <w:ind w:left="0"/>
              <w:jc w:val="left"/>
            </w:pPr>
          </w:p>
          <w:p w14:paraId="56DFE69A">
            <w:pPr>
              <w:numPr>
                <w:ilvl w:val="0"/>
                <w:numId w:val="177"/>
              </w:numPr>
              <w:spacing w:before="120" w:after="120" w:line="288" w:lineRule="auto"/>
              <w:ind w:left="0"/>
              <w:jc w:val="left"/>
            </w:pPr>
            <w:r>
              <w:rPr>
                <w:rFonts w:ascii="Arial" w:hAnsi="Arial" w:eastAsia="等线" w:cs="Arial"/>
                <w:b/>
                <w:sz w:val="22"/>
              </w:rPr>
              <w:t>(A) Callable preferred</w:t>
            </w:r>
          </w:p>
          <w:p w14:paraId="3E3BADDE">
            <w:pPr>
              <w:spacing w:before="120" w:after="120" w:line="288" w:lineRule="auto"/>
              <w:ind w:left="0"/>
              <w:jc w:val="left"/>
            </w:pPr>
            <w:r>
              <w:rPr>
                <w:rFonts w:ascii="Arial" w:hAnsi="Arial" w:eastAsia="等线" w:cs="Arial"/>
                <w:sz w:val="22"/>
              </w:rPr>
              <w:t>对同一家公司而言，优先股的股息高低与投资者风险正相关：</w:t>
            </w:r>
          </w:p>
          <w:p w14:paraId="764302E8">
            <w:pPr>
              <w:spacing w:before="120" w:after="120" w:line="288" w:lineRule="auto"/>
              <w:ind w:left="0"/>
              <w:jc w:val="left"/>
            </w:pPr>
            <w:r>
              <w:rPr>
                <w:rFonts w:ascii="Arial" w:hAnsi="Arial" w:eastAsia="等线" w:cs="Arial"/>
                <w:sz w:val="22"/>
              </w:rPr>
              <w:t>优先优先股（C）风险最低 → 股息最低；</w:t>
            </w:r>
          </w:p>
          <w:p w14:paraId="48973A6A">
            <w:pPr>
              <w:spacing w:before="120" w:after="120" w:line="288" w:lineRule="auto"/>
              <w:ind w:left="0"/>
              <w:jc w:val="left"/>
            </w:pPr>
            <w:r>
              <w:rPr>
                <w:rFonts w:ascii="Arial" w:hAnsi="Arial" w:eastAsia="等线" w:cs="Arial"/>
                <w:sz w:val="22"/>
              </w:rPr>
              <w:t>可转换优先股（B）风险较低（含转换收益） → 股息低于可赎回优先股；</w:t>
            </w:r>
          </w:p>
          <w:p w14:paraId="3C765127">
            <w:pPr>
              <w:spacing w:before="120" w:after="120" w:line="288" w:lineRule="auto"/>
              <w:ind w:left="0"/>
              <w:jc w:val="left"/>
            </w:pPr>
            <w:r>
              <w:rPr>
                <w:rFonts w:ascii="Arial" w:hAnsi="Arial" w:eastAsia="等线" w:cs="Arial"/>
                <w:sz w:val="22"/>
              </w:rPr>
              <w:t>可赎回优先股（A）风险最高（含再投资风险） → 股息最高。</w:t>
            </w:r>
          </w:p>
          <w:p w14:paraId="596980F8">
            <w:pPr>
              <w:spacing w:before="120" w:after="120" w:line="288" w:lineRule="auto"/>
              <w:ind w:left="0"/>
              <w:jc w:val="left"/>
            </w:pPr>
          </w:p>
          <w:p w14:paraId="48C5D682">
            <w:pPr>
              <w:numPr>
                <w:ilvl w:val="0"/>
                <w:numId w:val="178"/>
              </w:numPr>
              <w:spacing w:before="120" w:after="120" w:line="288" w:lineRule="auto"/>
              <w:ind w:left="0"/>
              <w:jc w:val="left"/>
            </w:pPr>
            <w:r>
              <w:rPr>
                <w:rFonts w:ascii="Arial" w:hAnsi="Arial" w:eastAsia="等线" w:cs="Arial"/>
                <w:b/>
                <w:sz w:val="22"/>
              </w:rPr>
              <w:t>(D) $14</w:t>
            </w:r>
          </w:p>
          <w:p w14:paraId="097C58F8">
            <w:pPr>
              <w:spacing w:before="120" w:after="120" w:line="288" w:lineRule="auto"/>
              <w:ind w:left="0"/>
              <w:jc w:val="left"/>
            </w:pPr>
            <w:r>
              <w:rPr>
                <w:rFonts w:ascii="Arial" w:hAnsi="Arial" w:eastAsia="等线" w:cs="Arial"/>
                <w:sz w:val="22"/>
              </w:rPr>
              <w:t>对累积优先股（Cumulative Preferred Stock） 的规定，未足额支付的股息会累积为 “欠付股息（Dividends in Arrears）”，且在向普通股股东分配股息前必须全额补发。</w:t>
            </w:r>
          </w:p>
          <w:p w14:paraId="688EE0C8">
            <w:pPr>
              <w:spacing w:before="120" w:after="120" w:line="288" w:lineRule="auto"/>
              <w:ind w:left="0"/>
              <w:jc w:val="left"/>
            </w:pPr>
            <w:r>
              <w:rPr>
                <w:rFonts w:ascii="Arial" w:hAnsi="Arial" w:eastAsia="等线" w:cs="Arial"/>
                <w:sz w:val="22"/>
              </w:rPr>
              <w:t>确定每股年度固定股息：</w:t>
            </w:r>
          </w:p>
          <w:p w14:paraId="764EA358">
            <w:pPr>
              <w:spacing w:before="120" w:after="120" w:line="288" w:lineRule="auto"/>
              <w:ind w:left="0"/>
              <w:jc w:val="left"/>
            </w:pPr>
            <w:r>
              <w:rPr>
                <w:rFonts w:ascii="Arial" w:hAnsi="Arial" w:eastAsia="等线" w:cs="Arial"/>
                <w:sz w:val="22"/>
              </w:rPr>
              <w:t>该优先股面值为$100，股息率8%，因此每股年度股息为：</w:t>
            </w:r>
          </w:p>
          <w:p w14:paraId="53F7249A">
            <w:pPr>
              <w:spacing w:before="120" w:after="120" w:line="288" w:lineRule="auto"/>
              <w:ind w:left="0"/>
              <w:jc w:val="left"/>
            </w:pPr>
            <w:r>
              <w:rPr>
                <w:rFonts w:ascii="Arial" w:hAnsi="Arial" w:eastAsia="等线" w:cs="Arial"/>
                <w:sz w:val="22"/>
              </w:rPr>
              <w:t>$100 × 8% = $8 / 股。</w:t>
            </w:r>
          </w:p>
          <w:p w14:paraId="67E1A321">
            <w:pPr>
              <w:spacing w:before="120" w:after="120" w:line="288" w:lineRule="auto"/>
              <w:ind w:left="0"/>
              <w:jc w:val="left"/>
            </w:pPr>
            <w:r>
              <w:rPr>
                <w:rFonts w:ascii="Arial" w:hAnsi="Arial" w:eastAsia="等线" w:cs="Arial"/>
                <w:sz w:val="22"/>
              </w:rPr>
              <w:t>计算欠付股息：</w:t>
            </w:r>
          </w:p>
          <w:p w14:paraId="209E4ED3">
            <w:pPr>
              <w:spacing w:before="120" w:after="120" w:line="288" w:lineRule="auto"/>
              <w:ind w:left="0"/>
              <w:jc w:val="left"/>
            </w:pPr>
            <w:r>
              <w:rPr>
                <w:rFonts w:ascii="Arial" w:hAnsi="Arial" w:eastAsia="等线" w:cs="Arial"/>
                <w:sz w:val="22"/>
              </w:rPr>
              <w:t>第一年应支付$8，但仅支付$6，欠付：$8 - $6 = $2；</w:t>
            </w:r>
          </w:p>
          <w:p w14:paraId="286A9BAA">
            <w:pPr>
              <w:spacing w:before="120" w:after="120" w:line="288" w:lineRule="auto"/>
              <w:ind w:left="0"/>
              <w:jc w:val="left"/>
            </w:pPr>
            <w:r>
              <w:rPr>
                <w:rFonts w:ascii="Arial" w:hAnsi="Arial" w:eastAsia="等线" w:cs="Arial"/>
                <w:sz w:val="22"/>
              </w:rPr>
              <w:t>第二年应支付$8，但仅支付$4，欠付：$8 - $4 = $4；</w:t>
            </w:r>
          </w:p>
          <w:p w14:paraId="0F8E0F42">
            <w:pPr>
              <w:spacing w:before="120" w:after="120" w:line="288" w:lineRule="auto"/>
              <w:ind w:left="0"/>
              <w:jc w:val="left"/>
            </w:pPr>
            <w:r>
              <w:rPr>
                <w:rFonts w:ascii="Arial" w:hAnsi="Arial" w:eastAsia="等线" w:cs="Arial"/>
                <w:sz w:val="22"/>
              </w:rPr>
              <w:t>总欠付股息：$2 + $4 = $6。</w:t>
            </w:r>
          </w:p>
          <w:p w14:paraId="282E3328">
            <w:pPr>
              <w:spacing w:before="120" w:after="120" w:line="288" w:lineRule="auto"/>
              <w:ind w:left="0"/>
              <w:jc w:val="left"/>
            </w:pPr>
            <w:r>
              <w:rPr>
                <w:rFonts w:ascii="Arial" w:hAnsi="Arial" w:eastAsia="等线" w:cs="Arial"/>
                <w:sz w:val="22"/>
              </w:rPr>
              <w:t>计算第三年需支付的总股息：</w:t>
            </w:r>
          </w:p>
          <w:p w14:paraId="3251952E">
            <w:pPr>
              <w:spacing w:before="120" w:after="120" w:line="288" w:lineRule="auto"/>
              <w:ind w:left="0"/>
              <w:jc w:val="left"/>
            </w:pPr>
            <w:r>
              <w:rPr>
                <w:rFonts w:ascii="Arial" w:hAnsi="Arial" w:eastAsia="等线" w:cs="Arial"/>
                <w:sz w:val="22"/>
              </w:rPr>
              <w:t>若第三年宣布向普通股股东派息，必须先支付：</w:t>
            </w:r>
          </w:p>
          <w:p w14:paraId="7E867144">
            <w:pPr>
              <w:spacing w:before="120" w:after="120" w:line="288" w:lineRule="auto"/>
              <w:ind w:left="0"/>
              <w:jc w:val="left"/>
            </w:pPr>
            <w:r>
              <w:rPr>
                <w:rFonts w:ascii="Arial" w:hAnsi="Arial" w:eastAsia="等线" w:cs="Arial"/>
                <w:sz w:val="22"/>
              </w:rPr>
              <w:t>欠付股息（$6） + 当年股息（$8） = $14 / 股。</w:t>
            </w:r>
          </w:p>
          <w:p w14:paraId="25364150">
            <w:pPr>
              <w:spacing w:before="120" w:after="120" w:line="288" w:lineRule="auto"/>
              <w:ind w:left="0"/>
              <w:jc w:val="left"/>
            </w:pPr>
            <w:r>
              <w:rPr>
                <w:rFonts w:ascii="Arial" w:hAnsi="Arial" w:eastAsia="等线" w:cs="Arial"/>
                <w:sz w:val="22"/>
              </w:rPr>
              <w:t>因此，优先股股东第三年必须获得的股息为 $14。</w:t>
            </w:r>
          </w:p>
          <w:p w14:paraId="57EDFA83">
            <w:pPr>
              <w:spacing w:before="120" w:after="120" w:line="288" w:lineRule="auto"/>
              <w:ind w:left="0"/>
              <w:jc w:val="left"/>
            </w:pPr>
          </w:p>
          <w:p w14:paraId="3F891883">
            <w:pPr>
              <w:numPr>
                <w:ilvl w:val="0"/>
                <w:numId w:val="179"/>
              </w:numPr>
              <w:spacing w:before="120" w:after="120" w:line="288" w:lineRule="auto"/>
              <w:ind w:left="0"/>
              <w:jc w:val="left"/>
            </w:pPr>
            <w:r>
              <w:rPr>
                <w:rFonts w:ascii="Arial" w:hAnsi="Arial" w:eastAsia="等线" w:cs="Arial"/>
                <w:b/>
                <w:sz w:val="22"/>
              </w:rPr>
              <w:t>(A) I and III</w:t>
            </w:r>
          </w:p>
          <w:p w14:paraId="6B9B6F6C">
            <w:pPr>
              <w:spacing w:before="120" w:after="120" w:line="288" w:lineRule="auto"/>
              <w:ind w:left="0"/>
              <w:jc w:val="left"/>
            </w:pPr>
            <w:r>
              <w:rPr>
                <w:rFonts w:ascii="Arial" w:hAnsi="Arial" w:eastAsia="等线" w:cs="Arial"/>
                <w:sz w:val="22"/>
              </w:rPr>
              <w:t>ADRs（American Depositary Receipts，美国存托凭证）是为方便美国投资者持有外国公司股票而发行的金融工具，核心特性如下：</w:t>
            </w:r>
          </w:p>
          <w:p w14:paraId="3C943042">
            <w:pPr>
              <w:spacing w:before="120" w:after="120" w:line="288" w:lineRule="auto"/>
              <w:ind w:left="0"/>
              <w:jc w:val="left"/>
            </w:pPr>
            <w:r>
              <w:rPr>
                <w:rFonts w:ascii="Arial" w:hAnsi="Arial" w:eastAsia="等线" w:cs="Arial"/>
                <w:sz w:val="22"/>
              </w:rPr>
              <w:t>关于 I：表述正确。ADRs 本质是美国存托银行发行的 “收据”，代表投资者持有的境外公司股票（股票由存托银行在境外托管），使外国证券可在美国市场交易，符合定义。</w:t>
            </w:r>
          </w:p>
          <w:p w14:paraId="59E3B8D2">
            <w:pPr>
              <w:spacing w:before="120" w:after="120" w:line="288" w:lineRule="auto"/>
              <w:ind w:left="0"/>
              <w:jc w:val="left"/>
            </w:pPr>
            <w:r>
              <w:rPr>
                <w:rFonts w:ascii="Arial" w:hAnsi="Arial" w:eastAsia="等线" w:cs="Arial"/>
                <w:sz w:val="22"/>
              </w:rPr>
              <w:t>关于 II：表述错误。尽管 ADRs 对应的境外公司利润以当地货币计算，但存托银行会将股息兑换为美元后支付给美国投资者，而非直接以外国货币支付，以降低投资者的汇率兑换成本和风险。</w:t>
            </w:r>
          </w:p>
          <w:p w14:paraId="49700493">
            <w:pPr>
              <w:spacing w:before="120" w:after="120" w:line="288" w:lineRule="auto"/>
              <w:ind w:left="0"/>
              <w:jc w:val="left"/>
            </w:pPr>
            <w:r>
              <w:rPr>
                <w:rFonts w:ascii="Arial" w:hAnsi="Arial" w:eastAsia="等线" w:cs="Arial"/>
                <w:sz w:val="22"/>
              </w:rPr>
              <w:t>关于 III：表述正确。ADRs 可在美股市场（如纽约证券交易所、纳斯达克）自由买卖、转让，具备 “可流通性（negotiable）”，符合有价证券的核心特征。</w:t>
            </w:r>
          </w:p>
          <w:p w14:paraId="28844F8B">
            <w:pPr>
              <w:spacing w:before="120" w:after="120" w:line="288" w:lineRule="auto"/>
              <w:ind w:left="0"/>
              <w:jc w:val="left"/>
            </w:pPr>
          </w:p>
          <w:p w14:paraId="301CF01E">
            <w:pPr>
              <w:numPr>
                <w:ilvl w:val="0"/>
                <w:numId w:val="180"/>
              </w:numPr>
              <w:spacing w:before="120" w:after="120" w:line="288" w:lineRule="auto"/>
              <w:ind w:left="0"/>
              <w:jc w:val="left"/>
            </w:pPr>
            <w:r>
              <w:rPr>
                <w:rFonts w:ascii="Arial" w:hAnsi="Arial" w:eastAsia="等线" w:cs="Arial"/>
                <w:b/>
                <w:sz w:val="22"/>
              </w:rPr>
              <w:t>(C) common stockholders</w:t>
            </w:r>
          </w:p>
          <w:p w14:paraId="3E2616A2">
            <w:pPr>
              <w:spacing w:before="120" w:after="120" w:line="288" w:lineRule="auto"/>
              <w:ind w:left="0"/>
              <w:jc w:val="left"/>
            </w:pPr>
            <w:r>
              <w:rPr>
                <w:rFonts w:ascii="Arial" w:hAnsi="Arial" w:eastAsia="等线" w:cs="Arial"/>
                <w:sz w:val="22"/>
              </w:rPr>
              <w:t>“Rights（配股权）” 是公司增发普通股时，向现有股东按持股比例发放的优先认购权，目的是让老股东在不稀释股权的前提下，优先购买新发行的股票。其分配规则明确：</w:t>
            </w:r>
          </w:p>
          <w:p w14:paraId="38DA8145">
            <w:pPr>
              <w:spacing w:before="120" w:after="120" w:line="288" w:lineRule="auto"/>
              <w:ind w:left="0"/>
              <w:jc w:val="left"/>
            </w:pPr>
            <w:r>
              <w:rPr>
                <w:rFonts w:ascii="Arial" w:hAnsi="Arial" w:eastAsia="等线" w:cs="Arial"/>
                <w:sz w:val="22"/>
              </w:rPr>
              <w:t>配股权是普通股股东的固有权利，公司增发普通股时会自动向登记在册的普通股股东派发，无需额外申请。</w:t>
            </w:r>
          </w:p>
          <w:p w14:paraId="5A4777A6">
            <w:pPr>
              <w:spacing w:before="120" w:after="120" w:line="288" w:lineRule="auto"/>
              <w:ind w:left="0"/>
              <w:jc w:val="left"/>
            </w:pPr>
            <w:r>
              <w:rPr>
                <w:rFonts w:ascii="Arial" w:hAnsi="Arial" w:eastAsia="等线" w:cs="Arial"/>
                <w:sz w:val="22"/>
              </w:rPr>
              <w:t>可转换优先股股东（A 选项）、高级优先股股东（B 选项）的核心权利是优先获得股息和剩余资产分配，不自动享有普通股的配股权（除非优先股条款特别约定，但默认无此权利）。</w:t>
            </w:r>
          </w:p>
          <w:p w14:paraId="0CE538DE">
            <w:pPr>
              <w:spacing w:before="120" w:after="120" w:line="288" w:lineRule="auto"/>
              <w:ind w:left="0"/>
              <w:jc w:val="left"/>
            </w:pPr>
            <w:r>
              <w:rPr>
                <w:rFonts w:ascii="Arial" w:hAnsi="Arial" w:eastAsia="等线" w:cs="Arial"/>
                <w:sz w:val="22"/>
              </w:rPr>
              <w:t>因此，只有普通股股东能自动获得配股权。</w:t>
            </w:r>
          </w:p>
          <w:p w14:paraId="2B3A599F">
            <w:pPr>
              <w:spacing w:before="120" w:after="120" w:line="288" w:lineRule="auto"/>
              <w:ind w:left="0"/>
              <w:jc w:val="left"/>
            </w:pPr>
          </w:p>
          <w:p w14:paraId="463FC7F9">
            <w:pPr>
              <w:numPr>
                <w:ilvl w:val="0"/>
                <w:numId w:val="181"/>
              </w:numPr>
              <w:spacing w:before="120" w:after="120" w:line="288" w:lineRule="auto"/>
              <w:ind w:left="0"/>
              <w:jc w:val="left"/>
            </w:pPr>
            <w:r>
              <w:rPr>
                <w:rFonts w:ascii="Arial" w:hAnsi="Arial" w:eastAsia="等线" w:cs="Arial"/>
                <w:b/>
                <w:sz w:val="22"/>
              </w:rPr>
              <w:t>(D) 440 shares at $30</w:t>
            </w:r>
          </w:p>
          <w:p w14:paraId="2771C536">
            <w:pPr>
              <w:spacing w:before="120" w:after="120" w:line="288" w:lineRule="auto"/>
              <w:ind w:left="0"/>
              <w:jc w:val="left"/>
            </w:pPr>
            <w:r>
              <w:rPr>
                <w:rFonts w:ascii="Arial" w:hAnsi="Arial" w:eastAsia="等线" w:cs="Arial"/>
                <w:sz w:val="22"/>
              </w:rPr>
              <w:t>股票股息（Stock Dividend）的核心逻辑是：总持股价值不变，仅通过增加股数、降低每股价格来调整持股结构，不涉及现金流动。具体计算步骤如下：</w:t>
            </w:r>
          </w:p>
          <w:p w14:paraId="65BE5912">
            <w:pPr>
              <w:numPr>
                <w:ilvl w:val="0"/>
                <w:numId w:val="182"/>
              </w:numPr>
              <w:spacing w:before="120" w:after="120" w:line="288" w:lineRule="auto"/>
              <w:ind w:left="0"/>
              <w:jc w:val="left"/>
            </w:pPr>
            <w:r>
              <w:rPr>
                <w:rFonts w:ascii="Arial" w:hAnsi="Arial" w:eastAsia="等线" w:cs="Arial"/>
                <w:sz w:val="22"/>
              </w:rPr>
              <w:t>计算股票股利后的总股数</w:t>
            </w:r>
          </w:p>
          <w:p w14:paraId="47E60CC3">
            <w:pPr>
              <w:spacing w:before="120" w:after="120" w:line="288" w:lineRule="auto"/>
              <w:ind w:left="0"/>
              <w:jc w:val="left"/>
            </w:pPr>
            <w:r>
              <w:rPr>
                <w:rFonts w:ascii="Arial" w:hAnsi="Arial" w:eastAsia="等线" w:cs="Arial"/>
                <w:sz w:val="22"/>
              </w:rPr>
              <w:t>Alyssa 原持有 400 股，公司宣告 10% 的股票股利，即额外获得原股数 10% 的股份：</w:t>
            </w:r>
          </w:p>
          <w:p w14:paraId="74097E11">
            <w:pPr>
              <w:spacing w:before="120" w:after="120" w:line="288" w:lineRule="auto"/>
              <w:ind w:left="0"/>
              <w:jc w:val="left"/>
            </w:pPr>
            <w:r>
              <w:rPr>
                <w:rFonts w:ascii="Arial" w:hAnsi="Arial" w:eastAsia="等线" w:cs="Arial"/>
                <w:sz w:val="22"/>
              </w:rPr>
              <w:t>新增股数 = 400 股 × 10% = 40 股</w:t>
            </w:r>
          </w:p>
          <w:p w14:paraId="4248DBFD">
            <w:pPr>
              <w:spacing w:before="120" w:after="120" w:line="288" w:lineRule="auto"/>
              <w:ind w:left="0"/>
              <w:jc w:val="left"/>
            </w:pPr>
            <w:r>
              <w:rPr>
                <w:rFonts w:ascii="Arial" w:hAnsi="Arial" w:eastAsia="等线" w:cs="Arial"/>
                <w:sz w:val="22"/>
              </w:rPr>
              <w:t>总股数（股利后）= 400 股 + 40 股 = 440 股</w:t>
            </w:r>
          </w:p>
          <w:p w14:paraId="0C27B615">
            <w:pPr>
              <w:numPr>
                <w:ilvl w:val="0"/>
                <w:numId w:val="183"/>
              </w:numPr>
              <w:spacing w:before="120" w:after="120" w:line="288" w:lineRule="auto"/>
              <w:ind w:left="0"/>
              <w:jc w:val="left"/>
            </w:pPr>
            <w:r>
              <w:rPr>
                <w:rFonts w:ascii="Arial" w:hAnsi="Arial" w:eastAsia="等线" w:cs="Arial"/>
                <w:sz w:val="22"/>
              </w:rPr>
              <w:t>计算股票股利后的每股价格</w:t>
            </w:r>
          </w:p>
          <w:p w14:paraId="437D3484">
            <w:pPr>
              <w:spacing w:before="120" w:after="120" w:line="288" w:lineRule="auto"/>
              <w:ind w:left="0"/>
              <w:jc w:val="left"/>
            </w:pPr>
            <w:r>
              <w:rPr>
                <w:rFonts w:ascii="Arial" w:hAnsi="Arial" w:eastAsia="等线" w:cs="Arial"/>
                <w:sz w:val="22"/>
              </w:rPr>
              <w:t>股票股利不改变总持股价值，需先计算原总持股价值，再分摊到新总股数上：</w:t>
            </w:r>
          </w:p>
          <w:p w14:paraId="014CEC92">
            <w:pPr>
              <w:spacing w:before="120" w:after="120" w:line="288" w:lineRule="auto"/>
              <w:ind w:left="0"/>
              <w:jc w:val="left"/>
            </w:pPr>
            <w:r>
              <w:rPr>
                <w:rFonts w:ascii="Arial" w:hAnsi="Arial" w:eastAsia="等线" w:cs="Arial"/>
                <w:sz w:val="22"/>
              </w:rPr>
              <w:t>原总持股价值 = 原股数 × 原每股价格 = 400 股 × $33/股 = $13,200</w:t>
            </w:r>
          </w:p>
          <w:p w14:paraId="047466EE">
            <w:pPr>
              <w:spacing w:before="120" w:after="120" w:line="288" w:lineRule="auto"/>
              <w:ind w:left="0"/>
              <w:jc w:val="left"/>
            </w:pPr>
            <w:r>
              <w:rPr>
                <w:rFonts w:ascii="Arial" w:hAnsi="Arial" w:eastAsia="等线" w:cs="Arial"/>
                <w:sz w:val="22"/>
              </w:rPr>
              <w:t>股利后每股价格 = 总持股价值 ÷ 新总股数 = $13,200 ÷ 440股 = $30 / 股</w:t>
            </w:r>
          </w:p>
          <w:p w14:paraId="2DCB001F">
            <w:pPr>
              <w:spacing w:before="120" w:after="120" w:line="288" w:lineRule="auto"/>
              <w:ind w:left="0"/>
              <w:jc w:val="left"/>
            </w:pPr>
            <w:r>
              <w:rPr>
                <w:rFonts w:ascii="Arial" w:hAnsi="Arial" w:eastAsia="等线" w:cs="Arial"/>
                <w:sz w:val="22"/>
              </w:rPr>
              <w:t>综上，Alyssa 在股利后的持股情况为 440 股，每股价格 $30，对应选项 (D)</w:t>
            </w:r>
          </w:p>
        </w:tc>
      </w:tr>
    </w:tbl>
    <w:p w14:paraId="0223828F">
      <w:pPr>
        <w:spacing w:before="380" w:after="140" w:line="288" w:lineRule="auto"/>
        <w:ind w:left="0"/>
        <w:jc w:val="left"/>
        <w:outlineLvl w:val="0"/>
      </w:pPr>
      <w:bookmarkStart w:id="39" w:name="heading_39"/>
      <w:r>
        <w:rPr>
          <w:rFonts w:ascii="Arial" w:hAnsi="Arial" w:eastAsia="等线" w:cs="Arial"/>
          <w:color w:val="3370FF"/>
          <w:sz w:val="36"/>
        </w:rPr>
        <w:t xml:space="preserve">6. </w:t>
      </w:r>
      <w:r>
        <w:rPr>
          <w:rFonts w:ascii="Arial" w:hAnsi="Arial" w:eastAsia="等线" w:cs="Arial"/>
          <w:b/>
          <w:sz w:val="36"/>
        </w:rPr>
        <w:t>衍生 FAQ</w:t>
      </w:r>
      <w:bookmarkEnd w:id="39"/>
    </w:p>
    <w:p w14:paraId="0C73E741">
      <w:pPr>
        <w:spacing w:before="120" w:after="120" w:line="288" w:lineRule="auto"/>
        <w:ind w:left="0"/>
        <w:jc w:val="left"/>
      </w:pPr>
      <w:r>
        <w:rPr>
          <w:rFonts w:ascii="Arial" w:hAnsi="Arial" w:eastAsia="等线" w:cs="Arial"/>
          <w:sz w:val="22"/>
        </w:rPr>
        <w:t>辅助理解，与考试正文不直接相关。</w:t>
      </w:r>
    </w:p>
    <w:p w14:paraId="25FDDA9B">
      <w:pPr>
        <w:spacing w:before="320" w:after="120" w:line="288" w:lineRule="auto"/>
        <w:ind w:left="0"/>
        <w:jc w:val="left"/>
        <w:outlineLvl w:val="1"/>
      </w:pPr>
      <w:bookmarkStart w:id="40" w:name="heading_40"/>
      <w:r>
        <w:rPr>
          <w:rFonts w:ascii="Arial" w:hAnsi="Arial" w:eastAsia="等线" w:cs="Arial"/>
          <w:color w:val="3370FF"/>
          <w:sz w:val="32"/>
        </w:rPr>
        <w:t xml:space="preserve">6.1 </w:t>
      </w:r>
      <w:r>
        <w:rPr>
          <w:rFonts w:ascii="Arial" w:hAnsi="Arial" w:eastAsia="等线" w:cs="Arial"/>
          <w:b/>
          <w:sz w:val="32"/>
        </w:rPr>
        <w:t>面值与市价（Par Value &amp; Market Price）</w:t>
      </w:r>
      <w:bookmarkEnd w:id="40"/>
    </w:p>
    <w:p w14:paraId="204A583A">
      <w:pPr>
        <w:numPr>
          <w:ilvl w:val="0"/>
          <w:numId w:val="184"/>
        </w:numPr>
        <w:spacing w:before="120" w:after="120" w:line="288" w:lineRule="auto"/>
        <w:ind w:left="0"/>
        <w:jc w:val="left"/>
      </w:pPr>
      <w:r>
        <w:rPr>
          <w:rFonts w:ascii="Arial" w:hAnsi="Arial" w:eastAsia="等线" w:cs="Arial"/>
          <w:b/>
          <w:sz w:val="22"/>
        </w:rPr>
        <w:t>面值（Par Value）</w:t>
      </w:r>
      <w:r>
        <w:rPr>
          <w:rFonts w:ascii="Arial" w:hAnsi="Arial" w:eastAsia="等线" w:cs="Arial"/>
          <w:sz w:val="22"/>
        </w:rPr>
        <w:t xml:space="preserve">：仅用于记账（bookkeeping purposes），超出面值的部分称为资本公积（additional paid in capital）、缴入盈余（paid-in surplus）或超面值资本（capital in excess of par），归发行人（issuer）所有，来自股票销售所得。  </w:t>
      </w:r>
    </w:p>
    <w:p w14:paraId="3D29EA19">
      <w:pPr>
        <w:numPr>
          <w:ilvl w:val="0"/>
          <w:numId w:val="185"/>
        </w:numPr>
        <w:spacing w:before="120" w:after="120" w:line="288" w:lineRule="auto"/>
        <w:ind w:left="0"/>
        <w:jc w:val="left"/>
      </w:pPr>
      <w:r>
        <w:rPr>
          <w:rFonts w:ascii="Arial" w:hAnsi="Arial" w:eastAsia="等线" w:cs="Arial"/>
          <w:b/>
          <w:sz w:val="22"/>
        </w:rPr>
        <w:t>标明面值（Stated Par Value）</w:t>
      </w:r>
      <w:r>
        <w:rPr>
          <w:rFonts w:ascii="Arial" w:hAnsi="Arial" w:eastAsia="等线" w:cs="Arial"/>
          <w:sz w:val="22"/>
        </w:rPr>
        <w:t xml:space="preserve">：印在股票凭证（stock certificate）上，通常设定为1美元（$1），但非强制要求（not mandatory）。  </w:t>
      </w:r>
    </w:p>
    <w:p w14:paraId="1A3AEC9F">
      <w:pPr>
        <w:numPr>
          <w:ilvl w:val="0"/>
          <w:numId w:val="186"/>
        </w:numPr>
        <w:spacing w:before="120" w:after="120" w:line="288" w:lineRule="auto"/>
        <w:ind w:left="0"/>
        <w:jc w:val="left"/>
      </w:pPr>
      <w:r>
        <w:rPr>
          <w:rFonts w:ascii="Arial" w:hAnsi="Arial" w:eastAsia="等线" w:cs="Arial"/>
          <w:b/>
          <w:sz w:val="22"/>
        </w:rPr>
        <w:t>无面值股票（No-Par Value Stock）</w:t>
      </w:r>
      <w:r>
        <w:rPr>
          <w:rFonts w:ascii="Arial" w:hAnsi="Arial" w:eastAsia="等线" w:cs="Arial"/>
          <w:sz w:val="22"/>
        </w:rPr>
        <w:t xml:space="preserve">：不影响投资者（does not affect investors），也不作为股息支付（dividends paid）的计算依据。  </w:t>
      </w:r>
    </w:p>
    <w:p w14:paraId="6C672E11">
      <w:pPr>
        <w:numPr>
          <w:ilvl w:val="0"/>
          <w:numId w:val="187"/>
        </w:numPr>
        <w:spacing w:before="120" w:after="120" w:line="288" w:lineRule="auto"/>
        <w:ind w:left="0"/>
        <w:jc w:val="left"/>
      </w:pPr>
      <w:r>
        <w:rPr>
          <w:rFonts w:ascii="Arial" w:hAnsi="Arial" w:eastAsia="等线" w:cs="Arial"/>
          <w:b/>
          <w:sz w:val="22"/>
        </w:rPr>
        <w:t>核心规则（Key Rules）</w:t>
      </w:r>
      <w:r>
        <w:rPr>
          <w:rFonts w:ascii="Arial" w:hAnsi="Arial" w:eastAsia="等线" w:cs="Arial"/>
          <w:sz w:val="22"/>
        </w:rPr>
        <w:t xml:space="preserve">：股息分配（dividends）不改变面值，但股票拆分（stock splits）会改变面值。  </w:t>
      </w:r>
    </w:p>
    <w:p w14:paraId="79CA3F33">
      <w:pPr>
        <w:spacing w:before="120" w:after="120" w:line="288" w:lineRule="auto"/>
        <w:ind w:left="0"/>
      </w:pPr>
      <w:r>
        <w:object>
          <v:shape id="_x0000_i1028" o:spt="75" type="#_x0000_t75" style="height:93pt;width:414pt;" o:ole="t" filled="f" o:preferrelative="t" stroked="f" coordsize="21600,21600">
            <v:path/>
            <v:fill on="f" focussize="0,0"/>
            <v:stroke on="f" joinstyle="miter"/>
            <v:imagedata r:id="rId14" o:title=""/>
            <o:lock v:ext="edit" aspectratio="t"/>
            <w10:wrap type="none"/>
            <w10:anchorlock/>
          </v:shape>
          <o:OLEObject Type="Embed" ProgID="Excel.Sheet.12" ShapeID="_x0000_i1028" DrawAspect="Icon" ObjectID="_1468075728" r:id="rId13">
            <o:LockedField>false</o:LockedField>
          </o:OLEObject>
        </w:object>
      </w:r>
    </w:p>
    <w:p w14:paraId="162E13F9">
      <w:pPr>
        <w:spacing w:after="120"/>
        <w:ind w:left="0"/>
        <w:jc w:val="center"/>
      </w:pPr>
      <w:r>
        <w:rPr>
          <w:rFonts w:ascii="Arial" w:hAnsi="Arial" w:eastAsia="等线" w:cs="Arial"/>
          <w:b/>
          <w:sz w:val="22"/>
        </w:rPr>
        <w:t>点击图片可查看完整电子表格</w:t>
      </w:r>
    </w:p>
    <w:p w14:paraId="1F092D3B">
      <w:pPr>
        <w:spacing w:before="320" w:after="120" w:line="288" w:lineRule="auto"/>
        <w:ind w:left="0"/>
        <w:jc w:val="left"/>
        <w:outlineLvl w:val="1"/>
      </w:pPr>
      <w:bookmarkStart w:id="41" w:name="heading_41"/>
      <w:r>
        <w:rPr>
          <w:rFonts w:ascii="Arial" w:hAnsi="Arial" w:eastAsia="等线" w:cs="Arial"/>
          <w:color w:val="3370FF"/>
          <w:sz w:val="32"/>
        </w:rPr>
        <w:t xml:space="preserve">6.2 </w:t>
      </w:r>
      <w:r>
        <w:rPr>
          <w:rFonts w:ascii="Arial" w:hAnsi="Arial" w:eastAsia="等线" w:cs="Arial"/>
          <w:b/>
          <w:sz w:val="32"/>
        </w:rPr>
        <w:t>优先股的面值和价格如何定义与普通股有何区别</w:t>
      </w:r>
      <w:bookmarkEnd w:id="41"/>
    </w:p>
    <w:p w14:paraId="084650C9">
      <w:pPr>
        <w:spacing w:before="120" w:after="120" w:line="288" w:lineRule="auto"/>
        <w:ind w:left="0"/>
        <w:jc w:val="left"/>
      </w:pPr>
      <w:r>
        <w:rPr>
          <w:rFonts w:ascii="Arial" w:hAnsi="Arial" w:eastAsia="等线" w:cs="Arial"/>
          <w:sz w:val="22"/>
        </w:rPr>
        <w:t>要理解优先股的面值、价格，以及其与普通股的核心区别，需从 “定义本质” 和 “对比维度” 两方面拆解 —— 前者聚焦优先股自身的关键概念，后者则通过与普通股的差异凸显其 “优先性” 特征。</w:t>
      </w:r>
    </w:p>
    <w:p w14:paraId="284D313B">
      <w:pPr>
        <w:spacing w:before="120" w:after="120" w:line="288" w:lineRule="auto"/>
        <w:ind w:left="0"/>
        <w:jc w:val="left"/>
      </w:pPr>
    </w:p>
    <w:p w14:paraId="79446C08">
      <w:pPr>
        <w:spacing w:before="120" w:after="120" w:line="288" w:lineRule="auto"/>
        <w:ind w:left="0"/>
        <w:jc w:val="left"/>
      </w:pPr>
      <w:r>
        <w:rPr>
          <w:rFonts w:ascii="Arial" w:hAnsi="Arial" w:eastAsia="等线" w:cs="Arial"/>
          <w:b/>
          <w:sz w:val="22"/>
        </w:rPr>
        <w:t>优先股的面值与价格：定义及核心逻辑</w:t>
      </w:r>
    </w:p>
    <w:p w14:paraId="357216FE">
      <w:pPr>
        <w:spacing w:before="120" w:after="120" w:line="288" w:lineRule="auto"/>
        <w:ind w:left="0"/>
        <w:jc w:val="left"/>
      </w:pPr>
      <w:r>
        <w:rPr>
          <w:rFonts w:ascii="Arial" w:hAnsi="Arial" w:eastAsia="等线" w:cs="Arial"/>
          <w:sz w:val="22"/>
        </w:rPr>
        <w:t>优先股作为 “混合证券”（兼具股权与债权属性），其面值和价格的定义、用途与普通股有显著差异，核心围绕 “优先分红权” 和 “清偿优先权” 展开：</w:t>
      </w:r>
    </w:p>
    <w:p w14:paraId="69B96454">
      <w:pPr>
        <w:spacing w:before="120" w:after="120" w:line="288" w:lineRule="auto"/>
        <w:ind w:left="0"/>
        <w:jc w:val="left"/>
      </w:pPr>
    </w:p>
    <w:p w14:paraId="6859F75E">
      <w:pPr>
        <w:numPr>
          <w:ilvl w:val="0"/>
          <w:numId w:val="188"/>
        </w:numPr>
        <w:spacing w:before="120" w:after="120" w:line="288" w:lineRule="auto"/>
        <w:ind w:left="0"/>
        <w:jc w:val="left"/>
      </w:pPr>
      <w:r>
        <w:rPr>
          <w:rFonts w:ascii="Arial" w:hAnsi="Arial" w:eastAsia="等线" w:cs="Arial"/>
          <w:sz w:val="22"/>
        </w:rPr>
        <w:t>优先股的面值（Par Value）：法定基准，与权利直接挂钩</w:t>
      </w:r>
    </w:p>
    <w:p w14:paraId="7C79E2A2">
      <w:pPr>
        <w:spacing w:before="120" w:after="120" w:line="288" w:lineRule="auto"/>
        <w:ind w:left="0"/>
        <w:jc w:val="left"/>
      </w:pPr>
      <w:r>
        <w:rPr>
          <w:rFonts w:ascii="Arial" w:hAnsi="Arial" w:eastAsia="等线" w:cs="Arial"/>
          <w:sz w:val="22"/>
        </w:rPr>
        <w:t>优先股的面值并非市场交易价格，而是公司在章程中明确规定的 “法定基准金额”，其核心作用是锚定两项关键权利，具有极强的 “契约属性”：</w:t>
      </w:r>
    </w:p>
    <w:p w14:paraId="2E79A58B">
      <w:pPr>
        <w:numPr>
          <w:ilvl w:val="0"/>
          <w:numId w:val="189"/>
        </w:numPr>
        <w:spacing w:before="120" w:after="120" w:line="288" w:lineRule="auto"/>
        <w:ind w:left="0"/>
        <w:jc w:val="left"/>
      </w:pPr>
      <w:r>
        <w:rPr>
          <w:rFonts w:ascii="Arial" w:hAnsi="Arial" w:eastAsia="等线" w:cs="Arial"/>
          <w:sz w:val="22"/>
        </w:rPr>
        <w:t>确定固定股息率的计算基数：优先股的股息通常是 “固定比例”，而这个比例的计算基准就是面值（而非市场价格）。</w:t>
      </w:r>
      <w:r>
        <w:rPr>
          <w:rFonts w:ascii="Arial" w:hAnsi="Arial" w:eastAsia="等线" w:cs="Arial"/>
          <w:sz w:val="22"/>
        </w:rPr>
        <w:br w:type="textWrapping"/>
      </w:r>
      <w:r>
        <w:rPr>
          <w:rFonts w:ascii="Arial" w:hAnsi="Arial" w:eastAsia="等线" w:cs="Arial"/>
          <w:sz w:val="22"/>
        </w:rPr>
        <w:t xml:space="preserve">例：某优先股面值为$100，章程规定股息率为5%，则无论该优先股的市场价格是$95 还是$105，股东每年能获得的固定股息均为 </w:t>
      </w:r>
      <w:r>
        <w:rPr>
          <w:rFonts w:ascii="Consolas" w:hAnsi="Consolas" w:eastAsia="Consolas" w:cs="Consolas"/>
          <w:sz w:val="22"/>
          <w:shd w:val="clear" w:fill="EFF0F1"/>
        </w:rPr>
        <w:t>$100×5% = $5 / 股</w:t>
      </w:r>
      <w:r>
        <w:rPr>
          <w:rFonts w:ascii="Arial" w:hAnsi="Arial" w:eastAsia="等线" w:cs="Arial"/>
          <w:sz w:val="22"/>
        </w:rPr>
        <w:t>（这是优先股 “类债权” 属性的核心体现）。</w:t>
      </w:r>
    </w:p>
    <w:p w14:paraId="25660289">
      <w:pPr>
        <w:numPr>
          <w:ilvl w:val="0"/>
          <w:numId w:val="190"/>
        </w:numPr>
        <w:spacing w:before="120" w:after="120" w:line="288" w:lineRule="auto"/>
        <w:ind w:left="0"/>
        <w:jc w:val="left"/>
      </w:pPr>
      <w:r>
        <w:rPr>
          <w:rFonts w:ascii="Arial" w:hAnsi="Arial" w:eastAsia="等线" w:cs="Arial"/>
          <w:sz w:val="22"/>
        </w:rPr>
        <w:t>界定清算时的优先清偿金额：若公司破产清算，优先股股东有权在普通股股东之前获得清偿，清偿的 “基础金额” 通常为面值（部分情况下会附加累计未付股息）。</w:t>
      </w:r>
      <w:r>
        <w:rPr>
          <w:rFonts w:ascii="Arial" w:hAnsi="Arial" w:eastAsia="等线" w:cs="Arial"/>
          <w:sz w:val="22"/>
        </w:rPr>
        <w:br w:type="textWrapping"/>
      </w:r>
      <w:r>
        <w:rPr>
          <w:rFonts w:ascii="Arial" w:hAnsi="Arial" w:eastAsia="等线" w:cs="Arial"/>
          <w:sz w:val="22"/>
        </w:rPr>
        <w:t>例：上述面值$100的优先股，清算时股东优先获得$100 / 股的偿付，剩余资产才由普通股股东分配。</w:t>
      </w:r>
    </w:p>
    <w:p w14:paraId="3846F8CB">
      <w:pPr>
        <w:spacing w:before="120" w:after="120" w:line="288" w:lineRule="auto"/>
        <w:ind w:left="0"/>
        <w:jc w:val="left"/>
      </w:pPr>
      <w:r>
        <w:rPr>
          <w:rFonts w:ascii="Arial" w:hAnsi="Arial" w:eastAsia="等线" w:cs="Arial"/>
          <w:i/>
          <w:sz w:val="22"/>
        </w:rPr>
        <w:t>注意</w:t>
      </w:r>
      <w:r>
        <w:rPr>
          <w:rFonts w:ascii="Arial" w:hAnsi="Arial" w:eastAsia="等线" w:cs="Arial"/>
          <w:sz w:val="22"/>
        </w:rPr>
        <w:t>：美股市场优先股面值多为$25或$100（便于计算股息），且面值一经确定，通常不会随公司经营或市场波动调整，是 “固定契约条款” 的一部分。</w:t>
      </w:r>
    </w:p>
    <w:p w14:paraId="4CFF35AA">
      <w:pPr>
        <w:spacing w:before="120" w:after="120" w:line="288" w:lineRule="auto"/>
        <w:ind w:left="0"/>
        <w:jc w:val="left"/>
      </w:pPr>
    </w:p>
    <w:p w14:paraId="37FED387">
      <w:pPr>
        <w:numPr>
          <w:ilvl w:val="0"/>
          <w:numId w:val="191"/>
        </w:numPr>
        <w:spacing w:before="120" w:after="120" w:line="288" w:lineRule="auto"/>
        <w:ind w:left="0"/>
        <w:jc w:val="left"/>
      </w:pPr>
      <w:r>
        <w:rPr>
          <w:rFonts w:ascii="Arial" w:hAnsi="Arial" w:eastAsia="等线" w:cs="Arial"/>
          <w:sz w:val="22"/>
        </w:rPr>
        <w:t>优先股的价格（Market Price）：市场交易价值，受供需与收益预期影响</w:t>
      </w:r>
    </w:p>
    <w:p w14:paraId="76248AAA">
      <w:pPr>
        <w:spacing w:before="120" w:after="120" w:line="288" w:lineRule="auto"/>
        <w:ind w:left="0"/>
        <w:jc w:val="left"/>
      </w:pPr>
      <w:r>
        <w:rPr>
          <w:rFonts w:ascii="Arial" w:hAnsi="Arial" w:eastAsia="等线" w:cs="Arial"/>
          <w:sz w:val="22"/>
        </w:rPr>
        <w:t>优先股的价格是其在二级市场的交易价格，由市场供需、市场利率、公司信用风险等因素决定，与面值完全独立，核心逻辑如下：</w:t>
      </w:r>
    </w:p>
    <w:p w14:paraId="5C50CC53">
      <w:pPr>
        <w:numPr>
          <w:ilvl w:val="0"/>
          <w:numId w:val="192"/>
        </w:numPr>
        <w:spacing w:before="120" w:after="120" w:line="288" w:lineRule="auto"/>
        <w:ind w:left="0"/>
        <w:jc w:val="left"/>
      </w:pPr>
      <w:r>
        <w:rPr>
          <w:rFonts w:ascii="Arial" w:hAnsi="Arial" w:eastAsia="等线" w:cs="Arial"/>
          <w:sz w:val="22"/>
        </w:rPr>
        <w:t>价格与市场利率呈反向变动（核心影响因素）：由于优先股股息固定（类似债券利息），当市场整体利率上升时，投资者对 “固定股息” 的吸引力下降，优先股价格会下跌（以提升其 “当前收益率”，匹配市场利率）；反之利率下降，价格会上涨。</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66ED6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F77E8F2">
            <w:pPr>
              <w:spacing w:before="120" w:after="120" w:line="288" w:lineRule="auto"/>
              <w:ind w:left="0"/>
              <w:jc w:val="left"/>
            </w:pPr>
            <w:r>
              <w:rPr>
                <w:rFonts w:ascii="Arial" w:hAnsi="Arial" w:eastAsia="等线" w:cs="Arial"/>
                <w:color w:val="646A73"/>
                <w:sz w:val="22"/>
              </w:rPr>
              <w:t>例：面值$100、股息率5%（年股息$5）的优先股，若市场利率升至 6%，投资者要求的收益率需匹配 6%，则优先股价格会跌至 $5÷6%≈$83.33（此时$83.33的价格对应$5 股息，收益率刚好 6%）；若市场利率降至 4%，价格则会涨至$5÷4%=$125。</w:t>
            </w:r>
          </w:p>
        </w:tc>
      </w:tr>
    </w:tbl>
    <w:p w14:paraId="4EC6D5B3">
      <w:pPr>
        <w:numPr>
          <w:ilvl w:val="0"/>
          <w:numId w:val="193"/>
        </w:numPr>
        <w:spacing w:before="120" w:after="120" w:line="288" w:lineRule="auto"/>
        <w:ind w:left="0"/>
        <w:jc w:val="left"/>
      </w:pPr>
      <w:r>
        <w:rPr>
          <w:rFonts w:ascii="Arial" w:hAnsi="Arial" w:eastAsia="等线" w:cs="Arial"/>
          <w:sz w:val="22"/>
        </w:rPr>
        <w:t>受公司信用风险影响：若公司盈利下滑、偿债能力减弱，投资者担心 “固定股息无法兑现” 或 “清算优先权受影响”，会抛售优先股，导致价格下跌（类似债券的信用利差扩大）。</w:t>
      </w:r>
    </w:p>
    <w:p w14:paraId="5C13872D">
      <w:pPr>
        <w:numPr>
          <w:ilvl w:val="0"/>
          <w:numId w:val="194"/>
        </w:numPr>
        <w:spacing w:before="120" w:after="120" w:line="288" w:lineRule="auto"/>
        <w:ind w:left="0"/>
        <w:jc w:val="left"/>
      </w:pPr>
      <w:r>
        <w:rPr>
          <w:rFonts w:ascii="Arial" w:hAnsi="Arial" w:eastAsia="等线" w:cs="Arial"/>
          <w:sz w:val="22"/>
        </w:rPr>
        <w:t>交易活跃度低，价格波动通常小于普通股：优先股持有者多为追求稳定收益的机构（如养老基金），交易频率远低于普通股，因此价格波动通常更平缓（除非公司出现重大信用风险）。</w:t>
      </w:r>
    </w:p>
    <w:p w14:paraId="280DE0F0">
      <w:pPr>
        <w:spacing w:before="120" w:after="120" w:line="288" w:lineRule="auto"/>
        <w:ind w:left="0"/>
        <w:jc w:val="left"/>
      </w:pPr>
    </w:p>
    <w:p w14:paraId="5FE85186">
      <w:pPr>
        <w:spacing w:before="120" w:after="120" w:line="288" w:lineRule="auto"/>
        <w:ind w:left="0"/>
        <w:jc w:val="left"/>
      </w:pPr>
      <w:r>
        <w:rPr>
          <w:rFonts w:ascii="Arial" w:hAnsi="Arial" w:eastAsia="等线" w:cs="Arial"/>
          <w:b/>
          <w:sz w:val="22"/>
        </w:rPr>
        <w:t>优先股与普通股：面值、价格及核心权利的对比</w:t>
      </w:r>
    </w:p>
    <w:p w14:paraId="1C28DC7B">
      <w:pPr>
        <w:spacing w:before="120" w:after="120" w:line="288" w:lineRule="auto"/>
        <w:ind w:left="0"/>
        <w:jc w:val="left"/>
      </w:pPr>
      <w:r>
        <w:rPr>
          <w:rFonts w:ascii="Arial" w:hAnsi="Arial" w:eastAsia="等线" w:cs="Arial"/>
          <w:sz w:val="22"/>
        </w:rPr>
        <w:t>优先股与普通股的差异不仅体现在面值和价格的定义上，更本质的是 “股东权利” 的不同 —— 前者侧重 “稳定收益与优先保障”，后者侧重 “长期增值与参与权”，具体对比如下：</w:t>
      </w:r>
    </w:p>
    <w:p w14:paraId="0A719A97">
      <w:pPr>
        <w:spacing w:before="120" w:after="120" w:line="288" w:lineRule="auto"/>
        <w:ind w:left="0"/>
      </w:pPr>
      <w:r>
        <w:object>
          <v:shape id="_x0000_i1029" o:spt="75" type="#_x0000_t75" style="height:197pt;width:414pt;" o:ole="t" filled="f" o:preferrelative="t" stroked="f" coordsize="21600,21600">
            <v:path/>
            <v:fill on="f" focussize="0,0"/>
            <v:stroke on="f" joinstyle="miter"/>
            <v:imagedata r:id="rId16" o:title=""/>
            <o:lock v:ext="edit" aspectratio="t"/>
            <w10:wrap type="none"/>
            <w10:anchorlock/>
          </v:shape>
          <o:OLEObject Type="Embed" ProgID="Excel.Sheet.12" ShapeID="_x0000_i1029" DrawAspect="Icon" ObjectID="_1468075729" r:id="rId15">
            <o:LockedField>false</o:LockedField>
          </o:OLEObject>
        </w:object>
      </w:r>
    </w:p>
    <w:p w14:paraId="44A86045">
      <w:pPr>
        <w:spacing w:after="120"/>
        <w:ind w:left="0"/>
        <w:jc w:val="center"/>
      </w:pPr>
      <w:r>
        <w:rPr>
          <w:rFonts w:ascii="Arial" w:hAnsi="Arial" w:eastAsia="等线" w:cs="Arial"/>
          <w:b/>
          <w:sz w:val="22"/>
        </w:rPr>
        <w:t>点击图片可查看完整电子表格</w:t>
      </w:r>
    </w:p>
    <w:p w14:paraId="0D420745">
      <w:pPr>
        <w:spacing w:before="120" w:after="120" w:line="288" w:lineRule="auto"/>
        <w:ind w:left="0"/>
        <w:jc w:val="left"/>
      </w:pPr>
    </w:p>
    <w:p w14:paraId="1628D36E">
      <w:pPr>
        <w:spacing w:before="320" w:after="120" w:line="288" w:lineRule="auto"/>
        <w:ind w:left="0"/>
        <w:jc w:val="left"/>
        <w:outlineLvl w:val="1"/>
      </w:pPr>
      <w:bookmarkStart w:id="42" w:name="heading_42"/>
      <w:r>
        <w:rPr>
          <w:rFonts w:ascii="Arial" w:hAnsi="Arial" w:eastAsia="等线" w:cs="Arial"/>
          <w:color w:val="3370FF"/>
          <w:sz w:val="32"/>
        </w:rPr>
        <w:t xml:space="preserve">6.3 </w:t>
      </w:r>
      <w:r>
        <w:rPr>
          <w:rFonts w:ascii="Arial" w:hAnsi="Arial" w:eastAsia="等线" w:cs="Arial"/>
          <w:b/>
          <w:sz w:val="32"/>
        </w:rPr>
        <w:t>为什么优先股有多种类型？各类型是分别在什么场景下发行？</w:t>
      </w:r>
      <w:bookmarkEnd w:id="42"/>
    </w:p>
    <w:p w14:paraId="4C353FC7">
      <w:pPr>
        <w:spacing w:before="120" w:after="120" w:line="288" w:lineRule="auto"/>
        <w:ind w:left="0"/>
        <w:jc w:val="left"/>
      </w:pPr>
      <w:r>
        <w:rPr>
          <w:rFonts w:ascii="Arial" w:hAnsi="Arial" w:eastAsia="等线" w:cs="Arial"/>
          <w:sz w:val="22"/>
        </w:rPr>
        <w:t>这是一个非常核心且出色的问题，因为它触及了优先股作为一种融资工具的灵活性和战略价值。</w:t>
      </w:r>
    </w:p>
    <w:p w14:paraId="7353B31B">
      <w:pPr>
        <w:spacing w:before="120" w:after="120" w:line="288" w:lineRule="auto"/>
        <w:ind w:left="0"/>
        <w:jc w:val="left"/>
      </w:pPr>
    </w:p>
    <w:p w14:paraId="13E959F9">
      <w:pPr>
        <w:spacing w:before="120" w:after="120" w:line="288" w:lineRule="auto"/>
        <w:ind w:left="0"/>
        <w:jc w:val="left"/>
      </w:pPr>
      <w:r>
        <w:rPr>
          <w:rFonts w:ascii="Arial" w:hAnsi="Arial" w:eastAsia="等线" w:cs="Arial"/>
          <w:sz w:val="22"/>
        </w:rPr>
        <w:t>简单来说，优先股拥有多种类型，是因为它作为一种“混合”证券，可以通过附加不同条款来同时满足发行公司（发行人）和投资者双方多样化的需求。 公司可以“定制”优先股的条款，以在特定场景下以更低的成本吸引特定类型的投资者。</w:t>
      </w:r>
    </w:p>
    <w:p w14:paraId="737A43C4">
      <w:pPr>
        <w:spacing w:before="120" w:after="120" w:line="288" w:lineRule="auto"/>
        <w:ind w:left="0"/>
        <w:jc w:val="left"/>
      </w:pPr>
    </w:p>
    <w:p w14:paraId="0EBD8FEF">
      <w:pPr>
        <w:spacing w:before="120" w:after="120" w:line="288" w:lineRule="auto"/>
        <w:ind w:left="0"/>
        <w:jc w:val="left"/>
      </w:pPr>
      <w:r>
        <w:rPr>
          <w:rFonts w:ascii="Arial" w:hAnsi="Arial" w:eastAsia="等线" w:cs="Arial"/>
          <w:sz w:val="22"/>
        </w:rPr>
        <w:t>下面我们分别从发行公司的动机和投资者的需求角度来剖析各类型的优先股及其适用场景。</w:t>
      </w:r>
    </w:p>
    <w:p w14:paraId="4AB402E7">
      <w:pPr>
        <w:pBdr>
          <w:bottom w:val="single" w:color="DEE0E3" w:sz="2" w:space="0"/>
          <w:between w:val="single" w:color="DEE0E3" w:sz="2" w:space="0"/>
        </w:pBdr>
        <w:spacing w:before="120" w:after="120" w:line="288" w:lineRule="auto"/>
        <w:ind w:left="0"/>
      </w:pPr>
    </w:p>
    <w:p w14:paraId="5645B91F">
      <w:pPr>
        <w:spacing w:before="120" w:after="120" w:line="288" w:lineRule="auto"/>
        <w:ind w:left="0"/>
        <w:jc w:val="left"/>
      </w:pPr>
      <w:r>
        <w:rPr>
          <w:rFonts w:ascii="Arial" w:hAnsi="Arial" w:eastAsia="等线" w:cs="Arial"/>
          <w:b/>
          <w:sz w:val="22"/>
        </w:rPr>
        <w:t>为什么优先股有多种类型？</w:t>
      </w:r>
    </w:p>
    <w:p w14:paraId="35D51F43">
      <w:pPr>
        <w:numPr>
          <w:ilvl w:val="0"/>
          <w:numId w:val="195"/>
        </w:numPr>
        <w:spacing w:before="120" w:after="120" w:line="288" w:lineRule="auto"/>
        <w:ind w:left="0"/>
        <w:jc w:val="left"/>
      </w:pPr>
      <w:r>
        <w:rPr>
          <w:rFonts w:ascii="Arial" w:hAnsi="Arial" w:eastAsia="等线" w:cs="Arial"/>
          <w:sz w:val="22"/>
        </w:rPr>
        <w:t>对发行公司而言：</w:t>
      </w:r>
      <w:r>
        <w:rPr>
          <w:rFonts w:ascii="Arial" w:hAnsi="Arial" w:eastAsia="等线" w:cs="Arial"/>
          <w:b/>
          <w:sz w:val="22"/>
        </w:rPr>
        <w:t>融资灵活性</w:t>
      </w:r>
    </w:p>
    <w:p w14:paraId="467FEC78">
      <w:pPr>
        <w:numPr>
          <w:ilvl w:val="0"/>
          <w:numId w:val="196"/>
        </w:numPr>
        <w:spacing w:before="120" w:after="120" w:line="288" w:lineRule="auto"/>
        <w:ind w:left="453"/>
        <w:jc w:val="left"/>
      </w:pPr>
      <w:r>
        <w:rPr>
          <w:rFonts w:ascii="Arial" w:hAnsi="Arial" w:eastAsia="等线" w:cs="Arial"/>
          <w:b/>
          <w:sz w:val="22"/>
        </w:rPr>
        <w:t>降低融资成本：</w:t>
      </w:r>
      <w:r>
        <w:rPr>
          <w:rFonts w:ascii="Arial" w:hAnsi="Arial" w:eastAsia="等线" w:cs="Arial"/>
          <w:sz w:val="22"/>
        </w:rPr>
        <w:t>在利率较高或公司信用评级不佳时，发行普通债券成本很高。通过提供“可转换”或“参与”等额外好处，公司可以支付较低的固定股息率，从而降低融资成本。</w:t>
      </w:r>
    </w:p>
    <w:p w14:paraId="38F3AFD3">
      <w:pPr>
        <w:numPr>
          <w:ilvl w:val="0"/>
          <w:numId w:val="197"/>
        </w:numPr>
        <w:spacing w:before="120" w:after="120" w:line="288" w:lineRule="auto"/>
        <w:ind w:left="453"/>
        <w:jc w:val="left"/>
      </w:pPr>
      <w:r>
        <w:rPr>
          <w:rFonts w:ascii="Arial" w:hAnsi="Arial" w:eastAsia="等线" w:cs="Arial"/>
          <w:b/>
          <w:sz w:val="22"/>
        </w:rPr>
        <w:t>避免稀释控制权：</w:t>
      </w:r>
      <w:r>
        <w:rPr>
          <w:rFonts w:ascii="Arial" w:hAnsi="Arial" w:eastAsia="等线" w:cs="Arial"/>
          <w:sz w:val="22"/>
        </w:rPr>
        <w:t>优先股通常没有投票权，发行优先股不会像增发普通股那样稀释创始团队或控股股东的控制权。</w:t>
      </w:r>
    </w:p>
    <w:p w14:paraId="5731BAEC">
      <w:pPr>
        <w:numPr>
          <w:ilvl w:val="0"/>
          <w:numId w:val="198"/>
        </w:numPr>
        <w:spacing w:before="120" w:after="120" w:line="288" w:lineRule="auto"/>
        <w:ind w:left="453"/>
        <w:jc w:val="left"/>
      </w:pPr>
      <w:r>
        <w:rPr>
          <w:rFonts w:ascii="Arial" w:hAnsi="Arial" w:eastAsia="等线" w:cs="Arial"/>
          <w:b/>
          <w:sz w:val="22"/>
        </w:rPr>
        <w:t>优化资本结构：</w:t>
      </w:r>
      <w:r>
        <w:rPr>
          <w:rFonts w:ascii="Arial" w:hAnsi="Arial" w:eastAsia="等线" w:cs="Arial"/>
          <w:sz w:val="22"/>
        </w:rPr>
        <w:t>优先股在资产负债表上被视为“权益”而非“负债”。发行优先股可以降低公司的负债权益比率，使财务状况看起来更健康，从而可能更容易获得其他贷款。</w:t>
      </w:r>
    </w:p>
    <w:p w14:paraId="0D4B0CC2">
      <w:pPr>
        <w:numPr>
          <w:ilvl w:val="0"/>
          <w:numId w:val="199"/>
        </w:numPr>
        <w:spacing w:before="120" w:after="120" w:line="288" w:lineRule="auto"/>
        <w:ind w:left="453"/>
        <w:jc w:val="left"/>
      </w:pPr>
      <w:r>
        <w:rPr>
          <w:rFonts w:ascii="Arial" w:hAnsi="Arial" w:eastAsia="等线" w:cs="Arial"/>
          <w:b/>
          <w:sz w:val="22"/>
        </w:rPr>
        <w:t>避免强制偿付压力：</w:t>
      </w:r>
      <w:r>
        <w:rPr>
          <w:rFonts w:ascii="Arial" w:hAnsi="Arial" w:eastAsia="等线" w:cs="Arial"/>
          <w:sz w:val="22"/>
        </w:rPr>
        <w:t xml:space="preserve"> unlike债券利息，公司没有法律义务必须支付优先股股息（累积优先股除外，未付股息会累积）。这为公司提供了更大的现金流灵活性，尤其是在经营困难时期。</w:t>
      </w:r>
    </w:p>
    <w:p w14:paraId="6E307A69">
      <w:pPr>
        <w:numPr>
          <w:ilvl w:val="0"/>
          <w:numId w:val="200"/>
        </w:numPr>
        <w:spacing w:before="120" w:after="120" w:line="288" w:lineRule="auto"/>
        <w:ind w:left="0"/>
        <w:jc w:val="left"/>
      </w:pPr>
      <w:r>
        <w:rPr>
          <w:rFonts w:ascii="Arial" w:hAnsi="Arial" w:eastAsia="等线" w:cs="Arial"/>
          <w:sz w:val="22"/>
        </w:rPr>
        <w:t>对投资者而言：</w:t>
      </w:r>
      <w:r>
        <w:rPr>
          <w:rFonts w:ascii="Arial" w:hAnsi="Arial" w:eastAsia="等线" w:cs="Arial"/>
          <w:b/>
          <w:sz w:val="22"/>
        </w:rPr>
        <w:t>风险与收益的平衡</w:t>
      </w:r>
    </w:p>
    <w:p w14:paraId="53172068">
      <w:pPr>
        <w:numPr>
          <w:ilvl w:val="0"/>
          <w:numId w:val="201"/>
        </w:numPr>
        <w:spacing w:before="120" w:after="120" w:line="288" w:lineRule="auto"/>
        <w:ind w:left="453"/>
        <w:jc w:val="left"/>
      </w:pPr>
      <w:r>
        <w:rPr>
          <w:rFonts w:ascii="Arial" w:hAnsi="Arial" w:eastAsia="等线" w:cs="Arial"/>
          <w:b/>
          <w:sz w:val="22"/>
        </w:rPr>
        <w:t>追求稳定收入：</w:t>
      </w:r>
      <w:r>
        <w:rPr>
          <w:rFonts w:ascii="Arial" w:hAnsi="Arial" w:eastAsia="等线" w:cs="Arial"/>
          <w:sz w:val="22"/>
        </w:rPr>
        <w:t>偏好稳定收入的保守型投资者（如退休基金、保险公司）会被优先股的固定股息吸引。</w:t>
      </w:r>
    </w:p>
    <w:p w14:paraId="73C71ECA">
      <w:pPr>
        <w:numPr>
          <w:ilvl w:val="0"/>
          <w:numId w:val="202"/>
        </w:numPr>
        <w:spacing w:before="120" w:after="120" w:line="288" w:lineRule="auto"/>
        <w:ind w:left="453"/>
        <w:jc w:val="left"/>
      </w:pPr>
      <w:r>
        <w:rPr>
          <w:rFonts w:ascii="Arial" w:hAnsi="Arial" w:eastAsia="等线" w:cs="Arial"/>
          <w:b/>
          <w:sz w:val="22"/>
        </w:rPr>
        <w:t>寻求下行保护与上行潜力：</w:t>
      </w:r>
      <w:r>
        <w:rPr>
          <w:rFonts w:ascii="Arial" w:hAnsi="Arial" w:eastAsia="等线" w:cs="Arial"/>
          <w:sz w:val="22"/>
        </w:rPr>
        <w:t>不同类型的优先股满足了投资者不同的风险偏好。例如，“累积条款”保护了收入流，“可转换条款”提供了分享公司成长潜力的机会。</w:t>
      </w:r>
    </w:p>
    <w:p w14:paraId="31DCBA63">
      <w:pPr>
        <w:pBdr>
          <w:bottom w:val="single" w:color="DEE0E3" w:sz="2" w:space="0"/>
          <w:between w:val="single" w:color="DEE0E3" w:sz="2" w:space="0"/>
        </w:pBdr>
        <w:spacing w:before="120" w:after="120" w:line="288" w:lineRule="auto"/>
        <w:ind w:left="0"/>
      </w:pPr>
    </w:p>
    <w:p w14:paraId="6BF58069">
      <w:pPr>
        <w:spacing w:before="120" w:after="120" w:line="288" w:lineRule="auto"/>
        <w:ind w:left="0"/>
        <w:jc w:val="left"/>
      </w:pPr>
      <w:r>
        <w:rPr>
          <w:rFonts w:ascii="Arial" w:hAnsi="Arial" w:eastAsia="等线" w:cs="Arial"/>
          <w:b/>
          <w:sz w:val="22"/>
        </w:rPr>
        <w:t>各类型优先股的发行场景</w:t>
      </w:r>
    </w:p>
    <w:p w14:paraId="55D563F1">
      <w:pPr>
        <w:spacing w:before="120" w:after="120" w:line="288" w:lineRule="auto"/>
        <w:ind w:left="0"/>
      </w:pPr>
      <w:r>
        <w:object>
          <v:shape id="_x0000_i1030" o:spt="75" type="#_x0000_t75" style="height:197pt;width:414pt;" o:ole="t" filled="f" o:preferrelative="t" stroked="f" coordsize="21600,21600">
            <v:path/>
            <v:fill on="f" focussize="0,0"/>
            <v:stroke on="f" joinstyle="miter"/>
            <v:imagedata r:id="rId18" o:title=""/>
            <o:lock v:ext="edit" aspectratio="t"/>
            <w10:wrap type="none"/>
            <w10:anchorlock/>
          </v:shape>
          <o:OLEObject Type="Embed" ProgID="Excel.Sheet.12" ShapeID="_x0000_i1030" DrawAspect="Icon" ObjectID="_1468075730" r:id="rId17">
            <o:LockedField>false</o:LockedField>
          </o:OLEObject>
        </w:object>
      </w:r>
    </w:p>
    <w:p w14:paraId="62815E40">
      <w:pPr>
        <w:spacing w:after="120"/>
        <w:ind w:left="0"/>
        <w:jc w:val="center"/>
      </w:pPr>
      <w:r>
        <w:rPr>
          <w:rFonts w:ascii="Arial" w:hAnsi="Arial" w:eastAsia="等线" w:cs="Arial"/>
          <w:b/>
          <w:sz w:val="22"/>
        </w:rPr>
        <w:t>点击图片可查看完整电子表格</w:t>
      </w:r>
    </w:p>
    <w:p w14:paraId="43D8106E">
      <w:pPr>
        <w:spacing w:before="120" w:after="120" w:line="288" w:lineRule="auto"/>
        <w:ind w:left="0"/>
        <w:jc w:val="left"/>
      </w:pPr>
      <w:r>
        <w:rPr>
          <w:rFonts w:ascii="Arial" w:hAnsi="Arial" w:eastAsia="等线" w:cs="Arial"/>
          <w:b/>
          <w:sz w:val="22"/>
        </w:rPr>
        <w:t>总结与举例</w:t>
      </w:r>
    </w:p>
    <w:p w14:paraId="015AED08">
      <w:pPr>
        <w:numPr>
          <w:ilvl w:val="0"/>
          <w:numId w:val="203"/>
        </w:numPr>
        <w:spacing w:before="120" w:after="120" w:line="288" w:lineRule="auto"/>
        <w:ind w:left="0"/>
        <w:jc w:val="left"/>
      </w:pPr>
      <w:r>
        <w:rPr>
          <w:rFonts w:ascii="Arial" w:hAnsi="Arial" w:eastAsia="等线" w:cs="Arial"/>
          <w:sz w:val="22"/>
        </w:rPr>
        <w:t>场景一：一家成熟的公用事业公司</w:t>
      </w:r>
    </w:p>
    <w:p w14:paraId="3DB0B39D">
      <w:pPr>
        <w:numPr>
          <w:ilvl w:val="0"/>
          <w:numId w:val="204"/>
        </w:numPr>
        <w:spacing w:before="120" w:after="120" w:line="288" w:lineRule="auto"/>
        <w:ind w:left="453"/>
        <w:jc w:val="left"/>
      </w:pPr>
      <w:r>
        <w:rPr>
          <w:rFonts w:ascii="Arial" w:hAnsi="Arial" w:eastAsia="等线" w:cs="Arial"/>
          <w:sz w:val="22"/>
        </w:rPr>
        <w:t>需求：需要为新的电厂融资，追求稳定的现金流和控股权。</w:t>
      </w:r>
    </w:p>
    <w:p w14:paraId="5B9AD890">
      <w:pPr>
        <w:numPr>
          <w:ilvl w:val="0"/>
          <w:numId w:val="205"/>
        </w:numPr>
        <w:spacing w:before="120" w:after="120" w:line="288" w:lineRule="auto"/>
        <w:ind w:left="453"/>
        <w:jc w:val="left"/>
      </w:pPr>
      <w:r>
        <w:rPr>
          <w:rFonts w:ascii="Arial" w:hAnsi="Arial" w:eastAsia="等线" w:cs="Arial"/>
          <w:sz w:val="22"/>
        </w:rPr>
        <w:t>可能发行：</w:t>
      </w:r>
      <w:r>
        <w:rPr>
          <w:rFonts w:ascii="Arial" w:hAnsi="Arial" w:eastAsia="等线" w:cs="Arial"/>
          <w:b/>
          <w:sz w:val="22"/>
        </w:rPr>
        <w:t>标准累积优先股</w:t>
      </w:r>
      <w:r>
        <w:rPr>
          <w:rFonts w:ascii="Arial" w:hAnsi="Arial" w:eastAsia="等线" w:cs="Arial"/>
          <w:sz w:val="22"/>
        </w:rPr>
        <w:t>。因为它能提供稳定的股息，且不会稀释控制权。</w:t>
      </w:r>
    </w:p>
    <w:p w14:paraId="74335927">
      <w:pPr>
        <w:numPr>
          <w:ilvl w:val="0"/>
          <w:numId w:val="206"/>
        </w:numPr>
        <w:spacing w:before="120" w:after="120" w:line="288" w:lineRule="auto"/>
        <w:ind w:left="0"/>
        <w:jc w:val="left"/>
      </w:pPr>
      <w:r>
        <w:rPr>
          <w:rFonts w:ascii="Arial" w:hAnsi="Arial" w:eastAsia="等线" w:cs="Arial"/>
          <w:sz w:val="22"/>
        </w:rPr>
        <w:t>场景二：一家处于生物技术研发阶段的公司</w:t>
      </w:r>
    </w:p>
    <w:p w14:paraId="4F489D23">
      <w:pPr>
        <w:numPr>
          <w:ilvl w:val="0"/>
          <w:numId w:val="207"/>
        </w:numPr>
        <w:spacing w:before="120" w:after="120" w:line="288" w:lineRule="auto"/>
        <w:ind w:left="453"/>
        <w:jc w:val="left"/>
      </w:pPr>
      <w:r>
        <w:rPr>
          <w:rFonts w:ascii="Arial" w:hAnsi="Arial" w:eastAsia="等线" w:cs="Arial"/>
          <w:sz w:val="22"/>
        </w:rPr>
        <w:t>需求：急需资金但无盈利，无法支付高额股息，且风险极高。</w:t>
      </w:r>
    </w:p>
    <w:p w14:paraId="35000D96">
      <w:pPr>
        <w:numPr>
          <w:ilvl w:val="0"/>
          <w:numId w:val="208"/>
        </w:numPr>
        <w:spacing w:before="120" w:after="120" w:line="288" w:lineRule="auto"/>
        <w:ind w:left="453"/>
        <w:jc w:val="left"/>
      </w:pPr>
      <w:r>
        <w:rPr>
          <w:rFonts w:ascii="Arial" w:hAnsi="Arial" w:eastAsia="等线" w:cs="Arial"/>
          <w:sz w:val="22"/>
        </w:rPr>
        <w:t>可能发行：</w:t>
      </w:r>
      <w:r>
        <w:rPr>
          <w:rFonts w:ascii="Arial" w:hAnsi="Arial" w:eastAsia="等线" w:cs="Arial"/>
          <w:b/>
          <w:sz w:val="22"/>
        </w:rPr>
        <w:t>可转换优先股</w:t>
      </w:r>
      <w:r>
        <w:rPr>
          <w:rFonts w:ascii="Arial" w:hAnsi="Arial" w:eastAsia="等线" w:cs="Arial"/>
          <w:sz w:val="22"/>
        </w:rPr>
        <w:t>。用未来公司成功上市或被收购后转换为普通股赚取巨额利润的可能性，来吸引风险投资基金。</w:t>
      </w:r>
    </w:p>
    <w:p w14:paraId="27E7AA0E">
      <w:pPr>
        <w:numPr>
          <w:ilvl w:val="0"/>
          <w:numId w:val="209"/>
        </w:numPr>
        <w:spacing w:before="120" w:after="120" w:line="288" w:lineRule="auto"/>
        <w:ind w:left="0"/>
        <w:jc w:val="left"/>
      </w:pPr>
      <w:r>
        <w:rPr>
          <w:rFonts w:ascii="Arial" w:hAnsi="Arial" w:eastAsia="等线" w:cs="Arial"/>
          <w:sz w:val="22"/>
        </w:rPr>
        <w:t>场景三：一家公司在新一轮加息周期前发行了优先股</w:t>
      </w:r>
    </w:p>
    <w:p w14:paraId="0533CC63">
      <w:pPr>
        <w:numPr>
          <w:ilvl w:val="0"/>
          <w:numId w:val="210"/>
        </w:numPr>
        <w:spacing w:before="120" w:after="120" w:line="288" w:lineRule="auto"/>
        <w:ind w:left="453"/>
        <w:jc w:val="left"/>
      </w:pPr>
      <w:r>
        <w:rPr>
          <w:rFonts w:ascii="Arial" w:hAnsi="Arial" w:eastAsia="等线" w:cs="Arial"/>
          <w:sz w:val="22"/>
        </w:rPr>
        <w:t>需求：预计几年后利率会下降，不想一直支付高股息。</w:t>
      </w:r>
    </w:p>
    <w:p w14:paraId="6355744D">
      <w:pPr>
        <w:numPr>
          <w:ilvl w:val="0"/>
          <w:numId w:val="211"/>
        </w:numPr>
        <w:spacing w:before="120" w:after="120" w:line="288" w:lineRule="auto"/>
        <w:ind w:left="453"/>
        <w:jc w:val="left"/>
      </w:pPr>
      <w:r>
        <w:rPr>
          <w:rFonts w:ascii="Arial" w:hAnsi="Arial" w:eastAsia="等线" w:cs="Arial"/>
          <w:sz w:val="22"/>
        </w:rPr>
        <w:t>可能发行：</w:t>
      </w:r>
      <w:r>
        <w:rPr>
          <w:rFonts w:ascii="Arial" w:hAnsi="Arial" w:eastAsia="等线" w:cs="Arial"/>
          <w:b/>
          <w:sz w:val="22"/>
        </w:rPr>
        <w:t>可赎回优先股</w:t>
      </w:r>
      <w:r>
        <w:rPr>
          <w:rFonts w:ascii="Arial" w:hAnsi="Arial" w:eastAsia="等线" w:cs="Arial"/>
          <w:sz w:val="22"/>
        </w:rPr>
        <w:t>。为自己保留未来提前赎回、以更低成本再融资的权利。</w:t>
      </w:r>
    </w:p>
    <w:p w14:paraId="321DEF13">
      <w:pPr>
        <w:spacing w:before="120" w:after="120" w:line="288" w:lineRule="auto"/>
        <w:ind w:left="0"/>
        <w:jc w:val="left"/>
      </w:pPr>
      <w:r>
        <w:rPr>
          <w:rFonts w:ascii="Arial" w:hAnsi="Arial" w:eastAsia="等线" w:cs="Arial"/>
          <w:sz w:val="22"/>
        </w:rPr>
        <w:t>因此，优先股的各种“变体”本质上是发行公司和投资者之间就风险、收益、控制权和现金流灵活性进行谈判和权衡后达成的金融创新工具。在 SIE 考试中，理解这些类型之间的区别和发行动机是关键。</w:t>
      </w:r>
    </w:p>
    <w:p w14:paraId="4F598E17">
      <w:pPr>
        <w:spacing w:before="120" w:after="120" w:line="288" w:lineRule="auto"/>
        <w:ind w:left="0"/>
        <w:jc w:val="left"/>
      </w:pPr>
    </w:p>
    <w:p w14:paraId="531AF4F0">
      <w:pPr>
        <w:spacing w:before="320" w:after="120" w:line="288" w:lineRule="auto"/>
        <w:ind w:left="0"/>
        <w:jc w:val="left"/>
        <w:outlineLvl w:val="1"/>
      </w:pPr>
      <w:bookmarkStart w:id="43" w:name="heading_43"/>
      <w:r>
        <w:rPr>
          <w:rFonts w:ascii="Arial" w:hAnsi="Arial" w:eastAsia="等线" w:cs="Arial"/>
          <w:color w:val="3370FF"/>
          <w:sz w:val="32"/>
        </w:rPr>
        <w:t xml:space="preserve">6.4 </w:t>
      </w:r>
      <w:r>
        <w:rPr>
          <w:rFonts w:ascii="Arial" w:hAnsi="Arial" w:eastAsia="等线" w:cs="Arial"/>
          <w:b/>
          <w:sz w:val="32"/>
        </w:rPr>
        <w:t>拆股和派股票股息的区别？</w:t>
      </w:r>
      <w:bookmarkEnd w:id="43"/>
    </w:p>
    <w:p w14:paraId="30EA2A66">
      <w:pPr>
        <w:spacing w:before="120" w:after="120" w:line="288" w:lineRule="auto"/>
        <w:ind w:left="0"/>
        <w:jc w:val="left"/>
      </w:pPr>
      <w:r>
        <w:rPr>
          <w:rFonts w:ascii="Arial" w:hAnsi="Arial" w:eastAsia="等线" w:cs="Arial"/>
          <w:sz w:val="22"/>
        </w:rPr>
        <w:t>拆股（Stock Split）和派股票股息（Stock Dividend）虽均会增加股东持有的股票数量，且通常不直接改变股东持股比例，但二者在核心目的、会计处理、市场影响、股东权益结构等维度存在本质区别，具体差异可通过以下表格清晰对比：</w:t>
      </w:r>
    </w:p>
    <w:p w14:paraId="29CAE343">
      <w:pPr>
        <w:spacing w:before="120" w:after="120" w:line="288" w:lineRule="auto"/>
        <w:ind w:left="0"/>
        <w:jc w:val="left"/>
      </w:pPr>
      <w:r>
        <w:rPr>
          <w:rFonts w:ascii="Arial" w:hAnsi="Arial" w:eastAsia="等线" w:cs="Arial"/>
          <w:b/>
          <w:sz w:val="22"/>
        </w:rPr>
        <w:t>核心定义与目的差异</w:t>
      </w:r>
    </w:p>
    <w:p w14:paraId="0CA5EDC6">
      <w:pPr>
        <w:spacing w:before="120" w:after="120" w:line="288" w:lineRule="auto"/>
        <w:ind w:left="0"/>
      </w:pPr>
      <w:r>
        <w:object>
          <v:shape id="_x0000_i1031" o:spt="75" type="#_x0000_t75" style="height:107pt;width:414pt;" o:ole="t" filled="f" o:preferrelative="t" stroked="f" coordsize="21600,21600">
            <v:path/>
            <v:fill on="f" focussize="0,0"/>
            <v:stroke on="f" joinstyle="miter"/>
            <v:imagedata r:id="rId20" o:title=""/>
            <o:lock v:ext="edit" aspectratio="t"/>
            <w10:wrap type="none"/>
            <w10:anchorlock/>
          </v:shape>
          <o:OLEObject Type="Embed" ProgID="Excel.Sheet.12" ShapeID="_x0000_i1031" DrawAspect="Icon" ObjectID="_1468075731" r:id="rId19">
            <o:LockedField>false</o:LockedField>
          </o:OLEObject>
        </w:object>
      </w:r>
    </w:p>
    <w:p w14:paraId="06E8D358">
      <w:pPr>
        <w:spacing w:after="120"/>
        <w:ind w:left="0"/>
        <w:jc w:val="center"/>
      </w:pPr>
      <w:r>
        <w:rPr>
          <w:rFonts w:ascii="Arial" w:hAnsi="Arial" w:eastAsia="等线" w:cs="Arial"/>
          <w:b/>
          <w:sz w:val="22"/>
        </w:rPr>
        <w:t>点击图片可查看完整电子表格</w:t>
      </w:r>
    </w:p>
    <w:p w14:paraId="214CFB8B">
      <w:pPr>
        <w:spacing w:before="120" w:after="120" w:line="288" w:lineRule="auto"/>
        <w:ind w:left="0"/>
        <w:jc w:val="left"/>
      </w:pPr>
      <w:r>
        <w:rPr>
          <w:rFonts w:ascii="Arial" w:hAnsi="Arial" w:eastAsia="等线" w:cs="Arial"/>
          <w:b/>
          <w:sz w:val="22"/>
        </w:rPr>
        <w:t>会计处理差异（关键区别）</w:t>
      </w:r>
    </w:p>
    <w:p w14:paraId="611E74DB">
      <w:pPr>
        <w:spacing w:before="120" w:after="120" w:line="288" w:lineRule="auto"/>
        <w:ind w:left="0"/>
        <w:jc w:val="left"/>
      </w:pPr>
      <w:r>
        <w:rPr>
          <w:rFonts w:ascii="Arial" w:hAnsi="Arial" w:eastAsia="等线" w:cs="Arial"/>
          <w:sz w:val="22"/>
        </w:rPr>
        <w:t>会计处理是二者最核心的差异，直接影响公司的股东权益结构（股本、资本公积、留存收益）：</w:t>
      </w:r>
    </w:p>
    <w:p w14:paraId="08E77D29">
      <w:pPr>
        <w:spacing w:before="120" w:after="120" w:line="288" w:lineRule="auto"/>
        <w:ind w:left="0"/>
        <w:jc w:val="left"/>
      </w:pPr>
      <w:r>
        <w:rPr>
          <w:rFonts w:ascii="Arial" w:hAnsi="Arial" w:eastAsia="等线" w:cs="Arial"/>
          <w:sz w:val="22"/>
        </w:rPr>
        <w:t>拆股：不改变股东权益总额及结构</w:t>
      </w:r>
    </w:p>
    <w:p w14:paraId="082BE569">
      <w:pPr>
        <w:spacing w:before="120" w:after="120" w:line="288" w:lineRule="auto"/>
        <w:ind w:left="0"/>
        <w:jc w:val="left"/>
      </w:pPr>
      <w:r>
        <w:rPr>
          <w:rFonts w:ascii="Arial" w:hAnsi="Arial" w:eastAsia="等线" w:cs="Arial"/>
          <w:sz w:val="22"/>
        </w:rPr>
        <w:t>拆股仅调整 “每股面值” 和 “股票数量”，不涉及股东权益内部科目（股本、资本公积、留存收益）的变动。</w:t>
      </w:r>
    </w:p>
    <w:p w14:paraId="17D66C8B">
      <w:pPr>
        <w:spacing w:before="120" w:after="120" w:line="288" w:lineRule="auto"/>
        <w:ind w:left="0"/>
        <w:jc w:val="left"/>
      </w:pPr>
    </w:p>
    <w:p w14:paraId="11383344">
      <w:pPr>
        <w:spacing w:before="120" w:after="120" w:line="288" w:lineRule="auto"/>
        <w:ind w:left="0"/>
        <w:jc w:val="left"/>
      </w:pPr>
      <w:r>
        <w:rPr>
          <w:rFonts w:ascii="Arial" w:hAnsi="Arial" w:eastAsia="等线" w:cs="Arial"/>
          <w:sz w:val="22"/>
        </w:rPr>
        <w:t>例：某公司股票面值 $10，1 拆 2 后：</w:t>
      </w:r>
    </w:p>
    <w:p w14:paraId="0B862277">
      <w:pPr>
        <w:spacing w:before="120" w:after="120" w:line="288" w:lineRule="auto"/>
        <w:ind w:left="453"/>
        <w:jc w:val="left"/>
      </w:pPr>
      <w:r>
        <w:rPr>
          <w:rFonts w:ascii="Arial" w:hAnsi="Arial" w:eastAsia="等线" w:cs="Arial"/>
          <w:sz w:val="22"/>
        </w:rPr>
        <w:t>原 1 股（面值$10）→ 拆为2股（每股面值$5）；</w:t>
      </w:r>
    </w:p>
    <w:p w14:paraId="2DE0496F">
      <w:pPr>
        <w:spacing w:before="120" w:after="120" w:line="288" w:lineRule="auto"/>
        <w:ind w:left="453"/>
        <w:jc w:val="left"/>
      </w:pPr>
      <w:r>
        <w:rPr>
          <w:rFonts w:ascii="Arial" w:hAnsi="Arial" w:eastAsia="等线" w:cs="Arial"/>
          <w:sz w:val="22"/>
        </w:rPr>
        <w:t>股本总额（原 1 股 ×$10 = $10）→ 拆后 2 股 ×$5 = $10（总额不变）；</w:t>
      </w:r>
    </w:p>
    <w:p w14:paraId="5D7D2DE6">
      <w:pPr>
        <w:spacing w:before="120" w:after="120" w:line="288" w:lineRule="auto"/>
        <w:ind w:left="453"/>
        <w:jc w:val="left"/>
      </w:pPr>
      <w:r>
        <w:rPr>
          <w:rFonts w:ascii="Arial" w:hAnsi="Arial" w:eastAsia="等线" w:cs="Arial"/>
          <w:sz w:val="22"/>
        </w:rPr>
        <w:t>留存收益、资本公积均无变化。</w:t>
      </w:r>
    </w:p>
    <w:p w14:paraId="55DD479B">
      <w:pPr>
        <w:spacing w:before="120" w:after="120" w:line="288" w:lineRule="auto"/>
        <w:ind w:left="453"/>
        <w:jc w:val="left"/>
      </w:pPr>
    </w:p>
    <w:p w14:paraId="52998331">
      <w:pPr>
        <w:spacing w:before="120" w:after="120" w:line="288" w:lineRule="auto"/>
        <w:ind w:left="0"/>
        <w:jc w:val="left"/>
      </w:pPr>
      <w:r>
        <w:rPr>
          <w:rFonts w:ascii="Arial" w:hAnsi="Arial" w:eastAsia="等线" w:cs="Arial"/>
          <w:b/>
          <w:sz w:val="22"/>
        </w:rPr>
        <w:t>派股票股息：改变股东权益内部结构</w:t>
      </w:r>
    </w:p>
    <w:p w14:paraId="2CBB5560">
      <w:pPr>
        <w:spacing w:before="120" w:after="120" w:line="288" w:lineRule="auto"/>
        <w:ind w:left="0"/>
        <w:jc w:val="left"/>
      </w:pPr>
      <w:r>
        <w:rPr>
          <w:rFonts w:ascii="Arial" w:hAnsi="Arial" w:eastAsia="等线" w:cs="Arial"/>
          <w:sz w:val="22"/>
        </w:rPr>
        <w:t>股票股息需从 “留存收益”（或资本公积）转出资金，计入 “股本”，属于股东权益内部的 “再分配”，总额不变但结构调整。</w:t>
      </w:r>
    </w:p>
    <w:p w14:paraId="0F163F8A">
      <w:pPr>
        <w:spacing w:before="120" w:after="120" w:line="288" w:lineRule="auto"/>
        <w:ind w:left="0"/>
        <w:jc w:val="left"/>
      </w:pPr>
    </w:p>
    <w:p w14:paraId="1FBE4AA5">
      <w:pPr>
        <w:spacing w:before="120" w:after="120" w:line="288" w:lineRule="auto"/>
        <w:ind w:left="0"/>
        <w:jc w:val="left"/>
      </w:pPr>
      <w:r>
        <w:rPr>
          <w:rFonts w:ascii="Arial" w:hAnsi="Arial" w:eastAsia="等线" w:cs="Arial"/>
          <w:sz w:val="22"/>
        </w:rPr>
        <w:t>例：某公司发行 10% 股票股息（股东原持 100 股，每股面值 $10，留存收益充足）：</w:t>
      </w:r>
    </w:p>
    <w:p w14:paraId="1E0968E3">
      <w:pPr>
        <w:spacing w:before="120" w:after="120" w:line="288" w:lineRule="auto"/>
        <w:ind w:left="453"/>
        <w:jc w:val="left"/>
      </w:pPr>
      <w:r>
        <w:rPr>
          <w:rFonts w:ascii="Arial" w:hAnsi="Arial" w:eastAsia="等线" w:cs="Arial"/>
          <w:sz w:val="22"/>
        </w:rPr>
        <w:t>股东新增股票数量：100 股 ×10% = 10 股（总持股 110 股）；</w:t>
      </w:r>
    </w:p>
    <w:p w14:paraId="273A3FB2">
      <w:pPr>
        <w:spacing w:before="120" w:after="120" w:line="288" w:lineRule="auto"/>
        <w:ind w:left="453"/>
        <w:jc w:val="left"/>
      </w:pPr>
      <w:r>
        <w:rPr>
          <w:rFonts w:ascii="Arial" w:hAnsi="Arial" w:eastAsia="等线" w:cs="Arial"/>
          <w:sz w:val="22"/>
        </w:rPr>
        <w:t>会计处理：从 “留存收益” 转出 10 股 ×$10（面值）= $100，计入 “股本”；</w:t>
      </w:r>
    </w:p>
    <w:p w14:paraId="45D6E157">
      <w:pPr>
        <w:spacing w:before="120" w:after="120" w:line="288" w:lineRule="auto"/>
        <w:ind w:left="453"/>
        <w:jc w:val="left"/>
      </w:pPr>
      <w:r>
        <w:rPr>
          <w:rFonts w:ascii="Arial" w:hAnsi="Arial" w:eastAsia="等线" w:cs="Arial"/>
          <w:sz w:val="22"/>
        </w:rPr>
        <w:t>结果：留存收益减少$100，股本增加$100，资本公积不变（若市价高于面值，差额计入资本公积）。</w:t>
      </w:r>
    </w:p>
    <w:p w14:paraId="299DE18B">
      <w:pPr>
        <w:spacing w:before="120" w:after="120" w:line="288" w:lineRule="auto"/>
        <w:ind w:left="453"/>
        <w:jc w:val="left"/>
      </w:pPr>
    </w:p>
    <w:p w14:paraId="68651E66">
      <w:pPr>
        <w:spacing w:before="120" w:after="120" w:line="288" w:lineRule="auto"/>
        <w:ind w:left="0"/>
        <w:jc w:val="left"/>
      </w:pPr>
      <w:r>
        <w:rPr>
          <w:rFonts w:ascii="Arial" w:hAnsi="Arial" w:eastAsia="等线" w:cs="Arial"/>
          <w:b/>
          <w:sz w:val="22"/>
        </w:rPr>
        <w:t>股票价格与市值影响差异</w:t>
      </w:r>
    </w:p>
    <w:p w14:paraId="47A7362C">
      <w:pPr>
        <w:spacing w:before="120" w:after="120" w:line="288" w:lineRule="auto"/>
        <w:ind w:left="0"/>
        <w:jc w:val="left"/>
      </w:pPr>
      <w:r>
        <w:rPr>
          <w:rFonts w:ascii="Arial" w:hAnsi="Arial" w:eastAsia="等线" w:cs="Arial"/>
          <w:sz w:val="22"/>
        </w:rPr>
        <w:t>二者均会导致 “每股价格下降”，但逻辑和幅度不同，且对股东总市值的影响存在隐含差异：</w:t>
      </w:r>
    </w:p>
    <w:p w14:paraId="491C3A69">
      <w:pPr>
        <w:spacing w:before="120" w:after="120" w:line="288" w:lineRule="auto"/>
        <w:ind w:left="0"/>
      </w:pPr>
      <w:r>
        <w:object>
          <v:shape id="_x0000_i1032" o:spt="75" type="#_x0000_t75" style="height:126pt;width:414pt;" o:ole="t" filled="f" o:preferrelative="t" stroked="f" coordsize="21600,21600">
            <v:path/>
            <v:fill on="f" focussize="0,0"/>
            <v:stroke on="f" joinstyle="miter"/>
            <v:imagedata r:id="rId22" o:title=""/>
            <o:lock v:ext="edit" aspectratio="t"/>
            <w10:wrap type="none"/>
            <w10:anchorlock/>
          </v:shape>
          <o:OLEObject Type="Embed" ProgID="Excel.Sheet.12" ShapeID="_x0000_i1032" DrawAspect="Icon" ObjectID="_1468075732" r:id="rId21">
            <o:LockedField>false</o:LockedField>
          </o:OLEObject>
        </w:object>
      </w:r>
    </w:p>
    <w:p w14:paraId="741F156F">
      <w:pPr>
        <w:spacing w:after="120"/>
        <w:ind w:left="0"/>
        <w:jc w:val="center"/>
      </w:pPr>
      <w:r>
        <w:rPr>
          <w:rFonts w:ascii="Arial" w:hAnsi="Arial" w:eastAsia="等线" w:cs="Arial"/>
          <w:b/>
          <w:sz w:val="22"/>
        </w:rPr>
        <w:t>点击图片可查看完整电子表格</w:t>
      </w:r>
    </w:p>
    <w:p w14:paraId="00323C02">
      <w:pPr>
        <w:spacing w:before="120" w:after="120" w:line="288" w:lineRule="auto"/>
        <w:ind w:left="0"/>
        <w:jc w:val="left"/>
      </w:pPr>
      <w:r>
        <w:rPr>
          <w:rFonts w:ascii="Arial" w:hAnsi="Arial" w:eastAsia="等线" w:cs="Arial"/>
          <w:b/>
          <w:sz w:val="22"/>
        </w:rPr>
        <w:t>其他关键差异（面值、税务、操作形式）</w:t>
      </w:r>
    </w:p>
    <w:p w14:paraId="0BAEBB17">
      <w:pPr>
        <w:spacing w:before="120" w:after="120" w:line="288" w:lineRule="auto"/>
        <w:ind w:left="0"/>
      </w:pPr>
      <w:r>
        <w:object>
          <v:shape id="_x0000_i1033" o:spt="75" type="#_x0000_t75" style="height:112pt;width:414pt;" o:ole="t" filled="f" o:preferrelative="t" stroked="f" coordsize="21600,21600">
            <v:path/>
            <v:fill on="f" focussize="0,0"/>
            <v:stroke on="f" joinstyle="miter"/>
            <v:imagedata r:id="rId24" o:title=""/>
            <o:lock v:ext="edit" aspectratio="t"/>
            <w10:wrap type="none"/>
            <w10:anchorlock/>
          </v:shape>
          <o:OLEObject Type="Embed" ProgID="Excel.Sheet.12" ShapeID="_x0000_i1033" DrawAspect="Icon" ObjectID="_1468075733" r:id="rId23">
            <o:LockedField>false</o:LockedField>
          </o:OLEObject>
        </w:object>
      </w:r>
    </w:p>
    <w:p w14:paraId="5956EA40">
      <w:pPr>
        <w:spacing w:after="120"/>
        <w:ind w:left="0"/>
        <w:jc w:val="center"/>
      </w:pPr>
      <w:r>
        <w:rPr>
          <w:rFonts w:ascii="Arial" w:hAnsi="Arial" w:eastAsia="等线" w:cs="Arial"/>
          <w:b/>
          <w:sz w:val="22"/>
        </w:rPr>
        <w:t>点击图片可查看完整电子表格</w:t>
      </w:r>
    </w:p>
    <w:p w14:paraId="1C00F92D">
      <w:pPr>
        <w:spacing w:before="120" w:after="120" w:line="288" w:lineRule="auto"/>
        <w:ind w:left="0"/>
        <w:jc w:val="left"/>
      </w:pPr>
      <w:r>
        <w:rPr>
          <w:rFonts w:ascii="Arial" w:hAnsi="Arial" w:eastAsia="等线" w:cs="Arial"/>
          <w:b/>
          <w:sz w:val="22"/>
        </w:rPr>
        <w:t>总结：核心区别一句话概括</w:t>
      </w:r>
    </w:p>
    <w:p w14:paraId="4EF8F527">
      <w:pPr>
        <w:spacing w:before="120" w:after="120" w:line="288" w:lineRule="auto"/>
        <w:ind w:left="0"/>
        <w:jc w:val="left"/>
      </w:pPr>
      <w:r>
        <w:rPr>
          <w:rFonts w:ascii="Arial" w:hAnsi="Arial" w:eastAsia="等线" w:cs="Arial"/>
          <w:sz w:val="22"/>
        </w:rPr>
        <w:t>拆股：“拆分股票数量，降低股价吸引投资者，不碰股东权益结构，无税务影响”；</w:t>
      </w:r>
    </w:p>
    <w:p w14:paraId="733A3BAA">
      <w:pPr>
        <w:spacing w:before="120" w:after="120" w:line="288" w:lineRule="auto"/>
        <w:ind w:left="0"/>
        <w:jc w:val="left"/>
      </w:pPr>
      <w:r>
        <w:rPr>
          <w:rFonts w:ascii="Arial" w:hAnsi="Arial" w:eastAsia="等线" w:cs="Arial"/>
          <w:sz w:val="22"/>
        </w:rPr>
        <w:t>派股票股息：“以股票代现金分红，调整股东权益结构（留存收益转股本），可能涉及税务，传递分红信号”。</w:t>
      </w:r>
    </w:p>
    <w:p w14:paraId="6BB0A028">
      <w:pPr>
        <w:spacing w:before="120" w:after="120" w:line="288" w:lineRule="auto"/>
        <w:ind w:left="0"/>
        <w:jc w:val="left"/>
      </w:pPr>
    </w:p>
    <w:p w14:paraId="73DF3225">
      <w:pPr>
        <w:spacing w:before="320" w:after="120" w:line="288" w:lineRule="auto"/>
        <w:ind w:left="0"/>
        <w:jc w:val="left"/>
        <w:outlineLvl w:val="1"/>
      </w:pPr>
      <w:bookmarkStart w:id="44" w:name="heading_44"/>
      <w:r>
        <w:rPr>
          <w:rFonts w:ascii="Arial" w:hAnsi="Arial" w:eastAsia="等线" w:cs="Arial"/>
          <w:color w:val="3370FF"/>
          <w:sz w:val="32"/>
        </w:rPr>
        <w:t xml:space="preserve">6.5 </w:t>
      </w:r>
      <w:r>
        <w:rPr>
          <w:rFonts w:ascii="Arial" w:hAnsi="Arial" w:eastAsia="等线" w:cs="Arial"/>
          <w:b/>
          <w:sz w:val="32"/>
        </w:rPr>
        <w:t>股票股息是不是从库存股中拿出来的？</w:t>
      </w:r>
      <w:bookmarkEnd w:id="44"/>
    </w:p>
    <w:p w14:paraId="151A0736">
      <w:pPr>
        <w:spacing w:before="120" w:after="120" w:line="288" w:lineRule="auto"/>
        <w:ind w:left="0"/>
        <w:jc w:val="left"/>
      </w:pPr>
      <w:r>
        <w:rPr>
          <w:rFonts w:ascii="Arial" w:hAnsi="Arial" w:eastAsia="等线" w:cs="Arial"/>
          <w:sz w:val="22"/>
        </w:rPr>
        <w:t>派股票股息不是从库存股中拿出。</w:t>
      </w:r>
    </w:p>
    <w:p w14:paraId="15F96804">
      <w:pPr>
        <w:spacing w:before="120" w:after="120" w:line="288" w:lineRule="auto"/>
        <w:ind w:left="0"/>
        <w:jc w:val="left"/>
      </w:pPr>
    </w:p>
    <w:p w14:paraId="0A8B09B3">
      <w:pPr>
        <w:spacing w:before="120" w:after="120" w:line="288" w:lineRule="auto"/>
        <w:ind w:left="0"/>
        <w:jc w:val="left"/>
      </w:pPr>
      <w:r>
        <w:rPr>
          <w:rFonts w:ascii="Arial" w:hAnsi="Arial" w:eastAsia="等线" w:cs="Arial"/>
          <w:sz w:val="22"/>
        </w:rPr>
        <w:t>要明确这一结论，需先厘清 “派股票股息” 的来源逻辑和 “库存股” 的定义，再通过对比二者性质与用途，最终验证派股来源的实际操作路径。</w:t>
      </w:r>
    </w:p>
    <w:p w14:paraId="71161016">
      <w:pPr>
        <w:spacing w:before="120" w:after="120" w:line="288" w:lineRule="auto"/>
        <w:ind w:left="0"/>
        <w:jc w:val="left"/>
      </w:pPr>
    </w:p>
    <w:p w14:paraId="39641450">
      <w:pPr>
        <w:spacing w:before="120" w:after="120" w:line="288" w:lineRule="auto"/>
        <w:ind w:left="0"/>
        <w:jc w:val="left"/>
      </w:pPr>
      <w:r>
        <w:rPr>
          <w:rFonts w:ascii="Arial" w:hAnsi="Arial" w:eastAsia="等线" w:cs="Arial"/>
          <w:b/>
          <w:sz w:val="22"/>
        </w:rPr>
        <w:t>核心概念先明确</w:t>
      </w:r>
    </w:p>
    <w:p w14:paraId="5B568938">
      <w:pPr>
        <w:numPr>
          <w:ilvl w:val="0"/>
          <w:numId w:val="212"/>
        </w:numPr>
        <w:spacing w:before="120" w:after="120" w:line="288" w:lineRule="auto"/>
        <w:ind w:left="0"/>
        <w:jc w:val="left"/>
      </w:pPr>
      <w:r>
        <w:rPr>
          <w:rFonts w:ascii="Arial" w:hAnsi="Arial" w:eastAsia="等线" w:cs="Arial"/>
          <w:sz w:val="22"/>
        </w:rPr>
        <w:t>派股票股息（Stock Dividend）</w:t>
      </w:r>
      <w:r>
        <w:rPr>
          <w:rFonts w:ascii="Arial" w:hAnsi="Arial" w:eastAsia="等线" w:cs="Arial"/>
          <w:sz w:val="22"/>
        </w:rPr>
        <w:br w:type="textWrapping"/>
      </w:r>
      <w:r>
        <w:rPr>
          <w:rFonts w:ascii="Arial" w:hAnsi="Arial" w:eastAsia="等线" w:cs="Arial"/>
          <w:sz w:val="22"/>
        </w:rPr>
        <w:t>是公司以新增发行的普通股向股东分配股息的方式（而非现金），目的是将公司的留存收益（Retained Earnings，即累计未分配利润）转化为股东持有的股本，本质是 “利润资本化”，不改变公司总市值，但会增加总股本、降低每股股价（类似拆股的价格效果，但会计处理完全不同）。</w:t>
      </w:r>
    </w:p>
    <w:p w14:paraId="5AA469CF">
      <w:pPr>
        <w:numPr>
          <w:ilvl w:val="0"/>
          <w:numId w:val="213"/>
        </w:numPr>
        <w:spacing w:before="120" w:after="120" w:line="288" w:lineRule="auto"/>
        <w:ind w:left="0"/>
        <w:jc w:val="left"/>
      </w:pPr>
      <w:r>
        <w:rPr>
          <w:rFonts w:ascii="Arial" w:hAnsi="Arial" w:eastAsia="等线" w:cs="Arial"/>
          <w:sz w:val="22"/>
        </w:rPr>
        <w:t>库存股（Treasury Stock）</w:t>
      </w:r>
      <w:r>
        <w:rPr>
          <w:rFonts w:ascii="Arial" w:hAnsi="Arial" w:eastAsia="等线" w:cs="Arial"/>
          <w:sz w:val="22"/>
        </w:rPr>
        <w:br w:type="textWrapping"/>
      </w:r>
      <w:r>
        <w:rPr>
          <w:rFonts w:ascii="Arial" w:hAnsi="Arial" w:eastAsia="等线" w:cs="Arial"/>
          <w:sz w:val="22"/>
        </w:rPr>
        <w:t>是公司从市场上回购回来的自身已发行股票（例如通过公开市场回购、要约回购等），这些股票会暂时退出流通，不再享有投票权、分红权等股东权利，会计上通常作为 “股东权益的减项” 核算，而非 “可用于分配的股票来源”。</w:t>
      </w:r>
    </w:p>
    <w:p w14:paraId="503CFF83">
      <w:pPr>
        <w:spacing w:before="120" w:after="120" w:line="288" w:lineRule="auto"/>
        <w:ind w:left="0"/>
        <w:jc w:val="left"/>
      </w:pPr>
    </w:p>
    <w:p w14:paraId="5A955689">
      <w:pPr>
        <w:spacing w:before="120" w:after="120" w:line="288" w:lineRule="auto"/>
        <w:ind w:left="0"/>
        <w:jc w:val="left"/>
      </w:pPr>
      <w:r>
        <w:rPr>
          <w:rFonts w:ascii="Arial" w:hAnsi="Arial" w:eastAsia="等线" w:cs="Arial"/>
          <w:b/>
          <w:sz w:val="22"/>
        </w:rPr>
        <w:t>派股票股息的实际来源：新增发行股票</w:t>
      </w:r>
    </w:p>
    <w:p w14:paraId="181FC6AE">
      <w:pPr>
        <w:spacing w:before="120" w:after="120" w:line="288" w:lineRule="auto"/>
        <w:ind w:left="0"/>
        <w:jc w:val="left"/>
      </w:pPr>
      <w:r>
        <w:rPr>
          <w:rFonts w:ascii="Arial" w:hAnsi="Arial" w:eastAsia="等线" w:cs="Arial"/>
          <w:sz w:val="22"/>
        </w:rPr>
        <w:t>公司宣告并发放股票股息时，流程是 “基于当前总股本，按约定比例（如 10%）新发行股票”，直接分配给符合条件的股东（如股权登记日在册的股东），而非动用已回购的库存股。具体逻辑如下：</w:t>
      </w:r>
    </w:p>
    <w:p w14:paraId="06F3FBBF">
      <w:pPr>
        <w:spacing w:before="120" w:after="120" w:line="288" w:lineRule="auto"/>
        <w:ind w:left="0"/>
        <w:jc w:val="left"/>
      </w:pPr>
    </w:p>
    <w:p w14:paraId="1F710F24">
      <w:pPr>
        <w:numPr>
          <w:ilvl w:val="0"/>
          <w:numId w:val="214"/>
        </w:numPr>
        <w:spacing w:before="120" w:after="120" w:line="288" w:lineRule="auto"/>
        <w:ind w:left="0"/>
        <w:jc w:val="left"/>
      </w:pPr>
      <w:r>
        <w:rPr>
          <w:rFonts w:ascii="Arial" w:hAnsi="Arial" w:eastAsia="等线" w:cs="Arial"/>
          <w:sz w:val="22"/>
        </w:rPr>
        <w:t>会计处理佐证：发放股票股息时，公司会将 “留存收益” 转入 “股本”（和资本公积，若有溢价），同时增加 “已发行股本总数”—— 这一过程的核心是 “新增股份”，而非 “处置库存股”（处置库存股会减少股东权益，与股票股息的 “权益内部结构调整” 本质不同）。</w:t>
      </w:r>
    </w:p>
    <w:p w14:paraId="61D208EB">
      <w:pPr>
        <w:numPr>
          <w:ilvl w:val="0"/>
          <w:numId w:val="215"/>
        </w:numPr>
        <w:spacing w:before="120" w:after="120" w:line="288" w:lineRule="auto"/>
        <w:ind w:left="0"/>
        <w:jc w:val="left"/>
      </w:pPr>
      <w:r>
        <w:rPr>
          <w:rFonts w:ascii="Arial" w:hAnsi="Arial" w:eastAsia="等线" w:cs="Arial"/>
          <w:sz w:val="22"/>
        </w:rPr>
        <w:t>库存股的用途限制：库存股的常见用途是 “注销以减少总股本”“，用于员工持股计划（ESOP）” 或 “未来再发行融资”，但从未用于 “股票股息分配” —— 若用库存股派息，相当于公司 “用已回购的股票再次分配”，会导致股东权益重复调整，违背会计准则和资本运作逻辑。</w:t>
      </w:r>
    </w:p>
    <w:p w14:paraId="50B999FD">
      <w:pPr>
        <w:spacing w:before="120" w:after="120" w:line="288" w:lineRule="auto"/>
        <w:ind w:left="0"/>
        <w:jc w:val="left"/>
      </w:pPr>
    </w:p>
    <w:p w14:paraId="6B7A76E5">
      <w:pPr>
        <w:spacing w:before="120" w:after="120" w:line="288" w:lineRule="auto"/>
        <w:ind w:left="0"/>
        <w:jc w:val="left"/>
      </w:pPr>
      <w:r>
        <w:rPr>
          <w:rFonts w:ascii="Arial" w:hAnsi="Arial" w:eastAsia="等线" w:cs="Arial"/>
          <w:sz w:val="22"/>
        </w:rPr>
        <w:t>派股票股息的核心是 “公司向股东新发行股票以替代现金分红”，来源是 “新增股份”；而库存股是 “公司已回购的自身股票”，用途不包括股票股息分配。因此，派股票股息不是从库存股中拿出来的。</w:t>
      </w:r>
    </w:p>
    <w:p w14:paraId="64D7EC00">
      <w:pPr>
        <w:spacing w:before="120" w:after="120" w:line="288" w:lineRule="auto"/>
        <w:ind w:left="0"/>
        <w:jc w:val="center"/>
      </w:pPr>
    </w:p>
    <w:p w14:paraId="6FAE2F85">
      <w:pPr>
        <w:spacing w:before="320" w:after="120" w:line="288" w:lineRule="auto"/>
        <w:ind w:left="0"/>
        <w:jc w:val="left"/>
        <w:outlineLvl w:val="1"/>
      </w:pPr>
      <w:bookmarkStart w:id="45" w:name="heading_45"/>
      <w:r>
        <w:rPr>
          <w:rFonts w:ascii="Arial" w:hAnsi="Arial" w:eastAsia="等线" w:cs="Arial"/>
          <w:color w:val="3370FF"/>
          <w:sz w:val="32"/>
        </w:rPr>
        <w:t xml:space="preserve">6.6 </w:t>
      </w:r>
      <w:r>
        <w:rPr>
          <w:rFonts w:ascii="Arial" w:hAnsi="Arial" w:eastAsia="等线" w:cs="Arial"/>
          <w:b/>
          <w:sz w:val="32"/>
        </w:rPr>
        <w:t>Right 和 Warrant 的区别</w:t>
      </w:r>
      <w:bookmarkEnd w:id="45"/>
    </w:p>
    <w:p w14:paraId="2FD8D4BB">
      <w:pPr>
        <w:spacing w:before="120" w:after="120" w:line="288" w:lineRule="auto"/>
        <w:ind w:left="0"/>
      </w:pPr>
      <w:r>
        <w:object>
          <v:shape id="_x0000_i1034" o:spt="75" type="#_x0000_t75" style="height:197pt;width:414pt;" o:ole="t" filled="f" o:preferrelative="t" stroked="f" coordsize="21600,21600">
            <v:path/>
            <v:fill on="f" focussize="0,0"/>
            <v:stroke on="f" joinstyle="miter"/>
            <v:imagedata r:id="rId26" o:title=""/>
            <o:lock v:ext="edit" aspectratio="t"/>
            <w10:wrap type="none"/>
            <w10:anchorlock/>
          </v:shape>
          <o:OLEObject Type="Embed" ProgID="Excel.Sheet.12" ShapeID="_x0000_i1034" DrawAspect="Icon" ObjectID="_1468075734" r:id="rId25">
            <o:LockedField>false</o:LockedField>
          </o:OLEObject>
        </w:object>
      </w:r>
    </w:p>
    <w:p w14:paraId="74BD073D">
      <w:pPr>
        <w:spacing w:after="120"/>
        <w:ind w:left="0"/>
        <w:jc w:val="center"/>
      </w:pPr>
      <w:r>
        <w:rPr>
          <w:rFonts w:ascii="Arial" w:hAnsi="Arial" w:eastAsia="等线" w:cs="Arial"/>
          <w:b/>
          <w:sz w:val="22"/>
        </w:rPr>
        <w:t>点击图片可查看完整电子表格</w:t>
      </w:r>
    </w:p>
    <w:p w14:paraId="564C4E20">
      <w:pPr>
        <w:numPr>
          <w:ilvl w:val="0"/>
          <w:numId w:val="216"/>
        </w:numPr>
        <w:spacing w:before="120" w:after="120" w:line="288" w:lineRule="auto"/>
        <w:ind w:left="0"/>
        <w:jc w:val="left"/>
      </w:pPr>
      <w:r>
        <w:rPr>
          <w:rFonts w:ascii="Arial" w:hAnsi="Arial" w:eastAsia="等线" w:cs="Arial"/>
          <w:sz w:val="22"/>
        </w:rPr>
        <w:t>Right 是 “股东的短期优先募资权”：上市公司定向给老股东的 “低价配股福利”，有效期短、强绑定股东，目的是快速募资且不稀释股东比例；</w:t>
      </w:r>
    </w:p>
    <w:p w14:paraId="11B22EDA">
      <w:pPr>
        <w:numPr>
          <w:ilvl w:val="0"/>
          <w:numId w:val="217"/>
        </w:numPr>
        <w:spacing w:before="120" w:after="120" w:line="288" w:lineRule="auto"/>
        <w:ind w:left="0"/>
        <w:jc w:val="left"/>
      </w:pPr>
      <w:r>
        <w:rPr>
          <w:rFonts w:ascii="Arial" w:hAnsi="Arial" w:eastAsia="等线" w:cs="Arial"/>
          <w:sz w:val="22"/>
        </w:rPr>
        <w:t>Warrant 是 “更灵活的长期认购工具”：任何人可买、有效期长，可用于融资或投机，行权可能稀释老股东权益，更像 “带杠杆的股票看涨期权”。</w:t>
      </w:r>
    </w:p>
    <w:p w14:paraId="425E5680">
      <w:pPr>
        <w:spacing w:before="120" w:after="120" w:line="288" w:lineRule="auto"/>
        <w:ind w:left="0"/>
        <w:jc w:val="left"/>
      </w:pPr>
    </w:p>
    <w:p w14:paraId="41665702">
      <w:pPr>
        <w:spacing w:before="320" w:after="120" w:line="288" w:lineRule="auto"/>
        <w:ind w:left="0"/>
        <w:jc w:val="left"/>
        <w:outlineLvl w:val="1"/>
      </w:pPr>
      <w:bookmarkStart w:id="46" w:name="heading_46"/>
      <w:r>
        <w:rPr>
          <w:rFonts w:ascii="Arial" w:hAnsi="Arial" w:eastAsia="等线" w:cs="Arial"/>
          <w:color w:val="3370FF"/>
          <w:sz w:val="32"/>
        </w:rPr>
        <w:t xml:space="preserve">6.7 </w:t>
      </w:r>
      <w:r>
        <w:rPr>
          <w:rFonts w:ascii="Arial" w:hAnsi="Arial" w:eastAsia="等线" w:cs="Arial"/>
          <w:b/>
          <w:sz w:val="32"/>
        </w:rPr>
        <w:t>激励工具</w:t>
      </w:r>
      <w:bookmarkEnd w:id="46"/>
    </w:p>
    <w:p w14:paraId="48A4CEA7">
      <w:pPr>
        <w:spacing w:before="120" w:after="120" w:line="288" w:lineRule="auto"/>
        <w:ind w:left="0"/>
        <w:jc w:val="left"/>
      </w:pPr>
      <w:r>
        <w:rPr>
          <w:rFonts w:ascii="Arial" w:hAnsi="Arial" w:eastAsia="等线" w:cs="Arial"/>
          <w:sz w:val="22"/>
        </w:rPr>
        <w:t>美国上市公司股权激励的股票来源主要有库存股、回购股份、定向增发等方式 。以下为AI总结，作为参考材料，不在考试中涉及。</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7B2A00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8798955">
            <w:pPr>
              <w:spacing w:before="120" w:after="120" w:line="288" w:lineRule="auto"/>
              <w:ind w:left="0"/>
              <w:jc w:val="left"/>
            </w:pPr>
            <w:r>
              <w:rPr>
                <w:rFonts w:ascii="Arial" w:hAnsi="Arial" w:eastAsia="等线" w:cs="Arial"/>
                <w:sz w:val="22"/>
              </w:rPr>
              <w:t>激励工具名称</w:t>
            </w:r>
          </w:p>
        </w:tc>
        <w:tc>
          <w:tcPr>
            <w:tcW w:w="2070" w:type="dxa"/>
            <w:tcMar>
              <w:top w:w="60" w:type="dxa"/>
              <w:left w:w="120" w:type="dxa"/>
              <w:bottom w:w="30" w:type="dxa"/>
              <w:right w:w="120" w:type="dxa"/>
            </w:tcMar>
          </w:tcPr>
          <w:p w14:paraId="69BC66F9">
            <w:pPr>
              <w:spacing w:before="120" w:after="120" w:line="288" w:lineRule="auto"/>
              <w:ind w:left="0"/>
              <w:jc w:val="left"/>
            </w:pPr>
            <w:r>
              <w:rPr>
                <w:rFonts w:ascii="Arial" w:hAnsi="Arial" w:eastAsia="等线" w:cs="Arial"/>
                <w:sz w:val="22"/>
              </w:rPr>
              <w:t>股票来源</w:t>
            </w:r>
          </w:p>
        </w:tc>
        <w:tc>
          <w:tcPr>
            <w:tcW w:w="2070" w:type="dxa"/>
            <w:tcMar>
              <w:top w:w="60" w:type="dxa"/>
              <w:left w:w="120" w:type="dxa"/>
              <w:bottom w:w="30" w:type="dxa"/>
              <w:right w:w="120" w:type="dxa"/>
            </w:tcMar>
          </w:tcPr>
          <w:p w14:paraId="6D5D85D5">
            <w:pPr>
              <w:spacing w:before="120" w:after="120" w:line="288" w:lineRule="auto"/>
              <w:ind w:left="0"/>
              <w:jc w:val="left"/>
            </w:pPr>
            <w:r>
              <w:rPr>
                <w:rFonts w:ascii="Arial" w:hAnsi="Arial" w:eastAsia="等线" w:cs="Arial"/>
                <w:sz w:val="22"/>
              </w:rPr>
              <w:t>常见应用场景</w:t>
            </w:r>
          </w:p>
        </w:tc>
        <w:tc>
          <w:tcPr>
            <w:tcW w:w="2070" w:type="dxa"/>
            <w:tcMar>
              <w:top w:w="60" w:type="dxa"/>
              <w:left w:w="120" w:type="dxa"/>
              <w:bottom w:w="30" w:type="dxa"/>
              <w:right w:w="120" w:type="dxa"/>
            </w:tcMar>
          </w:tcPr>
          <w:p w14:paraId="7C151767">
            <w:pPr>
              <w:spacing w:before="120" w:after="120" w:line="288" w:lineRule="auto"/>
              <w:ind w:left="0"/>
              <w:jc w:val="left"/>
            </w:pPr>
            <w:r>
              <w:rPr>
                <w:rFonts w:ascii="Arial" w:hAnsi="Arial" w:eastAsia="等线" w:cs="Arial"/>
                <w:sz w:val="22"/>
              </w:rPr>
              <w:t>税务情况</w:t>
            </w:r>
          </w:p>
        </w:tc>
      </w:tr>
      <w:tr w14:paraId="23991E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2C7B178">
            <w:pPr>
              <w:spacing w:before="120" w:after="120" w:line="288" w:lineRule="auto"/>
              <w:ind w:left="0"/>
              <w:jc w:val="left"/>
            </w:pPr>
            <w:r>
              <w:rPr>
                <w:rFonts w:ascii="Arial" w:hAnsi="Arial" w:eastAsia="等线" w:cs="Arial"/>
                <w:sz w:val="22"/>
              </w:rPr>
              <w:t>限制性股票单位（RSUs）</w:t>
            </w:r>
          </w:p>
        </w:tc>
        <w:tc>
          <w:tcPr>
            <w:tcW w:w="2070" w:type="dxa"/>
            <w:tcMar>
              <w:top w:w="60" w:type="dxa"/>
              <w:left w:w="120" w:type="dxa"/>
              <w:bottom w:w="30" w:type="dxa"/>
              <w:right w:w="120" w:type="dxa"/>
            </w:tcMar>
          </w:tcPr>
          <w:p w14:paraId="5C6FF44C">
            <w:pPr>
              <w:spacing w:before="120" w:after="120" w:line="288" w:lineRule="auto"/>
              <w:ind w:left="0"/>
              <w:jc w:val="left"/>
            </w:pPr>
            <w:r>
              <w:rPr>
                <w:rFonts w:ascii="Arial" w:hAnsi="Arial" w:eastAsia="等线" w:cs="Arial"/>
                <w:sz w:val="22"/>
              </w:rPr>
              <w:t>通常来自公司库存股或者为激励计划而定向增发的股票 。</w:t>
            </w:r>
          </w:p>
        </w:tc>
        <w:tc>
          <w:tcPr>
            <w:tcW w:w="2070" w:type="dxa"/>
            <w:tcMar>
              <w:top w:w="60" w:type="dxa"/>
              <w:left w:w="120" w:type="dxa"/>
              <w:bottom w:w="30" w:type="dxa"/>
              <w:right w:w="120" w:type="dxa"/>
            </w:tcMar>
          </w:tcPr>
          <w:p w14:paraId="43DEB9B1">
            <w:pPr>
              <w:spacing w:before="120" w:after="120" w:line="288" w:lineRule="auto"/>
              <w:ind w:left="0"/>
              <w:jc w:val="left"/>
            </w:pPr>
            <w:r>
              <w:rPr>
                <w:rFonts w:ascii="Arial" w:hAnsi="Arial" w:eastAsia="等线" w:cs="Arial"/>
                <w:sz w:val="22"/>
              </w:rPr>
              <w:t>用于激励公司高级管理人员、核心技术人员与关键岗位员工，通过设定业绩指标、任职期限等解锁条件，激励员工长期为公司服务，助力公司达成业绩目标。</w:t>
            </w:r>
          </w:p>
        </w:tc>
        <w:tc>
          <w:tcPr>
            <w:tcW w:w="2070" w:type="dxa"/>
            <w:tcMar>
              <w:top w:w="60" w:type="dxa"/>
              <w:left w:w="120" w:type="dxa"/>
              <w:bottom w:w="30" w:type="dxa"/>
              <w:right w:w="120" w:type="dxa"/>
            </w:tcMar>
          </w:tcPr>
          <w:p w14:paraId="2CC60AAE">
            <w:pPr>
              <w:spacing w:before="120" w:after="120" w:line="288" w:lineRule="auto"/>
              <w:ind w:left="0"/>
              <w:jc w:val="left"/>
            </w:pPr>
            <w:r>
              <w:rPr>
                <w:rFonts w:ascii="Arial" w:hAnsi="Arial" w:eastAsia="等线" w:cs="Arial"/>
                <w:sz w:val="22"/>
              </w:rPr>
              <w:t>授予时一般不征税，归属时，股票的公允价值会被当作普通收入来征税，后续出售股票则按资本利得税相关规定交税 。</w:t>
            </w:r>
          </w:p>
        </w:tc>
      </w:tr>
      <w:tr w14:paraId="49E4C1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03F2C11">
            <w:pPr>
              <w:spacing w:before="120" w:after="120" w:line="288" w:lineRule="auto"/>
              <w:ind w:left="0"/>
              <w:jc w:val="left"/>
            </w:pPr>
            <w:r>
              <w:rPr>
                <w:rFonts w:ascii="Arial" w:hAnsi="Arial" w:eastAsia="等线" w:cs="Arial"/>
                <w:sz w:val="22"/>
              </w:rPr>
              <w:t>股票期权（Stock Options）</w:t>
            </w:r>
          </w:p>
        </w:tc>
        <w:tc>
          <w:tcPr>
            <w:tcW w:w="2070" w:type="dxa"/>
            <w:tcMar>
              <w:top w:w="60" w:type="dxa"/>
              <w:left w:w="120" w:type="dxa"/>
              <w:bottom w:w="30" w:type="dxa"/>
              <w:right w:w="120" w:type="dxa"/>
            </w:tcMar>
          </w:tcPr>
          <w:p w14:paraId="563F4EB2">
            <w:pPr>
              <w:spacing w:before="120" w:after="120" w:line="288" w:lineRule="auto"/>
              <w:ind w:left="0"/>
              <w:jc w:val="left"/>
            </w:pPr>
            <w:r>
              <w:rPr>
                <w:rFonts w:ascii="Arial" w:hAnsi="Arial" w:eastAsia="等线" w:cs="Arial"/>
                <w:sz w:val="22"/>
              </w:rPr>
              <w:t>一般是公司库存股，也可能是回购股份以及定向增发的股票 。</w:t>
            </w:r>
          </w:p>
          <w:p w14:paraId="2F28ADAC">
            <w:pPr>
              <w:spacing w:before="120" w:after="120" w:line="288" w:lineRule="auto"/>
              <w:ind w:left="0"/>
              <w:jc w:val="left"/>
            </w:pPr>
          </w:p>
        </w:tc>
        <w:tc>
          <w:tcPr>
            <w:tcW w:w="2070" w:type="dxa"/>
            <w:tcMar>
              <w:top w:w="60" w:type="dxa"/>
              <w:left w:w="120" w:type="dxa"/>
              <w:bottom w:w="30" w:type="dxa"/>
              <w:right w:w="120" w:type="dxa"/>
            </w:tcMar>
          </w:tcPr>
          <w:p w14:paraId="40E025A1">
            <w:pPr>
              <w:spacing w:before="120" w:after="120" w:line="288" w:lineRule="auto"/>
              <w:ind w:left="0"/>
              <w:jc w:val="left"/>
            </w:pPr>
            <w:r>
              <w:rPr>
                <w:rFonts w:ascii="Arial" w:hAnsi="Arial" w:eastAsia="等线" w:cs="Arial"/>
                <w:sz w:val="22"/>
              </w:rPr>
              <w:t>企业在招聘高级管理者和高端技术人才时，可作为薪酬福利一部分吸引人才。同时可用于激励管理层和关键员工关注公司长期发展，当公司业绩好股价上升，期权持有人可行权获利。</w:t>
            </w:r>
          </w:p>
          <w:p w14:paraId="2CEE6FC9">
            <w:pPr>
              <w:spacing w:before="120" w:after="120" w:line="288" w:lineRule="auto"/>
              <w:ind w:left="0"/>
              <w:jc w:val="left"/>
            </w:pPr>
          </w:p>
        </w:tc>
        <w:tc>
          <w:tcPr>
            <w:tcW w:w="2070" w:type="dxa"/>
            <w:tcMar>
              <w:top w:w="60" w:type="dxa"/>
              <w:left w:w="120" w:type="dxa"/>
              <w:bottom w:w="30" w:type="dxa"/>
              <w:right w:w="120" w:type="dxa"/>
            </w:tcMar>
          </w:tcPr>
          <w:p w14:paraId="04FAE1EB">
            <w:pPr>
              <w:spacing w:before="120" w:after="120" w:line="288" w:lineRule="auto"/>
              <w:ind w:left="0"/>
              <w:jc w:val="left"/>
            </w:pPr>
            <w:r>
              <w:rPr>
                <w:rFonts w:ascii="Arial" w:hAnsi="Arial" w:eastAsia="等线" w:cs="Arial"/>
                <w:sz w:val="22"/>
              </w:rPr>
              <w:t>激励型股票期权（ISOs）授予时通常无需交税，行权时若满足持有条件，出售股票时按长期资本利得税交税，否则作为普通收入应税；非激励型股票期权（NSOs）授予时无需交税，行权时差价部分按普通收入交税，后续出售股票依持有期限确定按长期或短期资本利得税交税 。</w:t>
            </w:r>
          </w:p>
        </w:tc>
      </w:tr>
      <w:tr w14:paraId="7F47DE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7B9EEA0">
            <w:pPr>
              <w:spacing w:before="120" w:after="120" w:line="288" w:lineRule="auto"/>
              <w:ind w:left="0"/>
              <w:jc w:val="left"/>
            </w:pPr>
            <w:r>
              <w:rPr>
                <w:rFonts w:ascii="Arial" w:hAnsi="Arial" w:eastAsia="等线" w:cs="Arial"/>
                <w:sz w:val="22"/>
              </w:rPr>
              <w:t>员工持股计划（ESOP）</w:t>
            </w:r>
          </w:p>
        </w:tc>
        <w:tc>
          <w:tcPr>
            <w:tcW w:w="2070" w:type="dxa"/>
            <w:tcMar>
              <w:top w:w="60" w:type="dxa"/>
              <w:left w:w="120" w:type="dxa"/>
              <w:bottom w:w="30" w:type="dxa"/>
              <w:right w:w="120" w:type="dxa"/>
            </w:tcMar>
          </w:tcPr>
          <w:p w14:paraId="78F3A08F">
            <w:pPr>
              <w:spacing w:before="120" w:after="120" w:line="288" w:lineRule="auto"/>
              <w:ind w:left="0"/>
              <w:jc w:val="left"/>
            </w:pPr>
            <w:r>
              <w:rPr>
                <w:rFonts w:ascii="Arial" w:hAnsi="Arial" w:eastAsia="等线" w:cs="Arial"/>
                <w:sz w:val="22"/>
              </w:rPr>
              <w:t>一般由公司回购股份、定向增发股票来提供股票来源，也存在大股东转让股票作为来源的情况 。</w:t>
            </w:r>
          </w:p>
        </w:tc>
        <w:tc>
          <w:tcPr>
            <w:tcW w:w="2070" w:type="dxa"/>
            <w:tcMar>
              <w:top w:w="60" w:type="dxa"/>
              <w:left w:w="120" w:type="dxa"/>
              <w:bottom w:w="30" w:type="dxa"/>
              <w:right w:w="120" w:type="dxa"/>
            </w:tcMar>
          </w:tcPr>
          <w:p w14:paraId="2B90C1BB">
            <w:pPr>
              <w:spacing w:before="120" w:after="120" w:line="288" w:lineRule="auto"/>
              <w:ind w:left="0"/>
              <w:jc w:val="left"/>
            </w:pPr>
            <w:r>
              <w:rPr>
                <w:rFonts w:ascii="Arial" w:hAnsi="Arial" w:eastAsia="等线" w:cs="Arial"/>
                <w:sz w:val="22"/>
              </w:rPr>
              <w:t>适用于企业进行股权结构优化，让员工成为公司股东，增强员工归属感。对于一些发展较成熟，希望通过全员持股凝聚员工力量，提升企业经营效益的上市企业也常采用。</w:t>
            </w:r>
          </w:p>
        </w:tc>
        <w:tc>
          <w:tcPr>
            <w:tcW w:w="2070" w:type="dxa"/>
            <w:tcMar>
              <w:top w:w="60" w:type="dxa"/>
              <w:left w:w="120" w:type="dxa"/>
              <w:bottom w:w="30" w:type="dxa"/>
              <w:right w:w="120" w:type="dxa"/>
            </w:tcMar>
          </w:tcPr>
          <w:p w14:paraId="60629DB2">
            <w:pPr>
              <w:spacing w:before="120" w:after="120" w:line="288" w:lineRule="auto"/>
              <w:ind w:left="0"/>
              <w:jc w:val="left"/>
            </w:pPr>
            <w:r>
              <w:rPr>
                <w:rFonts w:ascii="Arial" w:hAnsi="Arial" w:eastAsia="等线" w:cs="Arial"/>
                <w:sz w:val="22"/>
              </w:rPr>
              <w:t>员工认购持股计划份额时，如果是用税后收入认购通常不涉及额外税务。当员工从持股计划获取分红，需要按股息红利所得缴纳个人所得税，后续出售股票份额则按资本利得税规则处理。</w:t>
            </w:r>
          </w:p>
        </w:tc>
      </w:tr>
      <w:tr w14:paraId="79BCF5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A06B1EC">
            <w:pPr>
              <w:spacing w:before="120" w:after="120" w:line="288" w:lineRule="auto"/>
              <w:ind w:left="0"/>
              <w:jc w:val="left"/>
            </w:pPr>
            <w:r>
              <w:rPr>
                <w:rFonts w:ascii="Arial" w:hAnsi="Arial" w:eastAsia="等线" w:cs="Arial"/>
                <w:sz w:val="22"/>
              </w:rPr>
              <w:t>溢价股票期权</w:t>
            </w:r>
          </w:p>
        </w:tc>
        <w:tc>
          <w:tcPr>
            <w:tcW w:w="2070" w:type="dxa"/>
            <w:tcMar>
              <w:top w:w="60" w:type="dxa"/>
              <w:left w:w="120" w:type="dxa"/>
              <w:bottom w:w="30" w:type="dxa"/>
              <w:right w:w="120" w:type="dxa"/>
            </w:tcMar>
          </w:tcPr>
          <w:p w14:paraId="73324E9D">
            <w:pPr>
              <w:spacing w:before="120" w:after="120" w:line="288" w:lineRule="auto"/>
              <w:ind w:left="0"/>
              <w:jc w:val="left"/>
            </w:pPr>
            <w:r>
              <w:rPr>
                <w:rFonts w:ascii="Arial" w:hAnsi="Arial" w:eastAsia="等线" w:cs="Arial"/>
                <w:sz w:val="22"/>
              </w:rPr>
              <w:t>通常来自库存股或定向增发的股票。</w:t>
            </w:r>
          </w:p>
          <w:p w14:paraId="61799C74">
            <w:pPr>
              <w:spacing w:before="120" w:after="120" w:line="288" w:lineRule="auto"/>
              <w:ind w:left="0"/>
              <w:jc w:val="left"/>
            </w:pPr>
          </w:p>
        </w:tc>
        <w:tc>
          <w:tcPr>
            <w:tcW w:w="2070" w:type="dxa"/>
            <w:tcMar>
              <w:top w:w="60" w:type="dxa"/>
              <w:left w:w="120" w:type="dxa"/>
              <w:bottom w:w="30" w:type="dxa"/>
              <w:right w:w="120" w:type="dxa"/>
            </w:tcMar>
          </w:tcPr>
          <w:p w14:paraId="788132E1">
            <w:pPr>
              <w:spacing w:before="120" w:after="120" w:line="288" w:lineRule="auto"/>
              <w:ind w:left="0"/>
              <w:jc w:val="left"/>
            </w:pPr>
            <w:r>
              <w:rPr>
                <w:rFonts w:ascii="Arial" w:hAnsi="Arial" w:eastAsia="等线" w:cs="Arial"/>
                <w:sz w:val="22"/>
              </w:rPr>
              <w:t>适用于那些对业绩增长有较高期望，且股价长期被市场看好的企业，通过这种工具激励员工创造更高的业绩，实现股价更大幅度增长，让员工和股东获得更高收益。</w:t>
            </w:r>
          </w:p>
        </w:tc>
        <w:tc>
          <w:tcPr>
            <w:tcW w:w="2070" w:type="dxa"/>
            <w:tcMar>
              <w:top w:w="60" w:type="dxa"/>
              <w:left w:w="120" w:type="dxa"/>
              <w:bottom w:w="30" w:type="dxa"/>
              <w:right w:w="120" w:type="dxa"/>
            </w:tcMar>
          </w:tcPr>
          <w:p w14:paraId="2FE189C0">
            <w:pPr>
              <w:spacing w:before="120" w:after="120" w:line="288" w:lineRule="auto"/>
              <w:ind w:left="0"/>
              <w:jc w:val="left"/>
            </w:pPr>
            <w:r>
              <w:rPr>
                <w:rFonts w:ascii="Arial" w:hAnsi="Arial" w:eastAsia="等线" w:cs="Arial"/>
                <w:sz w:val="22"/>
              </w:rPr>
              <w:t>一般按非法定股票期权的税务规则处理，授予时不交税，行权时行权价与市场价差额作为普通收入纳税，后续出售股票按资本利得税规定处理 。</w:t>
            </w:r>
          </w:p>
        </w:tc>
      </w:tr>
      <w:tr w14:paraId="5E041D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C613675">
            <w:pPr>
              <w:spacing w:before="120" w:after="120" w:line="288" w:lineRule="auto"/>
              <w:ind w:left="0"/>
              <w:jc w:val="left"/>
            </w:pPr>
            <w:r>
              <w:rPr>
                <w:rFonts w:ascii="Arial" w:hAnsi="Arial" w:eastAsia="等线" w:cs="Arial"/>
                <w:sz w:val="22"/>
              </w:rPr>
              <w:t>长期期权</w:t>
            </w:r>
          </w:p>
          <w:p w14:paraId="3F1FFCFD">
            <w:pPr>
              <w:spacing w:before="120" w:after="120" w:line="288" w:lineRule="auto"/>
              <w:ind w:left="0"/>
              <w:jc w:val="left"/>
            </w:pPr>
          </w:p>
        </w:tc>
        <w:tc>
          <w:tcPr>
            <w:tcW w:w="2070" w:type="dxa"/>
            <w:tcMar>
              <w:top w:w="60" w:type="dxa"/>
              <w:left w:w="120" w:type="dxa"/>
              <w:bottom w:w="30" w:type="dxa"/>
              <w:right w:w="120" w:type="dxa"/>
            </w:tcMar>
          </w:tcPr>
          <w:p w14:paraId="600D6A8B">
            <w:pPr>
              <w:spacing w:before="120" w:after="120" w:line="288" w:lineRule="auto"/>
              <w:ind w:left="0"/>
              <w:jc w:val="left"/>
            </w:pPr>
            <w:r>
              <w:rPr>
                <w:rFonts w:ascii="Arial" w:hAnsi="Arial" w:eastAsia="等线" w:cs="Arial"/>
                <w:sz w:val="22"/>
              </w:rPr>
              <w:t>股票来源多为库存股以及定向增发股票。</w:t>
            </w:r>
          </w:p>
          <w:p w14:paraId="78292D64">
            <w:pPr>
              <w:spacing w:before="120" w:after="120" w:line="288" w:lineRule="auto"/>
              <w:ind w:left="0"/>
              <w:jc w:val="left"/>
            </w:pPr>
          </w:p>
        </w:tc>
        <w:tc>
          <w:tcPr>
            <w:tcW w:w="2070" w:type="dxa"/>
            <w:tcMar>
              <w:top w:w="60" w:type="dxa"/>
              <w:left w:w="120" w:type="dxa"/>
              <w:bottom w:w="30" w:type="dxa"/>
              <w:right w:w="120" w:type="dxa"/>
            </w:tcMar>
          </w:tcPr>
          <w:p w14:paraId="63A71AB6">
            <w:pPr>
              <w:spacing w:before="120" w:after="120" w:line="288" w:lineRule="auto"/>
              <w:ind w:left="0"/>
              <w:jc w:val="left"/>
            </w:pPr>
            <w:r>
              <w:rPr>
                <w:rFonts w:ascii="Arial" w:hAnsi="Arial" w:eastAsia="等线" w:cs="Arial"/>
                <w:sz w:val="22"/>
              </w:rPr>
              <w:t>适用于需要保持管理层稳定性，且自身处于需要长期战略布局行业的上市公司，如大型制造业、重资产的能源企业等，通过该工具锁定高管。</w:t>
            </w:r>
          </w:p>
        </w:tc>
        <w:tc>
          <w:tcPr>
            <w:tcW w:w="2070" w:type="dxa"/>
            <w:tcMar>
              <w:top w:w="60" w:type="dxa"/>
              <w:left w:w="120" w:type="dxa"/>
              <w:bottom w:w="30" w:type="dxa"/>
              <w:right w:w="120" w:type="dxa"/>
            </w:tcMar>
          </w:tcPr>
          <w:p w14:paraId="62DE4F6A">
            <w:pPr>
              <w:spacing w:before="120" w:after="120" w:line="288" w:lineRule="auto"/>
              <w:ind w:left="0"/>
              <w:jc w:val="left"/>
            </w:pPr>
            <w:r>
              <w:rPr>
                <w:rFonts w:ascii="Arial" w:hAnsi="Arial" w:eastAsia="等线" w:cs="Arial"/>
                <w:sz w:val="22"/>
              </w:rPr>
              <w:t>其税务处理通常参照标准股票期权，若属于激励型长期期权，满足条件可享受资本利得税优惠，非激励型的话，行权时差价按普通收入征税，后续出售股票再按资本利得税规则处理 。</w:t>
            </w:r>
          </w:p>
        </w:tc>
      </w:tr>
    </w:tbl>
    <w:p w14:paraId="5FE61C38">
      <w:pPr>
        <w:spacing w:before="320" w:after="120" w:line="288" w:lineRule="auto"/>
        <w:ind w:left="0"/>
        <w:jc w:val="left"/>
        <w:outlineLvl w:val="1"/>
      </w:pPr>
      <w:bookmarkStart w:id="47" w:name="heading_47"/>
      <w:r>
        <w:rPr>
          <w:rFonts w:ascii="Arial" w:hAnsi="Arial" w:eastAsia="等线" w:cs="Arial"/>
          <w:color w:val="3370FF"/>
          <w:sz w:val="32"/>
        </w:rPr>
        <w:t xml:space="preserve">6.8 </w:t>
      </w:r>
      <w:r>
        <w:rPr>
          <w:rFonts w:ascii="Arial" w:hAnsi="Arial" w:eastAsia="等线" w:cs="Arial"/>
          <w:b/>
          <w:sz w:val="32"/>
        </w:rPr>
        <w:t>回购如何进行</w:t>
      </w:r>
      <w:bookmarkEnd w:id="47"/>
    </w:p>
    <w:p w14:paraId="0649A824">
      <w:pPr>
        <w:spacing w:before="120" w:after="120" w:line="288" w:lineRule="auto"/>
        <w:ind w:left="0"/>
        <w:jc w:val="left"/>
      </w:pPr>
      <w:r>
        <w:rPr>
          <w:rFonts w:ascii="Arial" w:hAnsi="Arial" w:eastAsia="等线" w:cs="Arial"/>
          <w:b/>
          <w:sz w:val="22"/>
        </w:rPr>
        <w:t>公司要回购股票是怎么执行的？是否通过券商？具体是券商哪个部门负责？</w:t>
      </w:r>
    </w:p>
    <w:p w14:paraId="377AE3BB">
      <w:pPr>
        <w:spacing w:before="120" w:after="120" w:line="288" w:lineRule="auto"/>
        <w:ind w:left="0"/>
        <w:jc w:val="left"/>
      </w:pPr>
    </w:p>
    <w:p w14:paraId="06FFEAB9">
      <w:pPr>
        <w:spacing w:before="120" w:after="120" w:line="288" w:lineRule="auto"/>
        <w:ind w:left="0"/>
        <w:jc w:val="left"/>
      </w:pPr>
      <w:r>
        <w:rPr>
          <w:rFonts w:ascii="Arial" w:hAnsi="Arial" w:eastAsia="等线" w:cs="Arial"/>
          <w:sz w:val="22"/>
        </w:rPr>
        <w:t>绝大多数公开市场回购必须通过一家或少数几家券商（Broker-Dealer）执行。</w:t>
      </w:r>
    </w:p>
    <w:p w14:paraId="313879C4">
      <w:pPr>
        <w:spacing w:before="120" w:after="120" w:line="288" w:lineRule="auto"/>
        <w:ind w:left="0"/>
        <w:jc w:val="left"/>
      </w:pPr>
    </w:p>
    <w:p w14:paraId="61F42C88">
      <w:pPr>
        <w:spacing w:before="120" w:after="120" w:line="288" w:lineRule="auto"/>
        <w:ind w:left="0"/>
        <w:jc w:val="left"/>
      </w:pPr>
      <w:r>
        <w:rPr>
          <w:rFonts w:ascii="Arial" w:hAnsi="Arial" w:eastAsia="等线" w:cs="Arial"/>
          <w:sz w:val="22"/>
        </w:rPr>
        <w:t>在券商内部，主要由股票交易部门下的回购（Issuer Buyback / Corporate Repurchase）执行团队、通过 Program Trading（程序化交易）、Algorithmic Trading（算法交易）或 Block Trading（大宗交易）团队负责。</w:t>
      </w:r>
    </w:p>
    <w:p w14:paraId="5676657B">
      <w:pPr>
        <w:spacing w:before="120" w:after="120" w:line="288" w:lineRule="auto"/>
        <w:ind w:left="0"/>
        <w:jc w:val="left"/>
      </w:pPr>
    </w:p>
    <w:p w14:paraId="2FD5CCB9">
      <w:pPr>
        <w:spacing w:before="120" w:after="120" w:line="288" w:lineRule="auto"/>
        <w:ind w:left="0"/>
        <w:jc w:val="left"/>
      </w:pPr>
      <w:r>
        <w:rPr>
          <w:rFonts w:ascii="Arial" w:hAnsi="Arial" w:eastAsia="等线" w:cs="Arial"/>
          <w:sz w:val="22"/>
        </w:rPr>
        <w:t>若是加速回购或结构化方式，还会涉及股权衍生品（Equity Derivatives）结构团队和企业股权解决方案（Corporate Equity Solutions）团队。</w:t>
      </w:r>
    </w:p>
    <w:p w14:paraId="104DA6D8">
      <w:pPr>
        <w:spacing w:before="120" w:after="120" w:line="288" w:lineRule="auto"/>
        <w:ind w:left="0"/>
        <w:jc w:val="left"/>
      </w:pPr>
    </w:p>
    <w:p w14:paraId="29BB3A4E">
      <w:pPr>
        <w:spacing w:before="120" w:after="120" w:line="288" w:lineRule="auto"/>
        <w:ind w:left="0"/>
        <w:jc w:val="left"/>
      </w:pPr>
      <w:r>
        <w:rPr>
          <w:rFonts w:ascii="Arial" w:hAnsi="Arial" w:eastAsia="等线" w:cs="Arial"/>
          <w:sz w:val="22"/>
        </w:rPr>
        <w:t>回购方式不同，参与的券商子团队与法律/投资银行角色也不同（普通开放市场 vs 加速回购 ASR vs 要约回购 Tender Offer）。</w:t>
      </w:r>
    </w:p>
    <w:p w14:paraId="3C59E062">
      <w:pPr>
        <w:spacing w:before="120" w:after="120" w:line="288" w:lineRule="auto"/>
        <w:ind w:left="0"/>
        <w:jc w:val="left"/>
      </w:pPr>
    </w:p>
    <w:p w14:paraId="3E34C8C9">
      <w:pPr>
        <w:spacing w:before="120" w:after="120" w:line="288" w:lineRule="auto"/>
        <w:ind w:left="0"/>
        <w:jc w:val="left"/>
      </w:pPr>
      <w:r>
        <w:rPr>
          <w:rFonts w:ascii="Arial" w:hAnsi="Arial" w:eastAsia="等线" w:cs="Arial"/>
          <w:b/>
          <w:sz w:val="22"/>
        </w:rPr>
        <w:t>注意：</w:t>
      </w:r>
      <w:r>
        <w:rPr>
          <w:rFonts w:ascii="Arial" w:hAnsi="Arial" w:eastAsia="等线" w:cs="Arial"/>
          <w:sz w:val="22"/>
        </w:rPr>
        <w:t>要约回购（Tender Offer）指第三方向持有人提出的要约，要求他们出售（投标）或交换其证券。通常由第三方向证券持有人提出的要约，要求他们以指定价格（</w:t>
      </w:r>
      <w:r>
        <w:rPr>
          <w:rFonts w:ascii="Arial" w:hAnsi="Arial" w:eastAsia="等线" w:cs="Arial"/>
          <w:b/>
          <w:sz w:val="22"/>
        </w:rPr>
        <w:t>通常高于现行市场价格</w:t>
      </w:r>
      <w:r>
        <w:rPr>
          <w:rFonts w:ascii="Arial" w:hAnsi="Arial" w:eastAsia="等线" w:cs="Arial"/>
          <w:sz w:val="22"/>
        </w:rPr>
        <w:t>）出售（投标）其证券。 一般来说，要约收购的目的是控制目标公司。</w:t>
      </w:r>
    </w:p>
    <w:p w14:paraId="3958729A">
      <w:pPr>
        <w:spacing w:before="120" w:after="120" w:line="288" w:lineRule="auto"/>
        <w:ind w:left="0"/>
        <w:jc w:val="left"/>
      </w:pPr>
    </w:p>
    <w:p w14:paraId="62D5B6E1">
      <w:pPr>
        <w:spacing w:before="120" w:after="120" w:line="288" w:lineRule="auto"/>
        <w:ind w:left="0"/>
        <w:jc w:val="left"/>
      </w:pPr>
      <w:r>
        <w:rPr>
          <w:rFonts w:ascii="Arial" w:hAnsi="Arial" w:eastAsia="等线" w:cs="Arial"/>
          <w:b/>
          <w:sz w:val="22"/>
        </w:rPr>
        <w:t>为什么不是公司直接“在交易软件上买”？</w:t>
      </w:r>
    </w:p>
    <w:p w14:paraId="791A3B28">
      <w:pPr>
        <w:numPr>
          <w:ilvl w:val="0"/>
          <w:numId w:val="218"/>
        </w:numPr>
        <w:spacing w:before="120" w:after="120" w:line="288" w:lineRule="auto"/>
        <w:ind w:left="0"/>
        <w:jc w:val="left"/>
      </w:pPr>
      <w:r>
        <w:rPr>
          <w:rFonts w:ascii="Arial" w:hAnsi="Arial" w:eastAsia="等线" w:cs="Arial"/>
          <w:sz w:val="22"/>
        </w:rPr>
        <w:t>合规：需要遵守 10b-18、内幕信息管理、价格/数量限制。</w:t>
      </w:r>
    </w:p>
    <w:p w14:paraId="050E3D7D">
      <w:pPr>
        <w:numPr>
          <w:ilvl w:val="0"/>
          <w:numId w:val="219"/>
        </w:numPr>
        <w:spacing w:before="120" w:after="120" w:line="288" w:lineRule="auto"/>
        <w:ind w:left="0"/>
        <w:jc w:val="left"/>
      </w:pPr>
      <w:r>
        <w:rPr>
          <w:rFonts w:ascii="Arial" w:hAnsi="Arial" w:eastAsia="等线" w:cs="Arial"/>
          <w:sz w:val="22"/>
        </w:rPr>
        <w:t>执行质量：算法切单减少冲击，避免被市场识别（防止抬价）。</w:t>
      </w:r>
    </w:p>
    <w:p w14:paraId="3EF461BA">
      <w:pPr>
        <w:numPr>
          <w:ilvl w:val="0"/>
          <w:numId w:val="220"/>
        </w:numPr>
        <w:spacing w:before="120" w:after="120" w:line="288" w:lineRule="auto"/>
        <w:ind w:left="0"/>
        <w:jc w:val="left"/>
      </w:pPr>
      <w:r>
        <w:rPr>
          <w:rFonts w:ascii="Arial" w:hAnsi="Arial" w:eastAsia="等线" w:cs="Arial"/>
          <w:sz w:val="22"/>
        </w:rPr>
        <w:t>记录与审计：系统化的订单与执行日志供审计与监管查询。</w:t>
      </w:r>
    </w:p>
    <w:p w14:paraId="490E21AA">
      <w:pPr>
        <w:spacing w:before="120" w:after="120" w:line="288" w:lineRule="auto"/>
        <w:ind w:left="0"/>
        <w:jc w:val="left"/>
      </w:pPr>
    </w:p>
    <w:p w14:paraId="55FBF2E6">
      <w:pPr>
        <w:spacing w:before="120" w:after="120" w:line="288" w:lineRule="auto"/>
        <w:ind w:left="0"/>
        <w:jc w:val="left"/>
      </w:pPr>
      <w:r>
        <w:rPr>
          <w:rFonts w:ascii="Arial" w:hAnsi="Arial" w:eastAsia="等线" w:cs="Arial"/>
          <w:b/>
          <w:sz w:val="22"/>
        </w:rPr>
        <w:t>回购的主流方式（美国常见）</w:t>
      </w:r>
    </w:p>
    <w:p w14:paraId="637D5BD5">
      <w:pPr>
        <w:spacing w:before="120" w:after="120" w:line="288" w:lineRule="auto"/>
        <w:ind w:left="0"/>
      </w:pPr>
      <w:r>
        <w:object>
          <v:shape id="_x0000_i1035" o:spt="75" type="#_x0000_t75" style="height:197pt;width:414pt;" o:ole="t" filled="f" o:preferrelative="t" stroked="f" coordsize="21600,21600">
            <v:path/>
            <v:fill on="f" focussize="0,0"/>
            <v:stroke on="f" joinstyle="miter"/>
            <v:imagedata r:id="rId28" o:title=""/>
            <o:lock v:ext="edit" aspectratio="t"/>
            <w10:wrap type="none"/>
            <w10:anchorlock/>
          </v:shape>
          <o:OLEObject Type="Embed" ProgID="Excel.Sheet.12" ShapeID="_x0000_i1035" DrawAspect="Icon" ObjectID="_1468075735" r:id="rId27">
            <o:LockedField>false</o:LockedField>
          </o:OLEObject>
        </w:object>
      </w:r>
    </w:p>
    <w:p w14:paraId="0D1E31F8">
      <w:pPr>
        <w:spacing w:after="120"/>
        <w:ind w:left="0"/>
        <w:jc w:val="center"/>
      </w:pPr>
      <w:r>
        <w:rPr>
          <w:rFonts w:ascii="Arial" w:hAnsi="Arial" w:eastAsia="等线" w:cs="Arial"/>
          <w:b/>
          <w:sz w:val="22"/>
        </w:rPr>
        <w:t>点击图片可查看完整电子表格</w:t>
      </w:r>
    </w:p>
    <w:p w14:paraId="7E1FC101">
      <w:pPr>
        <w:spacing w:before="120" w:after="120" w:line="288" w:lineRule="auto"/>
        <w:ind w:left="0"/>
        <w:jc w:val="left"/>
      </w:pPr>
      <w:r>
        <w:rPr>
          <w:rFonts w:ascii="Arial" w:hAnsi="Arial" w:eastAsia="等线" w:cs="Arial"/>
          <w:b/>
          <w:sz w:val="22"/>
        </w:rPr>
        <w:t>典型开放市场回购（Open Market）操作流程</w:t>
      </w:r>
    </w:p>
    <w:p w14:paraId="6B1685DF">
      <w:pPr>
        <w:numPr>
          <w:ilvl w:val="0"/>
          <w:numId w:val="221"/>
        </w:numPr>
        <w:spacing w:before="120" w:after="120" w:line="288" w:lineRule="auto"/>
        <w:ind w:left="0"/>
        <w:jc w:val="left"/>
      </w:pPr>
      <w:r>
        <w:rPr>
          <w:rFonts w:ascii="Arial" w:hAnsi="Arial" w:eastAsia="等线" w:cs="Arial"/>
          <w:sz w:val="22"/>
        </w:rPr>
        <w:t>董事会授权（Board Authorization）</w:t>
      </w:r>
    </w:p>
    <w:p w14:paraId="526AD56F">
      <w:pPr>
        <w:numPr>
          <w:ilvl w:val="0"/>
          <w:numId w:val="222"/>
        </w:numPr>
        <w:spacing w:before="120" w:after="120" w:line="288" w:lineRule="auto"/>
        <w:ind w:left="453"/>
        <w:jc w:val="left"/>
      </w:pPr>
      <w:r>
        <w:rPr>
          <w:rFonts w:ascii="Arial" w:hAnsi="Arial" w:eastAsia="等线" w:cs="Arial"/>
          <w:sz w:val="22"/>
        </w:rPr>
        <w:t>通过决议：授权规模（如“最高回购 20 亿美元或 X 百万股”）、期限、目的（资本结构优化、抵消稀释、提升股东回报）。</w:t>
      </w:r>
    </w:p>
    <w:p w14:paraId="2CCB383F">
      <w:pPr>
        <w:numPr>
          <w:ilvl w:val="0"/>
          <w:numId w:val="223"/>
        </w:numPr>
        <w:spacing w:before="120" w:after="120" w:line="288" w:lineRule="auto"/>
        <w:ind w:left="453"/>
        <w:jc w:val="left"/>
      </w:pPr>
      <w:r>
        <w:rPr>
          <w:rFonts w:ascii="Arial" w:hAnsi="Arial" w:eastAsia="等线" w:cs="Arial"/>
          <w:sz w:val="22"/>
        </w:rPr>
        <w:t>不意味着必须全部执行，只是上限。</w:t>
      </w:r>
    </w:p>
    <w:p w14:paraId="7792BA43">
      <w:pPr>
        <w:numPr>
          <w:ilvl w:val="0"/>
          <w:numId w:val="224"/>
        </w:numPr>
        <w:spacing w:before="120" w:after="120" w:line="288" w:lineRule="auto"/>
        <w:ind w:left="0"/>
        <w:jc w:val="left"/>
      </w:pPr>
      <w:r>
        <w:rPr>
          <w:rFonts w:ascii="Arial" w:hAnsi="Arial" w:eastAsia="等线" w:cs="Arial"/>
          <w:sz w:val="22"/>
        </w:rPr>
        <w:t>信息披露</w:t>
      </w:r>
    </w:p>
    <w:p w14:paraId="2F0AA33D">
      <w:pPr>
        <w:numPr>
          <w:ilvl w:val="0"/>
          <w:numId w:val="225"/>
        </w:numPr>
        <w:spacing w:before="120" w:after="120" w:line="288" w:lineRule="auto"/>
        <w:ind w:left="453"/>
        <w:jc w:val="left"/>
      </w:pPr>
      <w:r>
        <w:rPr>
          <w:rFonts w:ascii="Arial" w:hAnsi="Arial" w:eastAsia="等线" w:cs="Arial"/>
          <w:sz w:val="22"/>
        </w:rPr>
        <w:t>发布新闻稿 + 8-K（美国上市公司）</w:t>
      </w:r>
    </w:p>
    <w:p w14:paraId="1D5A88DD">
      <w:pPr>
        <w:numPr>
          <w:ilvl w:val="0"/>
          <w:numId w:val="226"/>
        </w:numPr>
        <w:spacing w:before="120" w:after="120" w:line="288" w:lineRule="auto"/>
        <w:ind w:left="453"/>
        <w:jc w:val="left"/>
      </w:pPr>
      <w:r>
        <w:rPr>
          <w:rFonts w:ascii="Arial" w:hAnsi="Arial" w:eastAsia="等线" w:cs="Arial"/>
          <w:sz w:val="22"/>
        </w:rPr>
        <w:t>后续在 10-Q / 10-K 中披露期间内已回购数量与剩余额度。</w:t>
      </w:r>
    </w:p>
    <w:p w14:paraId="22849DDF">
      <w:pPr>
        <w:numPr>
          <w:ilvl w:val="0"/>
          <w:numId w:val="227"/>
        </w:numPr>
        <w:spacing w:before="120" w:after="120" w:line="288" w:lineRule="auto"/>
        <w:ind w:left="0"/>
        <w:jc w:val="left"/>
      </w:pPr>
      <w:r>
        <w:rPr>
          <w:rFonts w:ascii="Arial" w:hAnsi="Arial" w:eastAsia="等线" w:cs="Arial"/>
          <w:sz w:val="22"/>
        </w:rPr>
        <w:t>选择执行模式</w:t>
      </w:r>
    </w:p>
    <w:p w14:paraId="60C38C53">
      <w:pPr>
        <w:numPr>
          <w:ilvl w:val="0"/>
          <w:numId w:val="228"/>
        </w:numPr>
        <w:spacing w:before="120" w:after="120" w:line="288" w:lineRule="auto"/>
        <w:ind w:left="453"/>
        <w:jc w:val="left"/>
      </w:pPr>
      <w:r>
        <w:rPr>
          <w:rFonts w:ascii="Arial" w:hAnsi="Arial" w:eastAsia="等线" w:cs="Arial"/>
          <w:sz w:val="22"/>
        </w:rPr>
        <w:t>普通日内人工/算法买入</w:t>
      </w:r>
    </w:p>
    <w:p w14:paraId="17A65C61">
      <w:pPr>
        <w:numPr>
          <w:ilvl w:val="0"/>
          <w:numId w:val="229"/>
        </w:numPr>
        <w:spacing w:before="120" w:after="120" w:line="288" w:lineRule="auto"/>
        <w:ind w:left="453"/>
        <w:jc w:val="left"/>
      </w:pPr>
      <w:r>
        <w:rPr>
          <w:rFonts w:ascii="Arial" w:hAnsi="Arial" w:eastAsia="等线" w:cs="Arial"/>
          <w:sz w:val="22"/>
        </w:rPr>
        <w:t>设立 Rule 10b5-1 预设计划（允许在黑窗期持续执行）</w:t>
      </w:r>
    </w:p>
    <w:p w14:paraId="32A87C3F">
      <w:pPr>
        <w:numPr>
          <w:ilvl w:val="0"/>
          <w:numId w:val="230"/>
        </w:numPr>
        <w:spacing w:before="120" w:after="120" w:line="288" w:lineRule="auto"/>
        <w:ind w:left="453"/>
        <w:jc w:val="left"/>
      </w:pPr>
      <w:r>
        <w:rPr>
          <w:rFonts w:ascii="Arial" w:hAnsi="Arial" w:eastAsia="等线" w:cs="Arial"/>
          <w:sz w:val="22"/>
        </w:rPr>
        <w:t>是否考虑 ASR / Tender Offer</w:t>
      </w:r>
    </w:p>
    <w:p w14:paraId="5C418AC8">
      <w:pPr>
        <w:numPr>
          <w:ilvl w:val="0"/>
          <w:numId w:val="231"/>
        </w:numPr>
        <w:spacing w:before="120" w:after="120" w:line="288" w:lineRule="auto"/>
        <w:ind w:left="0"/>
        <w:jc w:val="left"/>
      </w:pPr>
      <w:r>
        <w:rPr>
          <w:rFonts w:ascii="Arial" w:hAnsi="Arial" w:eastAsia="等线" w:cs="Arial"/>
          <w:sz w:val="22"/>
        </w:rPr>
        <w:t>聘请券商（Broker-Dealer）</w:t>
      </w:r>
    </w:p>
    <w:p w14:paraId="5AF59395">
      <w:pPr>
        <w:numPr>
          <w:ilvl w:val="0"/>
          <w:numId w:val="232"/>
        </w:numPr>
        <w:spacing w:before="120" w:after="120" w:line="288" w:lineRule="auto"/>
        <w:ind w:left="453"/>
        <w:jc w:val="left"/>
      </w:pPr>
      <w:r>
        <w:rPr>
          <w:rFonts w:ascii="Arial" w:hAnsi="Arial" w:eastAsia="等线" w:cs="Arial"/>
          <w:sz w:val="22"/>
        </w:rPr>
        <w:t>一般签订 Issuer Repurchase Agreement。</w:t>
      </w:r>
    </w:p>
    <w:p w14:paraId="4582EA0D">
      <w:pPr>
        <w:numPr>
          <w:ilvl w:val="0"/>
          <w:numId w:val="233"/>
        </w:numPr>
        <w:spacing w:before="120" w:after="120" w:line="288" w:lineRule="auto"/>
        <w:ind w:left="453"/>
        <w:jc w:val="left"/>
      </w:pPr>
      <w:r>
        <w:rPr>
          <w:rFonts w:ascii="Arial" w:hAnsi="Arial" w:eastAsia="等线" w:cs="Arial"/>
          <w:sz w:val="22"/>
        </w:rPr>
        <w:t>美国若希望适用 Rule 10b-18 “安全港”（Safe Harbor），每日只能通过“一家”券商执行（可更换但每日保持单一）。</w:t>
      </w:r>
    </w:p>
    <w:p w14:paraId="56006F99">
      <w:pPr>
        <w:numPr>
          <w:ilvl w:val="0"/>
          <w:numId w:val="234"/>
        </w:numPr>
        <w:spacing w:before="120" w:after="120" w:line="288" w:lineRule="auto"/>
        <w:ind w:left="453"/>
        <w:jc w:val="left"/>
      </w:pPr>
      <w:r>
        <w:rPr>
          <w:rFonts w:ascii="Arial" w:hAnsi="Arial" w:eastAsia="等线" w:cs="Arial"/>
          <w:sz w:val="22"/>
        </w:rPr>
        <w:t>券商内部指派：Corporate Buyback Desk / Program Trading Desk / Algo Desk。</w:t>
      </w:r>
    </w:p>
    <w:p w14:paraId="12C840E6">
      <w:pPr>
        <w:numPr>
          <w:ilvl w:val="0"/>
          <w:numId w:val="235"/>
        </w:numPr>
        <w:spacing w:before="120" w:after="120" w:line="288" w:lineRule="auto"/>
        <w:ind w:left="0"/>
        <w:jc w:val="left"/>
      </w:pPr>
      <w:r>
        <w:rPr>
          <w:rFonts w:ascii="Arial" w:hAnsi="Arial" w:eastAsia="等线" w:cs="Arial"/>
          <w:sz w:val="22"/>
        </w:rPr>
        <w:t>设定执行参数（可在 10b5-1 计划或指令中体现）</w:t>
      </w:r>
    </w:p>
    <w:p w14:paraId="726BC729">
      <w:pPr>
        <w:numPr>
          <w:ilvl w:val="0"/>
          <w:numId w:val="236"/>
        </w:numPr>
        <w:spacing w:before="120" w:after="120" w:line="288" w:lineRule="auto"/>
        <w:ind w:left="453"/>
        <w:jc w:val="left"/>
      </w:pPr>
      <w:r>
        <w:rPr>
          <w:rFonts w:ascii="Arial" w:hAnsi="Arial" w:eastAsia="等线" w:cs="Arial"/>
          <w:sz w:val="22"/>
        </w:rPr>
        <w:t>每日最大量（不超过安全港 25% ADTV——Average Daily Trading Volume）</w:t>
      </w:r>
    </w:p>
    <w:p w14:paraId="2B89DBAD">
      <w:pPr>
        <w:numPr>
          <w:ilvl w:val="0"/>
          <w:numId w:val="237"/>
        </w:numPr>
        <w:spacing w:before="120" w:after="120" w:line="288" w:lineRule="auto"/>
        <w:ind w:left="453"/>
        <w:jc w:val="left"/>
      </w:pPr>
      <w:r>
        <w:rPr>
          <w:rFonts w:ascii="Arial" w:hAnsi="Arial" w:eastAsia="等线" w:cs="Arial"/>
          <w:sz w:val="22"/>
        </w:rPr>
        <w:t>价格限制（如不高于某上限或 VWAP ± 范围）</w:t>
      </w:r>
    </w:p>
    <w:p w14:paraId="1419DAB9">
      <w:pPr>
        <w:numPr>
          <w:ilvl w:val="0"/>
          <w:numId w:val="238"/>
        </w:numPr>
        <w:spacing w:before="120" w:after="120" w:line="288" w:lineRule="auto"/>
        <w:ind w:left="453"/>
        <w:jc w:val="left"/>
      </w:pPr>
      <w:r>
        <w:rPr>
          <w:rFonts w:ascii="Arial" w:hAnsi="Arial" w:eastAsia="等线" w:cs="Arial"/>
          <w:sz w:val="22"/>
        </w:rPr>
        <w:t>时间窗口（避开开盘第一笔与收盘前 10–30 分钟——符合 Rule 10b-18 时间条件）</w:t>
      </w:r>
    </w:p>
    <w:p w14:paraId="6A45BCD6">
      <w:pPr>
        <w:numPr>
          <w:ilvl w:val="0"/>
          <w:numId w:val="239"/>
        </w:numPr>
        <w:spacing w:before="120" w:after="120" w:line="288" w:lineRule="auto"/>
        <w:ind w:left="0"/>
        <w:jc w:val="left"/>
      </w:pPr>
      <w:r>
        <w:rPr>
          <w:rFonts w:ascii="Arial" w:hAnsi="Arial" w:eastAsia="等线" w:cs="Arial"/>
          <w:sz w:val="22"/>
        </w:rPr>
        <w:t>日常交易执行</w:t>
      </w:r>
    </w:p>
    <w:p w14:paraId="1A2962EB">
      <w:pPr>
        <w:numPr>
          <w:ilvl w:val="0"/>
          <w:numId w:val="240"/>
        </w:numPr>
        <w:spacing w:before="120" w:after="120" w:line="288" w:lineRule="auto"/>
        <w:ind w:left="453"/>
        <w:jc w:val="left"/>
      </w:pPr>
      <w:r>
        <w:rPr>
          <w:rFonts w:ascii="Arial" w:hAnsi="Arial" w:eastAsia="等线" w:cs="Arial"/>
          <w:sz w:val="22"/>
        </w:rPr>
        <w:t>券商算法：VWAP、TWAP、POV（参与率）或自定义策略以减少冲击。</w:t>
      </w:r>
    </w:p>
    <w:p w14:paraId="3B6D9444">
      <w:pPr>
        <w:numPr>
          <w:ilvl w:val="0"/>
          <w:numId w:val="241"/>
        </w:numPr>
        <w:spacing w:before="120" w:after="120" w:line="288" w:lineRule="auto"/>
        <w:ind w:left="453"/>
        <w:jc w:val="left"/>
      </w:pPr>
      <w:r>
        <w:rPr>
          <w:rFonts w:ascii="Arial" w:hAnsi="Arial" w:eastAsia="等线" w:cs="Arial"/>
          <w:sz w:val="22"/>
        </w:rPr>
        <w:t>合规监控：避免操纵收盘价、避免在敏感窗口大动作。</w:t>
      </w:r>
    </w:p>
    <w:p w14:paraId="2E9CA46A">
      <w:pPr>
        <w:numPr>
          <w:ilvl w:val="0"/>
          <w:numId w:val="242"/>
        </w:numPr>
        <w:spacing w:before="120" w:after="120" w:line="288" w:lineRule="auto"/>
        <w:ind w:left="453"/>
        <w:jc w:val="left"/>
      </w:pPr>
      <w:r>
        <w:rPr>
          <w:rFonts w:ascii="Arial" w:hAnsi="Arial" w:eastAsia="等线" w:cs="Arial"/>
          <w:sz w:val="22"/>
        </w:rPr>
        <w:t>公司驻内部的财务/资金管理（Treasury）团队与券商联络，通常不会逐笔“下单”，而是参数化授权。</w:t>
      </w:r>
    </w:p>
    <w:p w14:paraId="67A78E47">
      <w:pPr>
        <w:numPr>
          <w:ilvl w:val="0"/>
          <w:numId w:val="243"/>
        </w:numPr>
        <w:spacing w:before="120" w:after="120" w:line="288" w:lineRule="auto"/>
        <w:ind w:left="0"/>
        <w:jc w:val="left"/>
      </w:pPr>
      <w:r>
        <w:rPr>
          <w:rFonts w:ascii="Arial" w:hAnsi="Arial" w:eastAsia="等线" w:cs="Arial"/>
          <w:sz w:val="22"/>
        </w:rPr>
        <w:t>结算与过户</w:t>
      </w:r>
    </w:p>
    <w:p w14:paraId="4A507DD9">
      <w:pPr>
        <w:numPr>
          <w:ilvl w:val="0"/>
          <w:numId w:val="244"/>
        </w:numPr>
        <w:spacing w:before="120" w:after="120" w:line="288" w:lineRule="auto"/>
        <w:ind w:left="453"/>
        <w:jc w:val="left"/>
      </w:pPr>
      <w:r>
        <w:rPr>
          <w:rFonts w:ascii="Arial" w:hAnsi="Arial" w:eastAsia="等线" w:cs="Arial"/>
          <w:sz w:val="22"/>
        </w:rPr>
        <w:t>正常 T+2（美国即将逐步转 T+1 已实施）清算。</w:t>
      </w:r>
    </w:p>
    <w:p w14:paraId="21665723">
      <w:pPr>
        <w:numPr>
          <w:ilvl w:val="0"/>
          <w:numId w:val="245"/>
        </w:numPr>
        <w:spacing w:before="120" w:after="120" w:line="288" w:lineRule="auto"/>
        <w:ind w:left="453"/>
        <w:jc w:val="left"/>
      </w:pPr>
      <w:r>
        <w:rPr>
          <w:rFonts w:ascii="Arial" w:hAnsi="Arial" w:eastAsia="等线" w:cs="Arial"/>
          <w:sz w:val="22"/>
        </w:rPr>
        <w:t>股票进入公司“库藏股（Treasury Stock）”科目，可用于员工激励、未来再发行或注销。</w:t>
      </w:r>
    </w:p>
    <w:p w14:paraId="06E23808">
      <w:pPr>
        <w:numPr>
          <w:ilvl w:val="0"/>
          <w:numId w:val="246"/>
        </w:numPr>
        <w:spacing w:before="120" w:after="120" w:line="288" w:lineRule="auto"/>
        <w:ind w:left="0"/>
        <w:jc w:val="left"/>
      </w:pPr>
      <w:r>
        <w:rPr>
          <w:rFonts w:ascii="Arial" w:hAnsi="Arial" w:eastAsia="等线" w:cs="Arial"/>
          <w:sz w:val="22"/>
        </w:rPr>
        <w:t>会计与披露</w:t>
      </w:r>
    </w:p>
    <w:p w14:paraId="1F103F7C">
      <w:pPr>
        <w:numPr>
          <w:ilvl w:val="0"/>
          <w:numId w:val="247"/>
        </w:numPr>
        <w:spacing w:before="120" w:after="120" w:line="288" w:lineRule="auto"/>
        <w:ind w:left="453"/>
        <w:jc w:val="left"/>
      </w:pPr>
      <w:r>
        <w:rPr>
          <w:rFonts w:ascii="Arial" w:hAnsi="Arial" w:eastAsia="等线" w:cs="Arial"/>
          <w:sz w:val="22"/>
        </w:rPr>
        <w:t>按回购支付的总对价减少股东权益（库藏股为抵减权益科目）。</w:t>
      </w:r>
    </w:p>
    <w:p w14:paraId="70CAC7F9">
      <w:pPr>
        <w:numPr>
          <w:ilvl w:val="0"/>
          <w:numId w:val="248"/>
        </w:numPr>
        <w:spacing w:before="120" w:after="120" w:line="288" w:lineRule="auto"/>
        <w:ind w:left="453"/>
        <w:jc w:val="left"/>
      </w:pPr>
      <w:r>
        <w:rPr>
          <w:rFonts w:ascii="Arial" w:hAnsi="Arial" w:eastAsia="等线" w:cs="Arial"/>
          <w:sz w:val="22"/>
        </w:rPr>
        <w:t>定期披露累计数量与平均价格。</w:t>
      </w:r>
    </w:p>
    <w:p w14:paraId="56CA07F4">
      <w:pPr>
        <w:spacing w:before="120" w:after="120" w:line="288" w:lineRule="auto"/>
        <w:ind w:left="0"/>
        <w:jc w:val="left"/>
      </w:pPr>
    </w:p>
    <w:p w14:paraId="028D7470">
      <w:pPr>
        <w:spacing w:before="120" w:after="120" w:line="288" w:lineRule="auto"/>
        <w:ind w:left="0"/>
        <w:jc w:val="left"/>
      </w:pPr>
      <w:r>
        <w:rPr>
          <w:rFonts w:ascii="Arial" w:hAnsi="Arial" w:eastAsia="等线" w:cs="Arial"/>
          <w:b/>
          <w:sz w:val="22"/>
        </w:rPr>
        <w:t>券商内部涉及的典型部门（按不同方式）</w:t>
      </w:r>
    </w:p>
    <w:p w14:paraId="17ED9321">
      <w:pPr>
        <w:spacing w:before="120" w:after="120" w:line="288" w:lineRule="auto"/>
        <w:ind w:left="0"/>
      </w:pPr>
      <w:r>
        <w:object>
          <v:shape id="_x0000_i1036" o:spt="75" type="#_x0000_t75" style="height:187pt;width:414pt;" o:ole="t" filled="f" o:preferrelative="t" stroked="f" coordsize="21600,21600">
            <v:path/>
            <v:fill on="f" focussize="0,0"/>
            <v:stroke on="f" joinstyle="miter"/>
            <v:imagedata r:id="rId30" o:title=""/>
            <o:lock v:ext="edit" aspectratio="t"/>
            <w10:wrap type="none"/>
            <w10:anchorlock/>
          </v:shape>
          <o:OLEObject Type="Embed" ProgID="Excel.Sheet.12" ShapeID="_x0000_i1036" DrawAspect="Icon" ObjectID="_1468075736" r:id="rId29">
            <o:LockedField>false</o:LockedField>
          </o:OLEObject>
        </w:object>
      </w:r>
    </w:p>
    <w:p w14:paraId="33D032D9">
      <w:pPr>
        <w:spacing w:after="120"/>
        <w:ind w:left="0"/>
        <w:jc w:val="center"/>
      </w:pPr>
      <w:r>
        <w:rPr>
          <w:rFonts w:ascii="Arial" w:hAnsi="Arial" w:eastAsia="等线" w:cs="Arial"/>
          <w:b/>
          <w:sz w:val="22"/>
        </w:rPr>
        <w:t>点击图片可查看完整电子表格</w:t>
      </w:r>
    </w:p>
    <w:p w14:paraId="48BDF339">
      <w:pPr>
        <w:spacing w:before="120" w:after="120" w:line="288" w:lineRule="auto"/>
        <w:ind w:left="0"/>
        <w:jc w:val="left"/>
      </w:pPr>
      <w:r>
        <w:rPr>
          <w:rFonts w:ascii="Arial" w:hAnsi="Arial" w:eastAsia="等线" w:cs="Arial"/>
          <w:b/>
          <w:sz w:val="22"/>
        </w:rPr>
        <w:t>加速回购（ASR，Accelerated Share Repurchase）简化示例</w:t>
      </w:r>
    </w:p>
    <w:p w14:paraId="34CDBDF4">
      <w:pPr>
        <w:spacing w:before="120" w:after="120" w:line="288" w:lineRule="auto"/>
        <w:ind w:left="0"/>
        <w:jc w:val="left"/>
      </w:pPr>
      <w:r>
        <w:rPr>
          <w:rFonts w:ascii="Arial" w:hAnsi="Arial" w:eastAsia="等线" w:cs="Arial"/>
          <w:sz w:val="22"/>
        </w:rPr>
        <w:t>流程概览：</w:t>
      </w:r>
    </w:p>
    <w:p w14:paraId="1F6AF754">
      <w:pPr>
        <w:numPr>
          <w:ilvl w:val="0"/>
          <w:numId w:val="249"/>
        </w:numPr>
        <w:spacing w:before="120" w:after="120" w:line="288" w:lineRule="auto"/>
        <w:ind w:left="0"/>
        <w:jc w:val="left"/>
      </w:pPr>
      <w:r>
        <w:rPr>
          <w:rFonts w:ascii="Arial" w:hAnsi="Arial" w:eastAsia="等线" w:cs="Arial"/>
          <w:sz w:val="22"/>
        </w:rPr>
        <w:t>公司与投行签协议：一次付出 10 亿美元。</w:t>
      </w:r>
    </w:p>
    <w:p w14:paraId="5DFF8B0A">
      <w:pPr>
        <w:numPr>
          <w:ilvl w:val="0"/>
          <w:numId w:val="250"/>
        </w:numPr>
        <w:spacing w:before="120" w:after="120" w:line="288" w:lineRule="auto"/>
        <w:ind w:left="0"/>
        <w:jc w:val="left"/>
      </w:pPr>
      <w:r>
        <w:rPr>
          <w:rFonts w:ascii="Arial" w:hAnsi="Arial" w:eastAsia="等线" w:cs="Arial"/>
          <w:sz w:val="22"/>
        </w:rPr>
        <w:t>投行借来或自建仓交付公司估算的“初始股份数”（按协议签署日前股价的某参考 VWAP 预估，比如 80%–85% 对应的数量）。</w:t>
      </w:r>
    </w:p>
    <w:p w14:paraId="178C4F49">
      <w:pPr>
        <w:numPr>
          <w:ilvl w:val="0"/>
          <w:numId w:val="251"/>
        </w:numPr>
        <w:spacing w:before="120" w:after="120" w:line="288" w:lineRule="auto"/>
        <w:ind w:left="0"/>
        <w:jc w:val="left"/>
      </w:pPr>
      <w:r>
        <w:rPr>
          <w:rFonts w:ascii="Arial" w:hAnsi="Arial" w:eastAsia="等线" w:cs="Arial"/>
          <w:sz w:val="22"/>
        </w:rPr>
        <w:t>公司立即显示流通股减少（EPS 立刻提升）。</w:t>
      </w:r>
    </w:p>
    <w:p w14:paraId="51535132">
      <w:pPr>
        <w:numPr>
          <w:ilvl w:val="0"/>
          <w:numId w:val="252"/>
        </w:numPr>
        <w:spacing w:before="120" w:after="120" w:line="288" w:lineRule="auto"/>
        <w:ind w:left="0"/>
        <w:jc w:val="left"/>
      </w:pPr>
      <w:r>
        <w:rPr>
          <w:rFonts w:ascii="Arial" w:hAnsi="Arial" w:eastAsia="等线" w:cs="Arial"/>
          <w:sz w:val="22"/>
        </w:rPr>
        <w:t>接下来数月，投行在市场上逐步买入对冲；最终按实际加权平均价格（期间 VWAP）重新计算应交付总股数，多退少补（公司可能再收少量股或退现金）。</w:t>
      </w:r>
    </w:p>
    <w:p w14:paraId="02695010">
      <w:pPr>
        <w:spacing w:before="120" w:after="120" w:line="288" w:lineRule="auto"/>
        <w:ind w:left="0"/>
        <w:jc w:val="left"/>
      </w:pPr>
      <w:r>
        <w:rPr>
          <w:rFonts w:ascii="Arial" w:hAnsi="Arial" w:eastAsia="等线" w:cs="Arial"/>
          <w:sz w:val="22"/>
        </w:rPr>
        <w:t>参与部门：投行股权衍生品结构（设计合约条款）、股票交易（执行对冲）、法律合规、风险管理（监控敞口）。</w:t>
      </w:r>
    </w:p>
    <w:p w14:paraId="63E78EFB">
      <w:pPr>
        <w:pBdr>
          <w:bottom w:val="single" w:color="DEE0E3" w:sz="2" w:space="0"/>
          <w:between w:val="single" w:color="DEE0E3" w:sz="2" w:space="0"/>
        </w:pBdr>
        <w:spacing w:before="120" w:after="120" w:line="288" w:lineRule="auto"/>
        <w:ind w:left="0"/>
      </w:pPr>
    </w:p>
    <w:p w14:paraId="71E052BE">
      <w:pPr>
        <w:spacing w:before="120" w:after="120" w:line="288" w:lineRule="auto"/>
        <w:ind w:left="0"/>
        <w:jc w:val="left"/>
      </w:pPr>
      <w:r>
        <w:rPr>
          <w:rFonts w:ascii="Arial" w:hAnsi="Arial" w:eastAsia="等线" w:cs="Arial"/>
          <w:sz w:val="22"/>
        </w:rPr>
        <w:t>要约回购（Tender Offer）与开放市场的区别</w:t>
      </w:r>
    </w:p>
    <w:p w14:paraId="3946CA64">
      <w:pPr>
        <w:spacing w:before="120" w:after="120" w:line="288" w:lineRule="auto"/>
        <w:ind w:left="0"/>
      </w:pPr>
      <w:r>
        <w:object>
          <v:shape id="_x0000_i1037" o:spt="75" type="#_x0000_t75" style="height:177pt;width:414pt;" o:ole="t" filled="f" o:preferrelative="t" stroked="f" coordsize="21600,21600">
            <v:path/>
            <v:fill on="f" focussize="0,0"/>
            <v:stroke on="f" joinstyle="miter"/>
            <v:imagedata r:id="rId32" o:title=""/>
            <o:lock v:ext="edit" aspectratio="t"/>
            <w10:wrap type="none"/>
            <w10:anchorlock/>
          </v:shape>
          <o:OLEObject Type="Embed" ProgID="Excel.Sheet.12" ShapeID="_x0000_i1037" DrawAspect="Icon" ObjectID="_1468075737" r:id="rId31">
            <o:LockedField>false</o:LockedField>
          </o:OLEObject>
        </w:object>
      </w:r>
    </w:p>
    <w:p w14:paraId="7B581650">
      <w:pPr>
        <w:spacing w:after="120"/>
        <w:ind w:left="0"/>
        <w:jc w:val="center"/>
      </w:pPr>
      <w:r>
        <w:rPr>
          <w:rFonts w:ascii="Arial" w:hAnsi="Arial" w:eastAsia="等线" w:cs="Arial"/>
          <w:b/>
          <w:sz w:val="22"/>
        </w:rPr>
        <w:t>点击图片可查看完整电子表格</w:t>
      </w:r>
    </w:p>
    <w:p w14:paraId="29076464">
      <w:pPr>
        <w:spacing w:before="120" w:after="120" w:line="288" w:lineRule="auto"/>
        <w:ind w:left="0"/>
        <w:jc w:val="left"/>
      </w:pPr>
      <w:r>
        <w:rPr>
          <w:rFonts w:ascii="Arial" w:hAnsi="Arial" w:eastAsia="等线" w:cs="Arial"/>
          <w:sz w:val="22"/>
        </w:rPr>
        <w:t>Tender Offer 角色：</w:t>
      </w:r>
    </w:p>
    <w:p w14:paraId="19362698">
      <w:pPr>
        <w:numPr>
          <w:ilvl w:val="0"/>
          <w:numId w:val="253"/>
        </w:numPr>
        <w:spacing w:before="120" w:after="120" w:line="288" w:lineRule="auto"/>
        <w:ind w:left="0"/>
        <w:jc w:val="left"/>
      </w:pPr>
      <w:r>
        <w:rPr>
          <w:rFonts w:ascii="Arial" w:hAnsi="Arial" w:eastAsia="等线" w:cs="Arial"/>
          <w:sz w:val="22"/>
        </w:rPr>
        <w:t>Dealer-Manager：负责设计和营销（投行）</w:t>
      </w:r>
    </w:p>
    <w:p w14:paraId="04F368B8">
      <w:pPr>
        <w:numPr>
          <w:ilvl w:val="0"/>
          <w:numId w:val="254"/>
        </w:numPr>
        <w:spacing w:before="120" w:after="120" w:line="288" w:lineRule="auto"/>
        <w:ind w:left="0"/>
        <w:jc w:val="left"/>
      </w:pPr>
      <w:r>
        <w:rPr>
          <w:rFonts w:ascii="Arial" w:hAnsi="Arial" w:eastAsia="等线" w:cs="Arial"/>
          <w:sz w:val="22"/>
        </w:rPr>
        <w:t>Information Agent：与股东沟通（如 Georgeson）</w:t>
      </w:r>
    </w:p>
    <w:p w14:paraId="20B378E5">
      <w:pPr>
        <w:numPr>
          <w:ilvl w:val="0"/>
          <w:numId w:val="255"/>
        </w:numPr>
        <w:spacing w:before="120" w:after="120" w:line="288" w:lineRule="auto"/>
        <w:ind w:left="0"/>
        <w:jc w:val="left"/>
      </w:pPr>
      <w:r>
        <w:rPr>
          <w:rFonts w:ascii="Arial" w:hAnsi="Arial" w:eastAsia="等线" w:cs="Arial"/>
          <w:sz w:val="22"/>
        </w:rPr>
        <w:t>Depositary：接收与清算（如 Computershare）</w:t>
      </w:r>
    </w:p>
    <w:p w14:paraId="428A44AF">
      <w:pPr>
        <w:numPr>
          <w:ilvl w:val="0"/>
          <w:numId w:val="256"/>
        </w:numPr>
        <w:spacing w:before="120" w:after="120" w:line="288" w:lineRule="auto"/>
        <w:ind w:left="0"/>
        <w:jc w:val="left"/>
      </w:pPr>
      <w:r>
        <w:rPr>
          <w:rFonts w:ascii="Arial" w:hAnsi="Arial" w:eastAsia="等线" w:cs="Arial"/>
          <w:sz w:val="22"/>
        </w:rPr>
        <w:t>法律/公关团队：合规与舆论管理</w:t>
      </w:r>
    </w:p>
    <w:p w14:paraId="4BB3AC55">
      <w:pPr>
        <w:spacing w:before="320" w:after="120" w:line="288" w:lineRule="auto"/>
        <w:ind w:left="0"/>
        <w:jc w:val="left"/>
        <w:outlineLvl w:val="1"/>
      </w:pPr>
      <w:bookmarkStart w:id="48" w:name="heading_48"/>
      <w:r>
        <w:rPr>
          <w:rFonts w:ascii="Arial" w:hAnsi="Arial" w:eastAsia="等线" w:cs="Arial"/>
          <w:color w:val="3370FF"/>
          <w:sz w:val="32"/>
        </w:rPr>
        <w:t xml:space="preserve">6.9 </w:t>
      </w:r>
      <w:r>
        <w:rPr>
          <w:rFonts w:ascii="Arial" w:hAnsi="Arial" w:eastAsia="等线" w:cs="Arial"/>
          <w:b/>
          <w:sz w:val="32"/>
        </w:rPr>
        <w:t>回购的影响</w:t>
      </w:r>
      <w:bookmarkEnd w:id="48"/>
    </w:p>
    <w:p w14:paraId="56A52E98">
      <w:pPr>
        <w:spacing w:before="120" w:after="120" w:line="288" w:lineRule="auto"/>
        <w:ind w:left="0"/>
      </w:pPr>
      <w:r>
        <w:object>
          <v:shape id="_x0000_i1038" o:spt="75" type="#_x0000_t75" style="height:90pt;width:414pt;" o:ole="t" filled="f" o:preferrelative="t" stroked="f" coordsize="21600,21600">
            <v:path/>
            <v:fill on="f" focussize="0,0"/>
            <v:stroke on="f" joinstyle="miter"/>
            <v:imagedata r:id="rId34" o:title=""/>
            <o:lock v:ext="edit" aspectratio="t"/>
            <w10:wrap type="none"/>
            <w10:anchorlock/>
          </v:shape>
          <o:OLEObject Type="Embed" ProgID="Excel.Sheet.12" ShapeID="_x0000_i1038" DrawAspect="Icon" ObjectID="_1468075738" r:id="rId33">
            <o:LockedField>false</o:LockedField>
          </o:OLEObject>
        </w:object>
      </w:r>
    </w:p>
    <w:p w14:paraId="6F9BEA9A">
      <w:pPr>
        <w:spacing w:after="120"/>
        <w:ind w:left="0"/>
        <w:jc w:val="center"/>
      </w:pPr>
      <w:r>
        <w:rPr>
          <w:rFonts w:ascii="Arial" w:hAnsi="Arial" w:eastAsia="等线" w:cs="Arial"/>
          <w:b/>
          <w:sz w:val="22"/>
        </w:rPr>
        <w:t>点击图片可查看完整电子表格</w:t>
      </w:r>
    </w:p>
    <w:p w14:paraId="17ED195D">
      <w:pPr>
        <w:spacing w:before="120" w:after="120" w:line="288" w:lineRule="auto"/>
        <w:ind w:left="0"/>
        <w:jc w:val="left"/>
      </w:pPr>
      <w:r>
        <w:rPr>
          <w:rFonts w:ascii="Arial" w:hAnsi="Arial" w:eastAsia="等线" w:cs="Arial"/>
          <w:sz w:val="22"/>
        </w:rPr>
        <w:t>回购是 “公司与股东之间的资本再分配”，其影响并非绝对，需结合公司的现金流状况、股价估值、行业周期等因素综合判断 —— 理性的回购（低价、用过剩现金）通常利好股东，非理性的回购（高价、挤占发展资金）则可能损害长期价值。</w:t>
      </w:r>
    </w:p>
    <w:p w14:paraId="6EC6DF95">
      <w:pPr>
        <w:spacing w:before="120" w:after="120" w:line="288" w:lineRule="auto"/>
        <w:ind w:left="0"/>
        <w:jc w:val="left"/>
      </w:pPr>
      <w:r>
        <w:rPr>
          <w:rFonts w:ascii="Arial" w:hAnsi="Arial" w:eastAsia="等线" w:cs="Arial"/>
          <w:sz w:val="22"/>
        </w:rPr>
        <w:t>对股东权益（Shareholders' Equity）的直接影响：总额减少，结构调整</w:t>
      </w:r>
    </w:p>
    <w:p w14:paraId="69B09411">
      <w:pPr>
        <w:spacing w:before="120" w:after="120" w:line="288" w:lineRule="auto"/>
        <w:ind w:left="0"/>
        <w:jc w:val="left"/>
      </w:pPr>
      <w:r>
        <w:rPr>
          <w:rFonts w:ascii="Arial" w:hAnsi="Arial" w:eastAsia="等线" w:cs="Arial"/>
          <w:sz w:val="22"/>
        </w:rPr>
        <w:t>美股公司回购股票后，会计上需将回购的股票确认为 “库存股（Treasury Stock）”，而库存股在 U.S. GAAP 中明确作为股东权益的减项，因此对股东权益的影响直接且明确：</w:t>
      </w:r>
    </w:p>
    <w:p w14:paraId="59557855">
      <w:pPr>
        <w:spacing w:before="120" w:after="120" w:line="288" w:lineRule="auto"/>
        <w:ind w:left="0"/>
        <w:jc w:val="left"/>
      </w:pPr>
    </w:p>
    <w:p w14:paraId="68F4483C">
      <w:pPr>
        <w:spacing w:before="120" w:after="120" w:line="288" w:lineRule="auto"/>
        <w:ind w:left="0"/>
        <w:jc w:val="left"/>
      </w:pPr>
      <w:r>
        <w:rPr>
          <w:rFonts w:ascii="Arial" w:hAnsi="Arial" w:eastAsia="等线" w:cs="Arial"/>
          <w:b/>
          <w:sz w:val="22"/>
        </w:rPr>
        <w:t>股东权益总额：必然减少</w:t>
      </w:r>
    </w:p>
    <w:p w14:paraId="4F8EDED7">
      <w:pPr>
        <w:spacing w:before="120" w:after="120" w:line="288" w:lineRule="auto"/>
        <w:ind w:left="0"/>
        <w:jc w:val="left"/>
      </w:pPr>
      <w:r>
        <w:rPr>
          <w:rFonts w:ascii="Arial" w:hAnsi="Arial" w:eastAsia="等线" w:cs="Arial"/>
          <w:sz w:val="22"/>
        </w:rPr>
        <w:t>公司回购股票需动用 “现金” 或 “其他流动资产” 支付给出售股票的股东，本质是 “公司将部分资产返还给股东”，导致股东权益总额随资产减少而同步减少。</w:t>
      </w:r>
    </w:p>
    <w:p w14:paraId="49A5CD05">
      <w:pPr>
        <w:spacing w:before="120" w:after="120" w:line="288" w:lineRule="auto"/>
        <w:ind w:left="0"/>
        <w:jc w:val="left"/>
      </w:pPr>
      <w:r>
        <w:rPr>
          <w:rFonts w:ascii="Arial" w:hAnsi="Arial" w:eastAsia="等线" w:cs="Arial"/>
          <w:sz w:val="22"/>
        </w:rPr>
        <w:t>例：某美股公司初始股东权益总额为 10 亿美元（含股本 2 亿、资本公积 3 亿、留存收益 5 亿），若用 2 亿美元现金回购股票，股东权益总额将降至 8 亿美元（10 亿 - 2 亿库存股），减少金额等于回购支付的现金总额。</w:t>
      </w:r>
    </w:p>
    <w:p w14:paraId="0F0DCAA1">
      <w:pPr>
        <w:spacing w:before="120" w:after="120" w:line="288" w:lineRule="auto"/>
        <w:ind w:left="0"/>
        <w:jc w:val="left"/>
      </w:pPr>
      <w:r>
        <w:rPr>
          <w:rFonts w:ascii="Arial" w:hAnsi="Arial" w:eastAsia="等线" w:cs="Arial"/>
          <w:b/>
          <w:sz w:val="22"/>
        </w:rPr>
        <w:t>股东权益结构：仅 “库存股” 增加，其他项目不变</w:t>
      </w:r>
    </w:p>
    <w:p w14:paraId="33DF063C">
      <w:pPr>
        <w:spacing w:before="120" w:after="120" w:line="288" w:lineRule="auto"/>
        <w:ind w:left="0"/>
        <w:jc w:val="left"/>
      </w:pPr>
      <w:r>
        <w:rPr>
          <w:rFonts w:ascii="Arial" w:hAnsi="Arial" w:eastAsia="等线" w:cs="Arial"/>
          <w:sz w:val="22"/>
        </w:rPr>
        <w:t>回购不改变 “股本（Capital Stock）”“资本公积（Additional Paid-in Capital）”“留存收益（Retained Earnings）” 等核心项目的金额（除非回购价格与股票面值 / 发行价差异较大，需调整资本公积，但这是特殊情况），仅新增 “库存股” 这一减项，导致股东权益内部结构从 “正向权益项目” 向 “抵减项” 倾斜。</w:t>
      </w:r>
    </w:p>
    <w:p w14:paraId="7BBC370D">
      <w:pPr>
        <w:spacing w:before="120" w:after="120" w:line="288" w:lineRule="auto"/>
        <w:ind w:left="0"/>
        <w:jc w:val="left"/>
      </w:pPr>
      <w:r>
        <w:rPr>
          <w:rFonts w:ascii="Arial" w:hAnsi="Arial" w:eastAsia="等线" w:cs="Arial"/>
          <w:b/>
          <w:sz w:val="22"/>
        </w:rPr>
        <w:t>对公司股权（Ownership Structure）的核心影响：集中度提升，流通股减少</w:t>
      </w:r>
    </w:p>
    <w:p w14:paraId="582C1AA2">
      <w:pPr>
        <w:spacing w:before="120" w:after="120" w:line="288" w:lineRule="auto"/>
        <w:ind w:left="0"/>
        <w:jc w:val="left"/>
      </w:pPr>
      <w:r>
        <w:rPr>
          <w:rFonts w:ascii="Arial" w:hAnsi="Arial" w:eastAsia="等线" w:cs="Arial"/>
          <w:sz w:val="22"/>
        </w:rPr>
        <w:t>回购股票本质是 “公司收回部分已发行的流通股”，直接改变股权的 “持有主体” 和 “流通规模”，核心影响如下：</w:t>
      </w:r>
    </w:p>
    <w:p w14:paraId="659F9815">
      <w:pPr>
        <w:spacing w:before="120" w:after="120" w:line="288" w:lineRule="auto"/>
        <w:ind w:left="0"/>
        <w:jc w:val="left"/>
      </w:pPr>
      <w:r>
        <w:rPr>
          <w:rFonts w:ascii="Arial" w:hAnsi="Arial" w:eastAsia="等线" w:cs="Arial"/>
          <w:b/>
          <w:sz w:val="22"/>
        </w:rPr>
        <w:t>流通股数量（Outstanding Shares）：减少</w:t>
      </w:r>
    </w:p>
    <w:p w14:paraId="0B27E28C">
      <w:pPr>
        <w:spacing w:before="120" w:after="120" w:line="288" w:lineRule="auto"/>
        <w:ind w:left="0"/>
        <w:jc w:val="left"/>
      </w:pPr>
      <w:r>
        <w:rPr>
          <w:rFonts w:ascii="Arial" w:hAnsi="Arial" w:eastAsia="等线" w:cs="Arial"/>
          <w:sz w:val="22"/>
        </w:rPr>
        <w:t>美股公司的 “已发行股票（Issued Shares）” 分为 “流通股（Outstanding Shares，可在市场交易）” 和 “库存股（Treasury Stock，不流通）”。回购后，原流通股转为库存股，导致流通股数量必然减少（这是回购最直接的股权影响）。</w:t>
      </w:r>
    </w:p>
    <w:p w14:paraId="748BBCDC">
      <w:pPr>
        <w:spacing w:before="120" w:after="120" w:line="288" w:lineRule="auto"/>
        <w:ind w:left="0"/>
        <w:jc w:val="left"/>
      </w:pPr>
      <w:r>
        <w:rPr>
          <w:rFonts w:ascii="Arial" w:hAnsi="Arial" w:eastAsia="等线" w:cs="Arial"/>
          <w:sz w:val="22"/>
        </w:rPr>
        <w:t>例：公司原流通股 1 亿股，回购 1000 万股后，流通股降至 9000 万股，已发行股票总数不变（仍 1 亿股），但库存股占比从 0 升至 10%。</w:t>
      </w:r>
    </w:p>
    <w:p w14:paraId="13785649">
      <w:pPr>
        <w:spacing w:before="120" w:after="120" w:line="288" w:lineRule="auto"/>
        <w:ind w:left="0"/>
        <w:jc w:val="left"/>
      </w:pPr>
      <w:r>
        <w:rPr>
          <w:rFonts w:ascii="Arial" w:hAnsi="Arial" w:eastAsia="等线" w:cs="Arial"/>
          <w:b/>
          <w:sz w:val="22"/>
        </w:rPr>
        <w:t>股权集中度：提升（非绝对，但普遍情况）</w:t>
      </w:r>
    </w:p>
    <w:p w14:paraId="3D0590CC">
      <w:pPr>
        <w:spacing w:before="120" w:after="120" w:line="288" w:lineRule="auto"/>
        <w:ind w:left="0"/>
        <w:jc w:val="left"/>
      </w:pPr>
      <w:r>
        <w:rPr>
          <w:rFonts w:ascii="Arial" w:hAnsi="Arial" w:eastAsia="等线" w:cs="Arial"/>
          <w:sz w:val="22"/>
        </w:rPr>
        <w:t>回购对股权集中度的影响取决于 “谁出售股票”：</w:t>
      </w:r>
    </w:p>
    <w:p w14:paraId="2029F2E2">
      <w:pPr>
        <w:spacing w:before="120" w:after="120" w:line="288" w:lineRule="auto"/>
        <w:ind w:left="0"/>
        <w:jc w:val="left"/>
      </w:pPr>
      <w:r>
        <w:rPr>
          <w:rFonts w:ascii="Arial" w:hAnsi="Arial" w:eastAsia="等线" w:cs="Arial"/>
          <w:sz w:val="22"/>
        </w:rPr>
        <w:t>若出售方是中小股东（散户或持股比例较低的机构），则剩余股东（尤其是大股东、管理层持股）的 “持股比例相对提升”，股权集中度上升（这是美股回购的常见场景，例如管理层通过回购巩固控制权）；</w:t>
      </w:r>
    </w:p>
    <w:p w14:paraId="0B6AAAE5">
      <w:pPr>
        <w:spacing w:before="120" w:after="120" w:line="288" w:lineRule="auto"/>
        <w:ind w:left="0"/>
        <w:jc w:val="left"/>
      </w:pPr>
      <w:r>
        <w:rPr>
          <w:rFonts w:ascii="Arial" w:hAnsi="Arial" w:eastAsia="等线" w:cs="Arial"/>
          <w:sz w:val="22"/>
        </w:rPr>
        <w:t>若出售方是大股东（如持股 5% 以上的机构），则股权集中度可能下降（但这种情况较少，因大股东通常不会因回购轻易减持）。</w:t>
      </w:r>
    </w:p>
    <w:p w14:paraId="45DEBCD8">
      <w:pPr>
        <w:spacing w:before="120" w:after="120" w:line="288" w:lineRule="auto"/>
        <w:ind w:left="0"/>
        <w:jc w:val="left"/>
      </w:pPr>
      <w:r>
        <w:rPr>
          <w:rFonts w:ascii="Arial" w:hAnsi="Arial" w:eastAsia="等线" w:cs="Arial"/>
          <w:sz w:val="22"/>
        </w:rPr>
        <w:t>特殊规则：美股无 “回购比例上限”（仅需遵守 SEC 的 10b-18 规则，避免操纵市场），因此公司可通过大额回购显著提升股权集中度（如苹果、微软等巨头曾通过百亿级回购，使大股东持股比例间接上升）。</w:t>
      </w:r>
    </w:p>
    <w:p w14:paraId="623650E8">
      <w:pPr>
        <w:spacing w:before="120" w:after="120" w:line="288" w:lineRule="auto"/>
        <w:ind w:left="0"/>
        <w:jc w:val="left"/>
      </w:pPr>
      <w:r>
        <w:rPr>
          <w:rFonts w:ascii="Arial" w:hAnsi="Arial" w:eastAsia="等线" w:cs="Arial"/>
          <w:b/>
          <w:sz w:val="22"/>
        </w:rPr>
        <w:t>股东权利分布：剩余股东权利 “相对增强”</w:t>
      </w:r>
    </w:p>
    <w:p w14:paraId="70207E3B">
      <w:pPr>
        <w:spacing w:before="120" w:after="120" w:line="288" w:lineRule="auto"/>
        <w:ind w:left="0"/>
        <w:jc w:val="left"/>
      </w:pPr>
      <w:r>
        <w:rPr>
          <w:rFonts w:ascii="Arial" w:hAnsi="Arial" w:eastAsia="等线" w:cs="Arial"/>
          <w:sz w:val="22"/>
        </w:rPr>
        <w:t>库存股不享有任何股东权利（投票权、分红权、剩余财产分配权等），因此回购后：</w:t>
      </w:r>
    </w:p>
    <w:p w14:paraId="3B3CAE94">
      <w:pPr>
        <w:spacing w:before="120" w:after="120" w:line="288" w:lineRule="auto"/>
        <w:ind w:left="0"/>
        <w:jc w:val="left"/>
      </w:pPr>
      <w:r>
        <w:rPr>
          <w:rFonts w:ascii="Arial" w:hAnsi="Arial" w:eastAsia="等线" w:cs="Arial"/>
          <w:sz w:val="22"/>
        </w:rPr>
        <w:t>剩余流通股股东的 “每股投票权”“每股分红权” 相对提升（例如原 1 亿股流通股时，1 股对应 1 票投票权；回购后 9000 万股流通股，1 股仍对应 1 票，但总投票权基数减少，单股影响力增强）；</w:t>
      </w:r>
    </w:p>
    <w:p w14:paraId="51147DEB">
      <w:pPr>
        <w:spacing w:before="120" w:after="120" w:line="288" w:lineRule="auto"/>
        <w:ind w:left="0"/>
        <w:jc w:val="left"/>
      </w:pPr>
      <w:r>
        <w:rPr>
          <w:rFonts w:ascii="Arial" w:hAnsi="Arial" w:eastAsia="等线" w:cs="Arial"/>
          <w:sz w:val="22"/>
        </w:rPr>
        <w:t>若公司后续分红，相同分红总额下，剩余股东的 “每股分红金额” 会增加（即回购常与 “提升股息率” 联动）。</w:t>
      </w:r>
    </w:p>
    <w:p w14:paraId="67DE0BBD">
      <w:pPr>
        <w:spacing w:before="120" w:after="120" w:line="288" w:lineRule="auto"/>
        <w:ind w:left="0"/>
        <w:jc w:val="left"/>
      </w:pPr>
      <w:r>
        <w:rPr>
          <w:rFonts w:ascii="Arial" w:hAnsi="Arial" w:eastAsia="等线" w:cs="Arial"/>
          <w:b/>
          <w:sz w:val="22"/>
        </w:rPr>
        <w:t>对股东（尤其是普通股东）的间接影响：利弊共存，取决于回购逻辑</w:t>
      </w:r>
    </w:p>
    <w:p w14:paraId="1CCF7474">
      <w:pPr>
        <w:spacing w:before="120" w:after="120" w:line="288" w:lineRule="auto"/>
        <w:ind w:left="0"/>
        <w:jc w:val="left"/>
      </w:pPr>
      <w:r>
        <w:rPr>
          <w:rFonts w:ascii="Arial" w:hAnsi="Arial" w:eastAsia="等线" w:cs="Arial"/>
          <w:sz w:val="22"/>
        </w:rPr>
        <w:t>美股股东对回购的反应并非单一正面或负面，核心取决于公司的 “回购动机” 和 “回购价格”：</w:t>
      </w:r>
    </w:p>
    <w:p w14:paraId="0270447A">
      <w:pPr>
        <w:spacing w:before="120" w:after="120" w:line="288" w:lineRule="auto"/>
        <w:ind w:left="0"/>
        <w:jc w:val="left"/>
      </w:pPr>
      <w:r>
        <w:rPr>
          <w:rFonts w:ascii="Arial" w:hAnsi="Arial" w:eastAsia="等线" w:cs="Arial"/>
          <w:sz w:val="22"/>
        </w:rPr>
        <w:t>潜在利好：提升股东回报</w:t>
      </w:r>
    </w:p>
    <w:p w14:paraId="3B52D89D">
      <w:pPr>
        <w:numPr>
          <w:ilvl w:val="0"/>
          <w:numId w:val="257"/>
        </w:numPr>
        <w:spacing w:before="120" w:after="120" w:line="288" w:lineRule="auto"/>
        <w:ind w:left="0"/>
        <w:jc w:val="left"/>
      </w:pPr>
      <w:r>
        <w:rPr>
          <w:rFonts w:ascii="Arial" w:hAnsi="Arial" w:eastAsia="等线" w:cs="Arial"/>
          <w:sz w:val="22"/>
        </w:rPr>
        <w:t>推升股价（短期）：回购形成 “市场需求”，尤其在公司大额、持续回购时，可缓解抛压、提振市场信心，短期推动股价上涨（例如 2023 年美股科技股回购潮中，苹果、谷歌的回购计划均带动股价短期走高）；</w:t>
      </w:r>
    </w:p>
    <w:p w14:paraId="0D4513D8">
      <w:pPr>
        <w:numPr>
          <w:ilvl w:val="0"/>
          <w:numId w:val="258"/>
        </w:numPr>
        <w:spacing w:before="120" w:after="120" w:line="288" w:lineRule="auto"/>
        <w:ind w:left="0"/>
        <w:jc w:val="left"/>
      </w:pPr>
      <w:r>
        <w:rPr>
          <w:rFonts w:ascii="Arial" w:hAnsi="Arial" w:eastAsia="等线" w:cs="Arial"/>
          <w:sz w:val="22"/>
        </w:rPr>
        <w:t>提升 EPS（每股收益）：EPS = 净利润 / 流通股数量，回购减少流通股基数，若净利润不变，EPS 会被动提升（这是公司 “美化财务指标” 的常见手段，尤其当公司盈利增长乏力时）；</w:t>
      </w:r>
    </w:p>
    <w:p w14:paraId="67D3F298">
      <w:pPr>
        <w:numPr>
          <w:ilvl w:val="0"/>
          <w:numId w:val="259"/>
        </w:numPr>
        <w:spacing w:before="120" w:after="120" w:line="288" w:lineRule="auto"/>
        <w:ind w:left="0"/>
        <w:jc w:val="left"/>
      </w:pPr>
      <w:r>
        <w:rPr>
          <w:rFonts w:ascii="Arial" w:hAnsi="Arial" w:eastAsia="等线" w:cs="Arial"/>
          <w:sz w:val="22"/>
        </w:rPr>
        <w:t>返还过剩现金：若公司现金流充裕但无优质投资项目（即 “现金过剩”），回购比分红更灵活（股东可自主选择是否出售股票获利，且资本利得税可能低于股息税，美股部分投资者更偏好回购）。</w:t>
      </w:r>
    </w:p>
    <w:p w14:paraId="79AD34DB">
      <w:pPr>
        <w:spacing w:before="120" w:after="120" w:line="288" w:lineRule="auto"/>
        <w:ind w:left="0"/>
        <w:jc w:val="left"/>
      </w:pPr>
      <w:r>
        <w:rPr>
          <w:rFonts w:ascii="Arial" w:hAnsi="Arial" w:eastAsia="等线" w:cs="Arial"/>
          <w:sz w:val="22"/>
        </w:rPr>
        <w:t>潜在利空：损害长期价值</w:t>
      </w:r>
    </w:p>
    <w:p w14:paraId="0DE45D34">
      <w:pPr>
        <w:numPr>
          <w:ilvl w:val="0"/>
          <w:numId w:val="260"/>
        </w:numPr>
        <w:spacing w:before="120" w:after="120" w:line="288" w:lineRule="auto"/>
        <w:ind w:left="0"/>
        <w:jc w:val="left"/>
      </w:pPr>
      <w:r>
        <w:rPr>
          <w:rFonts w:ascii="Arial" w:hAnsi="Arial" w:eastAsia="等线" w:cs="Arial"/>
          <w:sz w:val="22"/>
        </w:rPr>
        <w:t>浪费资金（高价回购）：若公司在股价高位回购（如 2021 年部分美股公司在市场高点回购，后续股价下跌），相当于 “用股东的钱买贵的股票”，最终导致库存股账面价值缩水，股东权益隐性受损；</w:t>
      </w:r>
    </w:p>
    <w:p w14:paraId="644EAD31">
      <w:pPr>
        <w:numPr>
          <w:ilvl w:val="0"/>
          <w:numId w:val="261"/>
        </w:numPr>
        <w:spacing w:before="120" w:after="120" w:line="288" w:lineRule="auto"/>
        <w:ind w:left="0"/>
        <w:jc w:val="left"/>
      </w:pPr>
      <w:r>
        <w:rPr>
          <w:rFonts w:ascii="Arial" w:hAnsi="Arial" w:eastAsia="等线" w:cs="Arial"/>
          <w:sz w:val="22"/>
        </w:rPr>
        <w:t>挤占发展资金：若公司将本应用于研发、扩张的资金用于回购，可能导致长期竞争力下降（如部分传统行业公司过度回购，忽视数字化转型，最终业绩下滑）；</w:t>
      </w:r>
    </w:p>
    <w:p w14:paraId="44EC5FFC">
      <w:pPr>
        <w:numPr>
          <w:ilvl w:val="0"/>
          <w:numId w:val="262"/>
        </w:numPr>
        <w:spacing w:before="120" w:after="120" w:line="288" w:lineRule="auto"/>
        <w:ind w:left="0"/>
        <w:jc w:val="left"/>
      </w:pPr>
      <w:r>
        <w:rPr>
          <w:rFonts w:ascii="Arial" w:hAnsi="Arial" w:eastAsia="等线" w:cs="Arial"/>
          <w:sz w:val="22"/>
        </w:rPr>
        <w:t>规避股东监督：少数公司通过回购 “人为推高 EPS”，掩盖盈利下滑的真相，或通过回购巩固管理层控制权（减少外部股东对管理层的制约）。</w:t>
      </w:r>
    </w:p>
    <w:p w14:paraId="3369520D">
      <w:pPr>
        <w:spacing w:before="120" w:after="120" w:line="288" w:lineRule="auto"/>
        <w:ind w:left="0"/>
        <w:jc w:val="left"/>
      </w:pPr>
      <w:r>
        <w:rPr>
          <w:rFonts w:ascii="Arial" w:hAnsi="Arial" w:eastAsia="等线" w:cs="Arial"/>
          <w:b/>
          <w:sz w:val="22"/>
        </w:rPr>
        <w:t>对公司财务指标的其他影响：流动性与偿债能力变化</w:t>
      </w:r>
    </w:p>
    <w:p w14:paraId="4F3664C4">
      <w:pPr>
        <w:numPr>
          <w:ilvl w:val="0"/>
          <w:numId w:val="263"/>
        </w:numPr>
        <w:spacing w:before="120" w:after="120" w:line="288" w:lineRule="auto"/>
        <w:ind w:left="0"/>
        <w:jc w:val="left"/>
      </w:pPr>
      <w:r>
        <w:rPr>
          <w:rFonts w:ascii="Arial" w:hAnsi="Arial" w:eastAsia="等线" w:cs="Arial"/>
          <w:sz w:val="22"/>
        </w:rPr>
        <w:t>流动性：短期承压</w:t>
      </w:r>
    </w:p>
    <w:p w14:paraId="40D83D7C">
      <w:pPr>
        <w:spacing w:before="120" w:after="120" w:line="288" w:lineRule="auto"/>
        <w:ind w:left="0"/>
        <w:jc w:val="left"/>
      </w:pPr>
      <w:r>
        <w:rPr>
          <w:rFonts w:ascii="Arial" w:hAnsi="Arial" w:eastAsia="等线" w:cs="Arial"/>
          <w:sz w:val="22"/>
        </w:rPr>
        <w:t>回购需消耗现金，因此会导致公司 “现金及现金等价物” 减少，流动比率（流动资产 / 流动负债）、速动比率等流动性指标下降（若回购规模过大，可能影响公司短期偿债能力）。</w:t>
      </w:r>
    </w:p>
    <w:p w14:paraId="0EFA6390">
      <w:pPr>
        <w:numPr>
          <w:ilvl w:val="0"/>
          <w:numId w:val="264"/>
        </w:numPr>
        <w:spacing w:before="120" w:after="120" w:line="288" w:lineRule="auto"/>
        <w:ind w:left="0"/>
        <w:jc w:val="left"/>
      </w:pPr>
      <w:r>
        <w:rPr>
          <w:rFonts w:ascii="Arial" w:hAnsi="Arial" w:eastAsia="等线" w:cs="Arial"/>
          <w:sz w:val="22"/>
        </w:rPr>
        <w:t>财务杠杆：间接提升</w:t>
      </w:r>
    </w:p>
    <w:p w14:paraId="40FC045A">
      <w:pPr>
        <w:spacing w:before="120" w:after="120" w:line="288" w:lineRule="auto"/>
        <w:ind w:left="0"/>
        <w:jc w:val="left"/>
      </w:pPr>
      <w:r>
        <w:rPr>
          <w:rFonts w:ascii="Arial" w:hAnsi="Arial" w:eastAsia="等线" w:cs="Arial"/>
          <w:sz w:val="22"/>
        </w:rPr>
        <w:t>股东权益总额减少（因库存股是减项），而负债总额不变时，“资产负债率（负债 / 资产）” 会间接上升（资产 = 负债 + 股东权益，股东权益减少→资产减少→负债率上升），即财务杠杆增加（若公司有负债，回购会放大负债对股东权益的影响）。</w:t>
      </w:r>
    </w:p>
    <w:p w14:paraId="55DE40FD">
      <w:pPr>
        <w:spacing w:before="120" w:after="120" w:line="288" w:lineRule="auto"/>
        <w:ind w:left="0"/>
        <w:jc w:val="left"/>
      </w:pPr>
    </w:p>
    <w:p w14:paraId="1812EEDE">
      <w:pPr>
        <w:spacing w:before="320" w:after="120" w:line="288" w:lineRule="auto"/>
        <w:ind w:left="0"/>
        <w:jc w:val="left"/>
        <w:outlineLvl w:val="1"/>
      </w:pPr>
      <w:bookmarkStart w:id="49" w:name="heading_49"/>
      <w:r>
        <w:rPr>
          <w:rFonts w:ascii="Arial" w:hAnsi="Arial" w:eastAsia="等线" w:cs="Arial"/>
          <w:color w:val="3370FF"/>
          <w:sz w:val="32"/>
        </w:rPr>
        <w:t xml:space="preserve">6.10 </w:t>
      </w:r>
      <w:r>
        <w:rPr>
          <w:rFonts w:ascii="Arial" w:hAnsi="Arial" w:eastAsia="等线" w:cs="Arial"/>
          <w:b/>
          <w:sz w:val="32"/>
        </w:rPr>
        <w:t>公司行动实际情况</w:t>
      </w:r>
      <w:bookmarkEnd w:id="49"/>
    </w:p>
    <w:p w14:paraId="24CF11F8">
      <w:pPr>
        <w:spacing w:before="120" w:after="120" w:line="288" w:lineRule="auto"/>
        <w:ind w:left="0"/>
        <w:jc w:val="left"/>
      </w:pPr>
      <w:r>
        <w:rPr>
          <w:rFonts w:ascii="Arial" w:hAnsi="Arial" w:eastAsia="等线" w:cs="Arial"/>
          <w:sz w:val="22"/>
        </w:rPr>
        <w:t>虽然教材中简单介绍了公司行动，实际我司公司行动有相关专业团队负责，将公司行动分类概括如下：</w:t>
      </w:r>
    </w:p>
    <w:p w14:paraId="230244E2">
      <w:pPr>
        <w:spacing w:before="120" w:after="120" w:line="288" w:lineRule="auto"/>
        <w:ind w:left="0"/>
        <w:jc w:val="center"/>
      </w:pPr>
      <w:r>
        <w:drawing>
          <wp:inline distT="0" distB="0" distL="0" distR="0">
            <wp:extent cx="5257800" cy="27432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35"/>
                    <a:stretch>
                      <a:fillRect/>
                    </a:stretch>
                  </pic:blipFill>
                  <pic:spPr>
                    <a:xfrm>
                      <a:off x="0" y="0"/>
                      <a:ext cx="5257800" cy="2743200"/>
                    </a:xfrm>
                    <a:prstGeom prst="rect">
                      <a:avLst/>
                    </a:prstGeom>
                  </pic:spPr>
                </pic:pic>
              </a:graphicData>
            </a:graphic>
          </wp:inline>
        </w:drawing>
      </w:r>
    </w:p>
    <w:p w14:paraId="4204E428">
      <w:pPr>
        <w:spacing w:before="320" w:after="120" w:line="288" w:lineRule="auto"/>
        <w:ind w:left="0"/>
        <w:jc w:val="left"/>
        <w:outlineLvl w:val="1"/>
      </w:pPr>
      <w:bookmarkStart w:id="50" w:name="heading_50"/>
      <w:r>
        <w:rPr>
          <w:rFonts w:ascii="Arial" w:hAnsi="Arial" w:eastAsia="等线" w:cs="Arial"/>
          <w:color w:val="3370FF"/>
          <w:sz w:val="32"/>
        </w:rPr>
        <w:t xml:space="preserve">6.11 </w:t>
      </w:r>
      <w:r>
        <w:rPr>
          <w:rFonts w:ascii="Arial" w:hAnsi="Arial" w:eastAsia="等线" w:cs="Arial"/>
          <w:b/>
          <w:sz w:val="32"/>
        </w:rPr>
        <w:t>Rights vs Options 对比</w:t>
      </w:r>
      <w:bookmarkEnd w:id="50"/>
    </w:p>
    <w:p w14:paraId="711C9BAF">
      <w:pPr>
        <w:numPr>
          <w:ilvl w:val="0"/>
          <w:numId w:val="265"/>
        </w:numPr>
        <w:spacing w:before="120" w:after="120" w:line="288" w:lineRule="auto"/>
        <w:ind w:left="0"/>
        <w:jc w:val="left"/>
      </w:pPr>
      <w:r>
        <w:rPr>
          <w:rFonts w:ascii="Arial" w:hAnsi="Arial" w:eastAsia="等线" w:cs="Arial"/>
          <w:sz w:val="22"/>
        </w:rPr>
        <w:t>Right（Rights Offering Right，配股权 / 认股权利）</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上市公司为融资向现有股东按持股比例发放的一种短期“优先认购新股”的权利。股东可选择：行使（按低于市价的配股价缴款认购新股）、出售权利、或放弃。一般有效期很短（常见 2~6 周）。行使会导致公司发行新股 → 股本被稀释。</w:t>
      </w:r>
    </w:p>
    <w:p w14:paraId="12652B57">
      <w:pPr>
        <w:numPr>
          <w:ilvl w:val="0"/>
          <w:numId w:val="266"/>
        </w:numPr>
        <w:spacing w:before="120" w:after="120" w:line="288" w:lineRule="auto"/>
        <w:ind w:left="0"/>
        <w:jc w:val="left"/>
      </w:pPr>
      <w:r>
        <w:rPr>
          <w:rFonts w:ascii="Arial" w:hAnsi="Arial" w:eastAsia="等线" w:cs="Arial"/>
          <w:sz w:val="22"/>
        </w:rPr>
        <w:t>Option（Exchange-Traded Option，交易所标准化期权）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在期权交易所上市、由清算机构担保履约的标准化衍生品合约。买方支付权利金，获得在到期前（美式）或到期日（欧式）按约定执行价买入（Call）或卖出（Put）标的的权利；卖方收权利金并承担义务。行权不一定导致公司发行新股（一般通过二级市场交割，除非是员工期权或认股权证等）。</w:t>
      </w:r>
    </w:p>
    <w:p w14:paraId="5F277CD6">
      <w:pPr>
        <w:spacing w:before="120" w:after="120" w:line="288" w:lineRule="auto"/>
        <w:ind w:left="0"/>
        <w:jc w:val="left"/>
      </w:pPr>
    </w:p>
    <w:p w14:paraId="44AD65AA">
      <w:pPr>
        <w:spacing w:before="120" w:after="120" w:line="288" w:lineRule="auto"/>
        <w:ind w:left="0"/>
        <w:jc w:val="left"/>
      </w:pPr>
      <w:r>
        <w:rPr>
          <w:rFonts w:ascii="Arial" w:hAnsi="Arial" w:eastAsia="等线" w:cs="Arial"/>
          <w:sz w:val="22"/>
        </w:rPr>
        <w:t>Rights（配股权）和 Warrant（认股权证）是公司自己“承诺：你给我现金，我新增发行股票给你”的工具；行使时公司增发 → 总股本上升 → 产生稀释。</w:t>
      </w:r>
    </w:p>
    <w:p w14:paraId="16D58D9A">
      <w:pPr>
        <w:spacing w:before="120" w:after="120" w:line="288" w:lineRule="auto"/>
        <w:ind w:left="0"/>
        <w:jc w:val="left"/>
      </w:pPr>
      <w:r>
        <w:rPr>
          <w:rFonts w:ascii="Arial" w:hAnsi="Arial" w:eastAsia="等线" w:cs="Arial"/>
          <w:sz w:val="22"/>
        </w:rPr>
        <w:t>交易所标准化期权（Options）是市场参与者之间的“二级市场风险转移合约”，行权交割用的是已经存在的股票（由被指派的卖方交付或从市场买来），不需要公司再印新股 → 不增发 → 不稀释。</w:t>
      </w:r>
    </w:p>
    <w:p w14:paraId="632DC192">
      <w:pPr>
        <w:spacing w:before="120" w:after="120" w:line="288" w:lineRule="auto"/>
        <w:ind w:left="0"/>
      </w:pPr>
      <w:r>
        <w:object>
          <v:shape id="_x0000_i1039" o:spt="75" type="#_x0000_t75" style="height:166pt;width:414pt;" o:ole="t" filled="f" o:preferrelative="t" stroked="f" coordsize="21600,21600">
            <v:path/>
            <v:fill on="f" focussize="0,0"/>
            <v:stroke on="f" joinstyle="miter"/>
            <v:imagedata r:id="rId37" o:title=""/>
            <o:lock v:ext="edit" aspectratio="t"/>
            <w10:wrap type="none"/>
            <w10:anchorlock/>
          </v:shape>
          <o:OLEObject Type="Embed" ProgID="Excel.Sheet.12" ShapeID="_x0000_i1039" DrawAspect="Icon" ObjectID="_1468075739" r:id="rId36">
            <o:LockedField>false</o:LockedField>
          </o:OLEObject>
        </w:object>
      </w:r>
    </w:p>
    <w:p w14:paraId="31875FBC">
      <w:pPr>
        <w:spacing w:after="120"/>
        <w:ind w:left="0"/>
        <w:jc w:val="center"/>
      </w:pPr>
      <w:r>
        <w:rPr>
          <w:rFonts w:ascii="Arial" w:hAnsi="Arial" w:eastAsia="等线" w:cs="Arial"/>
          <w:b/>
          <w:sz w:val="22"/>
        </w:rPr>
        <w:t>点击图片可查看完整电子表格</w:t>
      </w:r>
    </w:p>
    <w:p w14:paraId="4D8307A4">
      <w:pPr>
        <w:spacing w:before="120" w:after="120" w:line="288" w:lineRule="auto"/>
        <w:ind w:left="0"/>
      </w:pPr>
      <w:r>
        <w:object>
          <v:shape id="_x0000_i1040" o:spt="75" type="#_x0000_t75" style="height:197pt;width:414pt;" o:ole="t" filled="f" o:preferrelative="t" stroked="f" coordsize="21600,21600">
            <v:path/>
            <v:fill on="f" focussize="0,0"/>
            <v:stroke on="f" joinstyle="miter"/>
            <v:imagedata r:id="rId39" o:title=""/>
            <o:lock v:ext="edit" aspectratio="t"/>
            <w10:wrap type="none"/>
            <w10:anchorlock/>
          </v:shape>
          <o:OLEObject Type="Embed" ProgID="Excel.Sheet.12" ShapeID="_x0000_i1040" DrawAspect="Icon" ObjectID="_1468075740" r:id="rId38">
            <o:LockedField>false</o:LockedField>
          </o:OLEObject>
        </w:object>
      </w:r>
    </w:p>
    <w:p w14:paraId="62B8D3EC">
      <w:pPr>
        <w:spacing w:after="120"/>
        <w:ind w:left="0"/>
        <w:jc w:val="center"/>
      </w:pPr>
      <w:r>
        <w:rPr>
          <w:rFonts w:ascii="Arial" w:hAnsi="Arial" w:eastAsia="等线" w:cs="Arial"/>
          <w:b/>
          <w:sz w:val="22"/>
        </w:rPr>
        <w:t>点击图片可查看完整电子表格</w:t>
      </w:r>
    </w:p>
    <w:p w14:paraId="441403EA">
      <w:pPr>
        <w:spacing w:before="120" w:after="120" w:line="288" w:lineRule="auto"/>
        <w:ind w:left="0"/>
        <w:jc w:val="left"/>
      </w:pPr>
      <w:r>
        <w:rPr>
          <w:rFonts w:ascii="Arial" w:hAnsi="Arial" w:eastAsia="等线" w:cs="Arial"/>
          <w:sz w:val="22"/>
        </w:rPr>
        <w:t>与 Warrant（认股权证）的区别补充</w:t>
      </w:r>
    </w:p>
    <w:p w14:paraId="138A433A">
      <w:pPr>
        <w:spacing w:before="120" w:after="120" w:line="288" w:lineRule="auto"/>
        <w:ind w:left="0"/>
      </w:pPr>
      <w:r>
        <w:object>
          <v:shape id="_x0000_i1041" o:spt="75" type="#_x0000_t75" style="height:158pt;width:414pt;" o:ole="t" filled="f" o:preferrelative="t" stroked="f" coordsize="21600,21600">
            <v:path/>
            <v:fill on="f" focussize="0,0"/>
            <v:stroke on="f" joinstyle="miter"/>
            <v:imagedata r:id="rId41" o:title=""/>
            <o:lock v:ext="edit" aspectratio="t"/>
            <w10:wrap type="none"/>
            <w10:anchorlock/>
          </v:shape>
          <o:OLEObject Type="Embed" ProgID="Excel.Sheet.12" ShapeID="_x0000_i1041" DrawAspect="Icon" ObjectID="_1468075741" r:id="rId40">
            <o:LockedField>false</o:LockedField>
          </o:OLEObject>
        </w:object>
      </w:r>
    </w:p>
    <w:p w14:paraId="6C31254C">
      <w:pPr>
        <w:spacing w:after="120"/>
        <w:ind w:left="0"/>
        <w:jc w:val="center"/>
      </w:pPr>
      <w:bookmarkStart w:id="51" w:name="_GoBack"/>
      <w:bookmarkEnd w:id="51"/>
      <w:r>
        <w:rPr>
          <w:rFonts w:ascii="Arial" w:hAnsi="Arial" w:eastAsia="等线" w:cs="Arial"/>
          <w:b/>
          <w:sz w:val="22"/>
        </w:rPr>
        <w:t>点击图片可查看完整电子表格</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BABD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84EDF">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3"/>
      <w:numFmt w:val="decimal"/>
      <w:lvlText w:val="%1."/>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1"/>
      <w:numFmt w:val="decimal"/>
      <w:lvlText w:val="%1."/>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9017BA21"/>
    <w:multiLevelType w:val="singleLevel"/>
    <w:tmpl w:val="9017BA21"/>
    <w:lvl w:ilvl="0" w:tentative="0">
      <w:start w:val="0"/>
      <w:numFmt w:val="bullet"/>
      <w:lvlText w:val="•"/>
      <w:lvlJc w:val="left"/>
      <w:rPr>
        <w:color w:val="3370FF"/>
      </w:rPr>
    </w:lvl>
  </w:abstractNum>
  <w:abstractNum w:abstractNumId="11">
    <w:nsid w:val="90D96B34"/>
    <w:multiLevelType w:val="singleLevel"/>
    <w:tmpl w:val="90D96B34"/>
    <w:lvl w:ilvl="0" w:tentative="0">
      <w:start w:val="4"/>
      <w:numFmt w:val="decimal"/>
      <w:lvlText w:val="%1."/>
      <w:lvlJc w:val="left"/>
      <w:rPr>
        <w:color w:val="3370FF"/>
      </w:rPr>
    </w:lvl>
  </w:abstractNum>
  <w:abstractNum w:abstractNumId="12">
    <w:nsid w:val="91995D4F"/>
    <w:multiLevelType w:val="singleLevel"/>
    <w:tmpl w:val="91995D4F"/>
    <w:lvl w:ilvl="0" w:tentative="0">
      <w:start w:val="0"/>
      <w:numFmt w:val="bullet"/>
      <w:lvlText w:val="•"/>
      <w:lvlJc w:val="left"/>
      <w:rPr>
        <w:color w:val="3370FF"/>
      </w:rPr>
    </w:lvl>
  </w:abstractNum>
  <w:abstractNum w:abstractNumId="13">
    <w:nsid w:val="91B69C97"/>
    <w:multiLevelType w:val="singleLevel"/>
    <w:tmpl w:val="91B69C97"/>
    <w:lvl w:ilvl="0" w:tentative="0">
      <w:start w:val="0"/>
      <w:numFmt w:val="bullet"/>
      <w:lvlText w:val="•"/>
      <w:lvlJc w:val="left"/>
      <w:rPr>
        <w:color w:val="3370FF"/>
      </w:rPr>
    </w:lvl>
  </w:abstractNum>
  <w:abstractNum w:abstractNumId="14">
    <w:nsid w:val="9239341B"/>
    <w:multiLevelType w:val="singleLevel"/>
    <w:tmpl w:val="9239341B"/>
    <w:lvl w:ilvl="0" w:tentative="0">
      <w:start w:val="2"/>
      <w:numFmt w:val="decimal"/>
      <w:lvlText w:val="%1."/>
      <w:lvlJc w:val="left"/>
      <w:rPr>
        <w:color w:val="3370FF"/>
      </w:rPr>
    </w:lvl>
  </w:abstractNum>
  <w:abstractNum w:abstractNumId="15">
    <w:nsid w:val="9288B902"/>
    <w:multiLevelType w:val="singleLevel"/>
    <w:tmpl w:val="9288B902"/>
    <w:lvl w:ilvl="0" w:tentative="0">
      <w:start w:val="0"/>
      <w:numFmt w:val="bullet"/>
      <w:lvlText w:val="•"/>
      <w:lvlJc w:val="left"/>
      <w:rPr>
        <w:color w:val="3370FF"/>
      </w:rPr>
    </w:lvl>
  </w:abstractNum>
  <w:abstractNum w:abstractNumId="16">
    <w:nsid w:val="92C4F22A"/>
    <w:multiLevelType w:val="singleLevel"/>
    <w:tmpl w:val="92C4F22A"/>
    <w:lvl w:ilvl="0" w:tentative="0">
      <w:start w:val="0"/>
      <w:numFmt w:val="bullet"/>
      <w:lvlText w:val="￮"/>
      <w:lvlJc w:val="left"/>
      <w:rPr>
        <w:color w:val="3370FF"/>
      </w:rPr>
    </w:lvl>
  </w:abstractNum>
  <w:abstractNum w:abstractNumId="17">
    <w:nsid w:val="930EE254"/>
    <w:multiLevelType w:val="singleLevel"/>
    <w:tmpl w:val="930EE254"/>
    <w:lvl w:ilvl="0" w:tentative="0">
      <w:start w:val="0"/>
      <w:numFmt w:val="bullet"/>
      <w:lvlText w:val="•"/>
      <w:lvlJc w:val="left"/>
      <w:rPr>
        <w:color w:val="3370FF"/>
      </w:rPr>
    </w:lvl>
  </w:abstractNum>
  <w:abstractNum w:abstractNumId="18">
    <w:nsid w:val="9377BC45"/>
    <w:multiLevelType w:val="singleLevel"/>
    <w:tmpl w:val="9377BC45"/>
    <w:lvl w:ilvl="0" w:tentative="0">
      <w:start w:val="0"/>
      <w:numFmt w:val="bullet"/>
      <w:lvlText w:val="•"/>
      <w:lvlJc w:val="left"/>
      <w:rPr>
        <w:color w:val="3370FF"/>
      </w:rPr>
    </w:lvl>
  </w:abstractNum>
  <w:abstractNum w:abstractNumId="19">
    <w:nsid w:val="941D12A9"/>
    <w:multiLevelType w:val="singleLevel"/>
    <w:tmpl w:val="941D12A9"/>
    <w:lvl w:ilvl="0" w:tentative="0">
      <w:start w:val="2"/>
      <w:numFmt w:val="decimal"/>
      <w:lvlText w:val="%1."/>
      <w:lvlJc w:val="left"/>
      <w:rPr>
        <w:color w:val="3370FF"/>
      </w:rPr>
    </w:lvl>
  </w:abstractNum>
  <w:abstractNum w:abstractNumId="20">
    <w:nsid w:val="952530A5"/>
    <w:multiLevelType w:val="singleLevel"/>
    <w:tmpl w:val="952530A5"/>
    <w:lvl w:ilvl="0" w:tentative="0">
      <w:start w:val="0"/>
      <w:numFmt w:val="bullet"/>
      <w:lvlText w:val="•"/>
      <w:lvlJc w:val="left"/>
      <w:rPr>
        <w:color w:val="3370FF"/>
      </w:rPr>
    </w:lvl>
  </w:abstractNum>
  <w:abstractNum w:abstractNumId="21">
    <w:nsid w:val="95E682A1"/>
    <w:multiLevelType w:val="singleLevel"/>
    <w:tmpl w:val="95E682A1"/>
    <w:lvl w:ilvl="0" w:tentative="0">
      <w:start w:val="0"/>
      <w:numFmt w:val="bullet"/>
      <w:lvlText w:val="￮"/>
      <w:lvlJc w:val="left"/>
      <w:rPr>
        <w:color w:val="3370FF"/>
      </w:rPr>
    </w:lvl>
  </w:abstractNum>
  <w:abstractNum w:abstractNumId="22">
    <w:nsid w:val="96E5236C"/>
    <w:multiLevelType w:val="singleLevel"/>
    <w:tmpl w:val="96E5236C"/>
    <w:lvl w:ilvl="0" w:tentative="0">
      <w:start w:val="0"/>
      <w:numFmt w:val="bullet"/>
      <w:lvlText w:val="￮"/>
      <w:lvlJc w:val="left"/>
      <w:rPr>
        <w:color w:val="3370FF"/>
      </w:rPr>
    </w:lvl>
  </w:abstractNum>
  <w:abstractNum w:abstractNumId="23">
    <w:nsid w:val="98CD717A"/>
    <w:multiLevelType w:val="singleLevel"/>
    <w:tmpl w:val="98CD717A"/>
    <w:lvl w:ilvl="0" w:tentative="0">
      <w:start w:val="0"/>
      <w:numFmt w:val="bullet"/>
      <w:lvlText w:val="￮"/>
      <w:lvlJc w:val="left"/>
      <w:rPr>
        <w:color w:val="3370FF"/>
      </w:rPr>
    </w:lvl>
  </w:abstractNum>
  <w:abstractNum w:abstractNumId="24">
    <w:nsid w:val="9ACF65A0"/>
    <w:multiLevelType w:val="singleLevel"/>
    <w:tmpl w:val="9ACF65A0"/>
    <w:lvl w:ilvl="0" w:tentative="0">
      <w:start w:val="0"/>
      <w:numFmt w:val="bullet"/>
      <w:lvlText w:val="•"/>
      <w:lvlJc w:val="left"/>
      <w:rPr>
        <w:color w:val="3370FF"/>
      </w:rPr>
    </w:lvl>
  </w:abstractNum>
  <w:abstractNum w:abstractNumId="25">
    <w:nsid w:val="9B1F845E"/>
    <w:multiLevelType w:val="singleLevel"/>
    <w:tmpl w:val="9B1F845E"/>
    <w:lvl w:ilvl="0" w:tentative="0">
      <w:start w:val="0"/>
      <w:numFmt w:val="bullet"/>
      <w:lvlText w:val="￮"/>
      <w:lvlJc w:val="left"/>
      <w:rPr>
        <w:color w:val="3370FF"/>
      </w:rPr>
    </w:lvl>
  </w:abstractNum>
  <w:abstractNum w:abstractNumId="26">
    <w:nsid w:val="9C11E984"/>
    <w:multiLevelType w:val="singleLevel"/>
    <w:tmpl w:val="9C11E984"/>
    <w:lvl w:ilvl="0" w:tentative="0">
      <w:start w:val="0"/>
      <w:numFmt w:val="bullet"/>
      <w:lvlText w:val="￮"/>
      <w:lvlJc w:val="left"/>
      <w:rPr>
        <w:color w:val="3370FF"/>
      </w:rPr>
    </w:lvl>
  </w:abstractNum>
  <w:abstractNum w:abstractNumId="27">
    <w:nsid w:val="9C7198AA"/>
    <w:multiLevelType w:val="singleLevel"/>
    <w:tmpl w:val="9C7198AA"/>
    <w:lvl w:ilvl="0" w:tentative="0">
      <w:start w:val="0"/>
      <w:numFmt w:val="bullet"/>
      <w:lvlText w:val="￮"/>
      <w:lvlJc w:val="left"/>
      <w:rPr>
        <w:color w:val="3370FF"/>
      </w:rPr>
    </w:lvl>
  </w:abstractNum>
  <w:abstractNum w:abstractNumId="28">
    <w:nsid w:val="9C8AC8EF"/>
    <w:multiLevelType w:val="singleLevel"/>
    <w:tmpl w:val="9C8AC8EF"/>
    <w:lvl w:ilvl="0" w:tentative="0">
      <w:start w:val="0"/>
      <w:numFmt w:val="bullet"/>
      <w:lvlText w:val="•"/>
      <w:lvlJc w:val="left"/>
      <w:rPr>
        <w:color w:val="3370FF"/>
      </w:rPr>
    </w:lvl>
  </w:abstractNum>
  <w:abstractNum w:abstractNumId="29">
    <w:nsid w:val="9C919DE1"/>
    <w:multiLevelType w:val="singleLevel"/>
    <w:tmpl w:val="9C919DE1"/>
    <w:lvl w:ilvl="0" w:tentative="0">
      <w:start w:val="0"/>
      <w:numFmt w:val="bullet"/>
      <w:lvlText w:val="•"/>
      <w:lvlJc w:val="left"/>
      <w:rPr>
        <w:color w:val="3370FF"/>
      </w:rPr>
    </w:lvl>
  </w:abstractNum>
  <w:abstractNum w:abstractNumId="30">
    <w:nsid w:val="9CD0C84A"/>
    <w:multiLevelType w:val="singleLevel"/>
    <w:tmpl w:val="9CD0C84A"/>
    <w:lvl w:ilvl="0" w:tentative="0">
      <w:start w:val="0"/>
      <w:numFmt w:val="bullet"/>
      <w:lvlText w:val="•"/>
      <w:lvlJc w:val="left"/>
      <w:rPr>
        <w:color w:val="3370FF"/>
      </w:rPr>
    </w:lvl>
  </w:abstractNum>
  <w:abstractNum w:abstractNumId="31">
    <w:nsid w:val="9D5D7490"/>
    <w:multiLevelType w:val="singleLevel"/>
    <w:tmpl w:val="9D5D7490"/>
    <w:lvl w:ilvl="0" w:tentative="0">
      <w:start w:val="0"/>
      <w:numFmt w:val="bullet"/>
      <w:lvlText w:val="•"/>
      <w:lvlJc w:val="left"/>
      <w:rPr>
        <w:color w:val="3370FF"/>
      </w:rPr>
    </w:lvl>
  </w:abstractNum>
  <w:abstractNum w:abstractNumId="32">
    <w:nsid w:val="9D7EB8E6"/>
    <w:multiLevelType w:val="singleLevel"/>
    <w:tmpl w:val="9D7EB8E6"/>
    <w:lvl w:ilvl="0" w:tentative="0">
      <w:start w:val="3"/>
      <w:numFmt w:val="decimal"/>
      <w:lvlText w:val="%1."/>
      <w:lvlJc w:val="left"/>
      <w:rPr>
        <w:color w:val="3370FF"/>
      </w:rPr>
    </w:lvl>
  </w:abstractNum>
  <w:abstractNum w:abstractNumId="33">
    <w:nsid w:val="9D9F4F4D"/>
    <w:multiLevelType w:val="singleLevel"/>
    <w:tmpl w:val="9D9F4F4D"/>
    <w:lvl w:ilvl="0" w:tentative="0">
      <w:start w:val="0"/>
      <w:numFmt w:val="bullet"/>
      <w:lvlText w:val="￮"/>
      <w:lvlJc w:val="left"/>
      <w:rPr>
        <w:color w:val="3370FF"/>
      </w:rPr>
    </w:lvl>
  </w:abstractNum>
  <w:abstractNum w:abstractNumId="34">
    <w:nsid w:val="9DFC6F65"/>
    <w:multiLevelType w:val="singleLevel"/>
    <w:tmpl w:val="9DFC6F65"/>
    <w:lvl w:ilvl="0" w:tentative="0">
      <w:start w:val="0"/>
      <w:numFmt w:val="bullet"/>
      <w:lvlText w:val="￮"/>
      <w:lvlJc w:val="left"/>
      <w:rPr>
        <w:color w:val="3370FF"/>
      </w:rPr>
    </w:lvl>
  </w:abstractNum>
  <w:abstractNum w:abstractNumId="35">
    <w:nsid w:val="9F81B9F9"/>
    <w:multiLevelType w:val="singleLevel"/>
    <w:tmpl w:val="9F81B9F9"/>
    <w:lvl w:ilvl="0" w:tentative="0">
      <w:start w:val="0"/>
      <w:numFmt w:val="bullet"/>
      <w:lvlText w:val="￮"/>
      <w:lvlJc w:val="left"/>
      <w:rPr>
        <w:color w:val="3370FF"/>
      </w:rPr>
    </w:lvl>
  </w:abstractNum>
  <w:abstractNum w:abstractNumId="36">
    <w:nsid w:val="9F91FE98"/>
    <w:multiLevelType w:val="singleLevel"/>
    <w:tmpl w:val="9F91FE98"/>
    <w:lvl w:ilvl="0" w:tentative="0">
      <w:start w:val="2"/>
      <w:numFmt w:val="decimal"/>
      <w:lvlText w:val="%1."/>
      <w:lvlJc w:val="left"/>
      <w:rPr>
        <w:color w:val="3370FF"/>
      </w:rPr>
    </w:lvl>
  </w:abstractNum>
  <w:abstractNum w:abstractNumId="37">
    <w:nsid w:val="A0C93552"/>
    <w:multiLevelType w:val="singleLevel"/>
    <w:tmpl w:val="A0C93552"/>
    <w:lvl w:ilvl="0" w:tentative="0">
      <w:start w:val="0"/>
      <w:numFmt w:val="bullet"/>
      <w:lvlText w:val="•"/>
      <w:lvlJc w:val="left"/>
      <w:rPr>
        <w:color w:val="3370FF"/>
      </w:rPr>
    </w:lvl>
  </w:abstractNum>
  <w:abstractNum w:abstractNumId="38">
    <w:nsid w:val="A0F05207"/>
    <w:multiLevelType w:val="singleLevel"/>
    <w:tmpl w:val="A0F05207"/>
    <w:lvl w:ilvl="0" w:tentative="0">
      <w:start w:val="0"/>
      <w:numFmt w:val="bullet"/>
      <w:lvlText w:val="￮"/>
      <w:lvlJc w:val="left"/>
      <w:rPr>
        <w:color w:val="3370FF"/>
      </w:rPr>
    </w:lvl>
  </w:abstractNum>
  <w:abstractNum w:abstractNumId="39">
    <w:nsid w:val="A0F25EF7"/>
    <w:multiLevelType w:val="singleLevel"/>
    <w:tmpl w:val="A0F25EF7"/>
    <w:lvl w:ilvl="0" w:tentative="0">
      <w:start w:val="4"/>
      <w:numFmt w:val="decimal"/>
      <w:lvlText w:val="%1."/>
      <w:lvlJc w:val="left"/>
      <w:rPr>
        <w:color w:val="3370FF"/>
      </w:rPr>
    </w:lvl>
  </w:abstractNum>
  <w:abstractNum w:abstractNumId="40">
    <w:nsid w:val="A362769C"/>
    <w:multiLevelType w:val="singleLevel"/>
    <w:tmpl w:val="A362769C"/>
    <w:lvl w:ilvl="0" w:tentative="0">
      <w:start w:val="0"/>
      <w:numFmt w:val="bullet"/>
      <w:lvlText w:val="￮"/>
      <w:lvlJc w:val="left"/>
      <w:rPr>
        <w:color w:val="3370FF"/>
      </w:rPr>
    </w:lvl>
  </w:abstractNum>
  <w:abstractNum w:abstractNumId="41">
    <w:nsid w:val="A5435042"/>
    <w:multiLevelType w:val="singleLevel"/>
    <w:tmpl w:val="A5435042"/>
    <w:lvl w:ilvl="0" w:tentative="0">
      <w:start w:val="6"/>
      <w:numFmt w:val="decimal"/>
      <w:lvlText w:val="%1."/>
      <w:lvlJc w:val="left"/>
      <w:rPr>
        <w:color w:val="3370FF"/>
      </w:rPr>
    </w:lvl>
  </w:abstractNum>
  <w:abstractNum w:abstractNumId="42">
    <w:nsid w:val="A97D620A"/>
    <w:multiLevelType w:val="singleLevel"/>
    <w:tmpl w:val="A97D620A"/>
    <w:lvl w:ilvl="0" w:tentative="0">
      <w:start w:val="0"/>
      <w:numFmt w:val="bullet"/>
      <w:lvlText w:val="￮"/>
      <w:lvlJc w:val="left"/>
      <w:rPr>
        <w:color w:val="3370FF"/>
      </w:rPr>
    </w:lvl>
  </w:abstractNum>
  <w:abstractNum w:abstractNumId="43">
    <w:nsid w:val="A9AC3AA7"/>
    <w:multiLevelType w:val="singleLevel"/>
    <w:tmpl w:val="A9AC3AA7"/>
    <w:lvl w:ilvl="0" w:tentative="0">
      <w:start w:val="0"/>
      <w:numFmt w:val="bullet"/>
      <w:lvlText w:val="￮"/>
      <w:lvlJc w:val="left"/>
      <w:rPr>
        <w:color w:val="3370FF"/>
      </w:rPr>
    </w:lvl>
  </w:abstractNum>
  <w:abstractNum w:abstractNumId="44">
    <w:nsid w:val="AAF3F3FA"/>
    <w:multiLevelType w:val="singleLevel"/>
    <w:tmpl w:val="AAF3F3FA"/>
    <w:lvl w:ilvl="0" w:tentative="0">
      <w:start w:val="0"/>
      <w:numFmt w:val="bullet"/>
      <w:lvlText w:val="•"/>
      <w:lvlJc w:val="left"/>
      <w:rPr>
        <w:color w:val="3370FF"/>
      </w:rPr>
    </w:lvl>
  </w:abstractNum>
  <w:abstractNum w:abstractNumId="45">
    <w:nsid w:val="AC38AFEB"/>
    <w:multiLevelType w:val="singleLevel"/>
    <w:tmpl w:val="AC38AFEB"/>
    <w:lvl w:ilvl="0" w:tentative="0">
      <w:start w:val="0"/>
      <w:numFmt w:val="bullet"/>
      <w:lvlText w:val="￮"/>
      <w:lvlJc w:val="left"/>
      <w:rPr>
        <w:color w:val="3370FF"/>
      </w:rPr>
    </w:lvl>
  </w:abstractNum>
  <w:abstractNum w:abstractNumId="46">
    <w:nsid w:val="AD37AD84"/>
    <w:multiLevelType w:val="singleLevel"/>
    <w:tmpl w:val="AD37AD84"/>
    <w:lvl w:ilvl="0" w:tentative="0">
      <w:start w:val="0"/>
      <w:numFmt w:val="bullet"/>
      <w:lvlText w:val="￮"/>
      <w:lvlJc w:val="left"/>
      <w:rPr>
        <w:color w:val="3370FF"/>
      </w:rPr>
    </w:lvl>
  </w:abstractNum>
  <w:abstractNum w:abstractNumId="47">
    <w:nsid w:val="AF139D7D"/>
    <w:multiLevelType w:val="singleLevel"/>
    <w:tmpl w:val="AF139D7D"/>
    <w:lvl w:ilvl="0" w:tentative="0">
      <w:start w:val="0"/>
      <w:numFmt w:val="bullet"/>
      <w:lvlText w:val="•"/>
      <w:lvlJc w:val="left"/>
      <w:rPr>
        <w:color w:val="3370FF"/>
      </w:rPr>
    </w:lvl>
  </w:abstractNum>
  <w:abstractNum w:abstractNumId="48">
    <w:nsid w:val="B0082E4F"/>
    <w:multiLevelType w:val="singleLevel"/>
    <w:tmpl w:val="B0082E4F"/>
    <w:lvl w:ilvl="0" w:tentative="0">
      <w:start w:val="0"/>
      <w:numFmt w:val="bullet"/>
      <w:lvlText w:val="￮"/>
      <w:lvlJc w:val="left"/>
      <w:rPr>
        <w:color w:val="3370FF"/>
      </w:rPr>
    </w:lvl>
  </w:abstractNum>
  <w:abstractNum w:abstractNumId="49">
    <w:nsid w:val="B08374AC"/>
    <w:multiLevelType w:val="singleLevel"/>
    <w:tmpl w:val="B08374AC"/>
    <w:lvl w:ilvl="0" w:tentative="0">
      <w:start w:val="1"/>
      <w:numFmt w:val="decimal"/>
      <w:lvlText w:val="%1."/>
      <w:lvlJc w:val="left"/>
      <w:rPr>
        <w:color w:val="3370FF"/>
      </w:rPr>
    </w:lvl>
  </w:abstractNum>
  <w:abstractNum w:abstractNumId="50">
    <w:nsid w:val="B0ED9BEA"/>
    <w:multiLevelType w:val="singleLevel"/>
    <w:tmpl w:val="B0ED9BEA"/>
    <w:lvl w:ilvl="0" w:tentative="0">
      <w:start w:val="0"/>
      <w:numFmt w:val="bullet"/>
      <w:lvlText w:val="•"/>
      <w:lvlJc w:val="left"/>
      <w:rPr>
        <w:color w:val="3370FF"/>
      </w:rPr>
    </w:lvl>
  </w:abstractNum>
  <w:abstractNum w:abstractNumId="51">
    <w:nsid w:val="B0F1ACD9"/>
    <w:multiLevelType w:val="singleLevel"/>
    <w:tmpl w:val="B0F1ACD9"/>
    <w:lvl w:ilvl="0" w:tentative="0">
      <w:start w:val="0"/>
      <w:numFmt w:val="bullet"/>
      <w:lvlText w:val="•"/>
      <w:lvlJc w:val="left"/>
      <w:rPr>
        <w:color w:val="3370FF"/>
      </w:rPr>
    </w:lvl>
  </w:abstractNum>
  <w:abstractNum w:abstractNumId="52">
    <w:nsid w:val="B15ABE86"/>
    <w:multiLevelType w:val="singleLevel"/>
    <w:tmpl w:val="B15ABE86"/>
    <w:lvl w:ilvl="0" w:tentative="0">
      <w:start w:val="0"/>
      <w:numFmt w:val="bullet"/>
      <w:lvlText w:val="•"/>
      <w:lvlJc w:val="left"/>
      <w:rPr>
        <w:color w:val="3370FF"/>
      </w:rPr>
    </w:lvl>
  </w:abstractNum>
  <w:abstractNum w:abstractNumId="53">
    <w:nsid w:val="B1CC6FF1"/>
    <w:multiLevelType w:val="singleLevel"/>
    <w:tmpl w:val="B1CC6FF1"/>
    <w:lvl w:ilvl="0" w:tentative="0">
      <w:start w:val="0"/>
      <w:numFmt w:val="bullet"/>
      <w:lvlText w:val="￮"/>
      <w:lvlJc w:val="left"/>
      <w:rPr>
        <w:color w:val="3370FF"/>
      </w:rPr>
    </w:lvl>
  </w:abstractNum>
  <w:abstractNum w:abstractNumId="54">
    <w:nsid w:val="B23A94A9"/>
    <w:multiLevelType w:val="singleLevel"/>
    <w:tmpl w:val="B23A94A9"/>
    <w:lvl w:ilvl="0" w:tentative="0">
      <w:start w:val="0"/>
      <w:numFmt w:val="bullet"/>
      <w:lvlText w:val="•"/>
      <w:lvlJc w:val="left"/>
      <w:rPr>
        <w:color w:val="3370FF"/>
      </w:rPr>
    </w:lvl>
  </w:abstractNum>
  <w:abstractNum w:abstractNumId="55">
    <w:nsid w:val="B4E02BC3"/>
    <w:multiLevelType w:val="singleLevel"/>
    <w:tmpl w:val="B4E02BC3"/>
    <w:lvl w:ilvl="0" w:tentative="0">
      <w:start w:val="0"/>
      <w:numFmt w:val="bullet"/>
      <w:lvlText w:val="￮"/>
      <w:lvlJc w:val="left"/>
      <w:rPr>
        <w:color w:val="3370FF"/>
      </w:rPr>
    </w:lvl>
  </w:abstractNum>
  <w:abstractNum w:abstractNumId="56">
    <w:nsid w:val="B53F3350"/>
    <w:multiLevelType w:val="singleLevel"/>
    <w:tmpl w:val="B53F3350"/>
    <w:lvl w:ilvl="0" w:tentative="0">
      <w:start w:val="0"/>
      <w:numFmt w:val="bullet"/>
      <w:lvlText w:val="•"/>
      <w:lvlJc w:val="left"/>
      <w:rPr>
        <w:color w:val="3370FF"/>
      </w:rPr>
    </w:lvl>
  </w:abstractNum>
  <w:abstractNum w:abstractNumId="57">
    <w:nsid w:val="B5601969"/>
    <w:multiLevelType w:val="singleLevel"/>
    <w:tmpl w:val="B5601969"/>
    <w:lvl w:ilvl="0" w:tentative="0">
      <w:start w:val="0"/>
      <w:numFmt w:val="bullet"/>
      <w:lvlText w:val="•"/>
      <w:lvlJc w:val="left"/>
      <w:rPr>
        <w:color w:val="3370FF"/>
      </w:rPr>
    </w:lvl>
  </w:abstractNum>
  <w:abstractNum w:abstractNumId="58">
    <w:nsid w:val="B5CF74F5"/>
    <w:multiLevelType w:val="singleLevel"/>
    <w:tmpl w:val="B5CF74F5"/>
    <w:lvl w:ilvl="0" w:tentative="0">
      <w:start w:val="1"/>
      <w:numFmt w:val="decimal"/>
      <w:lvlText w:val="%1."/>
      <w:lvlJc w:val="left"/>
      <w:rPr>
        <w:color w:val="3370FF"/>
      </w:rPr>
    </w:lvl>
  </w:abstractNum>
  <w:abstractNum w:abstractNumId="59">
    <w:nsid w:val="B5E306ED"/>
    <w:multiLevelType w:val="singleLevel"/>
    <w:tmpl w:val="B5E306ED"/>
    <w:lvl w:ilvl="0" w:tentative="0">
      <w:start w:val="0"/>
      <w:numFmt w:val="bullet"/>
      <w:lvlText w:val="•"/>
      <w:lvlJc w:val="left"/>
      <w:rPr>
        <w:color w:val="3370FF"/>
      </w:rPr>
    </w:lvl>
  </w:abstractNum>
  <w:abstractNum w:abstractNumId="60">
    <w:nsid w:val="B88D21A8"/>
    <w:multiLevelType w:val="singleLevel"/>
    <w:tmpl w:val="B88D21A8"/>
    <w:lvl w:ilvl="0" w:tentative="0">
      <w:start w:val="0"/>
      <w:numFmt w:val="bullet"/>
      <w:lvlText w:val="•"/>
      <w:lvlJc w:val="left"/>
      <w:rPr>
        <w:color w:val="3370FF"/>
      </w:rPr>
    </w:lvl>
  </w:abstractNum>
  <w:abstractNum w:abstractNumId="61">
    <w:nsid w:val="B8CEF35B"/>
    <w:multiLevelType w:val="singleLevel"/>
    <w:tmpl w:val="B8CEF35B"/>
    <w:lvl w:ilvl="0" w:tentative="0">
      <w:start w:val="0"/>
      <w:numFmt w:val="bullet"/>
      <w:lvlText w:val="•"/>
      <w:lvlJc w:val="left"/>
      <w:rPr>
        <w:color w:val="3370FF"/>
      </w:rPr>
    </w:lvl>
  </w:abstractNum>
  <w:abstractNum w:abstractNumId="62">
    <w:nsid w:val="B99465BD"/>
    <w:multiLevelType w:val="singleLevel"/>
    <w:tmpl w:val="B99465BD"/>
    <w:lvl w:ilvl="0" w:tentative="0">
      <w:start w:val="0"/>
      <w:numFmt w:val="bullet"/>
      <w:lvlText w:val="￮"/>
      <w:lvlJc w:val="left"/>
      <w:rPr>
        <w:color w:val="3370FF"/>
      </w:rPr>
    </w:lvl>
  </w:abstractNum>
  <w:abstractNum w:abstractNumId="63">
    <w:nsid w:val="BA550FDB"/>
    <w:multiLevelType w:val="singleLevel"/>
    <w:tmpl w:val="BA550FDB"/>
    <w:lvl w:ilvl="0" w:tentative="0">
      <w:start w:val="0"/>
      <w:numFmt w:val="bullet"/>
      <w:lvlText w:val="￮"/>
      <w:lvlJc w:val="left"/>
      <w:rPr>
        <w:color w:val="3370FF"/>
      </w:rPr>
    </w:lvl>
  </w:abstractNum>
  <w:abstractNum w:abstractNumId="64">
    <w:nsid w:val="BB64CFA9"/>
    <w:multiLevelType w:val="singleLevel"/>
    <w:tmpl w:val="BB64CFA9"/>
    <w:lvl w:ilvl="0" w:tentative="0">
      <w:start w:val="0"/>
      <w:numFmt w:val="bullet"/>
      <w:lvlText w:val="•"/>
      <w:lvlJc w:val="left"/>
      <w:rPr>
        <w:color w:val="3370FF"/>
      </w:rPr>
    </w:lvl>
  </w:abstractNum>
  <w:abstractNum w:abstractNumId="65">
    <w:nsid w:val="BC837A95"/>
    <w:multiLevelType w:val="singleLevel"/>
    <w:tmpl w:val="BC837A95"/>
    <w:lvl w:ilvl="0" w:tentative="0">
      <w:start w:val="0"/>
      <w:numFmt w:val="bullet"/>
      <w:lvlText w:val="•"/>
      <w:lvlJc w:val="left"/>
      <w:rPr>
        <w:color w:val="3370FF"/>
      </w:rPr>
    </w:lvl>
  </w:abstractNum>
  <w:abstractNum w:abstractNumId="66">
    <w:nsid w:val="BCECA0B4"/>
    <w:multiLevelType w:val="singleLevel"/>
    <w:tmpl w:val="BCECA0B4"/>
    <w:lvl w:ilvl="0" w:tentative="0">
      <w:start w:val="1"/>
      <w:numFmt w:val="decimal"/>
      <w:lvlText w:val="%1."/>
      <w:lvlJc w:val="left"/>
      <w:rPr>
        <w:color w:val="3370FF"/>
      </w:rPr>
    </w:lvl>
  </w:abstractNum>
  <w:abstractNum w:abstractNumId="67">
    <w:nsid w:val="BDA1395C"/>
    <w:multiLevelType w:val="singleLevel"/>
    <w:tmpl w:val="BDA1395C"/>
    <w:lvl w:ilvl="0" w:tentative="0">
      <w:start w:val="0"/>
      <w:numFmt w:val="bullet"/>
      <w:lvlText w:val="•"/>
      <w:lvlJc w:val="left"/>
      <w:rPr>
        <w:color w:val="3370FF"/>
      </w:rPr>
    </w:lvl>
  </w:abstractNum>
  <w:abstractNum w:abstractNumId="68">
    <w:nsid w:val="BE8A4F4C"/>
    <w:multiLevelType w:val="singleLevel"/>
    <w:tmpl w:val="BE8A4F4C"/>
    <w:lvl w:ilvl="0" w:tentative="0">
      <w:start w:val="0"/>
      <w:numFmt w:val="bullet"/>
      <w:lvlText w:val="•"/>
      <w:lvlJc w:val="left"/>
      <w:rPr>
        <w:color w:val="3370FF"/>
      </w:rPr>
    </w:lvl>
  </w:abstractNum>
  <w:abstractNum w:abstractNumId="69">
    <w:nsid w:val="BE923771"/>
    <w:multiLevelType w:val="singleLevel"/>
    <w:tmpl w:val="BE923771"/>
    <w:lvl w:ilvl="0" w:tentative="0">
      <w:start w:val="1"/>
      <w:numFmt w:val="decimal"/>
      <w:lvlText w:val="%1."/>
      <w:lvlJc w:val="left"/>
      <w:rPr>
        <w:color w:val="3370FF"/>
      </w:rPr>
    </w:lvl>
  </w:abstractNum>
  <w:abstractNum w:abstractNumId="70">
    <w:nsid w:val="BF205925"/>
    <w:multiLevelType w:val="singleLevel"/>
    <w:tmpl w:val="BF205925"/>
    <w:lvl w:ilvl="0" w:tentative="0">
      <w:start w:val="2"/>
      <w:numFmt w:val="decimal"/>
      <w:lvlText w:val="%1."/>
      <w:lvlJc w:val="left"/>
      <w:rPr>
        <w:color w:val="3370FF"/>
      </w:rPr>
    </w:lvl>
  </w:abstractNum>
  <w:abstractNum w:abstractNumId="71">
    <w:nsid w:val="BF50FE6B"/>
    <w:multiLevelType w:val="singleLevel"/>
    <w:tmpl w:val="BF50FE6B"/>
    <w:lvl w:ilvl="0" w:tentative="0">
      <w:start w:val="0"/>
      <w:numFmt w:val="bullet"/>
      <w:lvlText w:val="￮"/>
      <w:lvlJc w:val="left"/>
      <w:rPr>
        <w:color w:val="3370FF"/>
      </w:rPr>
    </w:lvl>
  </w:abstractNum>
  <w:abstractNum w:abstractNumId="72">
    <w:nsid w:val="C0283A65"/>
    <w:multiLevelType w:val="singleLevel"/>
    <w:tmpl w:val="C0283A65"/>
    <w:lvl w:ilvl="0" w:tentative="0">
      <w:start w:val="1"/>
      <w:numFmt w:val="decimal"/>
      <w:lvlText w:val="%1."/>
      <w:lvlJc w:val="left"/>
      <w:rPr>
        <w:color w:val="3370FF"/>
      </w:rPr>
    </w:lvl>
  </w:abstractNum>
  <w:abstractNum w:abstractNumId="73">
    <w:nsid w:val="C0915F4F"/>
    <w:multiLevelType w:val="singleLevel"/>
    <w:tmpl w:val="C0915F4F"/>
    <w:lvl w:ilvl="0" w:tentative="0">
      <w:start w:val="2"/>
      <w:numFmt w:val="decimal"/>
      <w:lvlText w:val="%1."/>
      <w:lvlJc w:val="left"/>
      <w:rPr>
        <w:color w:val="3370FF"/>
      </w:rPr>
    </w:lvl>
  </w:abstractNum>
  <w:abstractNum w:abstractNumId="74">
    <w:nsid w:val="C4E0D24A"/>
    <w:multiLevelType w:val="singleLevel"/>
    <w:tmpl w:val="C4E0D24A"/>
    <w:lvl w:ilvl="0" w:tentative="0">
      <w:start w:val="0"/>
      <w:numFmt w:val="bullet"/>
      <w:lvlText w:val="•"/>
      <w:lvlJc w:val="left"/>
      <w:rPr>
        <w:color w:val="3370FF"/>
      </w:rPr>
    </w:lvl>
  </w:abstractNum>
  <w:abstractNum w:abstractNumId="75">
    <w:nsid w:val="C4EA4DBF"/>
    <w:multiLevelType w:val="singleLevel"/>
    <w:tmpl w:val="C4EA4DBF"/>
    <w:lvl w:ilvl="0" w:tentative="0">
      <w:start w:val="0"/>
      <w:numFmt w:val="bullet"/>
      <w:lvlText w:val="￮"/>
      <w:lvlJc w:val="left"/>
      <w:rPr>
        <w:color w:val="3370FF"/>
      </w:rPr>
    </w:lvl>
  </w:abstractNum>
  <w:abstractNum w:abstractNumId="76">
    <w:nsid w:val="C560BE57"/>
    <w:multiLevelType w:val="singleLevel"/>
    <w:tmpl w:val="C560BE57"/>
    <w:lvl w:ilvl="0" w:tentative="0">
      <w:start w:val="0"/>
      <w:numFmt w:val="bullet"/>
      <w:lvlText w:val="￮"/>
      <w:lvlJc w:val="left"/>
      <w:rPr>
        <w:color w:val="3370FF"/>
      </w:rPr>
    </w:lvl>
  </w:abstractNum>
  <w:abstractNum w:abstractNumId="77">
    <w:nsid w:val="C8879AEF"/>
    <w:multiLevelType w:val="singleLevel"/>
    <w:tmpl w:val="C8879AEF"/>
    <w:lvl w:ilvl="0" w:tentative="0">
      <w:start w:val="0"/>
      <w:numFmt w:val="bullet"/>
      <w:lvlText w:val="•"/>
      <w:lvlJc w:val="left"/>
      <w:rPr>
        <w:color w:val="3370FF"/>
      </w:rPr>
    </w:lvl>
  </w:abstractNum>
  <w:abstractNum w:abstractNumId="78">
    <w:nsid w:val="C90D1B09"/>
    <w:multiLevelType w:val="singleLevel"/>
    <w:tmpl w:val="C90D1B09"/>
    <w:lvl w:ilvl="0" w:tentative="0">
      <w:start w:val="4"/>
      <w:numFmt w:val="decimal"/>
      <w:lvlText w:val="%1."/>
      <w:lvlJc w:val="left"/>
      <w:rPr>
        <w:color w:val="3370FF"/>
      </w:rPr>
    </w:lvl>
  </w:abstractNum>
  <w:abstractNum w:abstractNumId="79">
    <w:nsid w:val="C9412743"/>
    <w:multiLevelType w:val="singleLevel"/>
    <w:tmpl w:val="C9412743"/>
    <w:lvl w:ilvl="0" w:tentative="0">
      <w:start w:val="0"/>
      <w:numFmt w:val="bullet"/>
      <w:lvlText w:val="￮"/>
      <w:lvlJc w:val="left"/>
      <w:rPr>
        <w:color w:val="3370FF"/>
      </w:rPr>
    </w:lvl>
  </w:abstractNum>
  <w:abstractNum w:abstractNumId="80">
    <w:nsid w:val="C9C05784"/>
    <w:multiLevelType w:val="singleLevel"/>
    <w:tmpl w:val="C9C05784"/>
    <w:lvl w:ilvl="0" w:tentative="0">
      <w:start w:val="0"/>
      <w:numFmt w:val="bullet"/>
      <w:lvlText w:val="￮"/>
      <w:lvlJc w:val="left"/>
      <w:rPr>
        <w:color w:val="3370FF"/>
      </w:rPr>
    </w:lvl>
  </w:abstractNum>
  <w:abstractNum w:abstractNumId="81">
    <w:nsid w:val="CB0CECA5"/>
    <w:multiLevelType w:val="singleLevel"/>
    <w:tmpl w:val="CB0CECA5"/>
    <w:lvl w:ilvl="0" w:tentative="0">
      <w:start w:val="1"/>
      <w:numFmt w:val="decimal"/>
      <w:lvlText w:val="%1."/>
      <w:lvlJc w:val="left"/>
      <w:rPr>
        <w:color w:val="3370FF"/>
      </w:rPr>
    </w:lvl>
  </w:abstractNum>
  <w:abstractNum w:abstractNumId="82">
    <w:nsid w:val="CB94649F"/>
    <w:multiLevelType w:val="singleLevel"/>
    <w:tmpl w:val="CB94649F"/>
    <w:lvl w:ilvl="0" w:tentative="0">
      <w:start w:val="4"/>
      <w:numFmt w:val="decimal"/>
      <w:lvlText w:val="%1."/>
      <w:lvlJc w:val="left"/>
      <w:rPr>
        <w:color w:val="3370FF"/>
      </w:rPr>
    </w:lvl>
  </w:abstractNum>
  <w:abstractNum w:abstractNumId="83">
    <w:nsid w:val="CD699D1D"/>
    <w:multiLevelType w:val="singleLevel"/>
    <w:tmpl w:val="CD699D1D"/>
    <w:lvl w:ilvl="0" w:tentative="0">
      <w:start w:val="0"/>
      <w:numFmt w:val="bullet"/>
      <w:lvlText w:val="￮"/>
      <w:lvlJc w:val="left"/>
      <w:rPr>
        <w:color w:val="3370FF"/>
      </w:rPr>
    </w:lvl>
  </w:abstractNum>
  <w:abstractNum w:abstractNumId="84">
    <w:nsid w:val="CF092B84"/>
    <w:multiLevelType w:val="singleLevel"/>
    <w:tmpl w:val="CF092B84"/>
    <w:lvl w:ilvl="0" w:tentative="0">
      <w:start w:val="0"/>
      <w:numFmt w:val="bullet"/>
      <w:lvlText w:val="•"/>
      <w:lvlJc w:val="left"/>
      <w:rPr>
        <w:color w:val="3370FF"/>
      </w:rPr>
    </w:lvl>
  </w:abstractNum>
  <w:abstractNum w:abstractNumId="85">
    <w:nsid w:val="D1EB1714"/>
    <w:multiLevelType w:val="singleLevel"/>
    <w:tmpl w:val="D1EB1714"/>
    <w:lvl w:ilvl="0" w:tentative="0">
      <w:start w:val="0"/>
      <w:numFmt w:val="bullet"/>
      <w:lvlText w:val="•"/>
      <w:lvlJc w:val="left"/>
      <w:rPr>
        <w:color w:val="3370FF"/>
      </w:rPr>
    </w:lvl>
  </w:abstractNum>
  <w:abstractNum w:abstractNumId="86">
    <w:nsid w:val="D2B2DAFD"/>
    <w:multiLevelType w:val="singleLevel"/>
    <w:tmpl w:val="D2B2DAFD"/>
    <w:lvl w:ilvl="0" w:tentative="0">
      <w:start w:val="0"/>
      <w:numFmt w:val="bullet"/>
      <w:lvlText w:val="•"/>
      <w:lvlJc w:val="left"/>
      <w:rPr>
        <w:color w:val="3370FF"/>
      </w:rPr>
    </w:lvl>
  </w:abstractNum>
  <w:abstractNum w:abstractNumId="87">
    <w:nsid w:val="D42187FE"/>
    <w:multiLevelType w:val="singleLevel"/>
    <w:tmpl w:val="D42187FE"/>
    <w:lvl w:ilvl="0" w:tentative="0">
      <w:start w:val="0"/>
      <w:numFmt w:val="bullet"/>
      <w:lvlText w:val="•"/>
      <w:lvlJc w:val="left"/>
      <w:rPr>
        <w:color w:val="3370FF"/>
      </w:rPr>
    </w:lvl>
  </w:abstractNum>
  <w:abstractNum w:abstractNumId="88">
    <w:nsid w:val="D5F12F34"/>
    <w:multiLevelType w:val="singleLevel"/>
    <w:tmpl w:val="D5F12F34"/>
    <w:lvl w:ilvl="0" w:tentative="0">
      <w:start w:val="0"/>
      <w:numFmt w:val="bullet"/>
      <w:lvlText w:val="•"/>
      <w:lvlJc w:val="left"/>
      <w:rPr>
        <w:color w:val="3370FF"/>
      </w:rPr>
    </w:lvl>
  </w:abstractNum>
  <w:abstractNum w:abstractNumId="89">
    <w:nsid w:val="D7936317"/>
    <w:multiLevelType w:val="singleLevel"/>
    <w:tmpl w:val="D7936317"/>
    <w:lvl w:ilvl="0" w:tentative="0">
      <w:start w:val="1"/>
      <w:numFmt w:val="decimal"/>
      <w:lvlText w:val="%1."/>
      <w:lvlJc w:val="left"/>
      <w:rPr>
        <w:color w:val="3370FF"/>
      </w:rPr>
    </w:lvl>
  </w:abstractNum>
  <w:abstractNum w:abstractNumId="90">
    <w:nsid w:val="D7D140E4"/>
    <w:multiLevelType w:val="singleLevel"/>
    <w:tmpl w:val="D7D140E4"/>
    <w:lvl w:ilvl="0" w:tentative="0">
      <w:start w:val="0"/>
      <w:numFmt w:val="bullet"/>
      <w:lvlText w:val="•"/>
      <w:lvlJc w:val="left"/>
      <w:rPr>
        <w:color w:val="3370FF"/>
      </w:rPr>
    </w:lvl>
  </w:abstractNum>
  <w:abstractNum w:abstractNumId="91">
    <w:nsid w:val="D7F9FE59"/>
    <w:multiLevelType w:val="singleLevel"/>
    <w:tmpl w:val="D7F9FE59"/>
    <w:lvl w:ilvl="0" w:tentative="0">
      <w:start w:val="0"/>
      <w:numFmt w:val="bullet"/>
      <w:lvlText w:val="•"/>
      <w:lvlJc w:val="left"/>
      <w:rPr>
        <w:color w:val="3370FF"/>
      </w:rPr>
    </w:lvl>
  </w:abstractNum>
  <w:abstractNum w:abstractNumId="92">
    <w:nsid w:val="DAD3A854"/>
    <w:multiLevelType w:val="singleLevel"/>
    <w:tmpl w:val="DAD3A854"/>
    <w:lvl w:ilvl="0" w:tentative="0">
      <w:start w:val="0"/>
      <w:numFmt w:val="bullet"/>
      <w:lvlText w:val="•"/>
      <w:lvlJc w:val="left"/>
      <w:rPr>
        <w:color w:val="3370FF"/>
      </w:rPr>
    </w:lvl>
  </w:abstractNum>
  <w:abstractNum w:abstractNumId="93">
    <w:nsid w:val="DAE62134"/>
    <w:multiLevelType w:val="singleLevel"/>
    <w:tmpl w:val="DAE62134"/>
    <w:lvl w:ilvl="0" w:tentative="0">
      <w:start w:val="0"/>
      <w:numFmt w:val="bullet"/>
      <w:lvlText w:val="￮"/>
      <w:lvlJc w:val="left"/>
      <w:rPr>
        <w:color w:val="3370FF"/>
      </w:rPr>
    </w:lvl>
  </w:abstractNum>
  <w:abstractNum w:abstractNumId="94">
    <w:nsid w:val="DAF63FD3"/>
    <w:multiLevelType w:val="singleLevel"/>
    <w:tmpl w:val="DAF63FD3"/>
    <w:lvl w:ilvl="0" w:tentative="0">
      <w:start w:val="5"/>
      <w:numFmt w:val="decimal"/>
      <w:lvlText w:val="%1."/>
      <w:lvlJc w:val="left"/>
      <w:rPr>
        <w:color w:val="3370FF"/>
      </w:rPr>
    </w:lvl>
  </w:abstractNum>
  <w:abstractNum w:abstractNumId="95">
    <w:nsid w:val="DCBA6B53"/>
    <w:multiLevelType w:val="singleLevel"/>
    <w:tmpl w:val="DCBA6B53"/>
    <w:lvl w:ilvl="0" w:tentative="0">
      <w:start w:val="0"/>
      <w:numFmt w:val="bullet"/>
      <w:lvlText w:val="￮"/>
      <w:lvlJc w:val="left"/>
      <w:rPr>
        <w:color w:val="3370FF"/>
      </w:rPr>
    </w:lvl>
  </w:abstractNum>
  <w:abstractNum w:abstractNumId="96">
    <w:nsid w:val="DD02F921"/>
    <w:multiLevelType w:val="singleLevel"/>
    <w:tmpl w:val="DD02F921"/>
    <w:lvl w:ilvl="0" w:tentative="0">
      <w:start w:val="3"/>
      <w:numFmt w:val="decimal"/>
      <w:lvlText w:val="%1."/>
      <w:lvlJc w:val="left"/>
      <w:rPr>
        <w:color w:val="3370FF"/>
      </w:rPr>
    </w:lvl>
  </w:abstractNum>
  <w:abstractNum w:abstractNumId="97">
    <w:nsid w:val="DD3DB379"/>
    <w:multiLevelType w:val="singleLevel"/>
    <w:tmpl w:val="DD3DB379"/>
    <w:lvl w:ilvl="0" w:tentative="0">
      <w:start w:val="0"/>
      <w:numFmt w:val="bullet"/>
      <w:lvlText w:val="•"/>
      <w:lvlJc w:val="left"/>
      <w:rPr>
        <w:color w:val="3370FF"/>
      </w:rPr>
    </w:lvl>
  </w:abstractNum>
  <w:abstractNum w:abstractNumId="98">
    <w:nsid w:val="DD474A30"/>
    <w:multiLevelType w:val="singleLevel"/>
    <w:tmpl w:val="DD474A30"/>
    <w:lvl w:ilvl="0" w:tentative="0">
      <w:start w:val="0"/>
      <w:numFmt w:val="bullet"/>
      <w:lvlText w:val="•"/>
      <w:lvlJc w:val="left"/>
      <w:rPr>
        <w:color w:val="3370FF"/>
      </w:rPr>
    </w:lvl>
  </w:abstractNum>
  <w:abstractNum w:abstractNumId="99">
    <w:nsid w:val="E0294EC7"/>
    <w:multiLevelType w:val="singleLevel"/>
    <w:tmpl w:val="E0294EC7"/>
    <w:lvl w:ilvl="0" w:tentative="0">
      <w:start w:val="2"/>
      <w:numFmt w:val="decimal"/>
      <w:lvlText w:val="%1."/>
      <w:lvlJc w:val="left"/>
      <w:rPr>
        <w:color w:val="3370FF"/>
      </w:rPr>
    </w:lvl>
  </w:abstractNum>
  <w:abstractNum w:abstractNumId="100">
    <w:nsid w:val="E093A4B0"/>
    <w:multiLevelType w:val="singleLevel"/>
    <w:tmpl w:val="E093A4B0"/>
    <w:lvl w:ilvl="0" w:tentative="0">
      <w:start w:val="0"/>
      <w:numFmt w:val="bullet"/>
      <w:lvlText w:val="￮"/>
      <w:lvlJc w:val="left"/>
      <w:rPr>
        <w:color w:val="3370FF"/>
      </w:rPr>
    </w:lvl>
  </w:abstractNum>
  <w:abstractNum w:abstractNumId="101">
    <w:nsid w:val="E43A772E"/>
    <w:multiLevelType w:val="singleLevel"/>
    <w:tmpl w:val="E43A772E"/>
    <w:lvl w:ilvl="0" w:tentative="0">
      <w:start w:val="4"/>
      <w:numFmt w:val="decimal"/>
      <w:lvlText w:val="%1."/>
      <w:lvlJc w:val="left"/>
      <w:rPr>
        <w:color w:val="3370FF"/>
      </w:rPr>
    </w:lvl>
  </w:abstractNum>
  <w:abstractNum w:abstractNumId="102">
    <w:nsid w:val="E4D85DB5"/>
    <w:multiLevelType w:val="singleLevel"/>
    <w:tmpl w:val="E4D85DB5"/>
    <w:lvl w:ilvl="0" w:tentative="0">
      <w:start w:val="3"/>
      <w:numFmt w:val="decimal"/>
      <w:lvlText w:val="%1."/>
      <w:lvlJc w:val="left"/>
      <w:rPr>
        <w:color w:val="3370FF"/>
      </w:rPr>
    </w:lvl>
  </w:abstractNum>
  <w:abstractNum w:abstractNumId="103">
    <w:nsid w:val="E504947C"/>
    <w:multiLevelType w:val="singleLevel"/>
    <w:tmpl w:val="E504947C"/>
    <w:lvl w:ilvl="0" w:tentative="0">
      <w:start w:val="0"/>
      <w:numFmt w:val="bullet"/>
      <w:lvlText w:val="•"/>
      <w:lvlJc w:val="left"/>
      <w:rPr>
        <w:color w:val="3370FF"/>
      </w:rPr>
    </w:lvl>
  </w:abstractNum>
  <w:abstractNum w:abstractNumId="104">
    <w:nsid w:val="E52D9448"/>
    <w:multiLevelType w:val="singleLevel"/>
    <w:tmpl w:val="E52D9448"/>
    <w:lvl w:ilvl="0" w:tentative="0">
      <w:start w:val="0"/>
      <w:numFmt w:val="bullet"/>
      <w:lvlText w:val="￮"/>
      <w:lvlJc w:val="left"/>
      <w:rPr>
        <w:color w:val="3370FF"/>
      </w:rPr>
    </w:lvl>
  </w:abstractNum>
  <w:abstractNum w:abstractNumId="105">
    <w:nsid w:val="E6E98F67"/>
    <w:multiLevelType w:val="singleLevel"/>
    <w:tmpl w:val="E6E98F67"/>
    <w:lvl w:ilvl="0" w:tentative="0">
      <w:start w:val="0"/>
      <w:numFmt w:val="bullet"/>
      <w:lvlText w:val="￮"/>
      <w:lvlJc w:val="left"/>
      <w:rPr>
        <w:color w:val="3370FF"/>
      </w:rPr>
    </w:lvl>
  </w:abstractNum>
  <w:abstractNum w:abstractNumId="106">
    <w:nsid w:val="E7B27C5B"/>
    <w:multiLevelType w:val="singleLevel"/>
    <w:tmpl w:val="E7B27C5B"/>
    <w:lvl w:ilvl="0" w:tentative="0">
      <w:start w:val="0"/>
      <w:numFmt w:val="bullet"/>
      <w:lvlText w:val="•"/>
      <w:lvlJc w:val="left"/>
      <w:rPr>
        <w:color w:val="3370FF"/>
      </w:rPr>
    </w:lvl>
  </w:abstractNum>
  <w:abstractNum w:abstractNumId="107">
    <w:nsid w:val="E887D337"/>
    <w:multiLevelType w:val="singleLevel"/>
    <w:tmpl w:val="E887D337"/>
    <w:lvl w:ilvl="0" w:tentative="0">
      <w:start w:val="0"/>
      <w:numFmt w:val="bullet"/>
      <w:lvlText w:val="•"/>
      <w:lvlJc w:val="left"/>
      <w:rPr>
        <w:color w:val="3370FF"/>
      </w:rPr>
    </w:lvl>
  </w:abstractNum>
  <w:abstractNum w:abstractNumId="108">
    <w:nsid w:val="E93EBC56"/>
    <w:multiLevelType w:val="singleLevel"/>
    <w:tmpl w:val="E93EBC56"/>
    <w:lvl w:ilvl="0" w:tentative="0">
      <w:start w:val="0"/>
      <w:numFmt w:val="bullet"/>
      <w:lvlText w:val="•"/>
      <w:lvlJc w:val="left"/>
      <w:rPr>
        <w:color w:val="3370FF"/>
      </w:rPr>
    </w:lvl>
  </w:abstractNum>
  <w:abstractNum w:abstractNumId="109">
    <w:nsid w:val="EA28CC15"/>
    <w:multiLevelType w:val="singleLevel"/>
    <w:tmpl w:val="EA28CC15"/>
    <w:lvl w:ilvl="0" w:tentative="0">
      <w:start w:val="0"/>
      <w:numFmt w:val="bullet"/>
      <w:lvlText w:val="￮"/>
      <w:lvlJc w:val="left"/>
      <w:rPr>
        <w:color w:val="3370FF"/>
      </w:rPr>
    </w:lvl>
  </w:abstractNum>
  <w:abstractNum w:abstractNumId="110">
    <w:nsid w:val="EFCECDC7"/>
    <w:multiLevelType w:val="singleLevel"/>
    <w:tmpl w:val="EFCECDC7"/>
    <w:lvl w:ilvl="0" w:tentative="0">
      <w:start w:val="0"/>
      <w:numFmt w:val="bullet"/>
      <w:lvlText w:val="•"/>
      <w:lvlJc w:val="left"/>
      <w:rPr>
        <w:color w:val="3370FF"/>
      </w:rPr>
    </w:lvl>
  </w:abstractNum>
  <w:abstractNum w:abstractNumId="111">
    <w:nsid w:val="F066642F"/>
    <w:multiLevelType w:val="singleLevel"/>
    <w:tmpl w:val="F066642F"/>
    <w:lvl w:ilvl="0" w:tentative="0">
      <w:start w:val="5"/>
      <w:numFmt w:val="decimal"/>
      <w:lvlText w:val="%1."/>
      <w:lvlJc w:val="left"/>
      <w:rPr>
        <w:color w:val="3370FF"/>
      </w:rPr>
    </w:lvl>
  </w:abstractNum>
  <w:abstractNum w:abstractNumId="112">
    <w:nsid w:val="F0E89278"/>
    <w:multiLevelType w:val="singleLevel"/>
    <w:tmpl w:val="F0E89278"/>
    <w:lvl w:ilvl="0" w:tentative="0">
      <w:start w:val="0"/>
      <w:numFmt w:val="bullet"/>
      <w:lvlText w:val="•"/>
      <w:lvlJc w:val="left"/>
      <w:rPr>
        <w:color w:val="3370FF"/>
      </w:rPr>
    </w:lvl>
  </w:abstractNum>
  <w:abstractNum w:abstractNumId="113">
    <w:nsid w:val="F1FCDEFA"/>
    <w:multiLevelType w:val="singleLevel"/>
    <w:tmpl w:val="F1FCDEFA"/>
    <w:lvl w:ilvl="0" w:tentative="0">
      <w:start w:val="2"/>
      <w:numFmt w:val="decimal"/>
      <w:lvlText w:val="%1."/>
      <w:lvlJc w:val="left"/>
      <w:rPr>
        <w:color w:val="3370FF"/>
      </w:rPr>
    </w:lvl>
  </w:abstractNum>
  <w:abstractNum w:abstractNumId="114">
    <w:nsid w:val="F237ACA1"/>
    <w:multiLevelType w:val="singleLevel"/>
    <w:tmpl w:val="F237ACA1"/>
    <w:lvl w:ilvl="0" w:tentative="0">
      <w:start w:val="0"/>
      <w:numFmt w:val="bullet"/>
      <w:lvlText w:val="￮"/>
      <w:lvlJc w:val="left"/>
      <w:rPr>
        <w:color w:val="3370FF"/>
      </w:rPr>
    </w:lvl>
  </w:abstractNum>
  <w:abstractNum w:abstractNumId="115">
    <w:nsid w:val="F2A81E1A"/>
    <w:multiLevelType w:val="singleLevel"/>
    <w:tmpl w:val="F2A81E1A"/>
    <w:lvl w:ilvl="0" w:tentative="0">
      <w:start w:val="0"/>
      <w:numFmt w:val="bullet"/>
      <w:lvlText w:val="￮"/>
      <w:lvlJc w:val="left"/>
      <w:rPr>
        <w:color w:val="3370FF"/>
      </w:rPr>
    </w:lvl>
  </w:abstractNum>
  <w:abstractNum w:abstractNumId="116">
    <w:nsid w:val="F30FC083"/>
    <w:multiLevelType w:val="singleLevel"/>
    <w:tmpl w:val="F30FC083"/>
    <w:lvl w:ilvl="0" w:tentative="0">
      <w:start w:val="0"/>
      <w:numFmt w:val="bullet"/>
      <w:lvlText w:val="•"/>
      <w:lvlJc w:val="left"/>
      <w:rPr>
        <w:color w:val="3370FF"/>
      </w:rPr>
    </w:lvl>
  </w:abstractNum>
  <w:abstractNum w:abstractNumId="117">
    <w:nsid w:val="F3A33954"/>
    <w:multiLevelType w:val="singleLevel"/>
    <w:tmpl w:val="F3A33954"/>
    <w:lvl w:ilvl="0" w:tentative="0">
      <w:start w:val="0"/>
      <w:numFmt w:val="bullet"/>
      <w:lvlText w:val="￮"/>
      <w:lvlJc w:val="left"/>
      <w:rPr>
        <w:color w:val="3370FF"/>
      </w:rPr>
    </w:lvl>
  </w:abstractNum>
  <w:abstractNum w:abstractNumId="118">
    <w:nsid w:val="F411B296"/>
    <w:multiLevelType w:val="singleLevel"/>
    <w:tmpl w:val="F411B296"/>
    <w:lvl w:ilvl="0" w:tentative="0">
      <w:start w:val="0"/>
      <w:numFmt w:val="bullet"/>
      <w:lvlText w:val="￮"/>
      <w:lvlJc w:val="left"/>
      <w:rPr>
        <w:color w:val="3370FF"/>
      </w:rPr>
    </w:lvl>
  </w:abstractNum>
  <w:abstractNum w:abstractNumId="119">
    <w:nsid w:val="F46CCC20"/>
    <w:multiLevelType w:val="singleLevel"/>
    <w:tmpl w:val="F46CCC20"/>
    <w:lvl w:ilvl="0" w:tentative="0">
      <w:start w:val="0"/>
      <w:numFmt w:val="bullet"/>
      <w:lvlText w:val="￮"/>
      <w:lvlJc w:val="left"/>
      <w:rPr>
        <w:color w:val="3370FF"/>
      </w:rPr>
    </w:lvl>
  </w:abstractNum>
  <w:abstractNum w:abstractNumId="120">
    <w:nsid w:val="F4A942FE"/>
    <w:multiLevelType w:val="singleLevel"/>
    <w:tmpl w:val="F4A942FE"/>
    <w:lvl w:ilvl="0" w:tentative="0">
      <w:start w:val="0"/>
      <w:numFmt w:val="bullet"/>
      <w:lvlText w:val="￮"/>
      <w:lvlJc w:val="left"/>
      <w:rPr>
        <w:color w:val="3370FF"/>
      </w:rPr>
    </w:lvl>
  </w:abstractNum>
  <w:abstractNum w:abstractNumId="121">
    <w:nsid w:val="F4B5D9F5"/>
    <w:multiLevelType w:val="singleLevel"/>
    <w:tmpl w:val="F4B5D9F5"/>
    <w:lvl w:ilvl="0" w:tentative="0">
      <w:start w:val="0"/>
      <w:numFmt w:val="bullet"/>
      <w:lvlText w:val="•"/>
      <w:lvlJc w:val="left"/>
      <w:rPr>
        <w:color w:val="3370FF"/>
      </w:rPr>
    </w:lvl>
  </w:abstractNum>
  <w:abstractNum w:abstractNumId="122">
    <w:nsid w:val="F585BF25"/>
    <w:multiLevelType w:val="singleLevel"/>
    <w:tmpl w:val="F585BF25"/>
    <w:lvl w:ilvl="0" w:tentative="0">
      <w:start w:val="0"/>
      <w:numFmt w:val="bullet"/>
      <w:lvlText w:val="￮"/>
      <w:lvlJc w:val="left"/>
      <w:rPr>
        <w:color w:val="3370FF"/>
      </w:rPr>
    </w:lvl>
  </w:abstractNum>
  <w:abstractNum w:abstractNumId="123">
    <w:nsid w:val="F689643B"/>
    <w:multiLevelType w:val="singleLevel"/>
    <w:tmpl w:val="F689643B"/>
    <w:lvl w:ilvl="0" w:tentative="0">
      <w:start w:val="0"/>
      <w:numFmt w:val="bullet"/>
      <w:lvlText w:val="￮"/>
      <w:lvlJc w:val="left"/>
      <w:rPr>
        <w:color w:val="3370FF"/>
      </w:rPr>
    </w:lvl>
  </w:abstractNum>
  <w:abstractNum w:abstractNumId="124">
    <w:nsid w:val="F7735DC9"/>
    <w:multiLevelType w:val="singleLevel"/>
    <w:tmpl w:val="F7735DC9"/>
    <w:lvl w:ilvl="0" w:tentative="0">
      <w:start w:val="0"/>
      <w:numFmt w:val="bullet"/>
      <w:lvlText w:val="￮"/>
      <w:lvlJc w:val="left"/>
      <w:rPr>
        <w:color w:val="3370FF"/>
      </w:rPr>
    </w:lvl>
  </w:abstractNum>
  <w:abstractNum w:abstractNumId="125">
    <w:nsid w:val="F8949042"/>
    <w:multiLevelType w:val="singleLevel"/>
    <w:tmpl w:val="F8949042"/>
    <w:lvl w:ilvl="0" w:tentative="0">
      <w:start w:val="7"/>
      <w:numFmt w:val="decimal"/>
      <w:lvlText w:val="%1."/>
      <w:lvlJc w:val="left"/>
      <w:rPr>
        <w:color w:val="3370FF"/>
      </w:rPr>
    </w:lvl>
  </w:abstractNum>
  <w:abstractNum w:abstractNumId="126">
    <w:nsid w:val="F9718D3C"/>
    <w:multiLevelType w:val="singleLevel"/>
    <w:tmpl w:val="F9718D3C"/>
    <w:lvl w:ilvl="0" w:tentative="0">
      <w:start w:val="0"/>
      <w:numFmt w:val="bullet"/>
      <w:lvlText w:val="￮"/>
      <w:lvlJc w:val="left"/>
      <w:rPr>
        <w:color w:val="3370FF"/>
      </w:rPr>
    </w:lvl>
  </w:abstractNum>
  <w:abstractNum w:abstractNumId="127">
    <w:nsid w:val="F97CED97"/>
    <w:multiLevelType w:val="singleLevel"/>
    <w:tmpl w:val="F97CED97"/>
    <w:lvl w:ilvl="0" w:tentative="0">
      <w:start w:val="0"/>
      <w:numFmt w:val="bullet"/>
      <w:lvlText w:val="￮"/>
      <w:lvlJc w:val="left"/>
      <w:rPr>
        <w:color w:val="3370FF"/>
      </w:rPr>
    </w:lvl>
  </w:abstractNum>
  <w:abstractNum w:abstractNumId="128">
    <w:nsid w:val="FCC85EE2"/>
    <w:multiLevelType w:val="singleLevel"/>
    <w:tmpl w:val="FCC85EE2"/>
    <w:lvl w:ilvl="0" w:tentative="0">
      <w:start w:val="0"/>
      <w:numFmt w:val="bullet"/>
      <w:lvlText w:val="•"/>
      <w:lvlJc w:val="left"/>
      <w:rPr>
        <w:color w:val="3370FF"/>
      </w:rPr>
    </w:lvl>
  </w:abstractNum>
  <w:abstractNum w:abstractNumId="129">
    <w:nsid w:val="FEC2EA36"/>
    <w:multiLevelType w:val="singleLevel"/>
    <w:tmpl w:val="FEC2EA36"/>
    <w:lvl w:ilvl="0" w:tentative="0">
      <w:start w:val="0"/>
      <w:numFmt w:val="bullet"/>
      <w:lvlText w:val="￮"/>
      <w:lvlJc w:val="left"/>
      <w:rPr>
        <w:color w:val="3370FF"/>
      </w:rPr>
    </w:lvl>
  </w:abstractNum>
  <w:abstractNum w:abstractNumId="130">
    <w:nsid w:val="0039509F"/>
    <w:multiLevelType w:val="singleLevel"/>
    <w:tmpl w:val="0039509F"/>
    <w:lvl w:ilvl="0" w:tentative="0">
      <w:start w:val="0"/>
      <w:numFmt w:val="bullet"/>
      <w:lvlText w:val="•"/>
      <w:lvlJc w:val="left"/>
      <w:rPr>
        <w:color w:val="3370FF"/>
      </w:rPr>
    </w:lvl>
  </w:abstractNum>
  <w:abstractNum w:abstractNumId="131">
    <w:nsid w:val="0053208E"/>
    <w:multiLevelType w:val="singleLevel"/>
    <w:tmpl w:val="0053208E"/>
    <w:lvl w:ilvl="0" w:tentative="0">
      <w:start w:val="1"/>
      <w:numFmt w:val="decimal"/>
      <w:lvlText w:val="%1."/>
      <w:lvlJc w:val="left"/>
      <w:rPr>
        <w:color w:val="3370FF"/>
      </w:rPr>
    </w:lvl>
  </w:abstractNum>
  <w:abstractNum w:abstractNumId="132">
    <w:nsid w:val="01836A6D"/>
    <w:multiLevelType w:val="singleLevel"/>
    <w:tmpl w:val="01836A6D"/>
    <w:lvl w:ilvl="0" w:tentative="0">
      <w:start w:val="0"/>
      <w:numFmt w:val="bullet"/>
      <w:lvlText w:val="￮"/>
      <w:lvlJc w:val="left"/>
      <w:rPr>
        <w:color w:val="3370FF"/>
      </w:rPr>
    </w:lvl>
  </w:abstractNum>
  <w:abstractNum w:abstractNumId="133">
    <w:nsid w:val="01D7E1C7"/>
    <w:multiLevelType w:val="singleLevel"/>
    <w:tmpl w:val="01D7E1C7"/>
    <w:lvl w:ilvl="0" w:tentative="0">
      <w:start w:val="0"/>
      <w:numFmt w:val="bullet"/>
      <w:lvlText w:val="￮"/>
      <w:lvlJc w:val="left"/>
      <w:rPr>
        <w:color w:val="3370FF"/>
      </w:rPr>
    </w:lvl>
  </w:abstractNum>
  <w:abstractNum w:abstractNumId="134">
    <w:nsid w:val="0248C179"/>
    <w:multiLevelType w:val="singleLevel"/>
    <w:tmpl w:val="0248C179"/>
    <w:lvl w:ilvl="0" w:tentative="0">
      <w:start w:val="1"/>
      <w:numFmt w:val="decimal"/>
      <w:lvlText w:val="%1."/>
      <w:lvlJc w:val="left"/>
      <w:rPr>
        <w:color w:val="3370FF"/>
      </w:rPr>
    </w:lvl>
  </w:abstractNum>
  <w:abstractNum w:abstractNumId="135">
    <w:nsid w:val="0258E135"/>
    <w:multiLevelType w:val="singleLevel"/>
    <w:tmpl w:val="0258E135"/>
    <w:lvl w:ilvl="0" w:tentative="0">
      <w:start w:val="0"/>
      <w:numFmt w:val="bullet"/>
      <w:lvlText w:val="￮"/>
      <w:lvlJc w:val="left"/>
      <w:rPr>
        <w:color w:val="3370FF"/>
      </w:rPr>
    </w:lvl>
  </w:abstractNum>
  <w:abstractNum w:abstractNumId="136">
    <w:nsid w:val="025EB27A"/>
    <w:multiLevelType w:val="singleLevel"/>
    <w:tmpl w:val="025EB27A"/>
    <w:lvl w:ilvl="0" w:tentative="0">
      <w:start w:val="0"/>
      <w:numFmt w:val="bullet"/>
      <w:lvlText w:val="￮"/>
      <w:lvlJc w:val="left"/>
      <w:rPr>
        <w:color w:val="3370FF"/>
      </w:rPr>
    </w:lvl>
  </w:abstractNum>
  <w:abstractNum w:abstractNumId="137">
    <w:nsid w:val="03A63A41"/>
    <w:multiLevelType w:val="singleLevel"/>
    <w:tmpl w:val="03A63A41"/>
    <w:lvl w:ilvl="0" w:tentative="0">
      <w:start w:val="0"/>
      <w:numFmt w:val="bullet"/>
      <w:lvlText w:val="•"/>
      <w:lvlJc w:val="left"/>
      <w:rPr>
        <w:color w:val="3370FF"/>
      </w:rPr>
    </w:lvl>
  </w:abstractNum>
  <w:abstractNum w:abstractNumId="138">
    <w:nsid w:val="03C240C0"/>
    <w:multiLevelType w:val="singleLevel"/>
    <w:tmpl w:val="03C240C0"/>
    <w:lvl w:ilvl="0" w:tentative="0">
      <w:start w:val="0"/>
      <w:numFmt w:val="bullet"/>
      <w:lvlText w:val="￮"/>
      <w:lvlJc w:val="left"/>
      <w:rPr>
        <w:color w:val="3370FF"/>
      </w:rPr>
    </w:lvl>
  </w:abstractNum>
  <w:abstractNum w:abstractNumId="139">
    <w:nsid w:val="03D62ECE"/>
    <w:multiLevelType w:val="singleLevel"/>
    <w:tmpl w:val="03D62ECE"/>
    <w:lvl w:ilvl="0" w:tentative="0">
      <w:start w:val="0"/>
      <w:numFmt w:val="bullet"/>
      <w:lvlText w:val="￮"/>
      <w:lvlJc w:val="left"/>
      <w:rPr>
        <w:color w:val="3370FF"/>
      </w:rPr>
    </w:lvl>
  </w:abstractNum>
  <w:abstractNum w:abstractNumId="140">
    <w:nsid w:val="03EF4B97"/>
    <w:multiLevelType w:val="singleLevel"/>
    <w:tmpl w:val="03EF4B97"/>
    <w:lvl w:ilvl="0" w:tentative="0">
      <w:start w:val="0"/>
      <w:numFmt w:val="bullet"/>
      <w:lvlText w:val="￮"/>
      <w:lvlJc w:val="left"/>
      <w:rPr>
        <w:color w:val="3370FF"/>
      </w:rPr>
    </w:lvl>
  </w:abstractNum>
  <w:abstractNum w:abstractNumId="141">
    <w:nsid w:val="04C1F4F1"/>
    <w:multiLevelType w:val="singleLevel"/>
    <w:tmpl w:val="04C1F4F1"/>
    <w:lvl w:ilvl="0" w:tentative="0">
      <w:start w:val="0"/>
      <w:numFmt w:val="bullet"/>
      <w:lvlText w:val="•"/>
      <w:lvlJc w:val="left"/>
      <w:rPr>
        <w:color w:val="3370FF"/>
      </w:rPr>
    </w:lvl>
  </w:abstractNum>
  <w:abstractNum w:abstractNumId="142">
    <w:nsid w:val="0709FD3E"/>
    <w:multiLevelType w:val="singleLevel"/>
    <w:tmpl w:val="0709FD3E"/>
    <w:lvl w:ilvl="0" w:tentative="0">
      <w:start w:val="0"/>
      <w:numFmt w:val="bullet"/>
      <w:lvlText w:val="•"/>
      <w:lvlJc w:val="left"/>
      <w:rPr>
        <w:color w:val="3370FF"/>
      </w:rPr>
    </w:lvl>
  </w:abstractNum>
  <w:abstractNum w:abstractNumId="143">
    <w:nsid w:val="07F2E950"/>
    <w:multiLevelType w:val="singleLevel"/>
    <w:tmpl w:val="07F2E950"/>
    <w:lvl w:ilvl="0" w:tentative="0">
      <w:start w:val="0"/>
      <w:numFmt w:val="bullet"/>
      <w:lvlText w:val="•"/>
      <w:lvlJc w:val="left"/>
      <w:rPr>
        <w:color w:val="3370FF"/>
      </w:rPr>
    </w:lvl>
  </w:abstractNum>
  <w:abstractNum w:abstractNumId="144">
    <w:nsid w:val="07F5BCC3"/>
    <w:multiLevelType w:val="singleLevel"/>
    <w:tmpl w:val="07F5BCC3"/>
    <w:lvl w:ilvl="0" w:tentative="0">
      <w:start w:val="0"/>
      <w:numFmt w:val="bullet"/>
      <w:lvlText w:val="￮"/>
      <w:lvlJc w:val="left"/>
      <w:rPr>
        <w:color w:val="3370FF"/>
      </w:rPr>
    </w:lvl>
  </w:abstractNum>
  <w:abstractNum w:abstractNumId="145">
    <w:nsid w:val="0C0E1E13"/>
    <w:multiLevelType w:val="singleLevel"/>
    <w:tmpl w:val="0C0E1E13"/>
    <w:lvl w:ilvl="0" w:tentative="0">
      <w:start w:val="0"/>
      <w:numFmt w:val="bullet"/>
      <w:lvlText w:val="￮"/>
      <w:lvlJc w:val="left"/>
      <w:rPr>
        <w:color w:val="3370FF"/>
      </w:rPr>
    </w:lvl>
  </w:abstractNum>
  <w:abstractNum w:abstractNumId="146">
    <w:nsid w:val="0CCB9E98"/>
    <w:multiLevelType w:val="singleLevel"/>
    <w:tmpl w:val="0CCB9E98"/>
    <w:lvl w:ilvl="0" w:tentative="0">
      <w:start w:val="0"/>
      <w:numFmt w:val="bullet"/>
      <w:lvlText w:val="￮"/>
      <w:lvlJc w:val="left"/>
      <w:rPr>
        <w:color w:val="3370FF"/>
      </w:rPr>
    </w:lvl>
  </w:abstractNum>
  <w:abstractNum w:abstractNumId="147">
    <w:nsid w:val="0CEF100B"/>
    <w:multiLevelType w:val="singleLevel"/>
    <w:tmpl w:val="0CEF100B"/>
    <w:lvl w:ilvl="0" w:tentative="0">
      <w:start w:val="1"/>
      <w:numFmt w:val="decimal"/>
      <w:lvlText w:val="%1."/>
      <w:lvlJc w:val="left"/>
      <w:rPr>
        <w:color w:val="3370FF"/>
      </w:rPr>
    </w:lvl>
  </w:abstractNum>
  <w:abstractNum w:abstractNumId="148">
    <w:nsid w:val="0DBDD408"/>
    <w:multiLevelType w:val="singleLevel"/>
    <w:tmpl w:val="0DBDD408"/>
    <w:lvl w:ilvl="0" w:tentative="0">
      <w:start w:val="0"/>
      <w:numFmt w:val="bullet"/>
      <w:lvlText w:val="•"/>
      <w:lvlJc w:val="left"/>
      <w:rPr>
        <w:color w:val="3370FF"/>
      </w:rPr>
    </w:lvl>
  </w:abstractNum>
  <w:abstractNum w:abstractNumId="149">
    <w:nsid w:val="0DC629B0"/>
    <w:multiLevelType w:val="singleLevel"/>
    <w:tmpl w:val="0DC629B0"/>
    <w:lvl w:ilvl="0" w:tentative="0">
      <w:start w:val="0"/>
      <w:numFmt w:val="bullet"/>
      <w:lvlText w:val="￮"/>
      <w:lvlJc w:val="left"/>
      <w:rPr>
        <w:color w:val="3370FF"/>
      </w:rPr>
    </w:lvl>
  </w:abstractNum>
  <w:abstractNum w:abstractNumId="150">
    <w:nsid w:val="0E640482"/>
    <w:multiLevelType w:val="singleLevel"/>
    <w:tmpl w:val="0E640482"/>
    <w:lvl w:ilvl="0" w:tentative="0">
      <w:start w:val="0"/>
      <w:numFmt w:val="bullet"/>
      <w:lvlText w:val="•"/>
      <w:lvlJc w:val="left"/>
      <w:rPr>
        <w:color w:val="3370FF"/>
      </w:rPr>
    </w:lvl>
  </w:abstractNum>
  <w:abstractNum w:abstractNumId="151">
    <w:nsid w:val="0F929F01"/>
    <w:multiLevelType w:val="singleLevel"/>
    <w:tmpl w:val="0F929F01"/>
    <w:lvl w:ilvl="0" w:tentative="0">
      <w:start w:val="0"/>
      <w:numFmt w:val="bullet"/>
      <w:lvlText w:val="￮"/>
      <w:lvlJc w:val="left"/>
      <w:rPr>
        <w:color w:val="3370FF"/>
      </w:rPr>
    </w:lvl>
  </w:abstractNum>
  <w:abstractNum w:abstractNumId="152">
    <w:nsid w:val="0F9F9CCA"/>
    <w:multiLevelType w:val="singleLevel"/>
    <w:tmpl w:val="0F9F9CCA"/>
    <w:lvl w:ilvl="0" w:tentative="0">
      <w:start w:val="0"/>
      <w:numFmt w:val="bullet"/>
      <w:lvlText w:val="•"/>
      <w:lvlJc w:val="left"/>
      <w:rPr>
        <w:color w:val="3370FF"/>
      </w:rPr>
    </w:lvl>
  </w:abstractNum>
  <w:abstractNum w:abstractNumId="153">
    <w:nsid w:val="10502DFD"/>
    <w:multiLevelType w:val="singleLevel"/>
    <w:tmpl w:val="10502DFD"/>
    <w:lvl w:ilvl="0" w:tentative="0">
      <w:start w:val="0"/>
      <w:numFmt w:val="bullet"/>
      <w:lvlText w:val="•"/>
      <w:lvlJc w:val="left"/>
      <w:rPr>
        <w:color w:val="3370FF"/>
      </w:rPr>
    </w:lvl>
  </w:abstractNum>
  <w:abstractNum w:abstractNumId="154">
    <w:nsid w:val="10D591E5"/>
    <w:multiLevelType w:val="singleLevel"/>
    <w:tmpl w:val="10D591E5"/>
    <w:lvl w:ilvl="0" w:tentative="0">
      <w:start w:val="0"/>
      <w:numFmt w:val="bullet"/>
      <w:lvlText w:val="￮"/>
      <w:lvlJc w:val="left"/>
      <w:rPr>
        <w:color w:val="3370FF"/>
      </w:rPr>
    </w:lvl>
  </w:abstractNum>
  <w:abstractNum w:abstractNumId="155">
    <w:nsid w:val="10F0DB0B"/>
    <w:multiLevelType w:val="singleLevel"/>
    <w:tmpl w:val="10F0DB0B"/>
    <w:lvl w:ilvl="0" w:tentative="0">
      <w:start w:val="2"/>
      <w:numFmt w:val="decimal"/>
      <w:lvlText w:val="%1."/>
      <w:lvlJc w:val="left"/>
      <w:rPr>
        <w:color w:val="3370FF"/>
      </w:rPr>
    </w:lvl>
  </w:abstractNum>
  <w:abstractNum w:abstractNumId="156">
    <w:nsid w:val="12EADF99"/>
    <w:multiLevelType w:val="singleLevel"/>
    <w:tmpl w:val="12EADF99"/>
    <w:lvl w:ilvl="0" w:tentative="0">
      <w:start w:val="0"/>
      <w:numFmt w:val="bullet"/>
      <w:lvlText w:val="•"/>
      <w:lvlJc w:val="left"/>
      <w:rPr>
        <w:color w:val="3370FF"/>
      </w:rPr>
    </w:lvl>
  </w:abstractNum>
  <w:abstractNum w:abstractNumId="157">
    <w:nsid w:val="13660E3F"/>
    <w:multiLevelType w:val="singleLevel"/>
    <w:tmpl w:val="13660E3F"/>
    <w:lvl w:ilvl="0" w:tentative="0">
      <w:start w:val="0"/>
      <w:numFmt w:val="bullet"/>
      <w:lvlText w:val="￮"/>
      <w:lvlJc w:val="left"/>
      <w:rPr>
        <w:color w:val="3370FF"/>
      </w:rPr>
    </w:lvl>
  </w:abstractNum>
  <w:abstractNum w:abstractNumId="158">
    <w:nsid w:val="1450273B"/>
    <w:multiLevelType w:val="singleLevel"/>
    <w:tmpl w:val="1450273B"/>
    <w:lvl w:ilvl="0" w:tentative="0">
      <w:start w:val="0"/>
      <w:numFmt w:val="bullet"/>
      <w:lvlText w:val="•"/>
      <w:lvlJc w:val="left"/>
      <w:rPr>
        <w:color w:val="3370FF"/>
      </w:rPr>
    </w:lvl>
  </w:abstractNum>
  <w:abstractNum w:abstractNumId="159">
    <w:nsid w:val="1483906D"/>
    <w:multiLevelType w:val="singleLevel"/>
    <w:tmpl w:val="1483906D"/>
    <w:lvl w:ilvl="0" w:tentative="0">
      <w:start w:val="0"/>
      <w:numFmt w:val="bullet"/>
      <w:lvlText w:val="￮"/>
      <w:lvlJc w:val="left"/>
      <w:rPr>
        <w:color w:val="3370FF"/>
      </w:rPr>
    </w:lvl>
  </w:abstractNum>
  <w:abstractNum w:abstractNumId="160">
    <w:nsid w:val="17371721"/>
    <w:multiLevelType w:val="singleLevel"/>
    <w:tmpl w:val="17371721"/>
    <w:lvl w:ilvl="0" w:tentative="0">
      <w:start w:val="0"/>
      <w:numFmt w:val="bullet"/>
      <w:lvlText w:val="￮"/>
      <w:lvlJc w:val="left"/>
      <w:rPr>
        <w:color w:val="3370FF"/>
      </w:rPr>
    </w:lvl>
  </w:abstractNum>
  <w:abstractNum w:abstractNumId="161">
    <w:nsid w:val="18F74015"/>
    <w:multiLevelType w:val="singleLevel"/>
    <w:tmpl w:val="18F74015"/>
    <w:lvl w:ilvl="0" w:tentative="0">
      <w:start w:val="0"/>
      <w:numFmt w:val="bullet"/>
      <w:lvlText w:val="•"/>
      <w:lvlJc w:val="left"/>
      <w:rPr>
        <w:color w:val="3370FF"/>
      </w:rPr>
    </w:lvl>
  </w:abstractNum>
  <w:abstractNum w:abstractNumId="162">
    <w:nsid w:val="192B173A"/>
    <w:multiLevelType w:val="singleLevel"/>
    <w:tmpl w:val="192B173A"/>
    <w:lvl w:ilvl="0" w:tentative="0">
      <w:start w:val="0"/>
      <w:numFmt w:val="bullet"/>
      <w:lvlText w:val="•"/>
      <w:lvlJc w:val="left"/>
      <w:rPr>
        <w:color w:val="3370FF"/>
      </w:rPr>
    </w:lvl>
  </w:abstractNum>
  <w:abstractNum w:abstractNumId="163">
    <w:nsid w:val="1ACDE60F"/>
    <w:multiLevelType w:val="singleLevel"/>
    <w:tmpl w:val="1ACDE60F"/>
    <w:lvl w:ilvl="0" w:tentative="0">
      <w:start w:val="0"/>
      <w:numFmt w:val="bullet"/>
      <w:lvlText w:val="￮"/>
      <w:lvlJc w:val="left"/>
      <w:rPr>
        <w:color w:val="3370FF"/>
      </w:rPr>
    </w:lvl>
  </w:abstractNum>
  <w:abstractNum w:abstractNumId="164">
    <w:nsid w:val="1AD50295"/>
    <w:multiLevelType w:val="singleLevel"/>
    <w:tmpl w:val="1AD50295"/>
    <w:lvl w:ilvl="0" w:tentative="0">
      <w:start w:val="0"/>
      <w:numFmt w:val="bullet"/>
      <w:lvlText w:val="￮"/>
      <w:lvlJc w:val="left"/>
      <w:rPr>
        <w:color w:val="3370FF"/>
      </w:rPr>
    </w:lvl>
  </w:abstractNum>
  <w:abstractNum w:abstractNumId="165">
    <w:nsid w:val="1B3FCE26"/>
    <w:multiLevelType w:val="singleLevel"/>
    <w:tmpl w:val="1B3FCE26"/>
    <w:lvl w:ilvl="0" w:tentative="0">
      <w:start w:val="3"/>
      <w:numFmt w:val="decimal"/>
      <w:lvlText w:val="%1."/>
      <w:lvlJc w:val="left"/>
      <w:rPr>
        <w:color w:val="3370FF"/>
      </w:rPr>
    </w:lvl>
  </w:abstractNum>
  <w:abstractNum w:abstractNumId="166">
    <w:nsid w:val="1BCBBCF0"/>
    <w:multiLevelType w:val="singleLevel"/>
    <w:tmpl w:val="1BCBBCF0"/>
    <w:lvl w:ilvl="0" w:tentative="0">
      <w:start w:val="0"/>
      <w:numFmt w:val="bullet"/>
      <w:lvlText w:val="•"/>
      <w:lvlJc w:val="left"/>
      <w:rPr>
        <w:color w:val="3370FF"/>
      </w:rPr>
    </w:lvl>
  </w:abstractNum>
  <w:abstractNum w:abstractNumId="167">
    <w:nsid w:val="1C01D09A"/>
    <w:multiLevelType w:val="singleLevel"/>
    <w:tmpl w:val="1C01D09A"/>
    <w:lvl w:ilvl="0" w:tentative="0">
      <w:start w:val="1"/>
      <w:numFmt w:val="decimal"/>
      <w:lvlText w:val="%1."/>
      <w:lvlJc w:val="left"/>
      <w:rPr>
        <w:color w:val="3370FF"/>
      </w:rPr>
    </w:lvl>
  </w:abstractNum>
  <w:abstractNum w:abstractNumId="168">
    <w:nsid w:val="1C257C7B"/>
    <w:multiLevelType w:val="singleLevel"/>
    <w:tmpl w:val="1C257C7B"/>
    <w:lvl w:ilvl="0" w:tentative="0">
      <w:start w:val="2"/>
      <w:numFmt w:val="decimal"/>
      <w:lvlText w:val="%1."/>
      <w:lvlJc w:val="left"/>
      <w:rPr>
        <w:color w:val="3370FF"/>
      </w:rPr>
    </w:lvl>
  </w:abstractNum>
  <w:abstractNum w:abstractNumId="169">
    <w:nsid w:val="1DEB737C"/>
    <w:multiLevelType w:val="singleLevel"/>
    <w:tmpl w:val="1DEB737C"/>
    <w:lvl w:ilvl="0" w:tentative="0">
      <w:start w:val="0"/>
      <w:numFmt w:val="bullet"/>
      <w:lvlText w:val="￮"/>
      <w:lvlJc w:val="left"/>
      <w:rPr>
        <w:color w:val="3370FF"/>
      </w:rPr>
    </w:lvl>
  </w:abstractNum>
  <w:abstractNum w:abstractNumId="170">
    <w:nsid w:val="2007DCFD"/>
    <w:multiLevelType w:val="singleLevel"/>
    <w:tmpl w:val="2007DCFD"/>
    <w:lvl w:ilvl="0" w:tentative="0">
      <w:start w:val="0"/>
      <w:numFmt w:val="bullet"/>
      <w:lvlText w:val="￮"/>
      <w:lvlJc w:val="left"/>
      <w:rPr>
        <w:color w:val="3370FF"/>
      </w:rPr>
    </w:lvl>
  </w:abstractNum>
  <w:abstractNum w:abstractNumId="171">
    <w:nsid w:val="21B3B1B1"/>
    <w:multiLevelType w:val="singleLevel"/>
    <w:tmpl w:val="21B3B1B1"/>
    <w:lvl w:ilvl="0" w:tentative="0">
      <w:start w:val="5"/>
      <w:numFmt w:val="decimal"/>
      <w:lvlText w:val="%1."/>
      <w:lvlJc w:val="left"/>
      <w:rPr>
        <w:color w:val="3370FF"/>
      </w:rPr>
    </w:lvl>
  </w:abstractNum>
  <w:abstractNum w:abstractNumId="172">
    <w:nsid w:val="227C9188"/>
    <w:multiLevelType w:val="singleLevel"/>
    <w:tmpl w:val="227C9188"/>
    <w:lvl w:ilvl="0" w:tentative="0">
      <w:start w:val="0"/>
      <w:numFmt w:val="bullet"/>
      <w:lvlText w:val="￮"/>
      <w:lvlJc w:val="left"/>
      <w:rPr>
        <w:color w:val="3370FF"/>
      </w:rPr>
    </w:lvl>
  </w:abstractNum>
  <w:abstractNum w:abstractNumId="173">
    <w:nsid w:val="23E97754"/>
    <w:multiLevelType w:val="singleLevel"/>
    <w:tmpl w:val="23E97754"/>
    <w:lvl w:ilvl="0" w:tentative="0">
      <w:start w:val="0"/>
      <w:numFmt w:val="bullet"/>
      <w:lvlText w:val="•"/>
      <w:lvlJc w:val="left"/>
      <w:rPr>
        <w:color w:val="3370FF"/>
      </w:rPr>
    </w:lvl>
  </w:abstractNum>
  <w:abstractNum w:abstractNumId="174">
    <w:nsid w:val="243FCF68"/>
    <w:multiLevelType w:val="singleLevel"/>
    <w:tmpl w:val="243FCF68"/>
    <w:lvl w:ilvl="0" w:tentative="0">
      <w:start w:val="0"/>
      <w:numFmt w:val="bullet"/>
      <w:lvlText w:val="￮"/>
      <w:lvlJc w:val="left"/>
      <w:rPr>
        <w:color w:val="3370FF"/>
      </w:rPr>
    </w:lvl>
  </w:abstractNum>
  <w:abstractNum w:abstractNumId="175">
    <w:nsid w:val="2470EC97"/>
    <w:multiLevelType w:val="singleLevel"/>
    <w:tmpl w:val="2470EC97"/>
    <w:lvl w:ilvl="0" w:tentative="0">
      <w:start w:val="0"/>
      <w:numFmt w:val="bullet"/>
      <w:lvlText w:val="￮"/>
      <w:lvlJc w:val="left"/>
      <w:rPr>
        <w:color w:val="3370FF"/>
      </w:rPr>
    </w:lvl>
  </w:abstractNum>
  <w:abstractNum w:abstractNumId="176">
    <w:nsid w:val="249218D2"/>
    <w:multiLevelType w:val="singleLevel"/>
    <w:tmpl w:val="249218D2"/>
    <w:lvl w:ilvl="0" w:tentative="0">
      <w:start w:val="0"/>
      <w:numFmt w:val="bullet"/>
      <w:lvlText w:val="•"/>
      <w:lvlJc w:val="left"/>
      <w:rPr>
        <w:color w:val="3370FF"/>
      </w:rPr>
    </w:lvl>
  </w:abstractNum>
  <w:abstractNum w:abstractNumId="177">
    <w:nsid w:val="251342A6"/>
    <w:multiLevelType w:val="singleLevel"/>
    <w:tmpl w:val="251342A6"/>
    <w:lvl w:ilvl="0" w:tentative="0">
      <w:start w:val="0"/>
      <w:numFmt w:val="bullet"/>
      <w:lvlText w:val="￮"/>
      <w:lvlJc w:val="left"/>
      <w:rPr>
        <w:color w:val="3370FF"/>
      </w:rPr>
    </w:lvl>
  </w:abstractNum>
  <w:abstractNum w:abstractNumId="178">
    <w:nsid w:val="252BF6AB"/>
    <w:multiLevelType w:val="singleLevel"/>
    <w:tmpl w:val="252BF6AB"/>
    <w:lvl w:ilvl="0" w:tentative="0">
      <w:start w:val="2"/>
      <w:numFmt w:val="decimal"/>
      <w:lvlText w:val="%1."/>
      <w:lvlJc w:val="left"/>
      <w:rPr>
        <w:color w:val="3370FF"/>
      </w:rPr>
    </w:lvl>
  </w:abstractNum>
  <w:abstractNum w:abstractNumId="179">
    <w:nsid w:val="25B654F3"/>
    <w:multiLevelType w:val="singleLevel"/>
    <w:tmpl w:val="25B654F3"/>
    <w:lvl w:ilvl="0" w:tentative="0">
      <w:start w:val="0"/>
      <w:numFmt w:val="bullet"/>
      <w:lvlText w:val="￮"/>
      <w:lvlJc w:val="left"/>
      <w:rPr>
        <w:color w:val="3370FF"/>
      </w:rPr>
    </w:lvl>
  </w:abstractNum>
  <w:abstractNum w:abstractNumId="180">
    <w:nsid w:val="269945CE"/>
    <w:multiLevelType w:val="singleLevel"/>
    <w:tmpl w:val="269945CE"/>
    <w:lvl w:ilvl="0" w:tentative="0">
      <w:start w:val="8"/>
      <w:numFmt w:val="decimal"/>
      <w:lvlText w:val="%1."/>
      <w:lvlJc w:val="left"/>
      <w:rPr>
        <w:color w:val="3370FF"/>
      </w:rPr>
    </w:lvl>
  </w:abstractNum>
  <w:abstractNum w:abstractNumId="181">
    <w:nsid w:val="274D3D9B"/>
    <w:multiLevelType w:val="singleLevel"/>
    <w:tmpl w:val="274D3D9B"/>
    <w:lvl w:ilvl="0" w:tentative="0">
      <w:start w:val="4"/>
      <w:numFmt w:val="decimal"/>
      <w:lvlText w:val="%1."/>
      <w:lvlJc w:val="left"/>
      <w:rPr>
        <w:color w:val="3370FF"/>
      </w:rPr>
    </w:lvl>
  </w:abstractNum>
  <w:abstractNum w:abstractNumId="182">
    <w:nsid w:val="2A8F537B"/>
    <w:multiLevelType w:val="singleLevel"/>
    <w:tmpl w:val="2A8F537B"/>
    <w:lvl w:ilvl="0" w:tentative="0">
      <w:start w:val="0"/>
      <w:numFmt w:val="bullet"/>
      <w:lvlText w:val="•"/>
      <w:lvlJc w:val="left"/>
      <w:rPr>
        <w:color w:val="3370FF"/>
      </w:rPr>
    </w:lvl>
  </w:abstractNum>
  <w:abstractNum w:abstractNumId="183">
    <w:nsid w:val="2B3F3F89"/>
    <w:multiLevelType w:val="singleLevel"/>
    <w:tmpl w:val="2B3F3F89"/>
    <w:lvl w:ilvl="0" w:tentative="0">
      <w:start w:val="0"/>
      <w:numFmt w:val="bullet"/>
      <w:lvlText w:val="￮"/>
      <w:lvlJc w:val="left"/>
      <w:rPr>
        <w:color w:val="3370FF"/>
      </w:rPr>
    </w:lvl>
  </w:abstractNum>
  <w:abstractNum w:abstractNumId="184">
    <w:nsid w:val="2C9424EE"/>
    <w:multiLevelType w:val="singleLevel"/>
    <w:tmpl w:val="2C9424EE"/>
    <w:lvl w:ilvl="0" w:tentative="0">
      <w:start w:val="6"/>
      <w:numFmt w:val="decimal"/>
      <w:lvlText w:val="%1."/>
      <w:lvlJc w:val="left"/>
      <w:rPr>
        <w:color w:val="3370FF"/>
      </w:rPr>
    </w:lvl>
  </w:abstractNum>
  <w:abstractNum w:abstractNumId="185">
    <w:nsid w:val="2F2D79CE"/>
    <w:multiLevelType w:val="singleLevel"/>
    <w:tmpl w:val="2F2D79CE"/>
    <w:lvl w:ilvl="0" w:tentative="0">
      <w:start w:val="0"/>
      <w:numFmt w:val="bullet"/>
      <w:lvlText w:val="•"/>
      <w:lvlJc w:val="left"/>
      <w:rPr>
        <w:color w:val="3370FF"/>
      </w:rPr>
    </w:lvl>
  </w:abstractNum>
  <w:abstractNum w:abstractNumId="186">
    <w:nsid w:val="30A0AC00"/>
    <w:multiLevelType w:val="singleLevel"/>
    <w:tmpl w:val="30A0AC00"/>
    <w:lvl w:ilvl="0" w:tentative="0">
      <w:start w:val="0"/>
      <w:numFmt w:val="bullet"/>
      <w:lvlText w:val="￮"/>
      <w:lvlJc w:val="left"/>
      <w:rPr>
        <w:color w:val="3370FF"/>
      </w:rPr>
    </w:lvl>
  </w:abstractNum>
  <w:abstractNum w:abstractNumId="187">
    <w:nsid w:val="30FC5B15"/>
    <w:multiLevelType w:val="singleLevel"/>
    <w:tmpl w:val="30FC5B15"/>
    <w:lvl w:ilvl="0" w:tentative="0">
      <w:start w:val="0"/>
      <w:numFmt w:val="bullet"/>
      <w:lvlText w:val="￮"/>
      <w:lvlJc w:val="left"/>
      <w:rPr>
        <w:color w:val="3370FF"/>
      </w:rPr>
    </w:lvl>
  </w:abstractNum>
  <w:abstractNum w:abstractNumId="188">
    <w:nsid w:val="311F749C"/>
    <w:multiLevelType w:val="singleLevel"/>
    <w:tmpl w:val="311F749C"/>
    <w:lvl w:ilvl="0" w:tentative="0">
      <w:start w:val="0"/>
      <w:numFmt w:val="bullet"/>
      <w:lvlText w:val="￮"/>
      <w:lvlJc w:val="left"/>
      <w:rPr>
        <w:color w:val="3370FF"/>
      </w:rPr>
    </w:lvl>
  </w:abstractNum>
  <w:abstractNum w:abstractNumId="189">
    <w:nsid w:val="322D85CA"/>
    <w:multiLevelType w:val="singleLevel"/>
    <w:tmpl w:val="322D85CA"/>
    <w:lvl w:ilvl="0" w:tentative="0">
      <w:start w:val="0"/>
      <w:numFmt w:val="bullet"/>
      <w:lvlText w:val="￮"/>
      <w:lvlJc w:val="left"/>
      <w:rPr>
        <w:color w:val="3370FF"/>
      </w:rPr>
    </w:lvl>
  </w:abstractNum>
  <w:abstractNum w:abstractNumId="190">
    <w:nsid w:val="3287CD95"/>
    <w:multiLevelType w:val="singleLevel"/>
    <w:tmpl w:val="3287CD95"/>
    <w:lvl w:ilvl="0" w:tentative="0">
      <w:start w:val="0"/>
      <w:numFmt w:val="bullet"/>
      <w:lvlText w:val="￮"/>
      <w:lvlJc w:val="left"/>
      <w:rPr>
        <w:color w:val="3370FF"/>
      </w:rPr>
    </w:lvl>
  </w:abstractNum>
  <w:abstractNum w:abstractNumId="191">
    <w:nsid w:val="329A4FD1"/>
    <w:multiLevelType w:val="singleLevel"/>
    <w:tmpl w:val="329A4FD1"/>
    <w:lvl w:ilvl="0" w:tentative="0">
      <w:start w:val="6"/>
      <w:numFmt w:val="decimal"/>
      <w:lvlText w:val="%1."/>
      <w:lvlJc w:val="left"/>
      <w:rPr>
        <w:color w:val="3370FF"/>
      </w:rPr>
    </w:lvl>
  </w:abstractNum>
  <w:abstractNum w:abstractNumId="192">
    <w:nsid w:val="32A7AF2D"/>
    <w:multiLevelType w:val="singleLevel"/>
    <w:tmpl w:val="32A7AF2D"/>
    <w:lvl w:ilvl="0" w:tentative="0">
      <w:start w:val="0"/>
      <w:numFmt w:val="bullet"/>
      <w:lvlText w:val="•"/>
      <w:lvlJc w:val="left"/>
      <w:rPr>
        <w:color w:val="3370FF"/>
      </w:rPr>
    </w:lvl>
  </w:abstractNum>
  <w:abstractNum w:abstractNumId="193">
    <w:nsid w:val="333E8B90"/>
    <w:multiLevelType w:val="singleLevel"/>
    <w:tmpl w:val="333E8B90"/>
    <w:lvl w:ilvl="0" w:tentative="0">
      <w:start w:val="0"/>
      <w:numFmt w:val="bullet"/>
      <w:lvlText w:val="•"/>
      <w:lvlJc w:val="left"/>
      <w:rPr>
        <w:color w:val="3370FF"/>
      </w:rPr>
    </w:lvl>
  </w:abstractNum>
  <w:abstractNum w:abstractNumId="194">
    <w:nsid w:val="35E83B33"/>
    <w:multiLevelType w:val="singleLevel"/>
    <w:tmpl w:val="35E83B33"/>
    <w:lvl w:ilvl="0" w:tentative="0">
      <w:start w:val="1"/>
      <w:numFmt w:val="decimal"/>
      <w:lvlText w:val="%1."/>
      <w:lvlJc w:val="left"/>
      <w:rPr>
        <w:color w:val="3370FF"/>
      </w:rPr>
    </w:lvl>
  </w:abstractNum>
  <w:abstractNum w:abstractNumId="195">
    <w:nsid w:val="35ECE9CB"/>
    <w:multiLevelType w:val="singleLevel"/>
    <w:tmpl w:val="35ECE9CB"/>
    <w:lvl w:ilvl="0" w:tentative="0">
      <w:start w:val="0"/>
      <w:numFmt w:val="bullet"/>
      <w:lvlText w:val="￮"/>
      <w:lvlJc w:val="left"/>
      <w:rPr>
        <w:color w:val="3370FF"/>
      </w:rPr>
    </w:lvl>
  </w:abstractNum>
  <w:abstractNum w:abstractNumId="196">
    <w:nsid w:val="3664A4D1"/>
    <w:multiLevelType w:val="singleLevel"/>
    <w:tmpl w:val="3664A4D1"/>
    <w:lvl w:ilvl="0" w:tentative="0">
      <w:start w:val="0"/>
      <w:numFmt w:val="bullet"/>
      <w:lvlText w:val="•"/>
      <w:lvlJc w:val="left"/>
      <w:rPr>
        <w:color w:val="3370FF"/>
      </w:rPr>
    </w:lvl>
  </w:abstractNum>
  <w:abstractNum w:abstractNumId="197">
    <w:nsid w:val="38EAC418"/>
    <w:multiLevelType w:val="singleLevel"/>
    <w:tmpl w:val="38EAC418"/>
    <w:lvl w:ilvl="0" w:tentative="0">
      <w:start w:val="0"/>
      <w:numFmt w:val="bullet"/>
      <w:lvlText w:val="￮"/>
      <w:lvlJc w:val="left"/>
      <w:rPr>
        <w:color w:val="3370FF"/>
      </w:rPr>
    </w:lvl>
  </w:abstractNum>
  <w:abstractNum w:abstractNumId="198">
    <w:nsid w:val="39A0D9AC"/>
    <w:multiLevelType w:val="singleLevel"/>
    <w:tmpl w:val="39A0D9AC"/>
    <w:lvl w:ilvl="0" w:tentative="0">
      <w:start w:val="2"/>
      <w:numFmt w:val="decimal"/>
      <w:lvlText w:val="%1."/>
      <w:lvlJc w:val="left"/>
      <w:rPr>
        <w:color w:val="3370FF"/>
      </w:rPr>
    </w:lvl>
  </w:abstractNum>
  <w:abstractNum w:abstractNumId="199">
    <w:nsid w:val="3A7FBA26"/>
    <w:multiLevelType w:val="singleLevel"/>
    <w:tmpl w:val="3A7FBA26"/>
    <w:lvl w:ilvl="0" w:tentative="0">
      <w:start w:val="0"/>
      <w:numFmt w:val="bullet"/>
      <w:lvlText w:val="￮"/>
      <w:lvlJc w:val="left"/>
      <w:rPr>
        <w:color w:val="3370FF"/>
      </w:rPr>
    </w:lvl>
  </w:abstractNum>
  <w:abstractNum w:abstractNumId="200">
    <w:nsid w:val="3B8127DF"/>
    <w:multiLevelType w:val="singleLevel"/>
    <w:tmpl w:val="3B8127DF"/>
    <w:lvl w:ilvl="0" w:tentative="0">
      <w:start w:val="0"/>
      <w:numFmt w:val="bullet"/>
      <w:lvlText w:val="￮"/>
      <w:lvlJc w:val="left"/>
      <w:rPr>
        <w:color w:val="3370FF"/>
      </w:rPr>
    </w:lvl>
  </w:abstractNum>
  <w:abstractNum w:abstractNumId="201">
    <w:nsid w:val="3D950AF9"/>
    <w:multiLevelType w:val="singleLevel"/>
    <w:tmpl w:val="3D950AF9"/>
    <w:lvl w:ilvl="0" w:tentative="0">
      <w:start w:val="0"/>
      <w:numFmt w:val="bullet"/>
      <w:lvlText w:val="￮"/>
      <w:lvlJc w:val="left"/>
      <w:rPr>
        <w:color w:val="3370FF"/>
      </w:rPr>
    </w:lvl>
  </w:abstractNum>
  <w:abstractNum w:abstractNumId="202">
    <w:nsid w:val="3FE315B6"/>
    <w:multiLevelType w:val="singleLevel"/>
    <w:tmpl w:val="3FE315B6"/>
    <w:lvl w:ilvl="0" w:tentative="0">
      <w:start w:val="0"/>
      <w:numFmt w:val="bullet"/>
      <w:lvlText w:val="￮"/>
      <w:lvlJc w:val="left"/>
      <w:rPr>
        <w:color w:val="3370FF"/>
      </w:rPr>
    </w:lvl>
  </w:abstractNum>
  <w:abstractNum w:abstractNumId="203">
    <w:nsid w:val="408860E8"/>
    <w:multiLevelType w:val="singleLevel"/>
    <w:tmpl w:val="408860E8"/>
    <w:lvl w:ilvl="0" w:tentative="0">
      <w:start w:val="3"/>
      <w:numFmt w:val="decimal"/>
      <w:lvlText w:val="%1."/>
      <w:lvlJc w:val="left"/>
      <w:rPr>
        <w:color w:val="3370FF"/>
      </w:rPr>
    </w:lvl>
  </w:abstractNum>
  <w:abstractNum w:abstractNumId="204">
    <w:nsid w:val="40B249F9"/>
    <w:multiLevelType w:val="singleLevel"/>
    <w:tmpl w:val="40B249F9"/>
    <w:lvl w:ilvl="0" w:tentative="0">
      <w:start w:val="0"/>
      <w:numFmt w:val="bullet"/>
      <w:lvlText w:val="•"/>
      <w:lvlJc w:val="left"/>
      <w:rPr>
        <w:color w:val="3370FF"/>
      </w:rPr>
    </w:lvl>
  </w:abstractNum>
  <w:abstractNum w:abstractNumId="205">
    <w:nsid w:val="40F245EA"/>
    <w:multiLevelType w:val="singleLevel"/>
    <w:tmpl w:val="40F245EA"/>
    <w:lvl w:ilvl="0" w:tentative="0">
      <w:start w:val="0"/>
      <w:numFmt w:val="bullet"/>
      <w:lvlText w:val="￮"/>
      <w:lvlJc w:val="left"/>
      <w:rPr>
        <w:color w:val="3370FF"/>
      </w:rPr>
    </w:lvl>
  </w:abstractNum>
  <w:abstractNum w:abstractNumId="206">
    <w:nsid w:val="4258023A"/>
    <w:multiLevelType w:val="singleLevel"/>
    <w:tmpl w:val="4258023A"/>
    <w:lvl w:ilvl="0" w:tentative="0">
      <w:start w:val="0"/>
      <w:numFmt w:val="bullet"/>
      <w:lvlText w:val="￮"/>
      <w:lvlJc w:val="left"/>
      <w:rPr>
        <w:color w:val="3370FF"/>
      </w:rPr>
    </w:lvl>
  </w:abstractNum>
  <w:abstractNum w:abstractNumId="207">
    <w:nsid w:val="429CD0B5"/>
    <w:multiLevelType w:val="singleLevel"/>
    <w:tmpl w:val="429CD0B5"/>
    <w:lvl w:ilvl="0" w:tentative="0">
      <w:start w:val="0"/>
      <w:numFmt w:val="bullet"/>
      <w:lvlText w:val="•"/>
      <w:lvlJc w:val="left"/>
      <w:rPr>
        <w:color w:val="3370FF"/>
      </w:rPr>
    </w:lvl>
  </w:abstractNum>
  <w:abstractNum w:abstractNumId="208">
    <w:nsid w:val="43D68054"/>
    <w:multiLevelType w:val="singleLevel"/>
    <w:tmpl w:val="43D68054"/>
    <w:lvl w:ilvl="0" w:tentative="0">
      <w:start w:val="0"/>
      <w:numFmt w:val="bullet"/>
      <w:lvlText w:val="￮"/>
      <w:lvlJc w:val="left"/>
      <w:rPr>
        <w:color w:val="3370FF"/>
      </w:rPr>
    </w:lvl>
  </w:abstractNum>
  <w:abstractNum w:abstractNumId="209">
    <w:nsid w:val="446EAEE1"/>
    <w:multiLevelType w:val="singleLevel"/>
    <w:tmpl w:val="446EAEE1"/>
    <w:lvl w:ilvl="0" w:tentative="0">
      <w:start w:val="2"/>
      <w:numFmt w:val="decimal"/>
      <w:lvlText w:val="%1."/>
      <w:lvlJc w:val="left"/>
      <w:rPr>
        <w:color w:val="3370FF"/>
      </w:rPr>
    </w:lvl>
  </w:abstractNum>
  <w:abstractNum w:abstractNumId="210">
    <w:nsid w:val="46A08BB8"/>
    <w:multiLevelType w:val="singleLevel"/>
    <w:tmpl w:val="46A08BB8"/>
    <w:lvl w:ilvl="0" w:tentative="0">
      <w:start w:val="0"/>
      <w:numFmt w:val="bullet"/>
      <w:lvlText w:val="•"/>
      <w:lvlJc w:val="left"/>
      <w:rPr>
        <w:color w:val="3370FF"/>
      </w:rPr>
    </w:lvl>
  </w:abstractNum>
  <w:abstractNum w:abstractNumId="211">
    <w:nsid w:val="4A51D704"/>
    <w:multiLevelType w:val="singleLevel"/>
    <w:tmpl w:val="4A51D704"/>
    <w:lvl w:ilvl="0" w:tentative="0">
      <w:start w:val="0"/>
      <w:numFmt w:val="bullet"/>
      <w:lvlText w:val="￮"/>
      <w:lvlJc w:val="left"/>
      <w:rPr>
        <w:color w:val="3370FF"/>
      </w:rPr>
    </w:lvl>
  </w:abstractNum>
  <w:abstractNum w:abstractNumId="212">
    <w:nsid w:val="4AD1D84F"/>
    <w:multiLevelType w:val="singleLevel"/>
    <w:tmpl w:val="4AD1D84F"/>
    <w:lvl w:ilvl="0" w:tentative="0">
      <w:start w:val="0"/>
      <w:numFmt w:val="bullet"/>
      <w:lvlText w:val="￮"/>
      <w:lvlJc w:val="left"/>
      <w:rPr>
        <w:color w:val="3370FF"/>
      </w:rPr>
    </w:lvl>
  </w:abstractNum>
  <w:abstractNum w:abstractNumId="213">
    <w:nsid w:val="4C1BAE26"/>
    <w:multiLevelType w:val="singleLevel"/>
    <w:tmpl w:val="4C1BAE26"/>
    <w:lvl w:ilvl="0" w:tentative="0">
      <w:start w:val="0"/>
      <w:numFmt w:val="bullet"/>
      <w:lvlText w:val="•"/>
      <w:lvlJc w:val="left"/>
      <w:rPr>
        <w:color w:val="3370FF"/>
      </w:rPr>
    </w:lvl>
  </w:abstractNum>
  <w:abstractNum w:abstractNumId="214">
    <w:nsid w:val="4C3D7A74"/>
    <w:multiLevelType w:val="singleLevel"/>
    <w:tmpl w:val="4C3D7A74"/>
    <w:lvl w:ilvl="0" w:tentative="0">
      <w:start w:val="0"/>
      <w:numFmt w:val="bullet"/>
      <w:lvlText w:val="￮"/>
      <w:lvlJc w:val="left"/>
      <w:rPr>
        <w:color w:val="3370FF"/>
      </w:rPr>
    </w:lvl>
  </w:abstractNum>
  <w:abstractNum w:abstractNumId="215">
    <w:nsid w:val="4CD1E351"/>
    <w:multiLevelType w:val="singleLevel"/>
    <w:tmpl w:val="4CD1E351"/>
    <w:lvl w:ilvl="0" w:tentative="0">
      <w:start w:val="0"/>
      <w:numFmt w:val="bullet"/>
      <w:lvlText w:val="￮"/>
      <w:lvlJc w:val="left"/>
      <w:rPr>
        <w:color w:val="3370FF"/>
      </w:rPr>
    </w:lvl>
  </w:abstractNum>
  <w:abstractNum w:abstractNumId="216">
    <w:nsid w:val="4D4DC07F"/>
    <w:multiLevelType w:val="singleLevel"/>
    <w:tmpl w:val="4D4DC07F"/>
    <w:lvl w:ilvl="0" w:tentative="0">
      <w:start w:val="0"/>
      <w:numFmt w:val="bullet"/>
      <w:lvlText w:val="•"/>
      <w:lvlJc w:val="left"/>
      <w:rPr>
        <w:color w:val="3370FF"/>
      </w:rPr>
    </w:lvl>
  </w:abstractNum>
  <w:abstractNum w:abstractNumId="217">
    <w:nsid w:val="4D63189B"/>
    <w:multiLevelType w:val="singleLevel"/>
    <w:tmpl w:val="4D63189B"/>
    <w:lvl w:ilvl="0" w:tentative="0">
      <w:start w:val="0"/>
      <w:numFmt w:val="bullet"/>
      <w:lvlText w:val="￮"/>
      <w:lvlJc w:val="left"/>
      <w:rPr>
        <w:color w:val="3370FF"/>
      </w:rPr>
    </w:lvl>
  </w:abstractNum>
  <w:abstractNum w:abstractNumId="218">
    <w:nsid w:val="4D94DA66"/>
    <w:multiLevelType w:val="singleLevel"/>
    <w:tmpl w:val="4D94DA66"/>
    <w:lvl w:ilvl="0" w:tentative="0">
      <w:start w:val="0"/>
      <w:numFmt w:val="bullet"/>
      <w:lvlText w:val="￮"/>
      <w:lvlJc w:val="left"/>
      <w:rPr>
        <w:color w:val="3370FF"/>
      </w:rPr>
    </w:lvl>
  </w:abstractNum>
  <w:abstractNum w:abstractNumId="219">
    <w:nsid w:val="4E709187"/>
    <w:multiLevelType w:val="singleLevel"/>
    <w:tmpl w:val="4E709187"/>
    <w:lvl w:ilvl="0" w:tentative="0">
      <w:start w:val="0"/>
      <w:numFmt w:val="bullet"/>
      <w:lvlText w:val="•"/>
      <w:lvlJc w:val="left"/>
      <w:rPr>
        <w:color w:val="3370FF"/>
      </w:rPr>
    </w:lvl>
  </w:abstractNum>
  <w:abstractNum w:abstractNumId="220">
    <w:nsid w:val="4EA76503"/>
    <w:multiLevelType w:val="singleLevel"/>
    <w:tmpl w:val="4EA76503"/>
    <w:lvl w:ilvl="0" w:tentative="0">
      <w:start w:val="0"/>
      <w:numFmt w:val="bullet"/>
      <w:lvlText w:val="￮"/>
      <w:lvlJc w:val="left"/>
      <w:rPr>
        <w:color w:val="3370FF"/>
      </w:rPr>
    </w:lvl>
  </w:abstractNum>
  <w:abstractNum w:abstractNumId="221">
    <w:nsid w:val="4F00C6B4"/>
    <w:multiLevelType w:val="singleLevel"/>
    <w:tmpl w:val="4F00C6B4"/>
    <w:lvl w:ilvl="0" w:tentative="0">
      <w:start w:val="0"/>
      <w:numFmt w:val="bullet"/>
      <w:lvlText w:val="•"/>
      <w:lvlJc w:val="left"/>
      <w:rPr>
        <w:color w:val="3370FF"/>
      </w:rPr>
    </w:lvl>
  </w:abstractNum>
  <w:abstractNum w:abstractNumId="222">
    <w:nsid w:val="4FA7FC34"/>
    <w:multiLevelType w:val="singleLevel"/>
    <w:tmpl w:val="4FA7FC34"/>
    <w:lvl w:ilvl="0" w:tentative="0">
      <w:start w:val="2"/>
      <w:numFmt w:val="decimal"/>
      <w:lvlText w:val="%1."/>
      <w:lvlJc w:val="left"/>
      <w:rPr>
        <w:color w:val="3370FF"/>
      </w:rPr>
    </w:lvl>
  </w:abstractNum>
  <w:abstractNum w:abstractNumId="223">
    <w:nsid w:val="4FB438A5"/>
    <w:multiLevelType w:val="singleLevel"/>
    <w:tmpl w:val="4FB438A5"/>
    <w:lvl w:ilvl="0" w:tentative="0">
      <w:start w:val="0"/>
      <w:numFmt w:val="bullet"/>
      <w:lvlText w:val="￮"/>
      <w:lvlJc w:val="left"/>
      <w:rPr>
        <w:color w:val="3370FF"/>
      </w:rPr>
    </w:lvl>
  </w:abstractNum>
  <w:abstractNum w:abstractNumId="224">
    <w:nsid w:val="51C4BC33"/>
    <w:multiLevelType w:val="singleLevel"/>
    <w:tmpl w:val="51C4BC33"/>
    <w:lvl w:ilvl="0" w:tentative="0">
      <w:start w:val="1"/>
      <w:numFmt w:val="decimal"/>
      <w:lvlText w:val="%1."/>
      <w:lvlJc w:val="left"/>
      <w:rPr>
        <w:color w:val="3370FF"/>
      </w:rPr>
    </w:lvl>
  </w:abstractNum>
  <w:abstractNum w:abstractNumId="225">
    <w:nsid w:val="54701CA1"/>
    <w:multiLevelType w:val="singleLevel"/>
    <w:tmpl w:val="54701CA1"/>
    <w:lvl w:ilvl="0" w:tentative="0">
      <w:start w:val="0"/>
      <w:numFmt w:val="bullet"/>
      <w:lvlText w:val="￮"/>
      <w:lvlJc w:val="left"/>
      <w:rPr>
        <w:color w:val="3370FF"/>
      </w:rPr>
    </w:lvl>
  </w:abstractNum>
  <w:abstractNum w:abstractNumId="226">
    <w:nsid w:val="568750A4"/>
    <w:multiLevelType w:val="singleLevel"/>
    <w:tmpl w:val="568750A4"/>
    <w:lvl w:ilvl="0" w:tentative="0">
      <w:start w:val="0"/>
      <w:numFmt w:val="bullet"/>
      <w:lvlText w:val="￮"/>
      <w:lvlJc w:val="left"/>
      <w:rPr>
        <w:color w:val="3370FF"/>
      </w:rPr>
    </w:lvl>
  </w:abstractNum>
  <w:abstractNum w:abstractNumId="227">
    <w:nsid w:val="57DED440"/>
    <w:multiLevelType w:val="singleLevel"/>
    <w:tmpl w:val="57DED440"/>
    <w:lvl w:ilvl="0" w:tentative="0">
      <w:start w:val="8"/>
      <w:numFmt w:val="decimal"/>
      <w:lvlText w:val="%1."/>
      <w:lvlJc w:val="left"/>
      <w:rPr>
        <w:color w:val="3370FF"/>
      </w:rPr>
    </w:lvl>
  </w:abstractNum>
  <w:abstractNum w:abstractNumId="228">
    <w:nsid w:val="58765686"/>
    <w:multiLevelType w:val="singleLevel"/>
    <w:tmpl w:val="58765686"/>
    <w:lvl w:ilvl="0" w:tentative="0">
      <w:start w:val="0"/>
      <w:numFmt w:val="bullet"/>
      <w:lvlText w:val="•"/>
      <w:lvlJc w:val="left"/>
      <w:rPr>
        <w:color w:val="3370FF"/>
      </w:rPr>
    </w:lvl>
  </w:abstractNum>
  <w:abstractNum w:abstractNumId="229">
    <w:nsid w:val="598DAF6D"/>
    <w:multiLevelType w:val="singleLevel"/>
    <w:tmpl w:val="598DAF6D"/>
    <w:lvl w:ilvl="0" w:tentative="0">
      <w:start w:val="1"/>
      <w:numFmt w:val="decimal"/>
      <w:lvlText w:val="%1."/>
      <w:lvlJc w:val="left"/>
      <w:rPr>
        <w:color w:val="3370FF"/>
      </w:rPr>
    </w:lvl>
  </w:abstractNum>
  <w:abstractNum w:abstractNumId="230">
    <w:nsid w:val="59ADCABA"/>
    <w:multiLevelType w:val="singleLevel"/>
    <w:tmpl w:val="59ADCABA"/>
    <w:lvl w:ilvl="0" w:tentative="0">
      <w:start w:val="0"/>
      <w:numFmt w:val="bullet"/>
      <w:lvlText w:val="•"/>
      <w:lvlJc w:val="left"/>
      <w:rPr>
        <w:color w:val="3370FF"/>
      </w:rPr>
    </w:lvl>
  </w:abstractNum>
  <w:abstractNum w:abstractNumId="231">
    <w:nsid w:val="59EEFD2A"/>
    <w:multiLevelType w:val="singleLevel"/>
    <w:tmpl w:val="59EEFD2A"/>
    <w:lvl w:ilvl="0" w:tentative="0">
      <w:start w:val="0"/>
      <w:numFmt w:val="bullet"/>
      <w:lvlText w:val="•"/>
      <w:lvlJc w:val="left"/>
      <w:rPr>
        <w:color w:val="3370FF"/>
      </w:rPr>
    </w:lvl>
  </w:abstractNum>
  <w:abstractNum w:abstractNumId="232">
    <w:nsid w:val="5A241D34"/>
    <w:multiLevelType w:val="singleLevel"/>
    <w:tmpl w:val="5A241D34"/>
    <w:lvl w:ilvl="0" w:tentative="0">
      <w:start w:val="0"/>
      <w:numFmt w:val="bullet"/>
      <w:lvlText w:val="•"/>
      <w:lvlJc w:val="left"/>
      <w:rPr>
        <w:color w:val="3370FF"/>
      </w:rPr>
    </w:lvl>
  </w:abstractNum>
  <w:abstractNum w:abstractNumId="233">
    <w:nsid w:val="5A8377A7"/>
    <w:multiLevelType w:val="singleLevel"/>
    <w:tmpl w:val="5A8377A7"/>
    <w:lvl w:ilvl="0" w:tentative="0">
      <w:start w:val="2"/>
      <w:numFmt w:val="decimal"/>
      <w:lvlText w:val="%1."/>
      <w:lvlJc w:val="left"/>
      <w:rPr>
        <w:color w:val="3370FF"/>
      </w:rPr>
    </w:lvl>
  </w:abstractNum>
  <w:abstractNum w:abstractNumId="234">
    <w:nsid w:val="5E29AB5A"/>
    <w:multiLevelType w:val="singleLevel"/>
    <w:tmpl w:val="5E29AB5A"/>
    <w:lvl w:ilvl="0" w:tentative="0">
      <w:start w:val="0"/>
      <w:numFmt w:val="bullet"/>
      <w:lvlText w:val="￮"/>
      <w:lvlJc w:val="left"/>
      <w:rPr>
        <w:color w:val="3370FF"/>
      </w:rPr>
    </w:lvl>
  </w:abstractNum>
  <w:abstractNum w:abstractNumId="235">
    <w:nsid w:val="5F098F1B"/>
    <w:multiLevelType w:val="singleLevel"/>
    <w:tmpl w:val="5F098F1B"/>
    <w:lvl w:ilvl="0" w:tentative="0">
      <w:start w:val="0"/>
      <w:numFmt w:val="bullet"/>
      <w:lvlText w:val="￮"/>
      <w:lvlJc w:val="left"/>
      <w:rPr>
        <w:color w:val="3370FF"/>
      </w:rPr>
    </w:lvl>
  </w:abstractNum>
  <w:abstractNum w:abstractNumId="236">
    <w:nsid w:val="5FCE4367"/>
    <w:multiLevelType w:val="singleLevel"/>
    <w:tmpl w:val="5FCE4367"/>
    <w:lvl w:ilvl="0" w:tentative="0">
      <w:start w:val="0"/>
      <w:numFmt w:val="bullet"/>
      <w:lvlText w:val="￮"/>
      <w:lvlJc w:val="left"/>
      <w:rPr>
        <w:color w:val="3370FF"/>
      </w:rPr>
    </w:lvl>
  </w:abstractNum>
  <w:abstractNum w:abstractNumId="237">
    <w:nsid w:val="5FFFB1A7"/>
    <w:multiLevelType w:val="singleLevel"/>
    <w:tmpl w:val="5FFFB1A7"/>
    <w:lvl w:ilvl="0" w:tentative="0">
      <w:start w:val="0"/>
      <w:numFmt w:val="bullet"/>
      <w:lvlText w:val="•"/>
      <w:lvlJc w:val="left"/>
      <w:rPr>
        <w:color w:val="3370FF"/>
      </w:rPr>
    </w:lvl>
  </w:abstractNum>
  <w:abstractNum w:abstractNumId="238">
    <w:nsid w:val="60382F6E"/>
    <w:multiLevelType w:val="singleLevel"/>
    <w:tmpl w:val="60382F6E"/>
    <w:lvl w:ilvl="0" w:tentative="0">
      <w:start w:val="0"/>
      <w:numFmt w:val="bullet"/>
      <w:lvlText w:val="•"/>
      <w:lvlJc w:val="left"/>
      <w:rPr>
        <w:color w:val="3370FF"/>
      </w:rPr>
    </w:lvl>
  </w:abstractNum>
  <w:abstractNum w:abstractNumId="239">
    <w:nsid w:val="610EFE5C"/>
    <w:multiLevelType w:val="singleLevel"/>
    <w:tmpl w:val="610EFE5C"/>
    <w:lvl w:ilvl="0" w:tentative="0">
      <w:start w:val="0"/>
      <w:numFmt w:val="bullet"/>
      <w:lvlText w:val="￮"/>
      <w:lvlJc w:val="left"/>
      <w:rPr>
        <w:color w:val="3370FF"/>
      </w:rPr>
    </w:lvl>
  </w:abstractNum>
  <w:abstractNum w:abstractNumId="240">
    <w:nsid w:val="629F7852"/>
    <w:multiLevelType w:val="singleLevel"/>
    <w:tmpl w:val="629F7852"/>
    <w:lvl w:ilvl="0" w:tentative="0">
      <w:start w:val="0"/>
      <w:numFmt w:val="bullet"/>
      <w:lvlText w:val="•"/>
      <w:lvlJc w:val="left"/>
      <w:rPr>
        <w:color w:val="3370FF"/>
      </w:rPr>
    </w:lvl>
  </w:abstractNum>
  <w:abstractNum w:abstractNumId="241">
    <w:nsid w:val="63B12E74"/>
    <w:multiLevelType w:val="singleLevel"/>
    <w:tmpl w:val="63B12E74"/>
    <w:lvl w:ilvl="0" w:tentative="0">
      <w:start w:val="5"/>
      <w:numFmt w:val="decimal"/>
      <w:lvlText w:val="%1."/>
      <w:lvlJc w:val="left"/>
      <w:rPr>
        <w:color w:val="3370FF"/>
      </w:rPr>
    </w:lvl>
  </w:abstractNum>
  <w:abstractNum w:abstractNumId="242">
    <w:nsid w:val="64574ED8"/>
    <w:multiLevelType w:val="singleLevel"/>
    <w:tmpl w:val="64574ED8"/>
    <w:lvl w:ilvl="0" w:tentative="0">
      <w:start w:val="0"/>
      <w:numFmt w:val="bullet"/>
      <w:lvlText w:val="•"/>
      <w:lvlJc w:val="left"/>
      <w:rPr>
        <w:color w:val="3370FF"/>
      </w:rPr>
    </w:lvl>
  </w:abstractNum>
  <w:abstractNum w:abstractNumId="243">
    <w:nsid w:val="64C0CB79"/>
    <w:multiLevelType w:val="singleLevel"/>
    <w:tmpl w:val="64C0CB79"/>
    <w:lvl w:ilvl="0" w:tentative="0">
      <w:start w:val="0"/>
      <w:numFmt w:val="bullet"/>
      <w:lvlText w:val="•"/>
      <w:lvlJc w:val="left"/>
      <w:rPr>
        <w:color w:val="3370FF"/>
      </w:rPr>
    </w:lvl>
  </w:abstractNum>
  <w:abstractNum w:abstractNumId="244">
    <w:nsid w:val="651422BE"/>
    <w:multiLevelType w:val="singleLevel"/>
    <w:tmpl w:val="651422BE"/>
    <w:lvl w:ilvl="0" w:tentative="0">
      <w:start w:val="2"/>
      <w:numFmt w:val="decimal"/>
      <w:lvlText w:val="%1."/>
      <w:lvlJc w:val="left"/>
      <w:rPr>
        <w:color w:val="3370FF"/>
      </w:rPr>
    </w:lvl>
  </w:abstractNum>
  <w:abstractNum w:abstractNumId="245">
    <w:nsid w:val="659EB354"/>
    <w:multiLevelType w:val="singleLevel"/>
    <w:tmpl w:val="659EB354"/>
    <w:lvl w:ilvl="0" w:tentative="0">
      <w:start w:val="3"/>
      <w:numFmt w:val="decimal"/>
      <w:lvlText w:val="%1."/>
      <w:lvlJc w:val="left"/>
      <w:rPr>
        <w:color w:val="3370FF"/>
      </w:rPr>
    </w:lvl>
  </w:abstractNum>
  <w:abstractNum w:abstractNumId="246">
    <w:nsid w:val="65CD0074"/>
    <w:multiLevelType w:val="singleLevel"/>
    <w:tmpl w:val="65CD0074"/>
    <w:lvl w:ilvl="0" w:tentative="0">
      <w:start w:val="0"/>
      <w:numFmt w:val="bullet"/>
      <w:lvlText w:val="•"/>
      <w:lvlJc w:val="left"/>
      <w:rPr>
        <w:color w:val="3370FF"/>
      </w:rPr>
    </w:lvl>
  </w:abstractNum>
  <w:abstractNum w:abstractNumId="247">
    <w:nsid w:val="68B298F7"/>
    <w:multiLevelType w:val="singleLevel"/>
    <w:tmpl w:val="68B298F7"/>
    <w:lvl w:ilvl="0" w:tentative="0">
      <w:start w:val="0"/>
      <w:numFmt w:val="bullet"/>
      <w:lvlText w:val="•"/>
      <w:lvlJc w:val="left"/>
      <w:rPr>
        <w:color w:val="3370FF"/>
      </w:rPr>
    </w:lvl>
  </w:abstractNum>
  <w:abstractNum w:abstractNumId="248">
    <w:nsid w:val="6AFC2A1C"/>
    <w:multiLevelType w:val="singleLevel"/>
    <w:tmpl w:val="6AFC2A1C"/>
    <w:lvl w:ilvl="0" w:tentative="0">
      <w:start w:val="3"/>
      <w:numFmt w:val="decimal"/>
      <w:lvlText w:val="%1."/>
      <w:lvlJc w:val="left"/>
      <w:rPr>
        <w:color w:val="3370FF"/>
      </w:rPr>
    </w:lvl>
  </w:abstractNum>
  <w:abstractNum w:abstractNumId="249">
    <w:nsid w:val="6C0BE2D1"/>
    <w:multiLevelType w:val="singleLevel"/>
    <w:tmpl w:val="6C0BE2D1"/>
    <w:lvl w:ilvl="0" w:tentative="0">
      <w:start w:val="1"/>
      <w:numFmt w:val="decimal"/>
      <w:lvlText w:val="%1."/>
      <w:lvlJc w:val="left"/>
      <w:rPr>
        <w:color w:val="3370FF"/>
      </w:rPr>
    </w:lvl>
  </w:abstractNum>
  <w:abstractNum w:abstractNumId="250">
    <w:nsid w:val="6D423078"/>
    <w:multiLevelType w:val="singleLevel"/>
    <w:tmpl w:val="6D423078"/>
    <w:lvl w:ilvl="0" w:tentative="0">
      <w:start w:val="0"/>
      <w:numFmt w:val="bullet"/>
      <w:lvlText w:val="￮"/>
      <w:lvlJc w:val="left"/>
      <w:rPr>
        <w:color w:val="3370FF"/>
      </w:rPr>
    </w:lvl>
  </w:abstractNum>
  <w:abstractNum w:abstractNumId="251">
    <w:nsid w:val="6E840AC9"/>
    <w:multiLevelType w:val="singleLevel"/>
    <w:tmpl w:val="6E840AC9"/>
    <w:lvl w:ilvl="0" w:tentative="0">
      <w:start w:val="0"/>
      <w:numFmt w:val="bullet"/>
      <w:lvlText w:val="•"/>
      <w:lvlJc w:val="left"/>
      <w:rPr>
        <w:color w:val="3370FF"/>
      </w:rPr>
    </w:lvl>
  </w:abstractNum>
  <w:abstractNum w:abstractNumId="252">
    <w:nsid w:val="700FDCEF"/>
    <w:multiLevelType w:val="singleLevel"/>
    <w:tmpl w:val="700FDCEF"/>
    <w:lvl w:ilvl="0" w:tentative="0">
      <w:start w:val="0"/>
      <w:numFmt w:val="bullet"/>
      <w:lvlText w:val="•"/>
      <w:lvlJc w:val="left"/>
      <w:rPr>
        <w:color w:val="3370FF"/>
      </w:rPr>
    </w:lvl>
  </w:abstractNum>
  <w:abstractNum w:abstractNumId="253">
    <w:nsid w:val="70AE371C"/>
    <w:multiLevelType w:val="singleLevel"/>
    <w:tmpl w:val="70AE371C"/>
    <w:lvl w:ilvl="0" w:tentative="0">
      <w:start w:val="0"/>
      <w:numFmt w:val="bullet"/>
      <w:lvlText w:val="•"/>
      <w:lvlJc w:val="left"/>
      <w:rPr>
        <w:color w:val="3370FF"/>
      </w:rPr>
    </w:lvl>
  </w:abstractNum>
  <w:abstractNum w:abstractNumId="254">
    <w:nsid w:val="70F95E71"/>
    <w:multiLevelType w:val="singleLevel"/>
    <w:tmpl w:val="70F95E71"/>
    <w:lvl w:ilvl="0" w:tentative="0">
      <w:start w:val="8"/>
      <w:numFmt w:val="decimal"/>
      <w:lvlText w:val="%1."/>
      <w:lvlJc w:val="left"/>
      <w:rPr>
        <w:color w:val="3370FF"/>
      </w:rPr>
    </w:lvl>
  </w:abstractNum>
  <w:abstractNum w:abstractNumId="255">
    <w:nsid w:val="72183CF9"/>
    <w:multiLevelType w:val="singleLevel"/>
    <w:tmpl w:val="72183CF9"/>
    <w:lvl w:ilvl="0" w:tentative="0">
      <w:start w:val="0"/>
      <w:numFmt w:val="bullet"/>
      <w:lvlText w:val="•"/>
      <w:lvlJc w:val="left"/>
      <w:rPr>
        <w:color w:val="3370FF"/>
      </w:rPr>
    </w:lvl>
  </w:abstractNum>
  <w:abstractNum w:abstractNumId="256">
    <w:nsid w:val="744F3566"/>
    <w:multiLevelType w:val="singleLevel"/>
    <w:tmpl w:val="744F3566"/>
    <w:lvl w:ilvl="0" w:tentative="0">
      <w:start w:val="7"/>
      <w:numFmt w:val="decimal"/>
      <w:lvlText w:val="%1."/>
      <w:lvlJc w:val="left"/>
      <w:rPr>
        <w:color w:val="3370FF"/>
      </w:rPr>
    </w:lvl>
  </w:abstractNum>
  <w:abstractNum w:abstractNumId="257">
    <w:nsid w:val="7499D7B3"/>
    <w:multiLevelType w:val="singleLevel"/>
    <w:tmpl w:val="7499D7B3"/>
    <w:lvl w:ilvl="0" w:tentative="0">
      <w:start w:val="7"/>
      <w:numFmt w:val="decimal"/>
      <w:lvlText w:val="%1."/>
      <w:lvlJc w:val="left"/>
      <w:rPr>
        <w:color w:val="3370FF"/>
      </w:rPr>
    </w:lvl>
  </w:abstractNum>
  <w:abstractNum w:abstractNumId="258">
    <w:nsid w:val="74C28B35"/>
    <w:multiLevelType w:val="singleLevel"/>
    <w:tmpl w:val="74C28B35"/>
    <w:lvl w:ilvl="0" w:tentative="0">
      <w:start w:val="0"/>
      <w:numFmt w:val="bullet"/>
      <w:lvlText w:val="•"/>
      <w:lvlJc w:val="left"/>
      <w:rPr>
        <w:color w:val="3370FF"/>
      </w:rPr>
    </w:lvl>
  </w:abstractNum>
  <w:abstractNum w:abstractNumId="259">
    <w:nsid w:val="773C851D"/>
    <w:multiLevelType w:val="singleLevel"/>
    <w:tmpl w:val="773C851D"/>
    <w:lvl w:ilvl="0" w:tentative="0">
      <w:start w:val="2"/>
      <w:numFmt w:val="decimal"/>
      <w:lvlText w:val="%1."/>
      <w:lvlJc w:val="left"/>
      <w:rPr>
        <w:color w:val="3370FF"/>
      </w:rPr>
    </w:lvl>
  </w:abstractNum>
  <w:abstractNum w:abstractNumId="260">
    <w:nsid w:val="77633216"/>
    <w:multiLevelType w:val="singleLevel"/>
    <w:tmpl w:val="77633216"/>
    <w:lvl w:ilvl="0" w:tentative="0">
      <w:start w:val="0"/>
      <w:numFmt w:val="bullet"/>
      <w:lvlText w:val="•"/>
      <w:lvlJc w:val="left"/>
      <w:rPr>
        <w:color w:val="3370FF"/>
      </w:rPr>
    </w:lvl>
  </w:abstractNum>
  <w:abstractNum w:abstractNumId="261">
    <w:nsid w:val="77ECEA79"/>
    <w:multiLevelType w:val="singleLevel"/>
    <w:tmpl w:val="77ECEA79"/>
    <w:lvl w:ilvl="0" w:tentative="0">
      <w:start w:val="0"/>
      <w:numFmt w:val="bullet"/>
      <w:lvlText w:val="•"/>
      <w:lvlJc w:val="left"/>
      <w:rPr>
        <w:color w:val="3370FF"/>
      </w:rPr>
    </w:lvl>
  </w:abstractNum>
  <w:abstractNum w:abstractNumId="262">
    <w:nsid w:val="79AA4FA4"/>
    <w:multiLevelType w:val="singleLevel"/>
    <w:tmpl w:val="79AA4FA4"/>
    <w:lvl w:ilvl="0" w:tentative="0">
      <w:start w:val="0"/>
      <w:numFmt w:val="bullet"/>
      <w:lvlText w:val="•"/>
      <w:lvlJc w:val="left"/>
      <w:rPr>
        <w:color w:val="3370FF"/>
      </w:rPr>
    </w:lvl>
  </w:abstractNum>
  <w:abstractNum w:abstractNumId="263">
    <w:nsid w:val="7B1E29B8"/>
    <w:multiLevelType w:val="singleLevel"/>
    <w:tmpl w:val="7B1E29B8"/>
    <w:lvl w:ilvl="0" w:tentative="0">
      <w:start w:val="0"/>
      <w:numFmt w:val="bullet"/>
      <w:lvlText w:val="￮"/>
      <w:lvlJc w:val="left"/>
      <w:rPr>
        <w:color w:val="3370FF"/>
      </w:rPr>
    </w:lvl>
  </w:abstractNum>
  <w:abstractNum w:abstractNumId="264">
    <w:nsid w:val="7C246926"/>
    <w:multiLevelType w:val="singleLevel"/>
    <w:tmpl w:val="7C246926"/>
    <w:lvl w:ilvl="0" w:tentative="0">
      <w:start w:val="0"/>
      <w:numFmt w:val="bullet"/>
      <w:lvlText w:val="•"/>
      <w:lvlJc w:val="left"/>
      <w:rPr>
        <w:color w:val="3370FF"/>
      </w:rPr>
    </w:lvl>
  </w:abstractNum>
  <w:abstractNum w:abstractNumId="265">
    <w:nsid w:val="7DEC2089"/>
    <w:multiLevelType w:val="singleLevel"/>
    <w:tmpl w:val="7DEC2089"/>
    <w:lvl w:ilvl="0" w:tentative="0">
      <w:start w:val="0"/>
      <w:numFmt w:val="bullet"/>
      <w:lvlText w:val="•"/>
      <w:lvlJc w:val="left"/>
      <w:rPr>
        <w:color w:val="3370FF"/>
      </w:rPr>
    </w:lvl>
  </w:abstractNum>
  <w:num w:numId="1">
    <w:abstractNumId w:val="131"/>
  </w:num>
  <w:num w:numId="2">
    <w:abstractNumId w:val="84"/>
  </w:num>
  <w:num w:numId="3">
    <w:abstractNumId w:val="230"/>
  </w:num>
  <w:num w:numId="4">
    <w:abstractNumId w:val="70"/>
  </w:num>
  <w:num w:numId="5">
    <w:abstractNumId w:val="59"/>
  </w:num>
  <w:num w:numId="6">
    <w:abstractNumId w:val="139"/>
  </w:num>
  <w:num w:numId="7">
    <w:abstractNumId w:val="179"/>
  </w:num>
  <w:num w:numId="8">
    <w:abstractNumId w:val="255"/>
  </w:num>
  <w:num w:numId="9">
    <w:abstractNumId w:val="134"/>
  </w:num>
  <w:num w:numId="10">
    <w:abstractNumId w:val="14"/>
  </w:num>
  <w:num w:numId="11">
    <w:abstractNumId w:val="182"/>
  </w:num>
  <w:num w:numId="12">
    <w:abstractNumId w:val="232"/>
  </w:num>
  <w:num w:numId="13">
    <w:abstractNumId w:val="77"/>
  </w:num>
  <w:num w:numId="14">
    <w:abstractNumId w:val="216"/>
  </w:num>
  <w:num w:numId="15">
    <w:abstractNumId w:val="121"/>
  </w:num>
  <w:num w:numId="16">
    <w:abstractNumId w:val="175"/>
  </w:num>
  <w:num w:numId="17">
    <w:abstractNumId w:val="95"/>
  </w:num>
  <w:num w:numId="18">
    <w:abstractNumId w:val="91"/>
  </w:num>
  <w:num w:numId="19">
    <w:abstractNumId w:val="28"/>
  </w:num>
  <w:num w:numId="20">
    <w:abstractNumId w:val="213"/>
  </w:num>
  <w:num w:numId="21">
    <w:abstractNumId w:val="238"/>
  </w:num>
  <w:num w:numId="22">
    <w:abstractNumId w:val="150"/>
  </w:num>
  <w:num w:numId="23">
    <w:abstractNumId w:val="210"/>
  </w:num>
  <w:num w:numId="24">
    <w:abstractNumId w:val="51"/>
  </w:num>
  <w:num w:numId="25">
    <w:abstractNumId w:val="264"/>
  </w:num>
  <w:num w:numId="26">
    <w:abstractNumId w:val="261"/>
  </w:num>
  <w:num w:numId="27">
    <w:abstractNumId w:val="69"/>
  </w:num>
  <w:num w:numId="28">
    <w:abstractNumId w:val="240"/>
  </w:num>
  <w:num w:numId="29">
    <w:abstractNumId w:val="15"/>
  </w:num>
  <w:num w:numId="30">
    <w:abstractNumId w:val="198"/>
  </w:num>
  <w:num w:numId="31">
    <w:abstractNumId w:val="4"/>
  </w:num>
  <w:num w:numId="32">
    <w:abstractNumId w:val="228"/>
  </w:num>
  <w:num w:numId="33">
    <w:abstractNumId w:val="265"/>
  </w:num>
  <w:num w:numId="34">
    <w:abstractNumId w:val="1"/>
  </w:num>
  <w:num w:numId="35">
    <w:abstractNumId w:val="174"/>
  </w:num>
  <w:num w:numId="36">
    <w:abstractNumId w:val="218"/>
  </w:num>
  <w:num w:numId="37">
    <w:abstractNumId w:val="124"/>
  </w:num>
  <w:num w:numId="38">
    <w:abstractNumId w:val="100"/>
  </w:num>
  <w:num w:numId="39">
    <w:abstractNumId w:val="187"/>
  </w:num>
  <w:num w:numId="40">
    <w:abstractNumId w:val="262"/>
  </w:num>
  <w:num w:numId="41">
    <w:abstractNumId w:val="64"/>
  </w:num>
  <w:num w:numId="42">
    <w:abstractNumId w:val="12"/>
  </w:num>
  <w:num w:numId="43">
    <w:abstractNumId w:val="61"/>
  </w:num>
  <w:num w:numId="44">
    <w:abstractNumId w:val="234"/>
  </w:num>
  <w:num w:numId="45">
    <w:abstractNumId w:val="3"/>
  </w:num>
  <w:num w:numId="46">
    <w:abstractNumId w:val="163"/>
  </w:num>
  <w:num w:numId="47">
    <w:abstractNumId w:val="9"/>
  </w:num>
  <w:num w:numId="48">
    <w:abstractNumId w:val="237"/>
  </w:num>
  <w:num w:numId="49">
    <w:abstractNumId w:val="258"/>
  </w:num>
  <w:num w:numId="50">
    <w:abstractNumId w:val="214"/>
  </w:num>
  <w:num w:numId="51">
    <w:abstractNumId w:val="189"/>
  </w:num>
  <w:num w:numId="52">
    <w:abstractNumId w:val="246"/>
  </w:num>
  <w:num w:numId="53">
    <w:abstractNumId w:val="142"/>
  </w:num>
  <w:num w:numId="54">
    <w:abstractNumId w:val="147"/>
  </w:num>
  <w:num w:numId="55">
    <w:abstractNumId w:val="90"/>
  </w:num>
  <w:num w:numId="56">
    <w:abstractNumId w:val="192"/>
  </w:num>
  <w:num w:numId="57">
    <w:abstractNumId w:val="168"/>
  </w:num>
  <w:num w:numId="58">
    <w:abstractNumId w:val="112"/>
  </w:num>
  <w:num w:numId="59">
    <w:abstractNumId w:val="173"/>
  </w:num>
  <w:num w:numId="60">
    <w:abstractNumId w:val="56"/>
  </w:num>
  <w:num w:numId="61">
    <w:abstractNumId w:val="204"/>
  </w:num>
  <w:num w:numId="62">
    <w:abstractNumId w:val="152"/>
  </w:num>
  <w:num w:numId="63">
    <w:abstractNumId w:val="194"/>
  </w:num>
  <w:num w:numId="64">
    <w:abstractNumId w:val="137"/>
  </w:num>
  <w:num w:numId="65">
    <w:abstractNumId w:val="73"/>
  </w:num>
  <w:num w:numId="66">
    <w:abstractNumId w:val="156"/>
  </w:num>
  <w:num w:numId="67">
    <w:abstractNumId w:val="54"/>
  </w:num>
  <w:num w:numId="68">
    <w:abstractNumId w:val="200"/>
  </w:num>
  <w:num w:numId="69">
    <w:abstractNumId w:val="38"/>
  </w:num>
  <w:num w:numId="70">
    <w:abstractNumId w:val="123"/>
  </w:num>
  <w:num w:numId="71">
    <w:abstractNumId w:val="186"/>
  </w:num>
  <w:num w:numId="72">
    <w:abstractNumId w:val="129"/>
  </w:num>
  <w:num w:numId="73">
    <w:abstractNumId w:val="161"/>
  </w:num>
  <w:num w:numId="74">
    <w:abstractNumId w:val="252"/>
  </w:num>
  <w:num w:numId="75">
    <w:abstractNumId w:val="103"/>
  </w:num>
  <w:num w:numId="76">
    <w:abstractNumId w:val="74"/>
  </w:num>
  <w:num w:numId="77">
    <w:abstractNumId w:val="37"/>
  </w:num>
  <w:num w:numId="78">
    <w:abstractNumId w:val="260"/>
  </w:num>
  <w:num w:numId="79">
    <w:abstractNumId w:val="92"/>
  </w:num>
  <w:num w:numId="80">
    <w:abstractNumId w:val="60"/>
  </w:num>
  <w:num w:numId="81">
    <w:abstractNumId w:val="185"/>
  </w:num>
  <w:num w:numId="82">
    <w:abstractNumId w:val="106"/>
  </w:num>
  <w:num w:numId="83">
    <w:abstractNumId w:val="24"/>
  </w:num>
  <w:num w:numId="84">
    <w:abstractNumId w:val="231"/>
  </w:num>
  <w:num w:numId="85">
    <w:abstractNumId w:val="67"/>
  </w:num>
  <w:num w:numId="86">
    <w:abstractNumId w:val="50"/>
  </w:num>
  <w:num w:numId="87">
    <w:abstractNumId w:val="18"/>
  </w:num>
  <w:num w:numId="88">
    <w:abstractNumId w:val="31"/>
  </w:num>
  <w:num w:numId="89">
    <w:abstractNumId w:val="44"/>
  </w:num>
  <w:num w:numId="90">
    <w:abstractNumId w:val="13"/>
  </w:num>
  <w:num w:numId="91">
    <w:abstractNumId w:val="166"/>
  </w:num>
  <w:num w:numId="92">
    <w:abstractNumId w:val="68"/>
  </w:num>
  <w:num w:numId="93">
    <w:abstractNumId w:val="158"/>
  </w:num>
  <w:num w:numId="94">
    <w:abstractNumId w:val="85"/>
  </w:num>
  <w:num w:numId="95">
    <w:abstractNumId w:val="247"/>
  </w:num>
  <w:num w:numId="96">
    <w:abstractNumId w:val="0"/>
  </w:num>
  <w:num w:numId="97">
    <w:abstractNumId w:val="66"/>
  </w:num>
  <w:num w:numId="98">
    <w:abstractNumId w:val="122"/>
  </w:num>
  <w:num w:numId="99">
    <w:abstractNumId w:val="215"/>
  </w:num>
  <w:num w:numId="100">
    <w:abstractNumId w:val="154"/>
  </w:num>
  <w:num w:numId="101">
    <w:abstractNumId w:val="26"/>
  </w:num>
  <w:num w:numId="102">
    <w:abstractNumId w:val="99"/>
  </w:num>
  <w:num w:numId="103">
    <w:abstractNumId w:val="164"/>
  </w:num>
  <w:num w:numId="104">
    <w:abstractNumId w:val="211"/>
  </w:num>
  <w:num w:numId="105">
    <w:abstractNumId w:val="43"/>
  </w:num>
  <w:num w:numId="106">
    <w:abstractNumId w:val="239"/>
  </w:num>
  <w:num w:numId="107">
    <w:abstractNumId w:val="2"/>
  </w:num>
  <w:num w:numId="108">
    <w:abstractNumId w:val="7"/>
  </w:num>
  <w:num w:numId="109">
    <w:abstractNumId w:val="132"/>
  </w:num>
  <w:num w:numId="110">
    <w:abstractNumId w:val="35"/>
  </w:num>
  <w:num w:numId="111">
    <w:abstractNumId w:val="71"/>
  </w:num>
  <w:num w:numId="112">
    <w:abstractNumId w:val="78"/>
  </w:num>
  <w:num w:numId="113">
    <w:abstractNumId w:val="120"/>
  </w:num>
  <w:num w:numId="114">
    <w:abstractNumId w:val="236"/>
  </w:num>
  <w:num w:numId="115">
    <w:abstractNumId w:val="117"/>
  </w:num>
  <w:num w:numId="116">
    <w:abstractNumId w:val="225"/>
  </w:num>
  <w:num w:numId="117">
    <w:abstractNumId w:val="171"/>
  </w:num>
  <w:num w:numId="118">
    <w:abstractNumId w:val="23"/>
  </w:num>
  <w:num w:numId="119">
    <w:abstractNumId w:val="138"/>
  </w:num>
  <w:num w:numId="120">
    <w:abstractNumId w:val="34"/>
  </w:num>
  <w:num w:numId="121">
    <w:abstractNumId w:val="183"/>
  </w:num>
  <w:num w:numId="122">
    <w:abstractNumId w:val="224"/>
  </w:num>
  <w:num w:numId="123">
    <w:abstractNumId w:val="83"/>
  </w:num>
  <w:num w:numId="124">
    <w:abstractNumId w:val="27"/>
  </w:num>
  <w:num w:numId="125">
    <w:abstractNumId w:val="177"/>
  </w:num>
  <w:num w:numId="126">
    <w:abstractNumId w:val="205"/>
  </w:num>
  <w:num w:numId="127">
    <w:abstractNumId w:val="155"/>
  </w:num>
  <w:num w:numId="128">
    <w:abstractNumId w:val="217"/>
  </w:num>
  <w:num w:numId="129">
    <w:abstractNumId w:val="223"/>
  </w:num>
  <w:num w:numId="130">
    <w:abstractNumId w:val="172"/>
  </w:num>
  <w:num w:numId="131">
    <w:abstractNumId w:val="104"/>
  </w:num>
  <w:num w:numId="132">
    <w:abstractNumId w:val="32"/>
  </w:num>
  <w:num w:numId="133">
    <w:abstractNumId w:val="199"/>
  </w:num>
  <w:num w:numId="134">
    <w:abstractNumId w:val="202"/>
  </w:num>
  <w:num w:numId="135">
    <w:abstractNumId w:val="149"/>
  </w:num>
  <w:num w:numId="136">
    <w:abstractNumId w:val="250"/>
  </w:num>
  <w:num w:numId="137">
    <w:abstractNumId w:val="101"/>
  </w:num>
  <w:num w:numId="138">
    <w:abstractNumId w:val="170"/>
  </w:num>
  <w:num w:numId="139">
    <w:abstractNumId w:val="145"/>
  </w:num>
  <w:num w:numId="140">
    <w:abstractNumId w:val="109"/>
  </w:num>
  <w:num w:numId="141">
    <w:abstractNumId w:val="114"/>
  </w:num>
  <w:num w:numId="142">
    <w:abstractNumId w:val="89"/>
  </w:num>
  <w:num w:numId="143">
    <w:abstractNumId w:val="206"/>
  </w:num>
  <w:num w:numId="144">
    <w:abstractNumId w:val="119"/>
  </w:num>
  <w:num w:numId="145">
    <w:abstractNumId w:val="21"/>
  </w:num>
  <w:num w:numId="146">
    <w:abstractNumId w:val="113"/>
  </w:num>
  <w:num w:numId="147">
    <w:abstractNumId w:val="133"/>
  </w:num>
  <w:num w:numId="148">
    <w:abstractNumId w:val="79"/>
  </w:num>
  <w:num w:numId="149">
    <w:abstractNumId w:val="197"/>
  </w:num>
  <w:num w:numId="150">
    <w:abstractNumId w:val="248"/>
  </w:num>
  <w:num w:numId="151">
    <w:abstractNumId w:val="93"/>
  </w:num>
  <w:num w:numId="152">
    <w:abstractNumId w:val="42"/>
  </w:num>
  <w:num w:numId="153">
    <w:abstractNumId w:val="6"/>
  </w:num>
  <w:num w:numId="154">
    <w:abstractNumId w:val="49"/>
  </w:num>
  <w:num w:numId="155">
    <w:abstractNumId w:val="144"/>
  </w:num>
  <w:num w:numId="156">
    <w:abstractNumId w:val="55"/>
  </w:num>
  <w:num w:numId="157">
    <w:abstractNumId w:val="115"/>
  </w:num>
  <w:num w:numId="158">
    <w:abstractNumId w:val="178"/>
  </w:num>
  <w:num w:numId="159">
    <w:abstractNumId w:val="212"/>
  </w:num>
  <w:num w:numId="160">
    <w:abstractNumId w:val="53"/>
  </w:num>
  <w:num w:numId="161">
    <w:abstractNumId w:val="201"/>
  </w:num>
  <w:num w:numId="162">
    <w:abstractNumId w:val="165"/>
  </w:num>
  <w:num w:numId="163">
    <w:abstractNumId w:val="159"/>
  </w:num>
  <w:num w:numId="164">
    <w:abstractNumId w:val="126"/>
  </w:num>
  <w:num w:numId="165">
    <w:abstractNumId w:val="195"/>
  </w:num>
  <w:num w:numId="166">
    <w:abstractNumId w:val="72"/>
  </w:num>
  <w:num w:numId="167">
    <w:abstractNumId w:val="222"/>
  </w:num>
  <w:num w:numId="168">
    <w:abstractNumId w:val="203"/>
  </w:num>
  <w:num w:numId="169">
    <w:abstractNumId w:val="181"/>
  </w:num>
  <w:num w:numId="170">
    <w:abstractNumId w:val="111"/>
  </w:num>
  <w:num w:numId="171">
    <w:abstractNumId w:val="41"/>
  </w:num>
  <w:num w:numId="172">
    <w:abstractNumId w:val="257"/>
  </w:num>
  <w:num w:numId="173">
    <w:abstractNumId w:val="180"/>
  </w:num>
  <w:num w:numId="174">
    <w:abstractNumId w:val="249"/>
  </w:num>
  <w:num w:numId="175">
    <w:abstractNumId w:val="19"/>
  </w:num>
  <w:num w:numId="176">
    <w:abstractNumId w:val="245"/>
  </w:num>
  <w:num w:numId="177">
    <w:abstractNumId w:val="82"/>
  </w:num>
  <w:num w:numId="178">
    <w:abstractNumId w:val="241"/>
  </w:num>
  <w:num w:numId="179">
    <w:abstractNumId w:val="191"/>
  </w:num>
  <w:num w:numId="180">
    <w:abstractNumId w:val="256"/>
  </w:num>
  <w:num w:numId="181">
    <w:abstractNumId w:val="254"/>
  </w:num>
  <w:num w:numId="182">
    <w:abstractNumId w:val="88"/>
  </w:num>
  <w:num w:numId="183">
    <w:abstractNumId w:val="116"/>
  </w:num>
  <w:num w:numId="184">
    <w:abstractNumId w:val="128"/>
  </w:num>
  <w:num w:numId="185">
    <w:abstractNumId w:val="17"/>
  </w:num>
  <w:num w:numId="186">
    <w:abstractNumId w:val="57"/>
  </w:num>
  <w:num w:numId="187">
    <w:abstractNumId w:val="207"/>
  </w:num>
  <w:num w:numId="188">
    <w:abstractNumId w:val="58"/>
  </w:num>
  <w:num w:numId="189">
    <w:abstractNumId w:val="243"/>
  </w:num>
  <w:num w:numId="190">
    <w:abstractNumId w:val="221"/>
  </w:num>
  <w:num w:numId="191">
    <w:abstractNumId w:val="233"/>
  </w:num>
  <w:num w:numId="192">
    <w:abstractNumId w:val="65"/>
  </w:num>
  <w:num w:numId="193">
    <w:abstractNumId w:val="193"/>
  </w:num>
  <w:num w:numId="194">
    <w:abstractNumId w:val="108"/>
  </w:num>
  <w:num w:numId="195">
    <w:abstractNumId w:val="167"/>
  </w:num>
  <w:num w:numId="196">
    <w:abstractNumId w:val="5"/>
  </w:num>
  <w:num w:numId="197">
    <w:abstractNumId w:val="48"/>
  </w:num>
  <w:num w:numId="198">
    <w:abstractNumId w:val="157"/>
  </w:num>
  <w:num w:numId="199">
    <w:abstractNumId w:val="220"/>
  </w:num>
  <w:num w:numId="200">
    <w:abstractNumId w:val="244"/>
  </w:num>
  <w:num w:numId="201">
    <w:abstractNumId w:val="62"/>
  </w:num>
  <w:num w:numId="202">
    <w:abstractNumId w:val="33"/>
  </w:num>
  <w:num w:numId="203">
    <w:abstractNumId w:val="162"/>
  </w:num>
  <w:num w:numId="204">
    <w:abstractNumId w:val="127"/>
  </w:num>
  <w:num w:numId="205">
    <w:abstractNumId w:val="63"/>
  </w:num>
  <w:num w:numId="206">
    <w:abstractNumId w:val="52"/>
  </w:num>
  <w:num w:numId="207">
    <w:abstractNumId w:val="146"/>
  </w:num>
  <w:num w:numId="208">
    <w:abstractNumId w:val="151"/>
  </w:num>
  <w:num w:numId="209">
    <w:abstractNumId w:val="196"/>
  </w:num>
  <w:num w:numId="210">
    <w:abstractNumId w:val="135"/>
  </w:num>
  <w:num w:numId="211">
    <w:abstractNumId w:val="25"/>
  </w:num>
  <w:num w:numId="212">
    <w:abstractNumId w:val="229"/>
  </w:num>
  <w:num w:numId="213">
    <w:abstractNumId w:val="36"/>
  </w:num>
  <w:num w:numId="214">
    <w:abstractNumId w:val="10"/>
  </w:num>
  <w:num w:numId="215">
    <w:abstractNumId w:val="219"/>
  </w:num>
  <w:num w:numId="216">
    <w:abstractNumId w:val="30"/>
  </w:num>
  <w:num w:numId="217">
    <w:abstractNumId w:val="143"/>
  </w:num>
  <w:num w:numId="218">
    <w:abstractNumId w:val="110"/>
  </w:num>
  <w:num w:numId="219">
    <w:abstractNumId w:val="29"/>
  </w:num>
  <w:num w:numId="220">
    <w:abstractNumId w:val="20"/>
  </w:num>
  <w:num w:numId="221">
    <w:abstractNumId w:val="81"/>
  </w:num>
  <w:num w:numId="222">
    <w:abstractNumId w:val="22"/>
  </w:num>
  <w:num w:numId="223">
    <w:abstractNumId w:val="45"/>
  </w:num>
  <w:num w:numId="224">
    <w:abstractNumId w:val="209"/>
  </w:num>
  <w:num w:numId="225">
    <w:abstractNumId w:val="76"/>
  </w:num>
  <w:num w:numId="226">
    <w:abstractNumId w:val="169"/>
  </w:num>
  <w:num w:numId="227">
    <w:abstractNumId w:val="102"/>
  </w:num>
  <w:num w:numId="228">
    <w:abstractNumId w:val="105"/>
  </w:num>
  <w:num w:numId="229">
    <w:abstractNumId w:val="190"/>
  </w:num>
  <w:num w:numId="230">
    <w:abstractNumId w:val="118"/>
  </w:num>
  <w:num w:numId="231">
    <w:abstractNumId w:val="39"/>
  </w:num>
  <w:num w:numId="232">
    <w:abstractNumId w:val="208"/>
  </w:num>
  <w:num w:numId="233">
    <w:abstractNumId w:val="80"/>
  </w:num>
  <w:num w:numId="234">
    <w:abstractNumId w:val="263"/>
  </w:num>
  <w:num w:numId="235">
    <w:abstractNumId w:val="94"/>
  </w:num>
  <w:num w:numId="236">
    <w:abstractNumId w:val="16"/>
  </w:num>
  <w:num w:numId="237">
    <w:abstractNumId w:val="188"/>
  </w:num>
  <w:num w:numId="238">
    <w:abstractNumId w:val="140"/>
  </w:num>
  <w:num w:numId="239">
    <w:abstractNumId w:val="184"/>
  </w:num>
  <w:num w:numId="240">
    <w:abstractNumId w:val="46"/>
  </w:num>
  <w:num w:numId="241">
    <w:abstractNumId w:val="235"/>
  </w:num>
  <w:num w:numId="242">
    <w:abstractNumId w:val="40"/>
  </w:num>
  <w:num w:numId="243">
    <w:abstractNumId w:val="125"/>
  </w:num>
  <w:num w:numId="244">
    <w:abstractNumId w:val="75"/>
  </w:num>
  <w:num w:numId="245">
    <w:abstractNumId w:val="136"/>
  </w:num>
  <w:num w:numId="246">
    <w:abstractNumId w:val="227"/>
  </w:num>
  <w:num w:numId="247">
    <w:abstractNumId w:val="160"/>
  </w:num>
  <w:num w:numId="248">
    <w:abstractNumId w:val="226"/>
  </w:num>
  <w:num w:numId="249">
    <w:abstractNumId w:val="8"/>
  </w:num>
  <w:num w:numId="250">
    <w:abstractNumId w:val="259"/>
  </w:num>
  <w:num w:numId="251">
    <w:abstractNumId w:val="96"/>
  </w:num>
  <w:num w:numId="252">
    <w:abstractNumId w:val="11"/>
  </w:num>
  <w:num w:numId="253">
    <w:abstractNumId w:val="97"/>
  </w:num>
  <w:num w:numId="254">
    <w:abstractNumId w:val="98"/>
  </w:num>
  <w:num w:numId="255">
    <w:abstractNumId w:val="87"/>
  </w:num>
  <w:num w:numId="256">
    <w:abstractNumId w:val="107"/>
  </w:num>
  <w:num w:numId="257">
    <w:abstractNumId w:val="253"/>
  </w:num>
  <w:num w:numId="258">
    <w:abstractNumId w:val="86"/>
  </w:num>
  <w:num w:numId="259">
    <w:abstractNumId w:val="130"/>
  </w:num>
  <w:num w:numId="260">
    <w:abstractNumId w:val="153"/>
  </w:num>
  <w:num w:numId="261">
    <w:abstractNumId w:val="47"/>
  </w:num>
  <w:num w:numId="262">
    <w:abstractNumId w:val="176"/>
  </w:num>
  <w:num w:numId="263">
    <w:abstractNumId w:val="141"/>
  </w:num>
  <w:num w:numId="264">
    <w:abstractNumId w:val="148"/>
  </w:num>
  <w:num w:numId="265">
    <w:abstractNumId w:val="251"/>
  </w:num>
  <w:num w:numId="266">
    <w:abstractNumId w:val="2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78CA5E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package" Target="embeddings/Workbook2.xlsx"/><Relationship Id="rId7" Type="http://schemas.openxmlformats.org/officeDocument/2006/relationships/image" Target="media/image2.jpeg"/><Relationship Id="rId6" Type="http://schemas.openxmlformats.org/officeDocument/2006/relationships/package" Target="embeddings/Workbook1.xlsx"/><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0.jpeg"/><Relationship Id="rId40" Type="http://schemas.openxmlformats.org/officeDocument/2006/relationships/oleObject" Target="embeddings/oleObject1.bin"/><Relationship Id="rId4" Type="http://schemas.openxmlformats.org/officeDocument/2006/relationships/footer" Target="footer1.xml"/><Relationship Id="rId39" Type="http://schemas.openxmlformats.org/officeDocument/2006/relationships/image" Target="media/image19.jpeg"/><Relationship Id="rId38" Type="http://schemas.openxmlformats.org/officeDocument/2006/relationships/package" Target="embeddings/Workbook16.xlsx"/><Relationship Id="rId37" Type="http://schemas.openxmlformats.org/officeDocument/2006/relationships/image" Target="media/image18.jpeg"/><Relationship Id="rId36" Type="http://schemas.openxmlformats.org/officeDocument/2006/relationships/package" Target="embeddings/Workbook15.xlsx"/><Relationship Id="rId35" Type="http://schemas.openxmlformats.org/officeDocument/2006/relationships/image" Target="media/image17.png"/><Relationship Id="rId34" Type="http://schemas.openxmlformats.org/officeDocument/2006/relationships/image" Target="media/image16.jpeg"/><Relationship Id="rId33" Type="http://schemas.openxmlformats.org/officeDocument/2006/relationships/package" Target="embeddings/Workbook14.xlsx"/><Relationship Id="rId32" Type="http://schemas.openxmlformats.org/officeDocument/2006/relationships/image" Target="media/image15.jpeg"/><Relationship Id="rId31" Type="http://schemas.openxmlformats.org/officeDocument/2006/relationships/package" Target="embeddings/Workbook13.xlsx"/><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package" Target="embeddings/Workbook12.xlsx"/><Relationship Id="rId28" Type="http://schemas.openxmlformats.org/officeDocument/2006/relationships/image" Target="media/image13.jpeg"/><Relationship Id="rId27" Type="http://schemas.openxmlformats.org/officeDocument/2006/relationships/package" Target="embeddings/Workbook11.xlsx"/><Relationship Id="rId26" Type="http://schemas.openxmlformats.org/officeDocument/2006/relationships/image" Target="media/image12.jpeg"/><Relationship Id="rId25" Type="http://schemas.openxmlformats.org/officeDocument/2006/relationships/package" Target="embeddings/Workbook10.xlsx"/><Relationship Id="rId24" Type="http://schemas.openxmlformats.org/officeDocument/2006/relationships/image" Target="media/image11.jpeg"/><Relationship Id="rId23" Type="http://schemas.openxmlformats.org/officeDocument/2006/relationships/package" Target="embeddings/Workbook9.xlsx"/><Relationship Id="rId22" Type="http://schemas.openxmlformats.org/officeDocument/2006/relationships/image" Target="media/image10.jpeg"/><Relationship Id="rId21" Type="http://schemas.openxmlformats.org/officeDocument/2006/relationships/package" Target="embeddings/Workbook8.xlsx"/><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package" Target="embeddings/Workbook7.xlsx"/><Relationship Id="rId18" Type="http://schemas.openxmlformats.org/officeDocument/2006/relationships/image" Target="media/image8.jpeg"/><Relationship Id="rId17" Type="http://schemas.openxmlformats.org/officeDocument/2006/relationships/package" Target="embeddings/Workbook6.xlsx"/><Relationship Id="rId16" Type="http://schemas.openxmlformats.org/officeDocument/2006/relationships/image" Target="media/image7.jpeg"/><Relationship Id="rId15" Type="http://schemas.openxmlformats.org/officeDocument/2006/relationships/package" Target="embeddings/Workbook5.xlsx"/><Relationship Id="rId14" Type="http://schemas.openxmlformats.org/officeDocument/2006/relationships/image" Target="media/image6.jpeg"/><Relationship Id="rId13" Type="http://schemas.openxmlformats.org/officeDocument/2006/relationships/package" Target="embeddings/Workbook4.xlsx"/><Relationship Id="rId12" Type="http://schemas.openxmlformats.org/officeDocument/2006/relationships/image" Target="media/image5.jpeg"/><Relationship Id="rId11" Type="http://schemas.openxmlformats.org/officeDocument/2006/relationships/package" Target="embeddings/Workbook3.xlsx"/><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Words>6184</Words>
  <Characters>7493</Characters>
  <TotalTime>0</TotalTime>
  <ScaleCrop>false</ScaleCrop>
  <LinksUpToDate>false</LinksUpToDate>
  <CharactersWithSpaces>7957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2025-12-28T11:37:00Z</dcterms:created>
  <dc:creator>Apache POI</dc:creator>
  <cp:lastModifiedBy>一缕清风</cp:lastModifiedBy>
  <dcterms:modified xsi:type="dcterms:W3CDTF">2025-12-28T12:05:46Z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EEFD669D833B486E9EDA3C783E58234B_12</vt:lpwstr>
  </property>
</Properties>
</file>