
<file path=[Content_Types].xml><?xml version="1.0" encoding="utf-8"?>
<Types xmlns="http://schemas.openxmlformats.org/package/2006/content-types">
  <Default Extension="xml" ContentType="application/xml"/>
  <Default Extension="xlsx" ContentType="application/vnd.openxmlformats-officedocument.spreadsheetml.sheet"/>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D7FE3D">
      <w:pPr>
        <w:spacing w:before="480" w:after="480" w:line="288" w:lineRule="auto"/>
        <w:ind w:left="0"/>
      </w:pPr>
      <w:r>
        <w:rPr>
          <w:rFonts w:ascii="Arial" w:hAnsi="Arial" w:eastAsia="等线" w:cs="Arial"/>
          <w:b/>
          <w:sz w:val="52"/>
        </w:rPr>
        <w:t>Chapter 8  Municipal Bonds: Local Government Debt Securities</w:t>
      </w:r>
    </w:p>
    <w:p w14:paraId="5793DA8F">
      <w:pPr>
        <w:spacing w:before="380" w:after="140" w:line="288" w:lineRule="auto"/>
        <w:ind w:left="0"/>
        <w:jc w:val="left"/>
        <w:outlineLvl w:val="0"/>
      </w:pPr>
      <w:bookmarkStart w:id="0" w:name="heading_0"/>
      <w:r>
        <w:rPr>
          <w:rFonts w:ascii="Arial" w:hAnsi="Arial" w:eastAsia="等线" w:cs="Arial"/>
          <w:color w:val="3370FF"/>
          <w:sz w:val="36"/>
        </w:rPr>
        <w:t xml:space="preserve">1. </w:t>
      </w:r>
      <w:r>
        <w:rPr>
          <w:rFonts w:ascii="Arial" w:hAnsi="Arial" w:eastAsia="等线" w:cs="Arial"/>
          <w:b/>
          <w:sz w:val="36"/>
        </w:rPr>
        <w:t>前言</w:t>
      </w:r>
      <w:bookmarkEnd w:id="0"/>
    </w:p>
    <w:p w14:paraId="62D6DFFB">
      <w:pPr>
        <w:spacing w:before="120" w:after="120" w:line="288" w:lineRule="auto"/>
        <w:ind w:left="0"/>
        <w:jc w:val="left"/>
      </w:pPr>
      <w:r>
        <w:rPr>
          <w:rFonts w:ascii="Arial" w:hAnsi="Arial" w:eastAsia="等线" w:cs="Arial"/>
          <w:sz w:val="22"/>
        </w:rPr>
        <w:t>市政债券（Municipal Bonds）是州政府、地方政府以及美国各领地发行的证券。</w:t>
      </w:r>
    </w:p>
    <w:p w14:paraId="152FF21E">
      <w:pPr>
        <w:spacing w:before="120" w:after="120" w:line="288" w:lineRule="auto"/>
        <w:ind w:left="0"/>
        <w:jc w:val="left"/>
      </w:pPr>
    </w:p>
    <w:p w14:paraId="456D9610">
      <w:pPr>
        <w:spacing w:before="120" w:after="120" w:line="288" w:lineRule="auto"/>
        <w:ind w:left="0"/>
        <w:jc w:val="left"/>
      </w:pPr>
      <w:r>
        <w:rPr>
          <w:rFonts w:ascii="Arial" w:hAnsi="Arial" w:eastAsia="等线" w:cs="Arial"/>
          <w:sz w:val="22"/>
        </w:rPr>
        <w:t>市政当局将从投资者那里借来的资金用于资助和支持各类项目，如道路、学校、下水道系统、医院等。市政债券也可能被用于筹集运营预算所需的资金。</w:t>
      </w:r>
    </w:p>
    <w:p w14:paraId="771AD3E1">
      <w:pPr>
        <w:spacing w:before="120" w:after="120" w:line="288" w:lineRule="auto"/>
        <w:ind w:left="0"/>
        <w:jc w:val="left"/>
      </w:pPr>
    </w:p>
    <w:p w14:paraId="4FFAC362">
      <w:pPr>
        <w:spacing w:before="120" w:after="120" w:line="288" w:lineRule="auto"/>
        <w:ind w:left="0"/>
        <w:jc w:val="left"/>
      </w:pPr>
      <w:r>
        <w:rPr>
          <w:rFonts w:ascii="Arial" w:hAnsi="Arial" w:eastAsia="等线" w:cs="Arial"/>
          <w:sz w:val="22"/>
        </w:rPr>
        <w:t>本章和实际考试主要聚焦于一般责任债券与收益债券之间的区别。</w:t>
      </w:r>
    </w:p>
    <w:p w14:paraId="0783D11B">
      <w:pPr>
        <w:spacing w:before="120" w:after="120" w:line="288" w:lineRule="auto"/>
        <w:ind w:left="0"/>
        <w:jc w:val="left"/>
      </w:pPr>
    </w:p>
    <w:p w14:paraId="5E799FAA">
      <w:pPr>
        <w:spacing w:before="120" w:after="120" w:line="288" w:lineRule="auto"/>
        <w:ind w:left="0"/>
        <w:jc w:val="left"/>
      </w:pPr>
      <w:r>
        <w:rPr>
          <w:rFonts w:ascii="Arial" w:hAnsi="Arial" w:eastAsia="等线" w:cs="Arial"/>
          <w:b/>
          <w:sz w:val="22"/>
        </w:rPr>
        <w:t>学习目标：</w:t>
      </w:r>
    </w:p>
    <w:p w14:paraId="6D92AE93">
      <w:pPr>
        <w:spacing w:before="120" w:after="120" w:line="288" w:lineRule="auto"/>
        <w:ind w:left="0"/>
        <w:jc w:val="left"/>
      </w:pPr>
      <w:r>
        <w:rPr>
          <w:rFonts w:ascii="Arial" w:hAnsi="Arial" w:eastAsia="等线" w:cs="Arial"/>
          <w:sz w:val="22"/>
        </w:rPr>
        <w:t>理解市政债券的基本类型、发行人及用途：</w:t>
      </w:r>
    </w:p>
    <w:p w14:paraId="35968751">
      <w:pPr>
        <w:numPr>
          <w:ilvl w:val="0"/>
          <w:numId w:val="1"/>
        </w:numPr>
        <w:spacing w:before="120" w:after="120" w:line="288" w:lineRule="auto"/>
        <w:ind w:left="0"/>
        <w:jc w:val="left"/>
      </w:pPr>
      <w:r>
        <w:rPr>
          <w:rFonts w:ascii="Arial" w:hAnsi="Arial" w:eastAsia="等线" w:cs="Arial"/>
          <w:sz w:val="22"/>
        </w:rPr>
        <w:t>掌握市政债券的税收优势与适用人群。</w:t>
      </w:r>
    </w:p>
    <w:p w14:paraId="4AC61210">
      <w:pPr>
        <w:numPr>
          <w:ilvl w:val="0"/>
          <w:numId w:val="2"/>
        </w:numPr>
        <w:spacing w:before="120" w:after="120" w:line="288" w:lineRule="auto"/>
        <w:ind w:left="0"/>
        <w:jc w:val="left"/>
      </w:pPr>
      <w:r>
        <w:rPr>
          <w:rFonts w:ascii="Arial" w:hAnsi="Arial" w:eastAsia="等线" w:cs="Arial"/>
          <w:sz w:val="22"/>
        </w:rPr>
        <w:t>区分一般责任债券（GO Bonds）与收益债券（Revenue Bonds）。</w:t>
      </w:r>
    </w:p>
    <w:p w14:paraId="0B7564A5">
      <w:pPr>
        <w:numPr>
          <w:ilvl w:val="0"/>
          <w:numId w:val="3"/>
        </w:numPr>
        <w:spacing w:before="120" w:after="120" w:line="288" w:lineRule="auto"/>
        <w:ind w:left="0"/>
        <w:jc w:val="left"/>
      </w:pPr>
      <w:r>
        <w:rPr>
          <w:rFonts w:ascii="Arial" w:hAnsi="Arial" w:eastAsia="等线" w:cs="Arial"/>
          <w:sz w:val="22"/>
        </w:rPr>
        <w:t>熟悉信用评级机构的作用与评级等级。</w:t>
      </w:r>
    </w:p>
    <w:p w14:paraId="4E86119C">
      <w:pPr>
        <w:numPr>
          <w:ilvl w:val="0"/>
          <w:numId w:val="4"/>
        </w:numPr>
        <w:spacing w:before="120" w:after="120" w:line="288" w:lineRule="auto"/>
        <w:ind w:left="0"/>
        <w:jc w:val="left"/>
      </w:pPr>
      <w:r>
        <w:rPr>
          <w:rFonts w:ascii="Arial" w:hAnsi="Arial" w:eastAsia="等线" w:cs="Arial"/>
          <w:sz w:val="22"/>
        </w:rPr>
        <w:t>了解适用于市政债券的合规与监管要求（MSRB）</w:t>
      </w:r>
    </w:p>
    <w:p w14:paraId="3B7C079F">
      <w:pPr>
        <w:spacing w:before="120" w:after="120" w:line="288" w:lineRule="auto"/>
        <w:ind w:left="0"/>
        <w:jc w:val="left"/>
      </w:pPr>
    </w:p>
    <w:p w14:paraId="5BCDC295">
      <w:pPr>
        <w:spacing w:before="120" w:after="120" w:line="288" w:lineRule="auto"/>
        <w:ind w:left="0"/>
        <w:jc w:val="left"/>
      </w:pPr>
      <w:r>
        <w:rPr>
          <w:rFonts w:ascii="Arial" w:hAnsi="Arial" w:eastAsia="等线" w:cs="Arial"/>
          <w:b/>
          <w:sz w:val="22"/>
        </w:rPr>
        <w:t>重点考点预警</w:t>
      </w:r>
      <w:r>
        <w:rPr>
          <w:rFonts w:ascii="Arial" w:hAnsi="Arial" w:eastAsia="等线" w:cs="Arial"/>
          <w:sz w:val="22"/>
        </w:rPr>
        <w:t>：</w:t>
      </w:r>
    </w:p>
    <w:p w14:paraId="4AFE4C95">
      <w:pPr>
        <w:numPr>
          <w:ilvl w:val="0"/>
          <w:numId w:val="5"/>
        </w:numPr>
        <w:spacing w:before="120" w:after="120" w:line="288" w:lineRule="auto"/>
        <w:ind w:left="0"/>
        <w:jc w:val="left"/>
      </w:pPr>
      <w:r>
        <w:rPr>
          <w:rFonts w:ascii="Arial" w:hAnsi="Arial" w:eastAsia="等线" w:cs="Arial"/>
          <w:sz w:val="22"/>
        </w:rPr>
        <w:t>市政债的类型与区别（GO vs Revenue）</w:t>
      </w:r>
    </w:p>
    <w:p w14:paraId="359D4306">
      <w:pPr>
        <w:numPr>
          <w:ilvl w:val="0"/>
          <w:numId w:val="6"/>
        </w:numPr>
        <w:spacing w:before="120" w:after="120" w:line="288" w:lineRule="auto"/>
        <w:ind w:left="0"/>
        <w:jc w:val="left"/>
      </w:pPr>
      <w:r>
        <w:rPr>
          <w:rFonts w:ascii="Arial" w:hAnsi="Arial" w:eastAsia="等线" w:cs="Arial"/>
          <w:sz w:val="22"/>
        </w:rPr>
        <w:t>税收待遇（三重免税与应税例外）</w:t>
      </w:r>
    </w:p>
    <w:p w14:paraId="5E8CBE79">
      <w:pPr>
        <w:numPr>
          <w:ilvl w:val="0"/>
          <w:numId w:val="7"/>
        </w:numPr>
        <w:spacing w:before="120" w:after="120" w:line="288" w:lineRule="auto"/>
        <w:ind w:left="0"/>
        <w:jc w:val="left"/>
      </w:pPr>
      <w:r>
        <w:rPr>
          <w:rFonts w:ascii="Arial" w:hAnsi="Arial" w:eastAsia="等线" w:cs="Arial"/>
          <w:sz w:val="22"/>
        </w:rPr>
        <w:t>信用评级的定义与主流机构（Moody’s / S&amp;P / Fitch）</w:t>
      </w:r>
    </w:p>
    <w:p w14:paraId="7BD8B253">
      <w:pPr>
        <w:numPr>
          <w:ilvl w:val="0"/>
          <w:numId w:val="8"/>
        </w:numPr>
        <w:spacing w:before="120" w:after="120" w:line="288" w:lineRule="auto"/>
        <w:ind w:left="0"/>
        <w:jc w:val="left"/>
      </w:pPr>
      <w:r>
        <w:rPr>
          <w:rFonts w:ascii="Arial" w:hAnsi="Arial" w:eastAsia="等线" w:cs="Arial"/>
          <w:sz w:val="22"/>
        </w:rPr>
        <w:t>市政债适合的投资者（高税率个人 vs 退休账户）</w:t>
      </w:r>
    </w:p>
    <w:p w14:paraId="3D286126">
      <w:pPr>
        <w:numPr>
          <w:ilvl w:val="0"/>
          <w:numId w:val="9"/>
        </w:numPr>
        <w:spacing w:before="120" w:after="120" w:line="288" w:lineRule="auto"/>
        <w:ind w:left="0"/>
        <w:jc w:val="left"/>
      </w:pPr>
      <w:r>
        <w:rPr>
          <w:rFonts w:ascii="Arial" w:hAnsi="Arial" w:eastAsia="等线" w:cs="Arial"/>
          <w:sz w:val="22"/>
        </w:rPr>
        <w:t>MSRB 的监管权限（制定规则但不执行）</w:t>
      </w:r>
    </w:p>
    <w:p w14:paraId="00DDAFCF">
      <w:pPr>
        <w:spacing w:before="120" w:after="120" w:line="288" w:lineRule="auto"/>
        <w:ind w:left="0"/>
        <w:jc w:val="left"/>
      </w:pPr>
    </w:p>
    <w:p w14:paraId="521B6AA9">
      <w:pPr>
        <w:spacing w:before="380" w:after="140" w:line="288" w:lineRule="auto"/>
        <w:ind w:left="0"/>
        <w:jc w:val="left"/>
        <w:outlineLvl w:val="0"/>
      </w:pPr>
      <w:bookmarkStart w:id="1" w:name="heading_1"/>
      <w:r>
        <w:rPr>
          <w:rFonts w:ascii="Arial" w:hAnsi="Arial" w:eastAsia="等线" w:cs="Arial"/>
          <w:color w:val="3370FF"/>
          <w:sz w:val="36"/>
        </w:rPr>
        <w:t xml:space="preserve">2. </w:t>
      </w:r>
      <w:r>
        <w:rPr>
          <w:rFonts w:ascii="Arial" w:hAnsi="Arial" w:eastAsia="等线" w:cs="Arial"/>
          <w:b/>
          <w:sz w:val="36"/>
        </w:rPr>
        <w:t>知识点梳理</w:t>
      </w:r>
      <w:bookmarkEnd w:id="1"/>
    </w:p>
    <w:p w14:paraId="6B678AE6">
      <w:pPr>
        <w:spacing w:before="320" w:after="120" w:line="288" w:lineRule="auto"/>
        <w:ind w:left="0"/>
        <w:jc w:val="left"/>
        <w:outlineLvl w:val="1"/>
      </w:pPr>
      <w:bookmarkStart w:id="2" w:name="heading_2"/>
      <w:r>
        <w:rPr>
          <w:rFonts w:ascii="Arial" w:hAnsi="Arial" w:eastAsia="等线" w:cs="Arial"/>
          <w:color w:val="3370FF"/>
          <w:sz w:val="32"/>
        </w:rPr>
        <w:t xml:space="preserve">2.1 </w:t>
      </w:r>
      <w:r>
        <w:rPr>
          <w:rFonts w:ascii="Arial" w:hAnsi="Arial" w:eastAsia="等线" w:cs="Arial"/>
          <w:b/>
          <w:sz w:val="32"/>
        </w:rPr>
        <w:t>市政债券基础知识（Municipal Bonds Basics）</w:t>
      </w:r>
      <w:bookmarkEnd w:id="2"/>
    </w:p>
    <w:p w14:paraId="449D6147">
      <w:pPr>
        <w:spacing w:before="300" w:after="120" w:line="288" w:lineRule="auto"/>
        <w:ind w:left="0"/>
        <w:jc w:val="left"/>
        <w:outlineLvl w:val="2"/>
      </w:pPr>
      <w:bookmarkStart w:id="3" w:name="heading_3"/>
      <w:r>
        <w:rPr>
          <w:rFonts w:ascii="Arial" w:hAnsi="Arial" w:eastAsia="等线" w:cs="Arial"/>
          <w:color w:val="3370FF"/>
          <w:sz w:val="30"/>
        </w:rPr>
        <w:t xml:space="preserve">2.1.1 </w:t>
      </w:r>
      <w:r>
        <w:rPr>
          <w:rFonts w:ascii="Arial" w:hAnsi="Arial" w:eastAsia="等线" w:cs="Arial"/>
          <w:b/>
          <w:sz w:val="30"/>
        </w:rPr>
        <w:t>什么是市政债券？</w:t>
      </w:r>
      <w:bookmarkEnd w:id="3"/>
    </w:p>
    <w:p w14:paraId="599694AB">
      <w:pPr>
        <w:numPr>
          <w:ilvl w:val="0"/>
          <w:numId w:val="10"/>
        </w:numPr>
        <w:spacing w:before="120" w:after="120" w:line="288" w:lineRule="auto"/>
        <w:ind w:left="0"/>
        <w:jc w:val="left"/>
      </w:pPr>
      <w:r>
        <w:rPr>
          <w:rFonts w:ascii="Arial" w:hAnsi="Arial" w:eastAsia="等线" w:cs="Arial"/>
          <w:sz w:val="22"/>
        </w:rPr>
        <w:t>市政债券是州政府、地方政府以及美国领地发行的证券。</w:t>
      </w:r>
    </w:p>
    <w:p w14:paraId="35AB1141">
      <w:pPr>
        <w:numPr>
          <w:ilvl w:val="0"/>
          <w:numId w:val="11"/>
        </w:numPr>
        <w:spacing w:before="120" w:after="120" w:line="288" w:lineRule="auto"/>
        <w:ind w:left="0"/>
        <w:jc w:val="left"/>
      </w:pPr>
      <w:r>
        <w:rPr>
          <w:rFonts w:ascii="Arial" w:hAnsi="Arial" w:eastAsia="等线" w:cs="Arial"/>
          <w:sz w:val="22"/>
        </w:rPr>
        <w:t>市政当局将从投资者那里借来的资金用于资助和支持各类项目，例如道路、学校、下水道系统、医院等。</w:t>
      </w:r>
    </w:p>
    <w:p w14:paraId="2152C4DA">
      <w:pPr>
        <w:numPr>
          <w:ilvl w:val="0"/>
          <w:numId w:val="12"/>
        </w:numPr>
        <w:spacing w:before="120" w:after="120" w:line="288" w:lineRule="auto"/>
        <w:ind w:left="0"/>
        <w:jc w:val="left"/>
      </w:pPr>
      <w:r>
        <w:rPr>
          <w:rFonts w:ascii="Arial" w:hAnsi="Arial" w:eastAsia="等线" w:cs="Arial"/>
          <w:sz w:val="22"/>
        </w:rPr>
        <w:t>市政债券也可能被用于筹集运营预算所需资金。</w:t>
      </w:r>
    </w:p>
    <w:p w14:paraId="60D02118">
      <w:pPr>
        <w:numPr>
          <w:ilvl w:val="0"/>
          <w:numId w:val="13"/>
        </w:numPr>
        <w:spacing w:before="120" w:after="120" w:line="288" w:lineRule="auto"/>
        <w:ind w:left="0"/>
        <w:jc w:val="left"/>
      </w:pPr>
      <w:r>
        <w:rPr>
          <w:rFonts w:ascii="Arial" w:hAnsi="Arial" w:eastAsia="等线" w:cs="Arial"/>
          <w:sz w:val="22"/>
        </w:rPr>
        <w:t>投资者购买市政债券 → 政府借钱 → 到期偿还本金利息。</w:t>
      </w:r>
    </w:p>
    <w:p w14:paraId="72B76766">
      <w:pPr>
        <w:spacing w:before="120" w:after="120" w:line="288" w:lineRule="auto"/>
        <w:ind w:left="0"/>
        <w:jc w:val="left"/>
      </w:pPr>
    </w:p>
    <w:p w14:paraId="56E19D6F">
      <w:pPr>
        <w:spacing w:before="300" w:after="120" w:line="288" w:lineRule="auto"/>
        <w:ind w:left="0"/>
        <w:jc w:val="left"/>
        <w:outlineLvl w:val="2"/>
      </w:pPr>
      <w:bookmarkStart w:id="4" w:name="heading_4"/>
      <w:r>
        <w:rPr>
          <w:rFonts w:ascii="Arial" w:hAnsi="Arial" w:eastAsia="等线" w:cs="Arial"/>
          <w:color w:val="3370FF"/>
          <w:sz w:val="30"/>
        </w:rPr>
        <w:t xml:space="preserve">2.1.2 </w:t>
      </w:r>
      <w:r>
        <w:rPr>
          <w:rFonts w:ascii="Arial" w:hAnsi="Arial" w:eastAsia="等线" w:cs="Arial"/>
          <w:b/>
          <w:sz w:val="30"/>
        </w:rPr>
        <w:t>一般责任债券</w:t>
      </w:r>
      <w:bookmarkEnd w:id="4"/>
    </w:p>
    <w:p w14:paraId="71B03C7E">
      <w:pPr>
        <w:spacing w:before="120" w:after="120" w:line="288" w:lineRule="auto"/>
        <w:ind w:left="0"/>
        <w:jc w:val="left"/>
      </w:pPr>
      <w:r>
        <w:rPr>
          <w:rFonts w:ascii="Arial" w:hAnsi="Arial" w:eastAsia="等线" w:cs="Arial"/>
          <w:sz w:val="22"/>
        </w:rPr>
        <w:t>一般责任债券（General Obligation Bonds，GO Bonds）由州、市、县或其他地方政府机构发行，其还本付息由发行政府的全部信誉、信用和征税能力（Taxing Power）作为担保。</w:t>
      </w:r>
    </w:p>
    <w:p w14:paraId="615FEA8F">
      <w:pPr>
        <w:spacing w:before="120" w:after="120" w:line="288" w:lineRule="auto"/>
        <w:ind w:left="0"/>
        <w:jc w:val="left"/>
      </w:pPr>
    </w:p>
    <w:p w14:paraId="41D98195">
      <w:pPr>
        <w:spacing w:before="120" w:after="120" w:line="288" w:lineRule="auto"/>
        <w:ind w:left="0"/>
        <w:jc w:val="left"/>
      </w:pPr>
      <w:r>
        <w:rPr>
          <w:rFonts w:ascii="Arial" w:hAnsi="Arial" w:eastAsia="等线" w:cs="Arial"/>
          <w:sz w:val="22"/>
        </w:rPr>
        <w:t>最大特点：GO 债券以税收作为担保（Backing Bonds with Taxes）。</w:t>
      </w:r>
    </w:p>
    <w:p w14:paraId="4AF609B3">
      <w:pPr>
        <w:spacing w:before="120" w:after="120" w:line="288" w:lineRule="auto"/>
        <w:ind w:left="0"/>
        <w:jc w:val="left"/>
      </w:pPr>
    </w:p>
    <w:p w14:paraId="722754DD">
      <w:pPr>
        <w:spacing w:before="120" w:after="120" w:line="288" w:lineRule="auto"/>
        <w:ind w:left="0"/>
        <w:jc w:val="left"/>
      </w:pPr>
      <w:r>
        <w:rPr>
          <w:rFonts w:ascii="Arial" w:hAnsi="Arial" w:eastAsia="等线" w:cs="Arial"/>
          <w:sz w:val="22"/>
        </w:rPr>
        <w:t>GO 债券的一般特征：</w:t>
      </w:r>
    </w:p>
    <w:p w14:paraId="74E1F37C">
      <w:pPr>
        <w:numPr>
          <w:ilvl w:val="0"/>
          <w:numId w:val="14"/>
        </w:numPr>
        <w:spacing w:before="120" w:after="120" w:line="288" w:lineRule="auto"/>
        <w:ind w:left="0"/>
        <w:jc w:val="left"/>
      </w:pPr>
      <w:r>
        <w:rPr>
          <w:rFonts w:ascii="Arial" w:hAnsi="Arial" w:eastAsia="等线" w:cs="Arial"/>
          <w:sz w:val="22"/>
        </w:rPr>
        <w:t>为非创收项目提供资金（fund nonrevenue-producing facilities）</w:t>
      </w:r>
    </w:p>
    <w:p w14:paraId="48A82D99">
      <w:pPr>
        <w:spacing w:before="120" w:after="120" w:line="288" w:lineRule="auto"/>
        <w:ind w:left="0"/>
        <w:jc w:val="left"/>
      </w:pPr>
      <w:r>
        <w:rPr>
          <w:rFonts w:ascii="Arial" w:hAnsi="Arial" w:eastAsia="等线" w:cs="Arial"/>
          <w:sz w:val="22"/>
        </w:rPr>
        <w:t>GO 债券并非自给自足，因为市政当局发行这类债券是为了建设或支持那些无法带来足够（或任何）资金来帮助偿还债券的项目。GO 债券为学校、图书馆、警察局、消防站等提供资金。</w:t>
      </w:r>
    </w:p>
    <w:p w14:paraId="45474FF2">
      <w:pPr>
        <w:spacing w:before="120" w:after="120" w:line="288" w:lineRule="auto"/>
        <w:ind w:left="0"/>
        <w:jc w:val="left"/>
      </w:pPr>
    </w:p>
    <w:p w14:paraId="70147A07">
      <w:pPr>
        <w:numPr>
          <w:ilvl w:val="0"/>
          <w:numId w:val="15"/>
        </w:numPr>
        <w:spacing w:before="120" w:after="120" w:line="288" w:lineRule="auto"/>
        <w:ind w:left="0"/>
        <w:jc w:val="left"/>
      </w:pPr>
      <w:r>
        <w:rPr>
          <w:rFonts w:ascii="Arial" w:hAnsi="Arial" w:eastAsia="等线" w:cs="Arial"/>
          <w:sz w:val="22"/>
        </w:rPr>
        <w:t>由市政府（municipality）的全部信誉和信用（full faith and credit）作为担保。</w:t>
      </w:r>
    </w:p>
    <w:p w14:paraId="7B3EDCEF">
      <w:pPr>
        <w:spacing w:before="120" w:after="120" w:line="288" w:lineRule="auto"/>
        <w:ind w:left="0"/>
        <w:jc w:val="left"/>
      </w:pPr>
      <w:r>
        <w:rPr>
          <w:rFonts w:ascii="Arial" w:hAnsi="Arial" w:eastAsia="等线" w:cs="Arial"/>
          <w:sz w:val="22"/>
        </w:rPr>
        <w:t>市政府信用源自其税收能力（taxing power），从居住在该市政辖区内的民众那里征收的税款作为偿还 GO 债券的担保。</w:t>
      </w:r>
    </w:p>
    <w:p w14:paraId="2B621EF9">
      <w:pPr>
        <w:spacing w:before="120" w:after="120" w:line="288" w:lineRule="auto"/>
        <w:ind w:left="0"/>
        <w:jc w:val="left"/>
      </w:pPr>
    </w:p>
    <w:p w14:paraId="71AD1DCB">
      <w:pPr>
        <w:numPr>
          <w:ilvl w:val="0"/>
          <w:numId w:val="16"/>
        </w:numPr>
        <w:spacing w:before="120" w:after="120" w:line="288" w:lineRule="auto"/>
        <w:ind w:left="0"/>
        <w:jc w:val="left"/>
      </w:pPr>
      <w:r>
        <w:rPr>
          <w:rFonts w:ascii="Arial" w:hAnsi="Arial" w:eastAsia="等线" w:cs="Arial"/>
          <w:sz w:val="22"/>
        </w:rPr>
        <w:t>通常需要选民批准（often require voter approval）。</w:t>
      </w:r>
    </w:p>
    <w:p w14:paraId="1764543C">
      <w:pPr>
        <w:spacing w:before="120" w:after="120" w:line="288" w:lineRule="auto"/>
        <w:ind w:left="0"/>
        <w:jc w:val="left"/>
      </w:pPr>
      <w:r>
        <w:rPr>
          <w:rFonts w:ascii="Arial" w:hAnsi="Arial" w:eastAsia="等线" w:cs="Arial"/>
          <w:sz w:val="22"/>
        </w:rPr>
        <w:t>由于居住在该市的民众缴纳的丰厚税款为这些债券提供了支持，因此当该市达到法定债务限额时，这些纳税人同样有权就该项目进行投票。</w:t>
      </w:r>
    </w:p>
    <w:p w14:paraId="5ED0E812">
      <w:pPr>
        <w:spacing w:before="120" w:after="120" w:line="288" w:lineRule="auto"/>
        <w:ind w:left="0"/>
        <w:jc w:val="left"/>
      </w:pPr>
    </w:p>
    <w:p w14:paraId="21372082">
      <w:pPr>
        <w:numPr>
          <w:ilvl w:val="0"/>
          <w:numId w:val="17"/>
        </w:numPr>
        <w:spacing w:before="120" w:after="120" w:line="288" w:lineRule="auto"/>
        <w:ind w:left="0"/>
        <w:jc w:val="left"/>
      </w:pPr>
      <w:r>
        <w:rPr>
          <w:rFonts w:ascii="Arial" w:hAnsi="Arial" w:eastAsia="等线" w:cs="Arial"/>
          <w:sz w:val="22"/>
        </w:rPr>
        <w:t>受债务上限的限制（subject to a debt ceiling）</w:t>
      </w:r>
    </w:p>
    <w:p w14:paraId="1813EA73">
      <w:pPr>
        <w:spacing w:before="120" w:after="120" w:line="288" w:lineRule="auto"/>
        <w:ind w:left="0"/>
        <w:jc w:val="left"/>
      </w:pPr>
      <w:r>
        <w:rPr>
          <w:rFonts w:ascii="Arial" w:hAnsi="Arial" w:eastAsia="等线" w:cs="Arial"/>
          <w:sz w:val="22"/>
        </w:rPr>
        <w:t>即市政当局为满足其需求可借入的最大金额。</w:t>
      </w:r>
    </w:p>
    <w:p w14:paraId="470C8404">
      <w:pPr>
        <w:spacing w:before="120" w:after="120" w:line="288" w:lineRule="auto"/>
        <w:ind w:left="0"/>
        <w:jc w:val="left"/>
      </w:pPr>
    </w:p>
    <w:p w14:paraId="34F7B15E">
      <w:pPr>
        <w:spacing w:before="260" w:after="120" w:line="288" w:lineRule="auto"/>
        <w:ind w:left="0"/>
        <w:jc w:val="left"/>
        <w:outlineLvl w:val="3"/>
      </w:pPr>
      <w:bookmarkStart w:id="5" w:name="heading_5"/>
      <w:r>
        <w:rPr>
          <w:rFonts w:ascii="Arial" w:hAnsi="Arial" w:eastAsia="等线" w:cs="Arial"/>
          <w:color w:val="3370FF"/>
          <w:sz w:val="28"/>
        </w:rPr>
        <w:t xml:space="preserve">2.1.2.1 </w:t>
      </w:r>
      <w:r>
        <w:rPr>
          <w:rFonts w:ascii="Arial" w:hAnsi="Arial" w:eastAsia="等线" w:cs="Arial"/>
          <w:b/>
          <w:sz w:val="28"/>
        </w:rPr>
        <w:t>征收税款、费用和罚款</w:t>
      </w:r>
      <w:bookmarkEnd w:id="5"/>
    </w:p>
    <w:p w14:paraId="4AF7A8C9">
      <w:pPr>
        <w:spacing w:before="120" w:after="120" w:line="288" w:lineRule="auto"/>
        <w:ind w:left="0"/>
        <w:jc w:val="left"/>
      </w:pPr>
      <w:r>
        <w:rPr>
          <w:rFonts w:ascii="Arial" w:hAnsi="Arial" w:eastAsia="等线" w:cs="Arial"/>
          <w:sz w:val="22"/>
        </w:rPr>
        <w:t>税收——生活中为数不多的确定事项之一。</w:t>
      </w:r>
    </w:p>
    <w:p w14:paraId="082CF6FD">
      <w:pPr>
        <w:spacing w:before="120" w:after="120" w:line="288" w:lineRule="auto"/>
        <w:ind w:left="0"/>
        <w:jc w:val="left"/>
      </w:pPr>
    </w:p>
    <w:p w14:paraId="443B1142">
      <w:pPr>
        <w:spacing w:before="120" w:after="120" w:line="288" w:lineRule="auto"/>
        <w:ind w:left="0"/>
        <w:jc w:val="left"/>
      </w:pPr>
      <w:r>
        <w:rPr>
          <w:rFonts w:ascii="Arial" w:hAnsi="Arial" w:eastAsia="等线" w:cs="Arial"/>
          <w:sz w:val="22"/>
        </w:rPr>
        <w:t>税收是影响普通责任债券安全性的另一个因素。</w:t>
      </w:r>
    </w:p>
    <w:p w14:paraId="16319069">
      <w:pPr>
        <w:spacing w:before="120" w:after="120" w:line="288" w:lineRule="auto"/>
        <w:ind w:left="0"/>
        <w:jc w:val="left"/>
      </w:pPr>
    </w:p>
    <w:p w14:paraId="1E34874A">
      <w:pPr>
        <w:spacing w:before="120" w:after="120" w:line="288" w:lineRule="auto"/>
        <w:ind w:left="0"/>
        <w:jc w:val="left"/>
      </w:pPr>
      <w:r>
        <w:rPr>
          <w:rFonts w:ascii="Arial" w:hAnsi="Arial" w:eastAsia="等线" w:cs="Arial"/>
          <w:sz w:val="22"/>
        </w:rPr>
        <w:t>财产税（property taxes）（由地方市政当局而非州政府征收）和销售税（sales taxes）是偿债的主要资金来源。因此，一般来说，财产价值越高、税基越大，市政债券发行就越安全。</w:t>
      </w:r>
    </w:p>
    <w:p w14:paraId="7C1CA31C">
      <w:pPr>
        <w:spacing w:before="120" w:after="120" w:line="288" w:lineRule="auto"/>
        <w:ind w:left="0"/>
        <w:jc w:val="left"/>
      </w:pPr>
    </w:p>
    <w:p w14:paraId="261EBA8B">
      <w:pPr>
        <w:spacing w:before="120" w:after="120" w:line="288" w:lineRule="auto"/>
        <w:ind w:left="0"/>
        <w:jc w:val="left"/>
      </w:pPr>
      <w:r>
        <w:rPr>
          <w:rFonts w:ascii="Arial" w:hAnsi="Arial" w:eastAsia="等线" w:cs="Arial"/>
          <w:sz w:val="22"/>
        </w:rPr>
        <w:t>GOs 还得到交通罚款（traffic fines）、执照费（licensing fees）等的支持。</w:t>
      </w:r>
    </w:p>
    <w:p w14:paraId="5456AC69">
      <w:pPr>
        <w:spacing w:before="120" w:after="120" w:line="288" w:lineRule="auto"/>
        <w:ind w:left="0"/>
        <w:jc w:val="left"/>
      </w:pPr>
    </w:p>
    <w:p w14:paraId="3487A14F">
      <w:pPr>
        <w:spacing w:before="260" w:after="120" w:line="288" w:lineRule="auto"/>
        <w:ind w:left="0"/>
        <w:jc w:val="left"/>
        <w:outlineLvl w:val="3"/>
      </w:pPr>
      <w:bookmarkStart w:id="6" w:name="heading_6"/>
      <w:r>
        <w:rPr>
          <w:rFonts w:ascii="Arial" w:hAnsi="Arial" w:eastAsia="等线" w:cs="Arial"/>
          <w:color w:val="3370FF"/>
          <w:sz w:val="28"/>
        </w:rPr>
        <w:t xml:space="preserve">2.1.2.2 </w:t>
      </w:r>
      <w:r>
        <w:rPr>
          <w:rFonts w:ascii="Arial" w:hAnsi="Arial" w:eastAsia="等线" w:cs="Arial"/>
          <w:b/>
          <w:sz w:val="28"/>
        </w:rPr>
        <w:t>确定适销性</w:t>
      </w:r>
      <w:bookmarkEnd w:id="6"/>
    </w:p>
    <w:p w14:paraId="47A370DF">
      <w:pPr>
        <w:spacing w:before="120" w:after="120" w:line="288" w:lineRule="auto"/>
        <w:ind w:left="0"/>
        <w:jc w:val="left"/>
      </w:pPr>
      <w:r>
        <w:rPr>
          <w:rFonts w:ascii="Arial" w:hAnsi="Arial" w:eastAsia="等线" w:cs="Arial"/>
          <w:sz w:val="22"/>
        </w:rPr>
        <w:t>许多因素会影响市政债券的适销性（marketability），包括发行人的特点、影响发行人偿付能力的因素以及市政债务比率。当然，你肯定希望引导投资者避开那些市场流动性不佳的市政债券，除非这些投资者愿意承担额外风险。</w:t>
      </w:r>
    </w:p>
    <w:p w14:paraId="72F439AA">
      <w:pPr>
        <w:spacing w:before="120" w:after="120" w:line="288" w:lineRule="auto"/>
        <w:ind w:left="0"/>
        <w:jc w:val="left"/>
      </w:pPr>
    </w:p>
    <w:p w14:paraId="0153DDCA">
      <w:pPr>
        <w:spacing w:before="120" w:after="120" w:line="288" w:lineRule="auto"/>
        <w:ind w:left="0"/>
        <w:jc w:val="left"/>
      </w:pPr>
      <w:r>
        <w:rPr>
          <w:rFonts w:ascii="Arial" w:hAnsi="Arial" w:eastAsia="等线" w:cs="Arial"/>
          <w:sz w:val="22"/>
        </w:rPr>
        <w:t>以下是其他一些可能影响债券适销性的因素：</w:t>
      </w:r>
    </w:p>
    <w:p w14:paraId="761302B6">
      <w:pPr>
        <w:numPr>
          <w:ilvl w:val="0"/>
          <w:numId w:val="18"/>
        </w:numPr>
        <w:spacing w:before="120" w:after="120" w:line="288" w:lineRule="auto"/>
        <w:ind w:left="0"/>
        <w:jc w:val="left"/>
      </w:pPr>
      <w:r>
        <w:rPr>
          <w:rFonts w:ascii="Arial" w:hAnsi="Arial" w:eastAsia="等线" w:cs="Arial"/>
          <w:sz w:val="22"/>
        </w:rPr>
        <w:t>Quality (rating): The higher the credit rating, the safer the bond and, therefore, the more marketable it is.</w:t>
      </w:r>
    </w:p>
    <w:p w14:paraId="3830E86E">
      <w:pPr>
        <w:numPr>
          <w:ilvl w:val="0"/>
          <w:numId w:val="19"/>
        </w:numPr>
        <w:spacing w:before="120" w:after="120" w:line="288" w:lineRule="auto"/>
        <w:ind w:left="0"/>
        <w:jc w:val="left"/>
      </w:pPr>
      <w:r>
        <w:rPr>
          <w:rFonts w:ascii="Arial" w:hAnsi="Arial" w:eastAsia="等线" w:cs="Arial"/>
          <w:sz w:val="22"/>
        </w:rPr>
        <w:t>Maturity: Typically, the shorter the maturity, the more marketable the bond issue is.</w:t>
      </w:r>
    </w:p>
    <w:p w14:paraId="51E14E49">
      <w:pPr>
        <w:numPr>
          <w:ilvl w:val="0"/>
          <w:numId w:val="20"/>
        </w:numPr>
        <w:spacing w:before="120" w:after="120" w:line="288" w:lineRule="auto"/>
        <w:ind w:left="0"/>
        <w:jc w:val="left"/>
      </w:pPr>
      <w:r>
        <w:rPr>
          <w:rFonts w:ascii="Arial" w:hAnsi="Arial" w:eastAsia="等线" w:cs="Arial"/>
          <w:sz w:val="22"/>
        </w:rPr>
        <w:t>Call features: Callable bonds are less marketable than noncallable bonds.</w:t>
      </w:r>
    </w:p>
    <w:p w14:paraId="5492EE63">
      <w:pPr>
        <w:spacing w:before="120" w:after="120" w:line="288" w:lineRule="auto"/>
        <w:ind w:left="0"/>
        <w:jc w:val="left"/>
      </w:pPr>
      <w:r>
        <w:rPr>
          <w:rFonts w:ascii="Arial" w:hAnsi="Arial" w:eastAsia="等线" w:cs="Arial"/>
          <w:sz w:val="22"/>
        </w:rPr>
        <w:t>可赎回债券给予发行人在到期日之前的某个时间点从持有人处赎回（call or redeem）债券的权利。</w:t>
      </w:r>
    </w:p>
    <w:p w14:paraId="4EE91A12">
      <w:pPr>
        <w:numPr>
          <w:ilvl w:val="0"/>
          <w:numId w:val="21"/>
        </w:numPr>
        <w:spacing w:before="120" w:after="120" w:line="288" w:lineRule="auto"/>
        <w:ind w:left="0"/>
        <w:jc w:val="left"/>
      </w:pPr>
      <w:r>
        <w:rPr>
          <w:rFonts w:ascii="Arial" w:hAnsi="Arial" w:eastAsia="等线" w:cs="Arial"/>
          <w:sz w:val="22"/>
        </w:rPr>
        <w:t>Interest (coupon) rate: Everything else being somewhat equal, bonds with higher coupon (interest) rates are more marketable.</w:t>
      </w:r>
    </w:p>
    <w:p w14:paraId="74583326">
      <w:pPr>
        <w:numPr>
          <w:ilvl w:val="0"/>
          <w:numId w:val="22"/>
        </w:numPr>
        <w:spacing w:before="120" w:after="120" w:line="288" w:lineRule="auto"/>
        <w:ind w:left="0"/>
        <w:jc w:val="left"/>
      </w:pPr>
      <w:r>
        <w:rPr>
          <w:rFonts w:ascii="Arial" w:hAnsi="Arial" w:eastAsia="等线" w:cs="Arial"/>
          <w:sz w:val="22"/>
        </w:rPr>
        <w:t>Block size: The larger the block size (the number of securities sold in the initial offering), the more marketable the bond usually is.</w:t>
      </w:r>
    </w:p>
    <w:p w14:paraId="6654A83D">
      <w:pPr>
        <w:numPr>
          <w:ilvl w:val="0"/>
          <w:numId w:val="23"/>
        </w:numPr>
        <w:spacing w:before="120" w:after="120" w:line="288" w:lineRule="auto"/>
        <w:ind w:left="0"/>
        <w:jc w:val="left"/>
      </w:pPr>
      <w:r>
        <w:rPr>
          <w:rFonts w:ascii="Arial" w:hAnsi="Arial" w:eastAsia="等线" w:cs="Arial"/>
          <w:sz w:val="22"/>
        </w:rPr>
        <w:t>Dollar price: All else being equal, the lower the dollar price, the more marketable the bond is.</w:t>
      </w:r>
    </w:p>
    <w:p w14:paraId="343C22F5">
      <w:pPr>
        <w:numPr>
          <w:ilvl w:val="0"/>
          <w:numId w:val="24"/>
        </w:numPr>
        <w:spacing w:before="120" w:after="120" w:line="288" w:lineRule="auto"/>
        <w:ind w:left="0"/>
        <w:jc w:val="left"/>
      </w:pPr>
      <w:r>
        <w:rPr>
          <w:rFonts w:ascii="Arial" w:hAnsi="Arial" w:eastAsia="等线" w:cs="Arial"/>
          <w:sz w:val="22"/>
        </w:rPr>
        <w:t>Issuer’s name (local or national reputation): Bonds are more marketable when the issuer has a good reputation for paying offits bonds on time.</w:t>
      </w:r>
    </w:p>
    <w:p w14:paraId="1716469C">
      <w:pPr>
        <w:numPr>
          <w:ilvl w:val="0"/>
          <w:numId w:val="25"/>
        </w:numPr>
        <w:spacing w:before="120" w:after="120" w:line="288" w:lineRule="auto"/>
        <w:ind w:left="0"/>
        <w:jc w:val="left"/>
      </w:pPr>
      <w:r>
        <w:rPr>
          <w:rFonts w:ascii="Arial" w:hAnsi="Arial" w:eastAsia="等线" w:cs="Arial"/>
          <w:sz w:val="22"/>
        </w:rPr>
        <w:t>Sinking fund: If the issuer has put money aside to pay the bonds offat maturity, the bonds are more marketable because the default risk is lower.</w:t>
      </w:r>
    </w:p>
    <w:p w14:paraId="2CEC61C3">
      <w:pPr>
        <w:numPr>
          <w:ilvl w:val="0"/>
          <w:numId w:val="26"/>
        </w:numPr>
        <w:spacing w:before="120" w:after="120" w:line="288" w:lineRule="auto"/>
        <w:ind w:left="0"/>
        <w:jc w:val="left"/>
      </w:pPr>
      <w:r>
        <w:rPr>
          <w:rFonts w:ascii="Arial" w:hAnsi="Arial" w:eastAsia="等线" w:cs="Arial"/>
          <w:sz w:val="22"/>
        </w:rPr>
        <w:t>Insurance: If the bonds are insured against default, they’re considered to be very safe and are much more marketable. Bond insurance is considered to be a credit enhancement.</w:t>
      </w:r>
    </w:p>
    <w:p w14:paraId="6F5820C2">
      <w:pPr>
        <w:spacing w:before="120" w:after="120" w:line="288" w:lineRule="auto"/>
        <w:ind w:left="0"/>
        <w:jc w:val="left"/>
      </w:pPr>
    </w:p>
    <w:p w14:paraId="272A8CE9">
      <w:pPr>
        <w:spacing w:before="300" w:after="120" w:line="288" w:lineRule="auto"/>
        <w:ind w:left="0"/>
        <w:jc w:val="left"/>
        <w:outlineLvl w:val="2"/>
      </w:pPr>
      <w:bookmarkStart w:id="7" w:name="heading_7"/>
      <w:r>
        <w:rPr>
          <w:rFonts w:ascii="Arial" w:hAnsi="Arial" w:eastAsia="等线" w:cs="Arial"/>
          <w:color w:val="3370FF"/>
          <w:sz w:val="30"/>
        </w:rPr>
        <w:t xml:space="preserve">2.1.3 </w:t>
      </w:r>
      <w:r>
        <w:rPr>
          <w:rFonts w:ascii="Arial" w:hAnsi="Arial" w:eastAsia="等线" w:cs="Arial"/>
          <w:b/>
          <w:sz w:val="30"/>
        </w:rPr>
        <w:t>收益债券（Revenue Bonds）</w:t>
      </w:r>
      <w:bookmarkEnd w:id="7"/>
    </w:p>
    <w:p w14:paraId="58684FD8">
      <w:pPr>
        <w:spacing w:before="120" w:after="120" w:line="288" w:lineRule="auto"/>
        <w:ind w:left="0"/>
        <w:jc w:val="left"/>
      </w:pPr>
      <w:r>
        <w:rPr>
          <w:rFonts w:ascii="Arial" w:hAnsi="Arial" w:eastAsia="等线" w:cs="Arial"/>
          <w:sz w:val="22"/>
        </w:rPr>
        <w:t>以特定公共项目的运营收益（如道路收费、机场收入、水电费）为担保，与地方税收无直接关联，风险高于 GO 债券。</w:t>
      </w:r>
    </w:p>
    <w:p w14:paraId="22A46105">
      <w:pPr>
        <w:spacing w:before="120" w:after="120" w:line="288" w:lineRule="auto"/>
        <w:ind w:left="0"/>
        <w:jc w:val="left"/>
      </w:pPr>
    </w:p>
    <w:p w14:paraId="27FE9A77">
      <w:pPr>
        <w:spacing w:before="260" w:after="120" w:line="288" w:lineRule="auto"/>
        <w:ind w:left="0"/>
        <w:jc w:val="left"/>
        <w:outlineLvl w:val="3"/>
      </w:pPr>
      <w:bookmarkStart w:id="8" w:name="heading_8"/>
      <w:r>
        <w:rPr>
          <w:rFonts w:ascii="Arial" w:hAnsi="Arial" w:eastAsia="等线" w:cs="Arial"/>
          <w:color w:val="3370FF"/>
          <w:sz w:val="28"/>
        </w:rPr>
        <w:t xml:space="preserve">2.1.3.1 </w:t>
      </w:r>
      <w:r>
        <w:rPr>
          <w:rFonts w:ascii="Arial" w:hAnsi="Arial" w:eastAsia="等线" w:cs="Arial"/>
          <w:b/>
          <w:sz w:val="28"/>
        </w:rPr>
        <w:t>关键特性</w:t>
      </w:r>
      <w:bookmarkEnd w:id="8"/>
    </w:p>
    <w:p w14:paraId="5BF262A0">
      <w:pPr>
        <w:numPr>
          <w:ilvl w:val="0"/>
          <w:numId w:val="27"/>
        </w:numPr>
        <w:spacing w:before="120" w:after="120" w:line="288" w:lineRule="auto"/>
        <w:ind w:left="0"/>
        <w:jc w:val="left"/>
      </w:pPr>
      <w:r>
        <w:rPr>
          <w:rFonts w:ascii="Arial" w:hAnsi="Arial" w:eastAsia="等线" w:cs="Arial"/>
          <w:sz w:val="22"/>
        </w:rPr>
        <w:t>资金用途：用于创收型项目，如机场（airports）、收费公路（toll roads）、医院（hospitals）和污水处理厂（sewage treatment plant）等。项目收益需覆盖债券利息与本金偿还。</w:t>
      </w:r>
    </w:p>
    <w:p w14:paraId="4613102F">
      <w:pPr>
        <w:numPr>
          <w:ilvl w:val="0"/>
          <w:numId w:val="28"/>
        </w:numPr>
        <w:spacing w:before="120" w:after="120" w:line="288" w:lineRule="auto"/>
        <w:ind w:left="0"/>
        <w:jc w:val="left"/>
      </w:pPr>
      <w:r>
        <w:rPr>
          <w:rFonts w:ascii="Arial" w:hAnsi="Arial" w:eastAsia="等线" w:cs="Arial"/>
          <w:sz w:val="22"/>
        </w:rPr>
        <w:t>金额上限：无债务上限（no debt ceiling），尽可能多借钱。</w:t>
      </w:r>
    </w:p>
    <w:p w14:paraId="7666484A">
      <w:pPr>
        <w:numPr>
          <w:ilvl w:val="0"/>
          <w:numId w:val="29"/>
        </w:numPr>
        <w:spacing w:before="120" w:after="120" w:line="288" w:lineRule="auto"/>
        <w:ind w:left="0"/>
        <w:jc w:val="left"/>
      </w:pPr>
      <w:r>
        <w:rPr>
          <w:rFonts w:ascii="Arial" w:hAnsi="Arial" w:eastAsia="等线" w:cs="Arial"/>
          <w:sz w:val="22"/>
        </w:rPr>
        <w:t>无需选民批准：因不依赖税收，发行前无需选民投票，但需提交 “可行性研究报告”（评估项目收益能否覆盖债务）。</w:t>
      </w:r>
    </w:p>
    <w:p w14:paraId="3E9F9BF9">
      <w:pPr>
        <w:numPr>
          <w:ilvl w:val="0"/>
          <w:numId w:val="30"/>
        </w:numPr>
        <w:spacing w:before="120" w:after="120" w:line="288" w:lineRule="auto"/>
        <w:ind w:left="0"/>
        <w:jc w:val="left"/>
      </w:pPr>
      <w:r>
        <w:rPr>
          <w:rFonts w:ascii="Arial" w:hAnsi="Arial" w:eastAsia="等线" w:cs="Arial"/>
          <w:sz w:val="22"/>
        </w:rPr>
        <w:t>信用分析：重点关注项目的收益稳定性（如使用率、收费标准）、运营成本、是否有 “契约保护”（如费率契约 —— 确保收费足够覆盖债务；维护契约 —— 保证项目正常运营）。</w:t>
      </w:r>
    </w:p>
    <w:p w14:paraId="4A591451">
      <w:pPr>
        <w:spacing w:before="120" w:after="120" w:line="288" w:lineRule="auto"/>
        <w:ind w:left="0"/>
        <w:jc w:val="left"/>
      </w:pPr>
    </w:p>
    <w:p w14:paraId="36A497C6">
      <w:pPr>
        <w:spacing w:before="260" w:after="120" w:line="288" w:lineRule="auto"/>
        <w:ind w:left="0"/>
        <w:jc w:val="left"/>
        <w:outlineLvl w:val="3"/>
      </w:pPr>
      <w:bookmarkStart w:id="9" w:name="heading_9"/>
      <w:r>
        <w:rPr>
          <w:rFonts w:ascii="Arial" w:hAnsi="Arial" w:eastAsia="等线" w:cs="Arial"/>
          <w:color w:val="3370FF"/>
          <w:sz w:val="28"/>
        </w:rPr>
        <w:t xml:space="preserve">2.1.3.2 </w:t>
      </w:r>
      <w:r>
        <w:rPr>
          <w:rFonts w:ascii="Arial" w:hAnsi="Arial" w:eastAsia="等线" w:cs="Arial"/>
          <w:b/>
          <w:sz w:val="28"/>
        </w:rPr>
        <w:t>分析收益债券</w:t>
      </w:r>
      <w:bookmarkEnd w:id="9"/>
    </w:p>
    <w:p w14:paraId="68ECC323">
      <w:pPr>
        <w:spacing w:before="120" w:after="120" w:line="288" w:lineRule="auto"/>
        <w:ind w:left="0"/>
        <w:jc w:val="left"/>
      </w:pPr>
      <w:r>
        <w:rPr>
          <w:rFonts w:ascii="Arial" w:hAnsi="Arial" w:eastAsia="等线" w:cs="Arial"/>
          <w:sz w:val="22"/>
        </w:rPr>
        <w:t>收益债券涉及一些条款（covenants），这些有益的小承诺通过使发行人承担法律责任来保护投资者。</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93B678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E1EAFF"/>
            <w:tcMar>
              <w:top w:w="60" w:type="dxa"/>
              <w:left w:w="120" w:type="dxa"/>
              <w:bottom w:w="30" w:type="dxa"/>
              <w:right w:w="120" w:type="dxa"/>
            </w:tcMar>
          </w:tcPr>
          <w:p w14:paraId="44368E21">
            <w:pPr>
              <w:spacing w:before="120" w:after="120" w:line="288" w:lineRule="auto"/>
              <w:ind w:left="0"/>
              <w:jc w:val="left"/>
            </w:pPr>
            <w:r>
              <w:rPr>
                <w:rFonts w:ascii="Arial" w:hAnsi="Arial" w:eastAsia="等线" w:cs="Arial"/>
                <w:sz w:val="22"/>
              </w:rPr>
              <w:t>如果你在SIE考试或任何一门相关联的考试中看到“covenant”这个词，立刻想到收益债券。</w:t>
            </w:r>
          </w:p>
        </w:tc>
      </w:tr>
    </w:tbl>
    <w:p w14:paraId="2A3BCE71"/>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640"/>
        <w:gridCol w:w="5640"/>
      </w:tblGrid>
      <w:tr w14:paraId="166134C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640" w:type="dxa"/>
            <w:tcMar>
              <w:top w:w="60" w:type="dxa"/>
              <w:left w:w="120" w:type="dxa"/>
              <w:bottom w:w="30" w:type="dxa"/>
              <w:right w:w="120" w:type="dxa"/>
            </w:tcMar>
          </w:tcPr>
          <w:p w14:paraId="09098315">
            <w:pPr>
              <w:spacing w:before="120" w:after="120" w:line="288" w:lineRule="auto"/>
              <w:ind w:left="0"/>
              <w:jc w:val="left"/>
            </w:pPr>
            <w:r>
              <w:rPr>
                <w:rFonts w:ascii="Arial" w:hAnsi="Arial" w:eastAsia="等线" w:cs="Arial"/>
                <w:b/>
                <w:sz w:val="22"/>
              </w:rPr>
              <w:t>契约类型（Type of Covenant）</w:t>
            </w:r>
          </w:p>
        </w:tc>
        <w:tc>
          <w:tcPr>
            <w:tcW w:w="5640" w:type="dxa"/>
            <w:tcMar>
              <w:top w:w="60" w:type="dxa"/>
              <w:left w:w="120" w:type="dxa"/>
              <w:bottom w:w="30" w:type="dxa"/>
              <w:right w:w="120" w:type="dxa"/>
            </w:tcMar>
          </w:tcPr>
          <w:p w14:paraId="7EAD15A3">
            <w:pPr>
              <w:spacing w:before="120" w:after="120" w:line="288" w:lineRule="auto"/>
              <w:ind w:left="0"/>
              <w:jc w:val="left"/>
            </w:pPr>
            <w:r>
              <w:rPr>
                <w:rFonts w:ascii="Arial" w:hAnsi="Arial" w:eastAsia="等线" w:cs="Arial"/>
                <w:b/>
                <w:sz w:val="22"/>
              </w:rPr>
              <w:t>市政实体的承诺内容（Promises That the Municipality Will）</w:t>
            </w:r>
          </w:p>
        </w:tc>
      </w:tr>
      <w:tr w14:paraId="0EF4B4E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640" w:type="dxa"/>
            <w:tcMar>
              <w:top w:w="60" w:type="dxa"/>
              <w:left w:w="120" w:type="dxa"/>
              <w:bottom w:w="30" w:type="dxa"/>
              <w:right w:w="120" w:type="dxa"/>
            </w:tcMar>
          </w:tcPr>
          <w:p w14:paraId="720E55C3">
            <w:pPr>
              <w:spacing w:before="120" w:after="120" w:line="288" w:lineRule="auto"/>
              <w:ind w:left="0"/>
              <w:jc w:val="left"/>
            </w:pPr>
            <w:r>
              <w:rPr>
                <w:rFonts w:ascii="Arial" w:hAnsi="Arial" w:eastAsia="等线" w:cs="Arial"/>
                <w:sz w:val="22"/>
              </w:rPr>
              <w:t>费率条款（Rate Covenant）</w:t>
            </w:r>
          </w:p>
          <w:p w14:paraId="6E97E7DA">
            <w:pPr>
              <w:spacing w:before="120" w:after="120" w:line="288" w:lineRule="auto"/>
              <w:ind w:left="0"/>
              <w:jc w:val="left"/>
            </w:pPr>
          </w:p>
        </w:tc>
        <w:tc>
          <w:tcPr>
            <w:tcW w:w="5640" w:type="dxa"/>
            <w:tcMar>
              <w:top w:w="60" w:type="dxa"/>
              <w:left w:w="120" w:type="dxa"/>
              <w:bottom w:w="30" w:type="dxa"/>
              <w:right w:w="120" w:type="dxa"/>
            </w:tcMar>
          </w:tcPr>
          <w:p w14:paraId="06F162DC">
            <w:pPr>
              <w:spacing w:before="120" w:after="120" w:line="288" w:lineRule="auto"/>
              <w:ind w:left="0"/>
              <w:jc w:val="left"/>
            </w:pPr>
            <w:r>
              <w:rPr>
                <w:rFonts w:ascii="Arial" w:hAnsi="Arial" w:eastAsia="等线" w:cs="Arial"/>
                <w:sz w:val="22"/>
              </w:rPr>
              <w:t>向使用该设施的人员收取足够费用（Charge Sufficient Fees），确保能够支付运营开支及债务偿还（债券的本金和利息）</w:t>
            </w:r>
          </w:p>
        </w:tc>
      </w:tr>
      <w:tr w14:paraId="4FA7CCE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640" w:type="dxa"/>
            <w:tcMar>
              <w:top w:w="60" w:type="dxa"/>
              <w:left w:w="120" w:type="dxa"/>
              <w:bottom w:w="30" w:type="dxa"/>
              <w:right w:w="120" w:type="dxa"/>
            </w:tcMar>
          </w:tcPr>
          <w:p w14:paraId="0F5C9E0C">
            <w:pPr>
              <w:spacing w:before="120" w:after="120" w:line="288" w:lineRule="auto"/>
              <w:ind w:left="0"/>
              <w:jc w:val="left"/>
            </w:pPr>
            <w:r>
              <w:rPr>
                <w:rFonts w:ascii="Arial" w:hAnsi="Arial" w:eastAsia="等线" w:cs="Arial"/>
                <w:sz w:val="22"/>
              </w:rPr>
              <w:t>维护条款（Maintenance Covenant）</w:t>
            </w:r>
          </w:p>
        </w:tc>
        <w:tc>
          <w:tcPr>
            <w:tcW w:w="5640" w:type="dxa"/>
            <w:tcMar>
              <w:top w:w="60" w:type="dxa"/>
              <w:left w:w="120" w:type="dxa"/>
              <w:bottom w:w="30" w:type="dxa"/>
              <w:right w:w="120" w:type="dxa"/>
            </w:tcMar>
          </w:tcPr>
          <w:p w14:paraId="3203EDBC">
            <w:pPr>
              <w:spacing w:before="120" w:after="120" w:line="288" w:lineRule="auto"/>
              <w:ind w:left="0"/>
              <w:jc w:val="left"/>
            </w:pPr>
            <w:r>
              <w:rPr>
                <w:rFonts w:ascii="Arial" w:hAnsi="Arial" w:eastAsia="等线" w:cs="Arial"/>
                <w:sz w:val="22"/>
              </w:rPr>
              <w:t>妥善维护（Adequately take care of）该设施及所有设备，保障设施持续产生收入。</w:t>
            </w:r>
          </w:p>
        </w:tc>
      </w:tr>
      <w:tr w14:paraId="229619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640" w:type="dxa"/>
            <w:tcMar>
              <w:top w:w="60" w:type="dxa"/>
              <w:left w:w="120" w:type="dxa"/>
              <w:bottom w:w="30" w:type="dxa"/>
              <w:right w:w="120" w:type="dxa"/>
            </w:tcMar>
          </w:tcPr>
          <w:p w14:paraId="7BD9BB87">
            <w:pPr>
              <w:spacing w:before="120" w:after="120" w:line="288" w:lineRule="auto"/>
              <w:ind w:left="0"/>
              <w:jc w:val="left"/>
            </w:pPr>
            <w:r>
              <w:rPr>
                <w:rFonts w:ascii="Arial" w:hAnsi="Arial" w:eastAsia="等线" w:cs="Arial"/>
                <w:sz w:val="22"/>
              </w:rPr>
              <w:t>保险条款（Insurance Covenant）</w:t>
            </w:r>
          </w:p>
        </w:tc>
        <w:tc>
          <w:tcPr>
            <w:tcW w:w="5640" w:type="dxa"/>
            <w:tcMar>
              <w:top w:w="60" w:type="dxa"/>
              <w:left w:w="120" w:type="dxa"/>
              <w:bottom w:w="30" w:type="dxa"/>
              <w:right w:w="120" w:type="dxa"/>
            </w:tcMar>
          </w:tcPr>
          <w:p w14:paraId="1DD6D419">
            <w:pPr>
              <w:spacing w:before="120" w:after="120" w:line="288" w:lineRule="auto"/>
              <w:ind w:left="0"/>
              <w:jc w:val="left"/>
            </w:pPr>
            <w:r>
              <w:rPr>
                <w:rFonts w:ascii="Arial" w:hAnsi="Arial" w:eastAsia="等线" w:cs="Arial"/>
                <w:sz w:val="22"/>
              </w:rPr>
              <w:t>为该设施购买充足的保险。</w:t>
            </w:r>
          </w:p>
        </w:tc>
      </w:tr>
    </w:tbl>
    <w:p w14:paraId="49BF3762">
      <w:pPr>
        <w:spacing w:before="120" w:after="120" w:line="288" w:lineRule="auto"/>
        <w:ind w:left="0"/>
        <w:jc w:val="left"/>
      </w:pP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0EB075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634D18DF">
            <w:pPr>
              <w:spacing w:before="120" w:after="120" w:line="288" w:lineRule="auto"/>
              <w:ind w:left="0"/>
              <w:jc w:val="left"/>
            </w:pPr>
            <w:r>
              <w:rPr>
                <w:rFonts w:ascii="Arial" w:hAnsi="Arial" w:eastAsia="等线" w:cs="Arial"/>
                <w:sz w:val="22"/>
              </w:rPr>
              <w:t>小贴士：</w:t>
            </w:r>
          </w:p>
          <w:p w14:paraId="531A8CB1">
            <w:pPr>
              <w:spacing w:before="120" w:after="120" w:line="288" w:lineRule="auto"/>
              <w:ind w:left="0"/>
              <w:jc w:val="left"/>
            </w:pPr>
            <w:r>
              <w:rPr>
                <w:rFonts w:ascii="Arial" w:hAnsi="Arial" w:eastAsia="等线" w:cs="Arial"/>
                <w:sz w:val="22"/>
              </w:rPr>
              <w:t>GO Bonds 是“政府信用担保”，风险较低。</w:t>
            </w:r>
          </w:p>
          <w:p w14:paraId="69219BFF">
            <w:pPr>
              <w:spacing w:before="120" w:after="120" w:line="288" w:lineRule="auto"/>
              <w:ind w:left="0"/>
              <w:jc w:val="left"/>
            </w:pPr>
          </w:p>
          <w:p w14:paraId="51722DAF">
            <w:pPr>
              <w:spacing w:before="120" w:after="120" w:line="288" w:lineRule="auto"/>
              <w:ind w:left="0"/>
              <w:jc w:val="left"/>
            </w:pPr>
            <w:r>
              <w:rPr>
                <w:rFonts w:ascii="Arial" w:hAnsi="Arial" w:eastAsia="等线" w:cs="Arial"/>
                <w:sz w:val="22"/>
              </w:rPr>
              <w:t>Revenue Bonds 是“项目自负盈亏”，风险较高。</w:t>
            </w:r>
          </w:p>
          <w:p w14:paraId="1F449513">
            <w:pPr>
              <w:spacing w:before="120" w:after="120" w:line="288" w:lineRule="auto"/>
              <w:ind w:left="0"/>
              <w:jc w:val="left"/>
            </w:pPr>
          </w:p>
          <w:p w14:paraId="5D906949">
            <w:pPr>
              <w:spacing w:before="120" w:after="120" w:line="288" w:lineRule="auto"/>
              <w:ind w:left="0"/>
              <w:jc w:val="left"/>
            </w:pPr>
            <w:r>
              <w:rPr>
                <w:rFonts w:ascii="Arial" w:hAnsi="Arial" w:eastAsia="等线" w:cs="Arial"/>
                <w:sz w:val="22"/>
              </w:rPr>
              <w:t>考试中常通过具体项目场景考查你能否判断债券类型。</w:t>
            </w:r>
          </w:p>
          <w:p w14:paraId="1C23E699">
            <w:pPr>
              <w:spacing w:before="120" w:after="120" w:line="288" w:lineRule="auto"/>
              <w:ind w:left="0"/>
              <w:jc w:val="left"/>
            </w:pPr>
          </w:p>
          <w:p w14:paraId="2A4A5C95">
            <w:pPr>
              <w:spacing w:before="120" w:after="120" w:line="288" w:lineRule="auto"/>
              <w:ind w:left="0"/>
              <w:jc w:val="left"/>
            </w:pPr>
            <w:r>
              <w:rPr>
                <w:rFonts w:ascii="Arial" w:hAnsi="Arial" w:eastAsia="等线" w:cs="Arial"/>
                <w:sz w:val="22"/>
              </w:rPr>
              <w:t>题干中出现 “学校建设”“图书馆修缮” 等非创收项目，或 “选民投票”“税收担保” 关键词，优先判断为 GO 债券。</w:t>
            </w:r>
          </w:p>
          <w:p w14:paraId="054FA3CA">
            <w:pPr>
              <w:spacing w:before="120" w:after="120" w:line="288" w:lineRule="auto"/>
              <w:ind w:left="0"/>
              <w:jc w:val="left"/>
            </w:pPr>
          </w:p>
          <w:p w14:paraId="22669784">
            <w:pPr>
              <w:spacing w:before="120" w:after="120" w:line="288" w:lineRule="auto"/>
              <w:ind w:left="0"/>
              <w:jc w:val="left"/>
            </w:pPr>
            <w:r>
              <w:rPr>
                <w:rFonts w:ascii="Arial" w:hAnsi="Arial" w:eastAsia="等线" w:cs="Arial"/>
                <w:sz w:val="22"/>
              </w:rPr>
              <w:t>特殊子类：工业发展收益债券（IDRs，Industrial Development Revenue Bonds），虽由地方政府发行，但资金专门用于资助私营企业（如工厂、制造业设施）的特定项目。信用评级依赖企业而非政府，是</w:t>
            </w:r>
            <w:r>
              <w:rPr>
                <w:rFonts w:ascii="Arial" w:hAnsi="Arial" w:eastAsia="等线" w:cs="Arial"/>
                <w:b/>
                <w:sz w:val="22"/>
              </w:rPr>
              <w:t>风险最高</w:t>
            </w:r>
            <w:r>
              <w:rPr>
                <w:rFonts w:ascii="Arial" w:hAnsi="Arial" w:eastAsia="等线" w:cs="Arial"/>
                <w:sz w:val="22"/>
              </w:rPr>
              <w:t>的市政债券，且利息可能需缴纳替代性最低税（AMT，Alternative Minimum Tax）。</w:t>
            </w:r>
          </w:p>
        </w:tc>
      </w:tr>
    </w:tbl>
    <w:p w14:paraId="69F7C7A8">
      <w:pPr>
        <w:spacing w:before="320" w:after="120" w:line="288" w:lineRule="auto"/>
        <w:ind w:left="0"/>
        <w:jc w:val="left"/>
        <w:outlineLvl w:val="1"/>
      </w:pPr>
      <w:bookmarkStart w:id="10" w:name="heading_10"/>
      <w:r>
        <w:rPr>
          <w:rFonts w:ascii="Arial" w:hAnsi="Arial" w:eastAsia="等线" w:cs="Arial"/>
          <w:color w:val="3370FF"/>
          <w:sz w:val="32"/>
        </w:rPr>
        <w:t xml:space="preserve">2.2 </w:t>
      </w:r>
      <w:r>
        <w:rPr>
          <w:rFonts w:ascii="Arial" w:hAnsi="Arial" w:eastAsia="等线" w:cs="Arial"/>
          <w:b/>
          <w:sz w:val="32"/>
        </w:rPr>
        <w:t>一级市场：将新市政债券推向市场</w:t>
      </w:r>
      <w:bookmarkEnd w:id="10"/>
    </w:p>
    <w:p w14:paraId="453C1661">
      <w:pPr>
        <w:spacing w:before="120" w:after="120" w:line="288" w:lineRule="auto"/>
        <w:ind w:left="0"/>
        <w:jc w:val="left"/>
      </w:pPr>
      <w:r>
        <w:rPr>
          <w:rFonts w:ascii="Arial" w:hAnsi="Arial" w:eastAsia="等线" w:cs="Arial"/>
          <w:sz w:val="22"/>
        </w:rPr>
        <w:t>只有 local government 和 states 可以发行，U.S.government 和 corporation 不可以发行。</w:t>
      </w:r>
    </w:p>
    <w:p w14:paraId="79B3A28D">
      <w:pPr>
        <w:spacing w:before="300" w:after="120" w:line="288" w:lineRule="auto"/>
        <w:ind w:left="0"/>
        <w:jc w:val="left"/>
        <w:outlineLvl w:val="2"/>
      </w:pPr>
      <w:bookmarkStart w:id="11" w:name="heading_11"/>
      <w:r>
        <w:rPr>
          <w:rFonts w:ascii="Arial" w:hAnsi="Arial" w:eastAsia="等线" w:cs="Arial"/>
          <w:color w:val="3370FF"/>
          <w:sz w:val="30"/>
        </w:rPr>
        <w:t xml:space="preserve">2.2.1 </w:t>
      </w:r>
      <w:r>
        <w:rPr>
          <w:rFonts w:ascii="Arial" w:hAnsi="Arial" w:eastAsia="等线" w:cs="Arial"/>
          <w:b/>
          <w:sz w:val="30"/>
        </w:rPr>
        <w:t>发行方式</w:t>
      </w:r>
      <w:bookmarkEnd w:id="11"/>
    </w:p>
    <w:p w14:paraId="039F2F3B">
      <w:pPr>
        <w:spacing w:before="120" w:after="120" w:line="288" w:lineRule="auto"/>
        <w:ind w:left="0"/>
        <w:jc w:val="left"/>
      </w:pPr>
      <w:r>
        <w:rPr>
          <w:rFonts w:ascii="Arial" w:hAnsi="Arial" w:eastAsia="等线" w:cs="Arial"/>
          <w:sz w:val="22"/>
        </w:rPr>
        <w:t>市政债券的发行方式分为竞争性招标（Competitive Offering）与协商发行（Negotiated Offering）。</w:t>
      </w:r>
    </w:p>
    <w:p w14:paraId="1F9D4C62">
      <w:pPr>
        <w:spacing w:before="120" w:after="120" w:line="288" w:lineRule="auto"/>
        <w:ind w:left="0"/>
        <w:jc w:val="left"/>
      </w:pPr>
    </w:p>
    <w:p w14:paraId="41696155">
      <w:pPr>
        <w:spacing w:before="120" w:after="120" w:line="288" w:lineRule="auto"/>
        <w:ind w:left="0"/>
        <w:jc w:val="left"/>
      </w:pPr>
      <w:r>
        <w:rPr>
          <w:rFonts w:ascii="Arial" w:hAnsi="Arial" w:eastAsia="等线" w:cs="Arial"/>
          <w:sz w:val="22"/>
        </w:rPr>
        <w:t>二者的选择依据债券类型而定，是考试中 “证券承销” 模块的关联考点。</w:t>
      </w:r>
    </w:p>
    <w:p w14:paraId="1AA0F075">
      <w:pPr>
        <w:spacing w:before="120" w:after="120" w:line="288" w:lineRule="auto"/>
        <w:ind w:left="0"/>
        <w:jc w:val="left"/>
      </w:pPr>
    </w:p>
    <w:p w14:paraId="7AE82BFB">
      <w:pPr>
        <w:spacing w:before="120" w:after="120" w:line="288" w:lineRule="auto"/>
        <w:ind w:left="0"/>
        <w:jc w:val="left"/>
      </w:pPr>
      <w:r>
        <w:rPr>
          <w:rFonts w:ascii="Arial" w:hAnsi="Arial" w:eastAsia="等线" w:cs="Arial"/>
          <w:sz w:val="22"/>
        </w:rPr>
        <w:t>理解这两种流程的关键在于把握一个核心问题：</w:t>
      </w:r>
      <w:r>
        <w:rPr>
          <w:rFonts w:ascii="Arial" w:hAnsi="Arial" w:eastAsia="等线" w:cs="Arial"/>
          <w:b/>
          <w:sz w:val="22"/>
        </w:rPr>
        <w:t>发行方（市政府、州政府等）如何选择承销商（投资银行）来销售债券？</w:t>
      </w:r>
    </w:p>
    <w:p w14:paraId="48B87F7E">
      <w:pPr>
        <w:spacing w:before="120" w:after="120" w:line="288" w:lineRule="auto"/>
        <w:ind w:left="0"/>
        <w:jc w:val="left"/>
      </w:pPr>
    </w:p>
    <w:p w14:paraId="24C1005C">
      <w:pPr>
        <w:spacing w:before="260" w:after="120" w:line="288" w:lineRule="auto"/>
        <w:ind w:left="0"/>
        <w:jc w:val="left"/>
        <w:outlineLvl w:val="3"/>
      </w:pPr>
      <w:bookmarkStart w:id="12" w:name="heading_12"/>
      <w:r>
        <w:rPr>
          <w:rFonts w:ascii="Arial" w:hAnsi="Arial" w:eastAsia="等线" w:cs="Arial"/>
          <w:color w:val="3370FF"/>
          <w:sz w:val="28"/>
        </w:rPr>
        <w:t xml:space="preserve">2.2.1.1 </w:t>
      </w:r>
      <w:r>
        <w:rPr>
          <w:rFonts w:ascii="Arial" w:hAnsi="Arial" w:eastAsia="等线" w:cs="Arial"/>
          <w:b/>
          <w:sz w:val="28"/>
        </w:rPr>
        <w:t>竞争性招标（Competitive Offering）</w:t>
      </w:r>
      <w:bookmarkEnd w:id="12"/>
    </w:p>
    <w:p w14:paraId="29BAF98C">
      <w:pPr>
        <w:spacing w:before="120" w:after="120" w:line="288" w:lineRule="auto"/>
        <w:ind w:left="0"/>
        <w:jc w:val="left"/>
      </w:pPr>
      <w:r>
        <w:rPr>
          <w:rFonts w:ascii="Arial" w:hAnsi="Arial" w:eastAsia="等线" w:cs="Arial"/>
          <w:sz w:val="22"/>
        </w:rPr>
        <w:t>竞争性招标是 GO 债券的主流发行方式。</w:t>
      </w:r>
    </w:p>
    <w:p w14:paraId="557F3953">
      <w:pPr>
        <w:spacing w:before="120" w:after="120" w:line="288" w:lineRule="auto"/>
        <w:ind w:left="0"/>
        <w:jc w:val="left"/>
      </w:pPr>
    </w:p>
    <w:p w14:paraId="685B4D60">
      <w:pPr>
        <w:spacing w:before="120" w:after="120" w:line="288" w:lineRule="auto"/>
        <w:ind w:left="0"/>
        <w:jc w:val="left"/>
      </w:pPr>
      <w:r>
        <w:rPr>
          <w:rFonts w:ascii="Arial" w:hAnsi="Arial" w:eastAsia="等线" w:cs="Arial"/>
          <w:sz w:val="22"/>
        </w:rPr>
        <w:t>因 GO 债券依赖税收，发行方需通过招标选择 “成本最低” 的承销商（Underwriter），以确保纳税人利益最大化。</w:t>
      </w:r>
    </w:p>
    <w:p w14:paraId="528719DE">
      <w:pPr>
        <w:spacing w:before="120" w:after="120" w:line="288" w:lineRule="auto"/>
        <w:ind w:left="0"/>
        <w:jc w:val="left"/>
      </w:pPr>
    </w:p>
    <w:p w14:paraId="52011054">
      <w:pPr>
        <w:spacing w:before="120" w:after="120" w:line="288" w:lineRule="auto"/>
        <w:ind w:left="0"/>
        <w:jc w:val="left"/>
      </w:pPr>
      <w:r>
        <w:rPr>
          <w:rFonts w:ascii="Arial" w:hAnsi="Arial" w:eastAsia="等线" w:cs="Arial"/>
          <w:b/>
          <w:sz w:val="22"/>
        </w:rPr>
        <w:t>关键流程：</w:t>
      </w:r>
    </w:p>
    <w:p w14:paraId="0FEBDF64">
      <w:pPr>
        <w:spacing w:before="120" w:after="120" w:line="288" w:lineRule="auto"/>
        <w:ind w:left="0"/>
        <w:jc w:val="left"/>
      </w:pPr>
    </w:p>
    <w:p w14:paraId="26255B9E">
      <w:pPr>
        <w:numPr>
          <w:ilvl w:val="0"/>
          <w:numId w:val="31"/>
        </w:numPr>
        <w:spacing w:before="120" w:after="120" w:line="288" w:lineRule="auto"/>
        <w:ind w:left="0"/>
        <w:jc w:val="left"/>
      </w:pPr>
      <w:r>
        <w:rPr>
          <w:rFonts w:ascii="Arial" w:hAnsi="Arial" w:eastAsia="等线" w:cs="Arial"/>
          <w:sz w:val="22"/>
        </w:rPr>
        <w:t>发行方发布销售公告（Notice of Sale）</w:t>
      </w:r>
    </w:p>
    <w:p w14:paraId="58507007">
      <w:pPr>
        <w:spacing w:before="120" w:after="120" w:line="288" w:lineRule="auto"/>
        <w:ind w:left="0"/>
        <w:jc w:val="left"/>
      </w:pPr>
    </w:p>
    <w:p w14:paraId="5DBA8D21">
      <w:pPr>
        <w:spacing w:before="120" w:after="120" w:line="288" w:lineRule="auto"/>
        <w:ind w:left="0"/>
        <w:jc w:val="left"/>
      </w:pPr>
      <w:r>
        <w:rPr>
          <w:rFonts w:ascii="Arial" w:hAnsi="Arial" w:eastAsia="等线" w:cs="Arial"/>
          <w:sz w:val="22"/>
        </w:rPr>
        <w:t>发行方在《Daily Bond Buyer》新市政债券核心信息平台 (the main source of information about new municipal bonds) 发布销售公告（Notice of Sale）。明确债券金额、期限、招标基准（净利息成本 NIC / 真实利息成本 TIC）、投标截止时间。</w:t>
      </w:r>
    </w:p>
    <w:p w14:paraId="41364484">
      <w:pPr>
        <w:spacing w:before="120" w:after="120" w:line="288" w:lineRule="auto"/>
        <w:ind w:left="0"/>
        <w:jc w:val="left"/>
      </w:pPr>
    </w:p>
    <w:p w14:paraId="1CC1DBD1">
      <w:pPr>
        <w:spacing w:before="120" w:after="120" w:line="288" w:lineRule="auto"/>
        <w:ind w:left="0"/>
        <w:jc w:val="left"/>
      </w:pPr>
      <w:r>
        <w:rPr>
          <w:rFonts w:ascii="Arial" w:hAnsi="Arial" w:eastAsia="等线" w:cs="Arial"/>
          <w:sz w:val="22"/>
        </w:rPr>
        <w:t>销售公告包含关于新市政债券发行的所有投标信息：</w:t>
      </w:r>
    </w:p>
    <w:p w14:paraId="3DFADAB2">
      <w:pPr>
        <w:numPr>
          <w:ilvl w:val="0"/>
          <w:numId w:val="32"/>
        </w:numPr>
        <w:spacing w:before="120" w:after="120" w:line="288" w:lineRule="auto"/>
        <w:ind w:left="0"/>
        <w:jc w:val="left"/>
      </w:pPr>
      <w:r>
        <w:rPr>
          <w:rFonts w:ascii="Arial" w:hAnsi="Arial" w:eastAsia="等线" w:cs="Arial"/>
          <w:sz w:val="22"/>
        </w:rPr>
        <w:t>发行人名称（name of the issuer）</w:t>
      </w:r>
    </w:p>
    <w:p w14:paraId="36CFFBF5">
      <w:pPr>
        <w:numPr>
          <w:ilvl w:val="0"/>
          <w:numId w:val="33"/>
        </w:numPr>
        <w:spacing w:before="120" w:after="120" w:line="288" w:lineRule="auto"/>
        <w:ind w:left="0"/>
        <w:jc w:val="left"/>
      </w:pPr>
      <w:r>
        <w:rPr>
          <w:rFonts w:ascii="Arial" w:hAnsi="Arial" w:eastAsia="等线" w:cs="Arial"/>
          <w:sz w:val="22"/>
        </w:rPr>
        <w:t>发行人说明（a description of the issuer）</w:t>
      </w:r>
    </w:p>
    <w:p w14:paraId="140ADC7A">
      <w:pPr>
        <w:numPr>
          <w:ilvl w:val="0"/>
          <w:numId w:val="34"/>
        </w:numPr>
        <w:spacing w:before="120" w:after="120" w:line="288" w:lineRule="auto"/>
        <w:ind w:left="0"/>
        <w:jc w:val="left"/>
      </w:pPr>
      <w:r>
        <w:rPr>
          <w:rFonts w:ascii="Arial" w:hAnsi="Arial" w:eastAsia="等线" w:cs="Arial"/>
          <w:sz w:val="22"/>
        </w:rPr>
        <w:t>债券类型（type of bond），GO, revenue, double-barreled 等。</w:t>
      </w:r>
    </w:p>
    <w:p w14:paraId="458BF146">
      <w:pPr>
        <w:numPr>
          <w:ilvl w:val="0"/>
          <w:numId w:val="35"/>
        </w:numPr>
        <w:spacing w:before="120" w:after="120" w:line="288" w:lineRule="auto"/>
        <w:ind w:left="0"/>
        <w:jc w:val="left"/>
      </w:pPr>
      <w:r>
        <w:rPr>
          <w:rFonts w:ascii="Arial" w:hAnsi="Arial" w:eastAsia="等线" w:cs="Arial"/>
          <w:sz w:val="22"/>
        </w:rPr>
        <w:t>投标限制（any bidding restrictions）</w:t>
      </w:r>
    </w:p>
    <w:p w14:paraId="37356C6C">
      <w:pPr>
        <w:spacing w:before="120" w:after="120" w:line="288" w:lineRule="auto"/>
        <w:ind w:left="0"/>
        <w:jc w:val="left"/>
      </w:pPr>
      <w:r>
        <w:rPr>
          <w:rFonts w:ascii="Arial" w:hAnsi="Arial" w:eastAsia="等线" w:cs="Arial"/>
          <w:sz w:val="22"/>
        </w:rPr>
        <w:t>对承销商参与投标的约束条件，如 “仅限具备市政债承销资质的金融机构投标”“单一承销商最高投标金额不超过发行总额的 30%”“不接受联合投标” 等，规范投标主体和规模。</w:t>
      </w:r>
    </w:p>
    <w:p w14:paraId="0F783608">
      <w:pPr>
        <w:numPr>
          <w:ilvl w:val="0"/>
          <w:numId w:val="36"/>
        </w:numPr>
        <w:spacing w:before="120" w:after="120" w:line="288" w:lineRule="auto"/>
        <w:ind w:left="0"/>
        <w:jc w:val="left"/>
      </w:pPr>
      <w:r>
        <w:rPr>
          <w:rFonts w:ascii="Arial" w:hAnsi="Arial" w:eastAsia="等线" w:cs="Arial"/>
          <w:sz w:val="22"/>
        </w:rPr>
        <w:t>起息日（the dated date）</w:t>
      </w:r>
    </w:p>
    <w:p w14:paraId="09DA9553">
      <w:pPr>
        <w:numPr>
          <w:ilvl w:val="0"/>
          <w:numId w:val="37"/>
        </w:numPr>
        <w:spacing w:before="120" w:after="120" w:line="288" w:lineRule="auto"/>
        <w:ind w:left="0"/>
        <w:jc w:val="left"/>
      </w:pPr>
      <w:r>
        <w:rPr>
          <w:rFonts w:ascii="Arial" w:hAnsi="Arial" w:eastAsia="等线" w:cs="Arial"/>
          <w:sz w:val="22"/>
        </w:rPr>
        <w:t>赎回条款（any call provisions）</w:t>
      </w:r>
    </w:p>
    <w:p w14:paraId="62235670">
      <w:pPr>
        <w:numPr>
          <w:ilvl w:val="0"/>
          <w:numId w:val="38"/>
        </w:numPr>
        <w:spacing w:before="120" w:after="120" w:line="288" w:lineRule="auto"/>
        <w:ind w:left="0"/>
        <w:jc w:val="left"/>
      </w:pPr>
      <w:r>
        <w:rPr>
          <w:rFonts w:ascii="Arial" w:hAnsi="Arial" w:eastAsia="等线" w:cs="Arial"/>
          <w:sz w:val="22"/>
        </w:rPr>
        <w:t>债券面值（denomination of certificates）</w:t>
      </w:r>
    </w:p>
    <w:p w14:paraId="223C2A1D">
      <w:pPr>
        <w:numPr>
          <w:ilvl w:val="0"/>
          <w:numId w:val="39"/>
        </w:numPr>
        <w:spacing w:before="120" w:after="120" w:line="288" w:lineRule="auto"/>
        <w:ind w:left="0"/>
        <w:jc w:val="left"/>
      </w:pPr>
      <w:r>
        <w:rPr>
          <w:rFonts w:ascii="Arial" w:hAnsi="Arial" w:eastAsia="等线" w:cs="Arial"/>
          <w:sz w:val="22"/>
        </w:rPr>
        <w:t>债券金额（amount of bonds）</w:t>
      </w:r>
    </w:p>
    <w:p w14:paraId="6ECC833B">
      <w:pPr>
        <w:numPr>
          <w:ilvl w:val="0"/>
          <w:numId w:val="40"/>
        </w:numPr>
        <w:spacing w:before="120" w:after="120" w:line="288" w:lineRule="auto"/>
        <w:ind w:left="0"/>
        <w:jc w:val="left"/>
      </w:pPr>
      <w:r>
        <w:rPr>
          <w:rFonts w:ascii="Arial" w:hAnsi="Arial" w:eastAsia="等线" w:cs="Arial"/>
          <w:sz w:val="22"/>
        </w:rPr>
        <w:t>债券期限（maturity of bonds）</w:t>
      </w:r>
    </w:p>
    <w:p w14:paraId="5A9E4558">
      <w:pPr>
        <w:numPr>
          <w:ilvl w:val="0"/>
          <w:numId w:val="41"/>
        </w:numPr>
        <w:spacing w:before="120" w:after="120" w:line="288" w:lineRule="auto"/>
        <w:ind w:left="0"/>
        <w:jc w:val="left"/>
      </w:pPr>
      <w:r>
        <w:rPr>
          <w:rFonts w:ascii="Arial" w:hAnsi="Arial" w:eastAsia="等线" w:cs="Arial"/>
          <w:sz w:val="22"/>
        </w:rPr>
        <w:t>利息支付日期（interest and payment dates）。注意，这里不包含利息，只是利息的支付日期。</w:t>
      </w:r>
    </w:p>
    <w:p w14:paraId="411223CF">
      <w:pPr>
        <w:numPr>
          <w:ilvl w:val="0"/>
          <w:numId w:val="42"/>
        </w:numPr>
        <w:spacing w:before="120" w:after="120" w:line="288" w:lineRule="auto"/>
        <w:ind w:left="0"/>
        <w:jc w:val="left"/>
      </w:pPr>
      <w:r>
        <w:rPr>
          <w:rFonts w:ascii="Arial" w:hAnsi="Arial" w:eastAsia="等线" w:cs="Arial"/>
          <w:sz w:val="22"/>
        </w:rPr>
        <w:t>债券法律顾问名称（the name of the bond counsel）</w:t>
      </w:r>
    </w:p>
    <w:p w14:paraId="0720089E">
      <w:pPr>
        <w:numPr>
          <w:ilvl w:val="0"/>
          <w:numId w:val="43"/>
        </w:numPr>
        <w:spacing w:before="120" w:after="120" w:line="288" w:lineRule="auto"/>
        <w:ind w:left="0"/>
        <w:jc w:val="left"/>
      </w:pPr>
      <w:r>
        <w:rPr>
          <w:rFonts w:ascii="Arial" w:hAnsi="Arial" w:eastAsia="等线" w:cs="Arial"/>
          <w:sz w:val="22"/>
        </w:rPr>
        <w:t>受托人名称（the name of the trustee）</w:t>
      </w:r>
    </w:p>
    <w:p w14:paraId="497CDB4D">
      <w:pPr>
        <w:spacing w:before="120" w:after="120" w:line="288" w:lineRule="auto"/>
        <w:ind w:left="0"/>
        <w:jc w:val="left"/>
      </w:pPr>
      <w:r>
        <w:rPr>
          <w:rFonts w:ascii="Arial" w:hAnsi="Arial" w:eastAsia="等线" w:cs="Arial"/>
          <w:sz w:val="22"/>
        </w:rPr>
        <w:t>受投资者委托，监督发行人履行偿债义务的第三方机构（通常为银行或信托公司），负责接收发行人支付的本息并转付给投资者、监督资金使用（尤其对收益债券），保障投资者权益。</w:t>
      </w:r>
    </w:p>
    <w:p w14:paraId="7F5FA431">
      <w:pPr>
        <w:numPr>
          <w:ilvl w:val="0"/>
          <w:numId w:val="44"/>
        </w:numPr>
        <w:spacing w:before="120" w:after="120" w:line="288" w:lineRule="auto"/>
        <w:ind w:left="0"/>
        <w:jc w:val="left"/>
      </w:pPr>
      <w:r>
        <w:rPr>
          <w:rFonts w:ascii="Arial" w:hAnsi="Arial" w:eastAsia="等线" w:cs="Arial"/>
          <w:sz w:val="22"/>
        </w:rPr>
        <w:t>投标提交地点（where to submit bids）</w:t>
      </w:r>
    </w:p>
    <w:p w14:paraId="03D09238">
      <w:pPr>
        <w:numPr>
          <w:ilvl w:val="0"/>
          <w:numId w:val="45"/>
        </w:numPr>
        <w:spacing w:before="120" w:after="120" w:line="288" w:lineRule="auto"/>
        <w:ind w:left="0"/>
        <w:jc w:val="left"/>
      </w:pPr>
      <w:r>
        <w:rPr>
          <w:rFonts w:ascii="Arial" w:hAnsi="Arial" w:eastAsia="等线" w:cs="Arial"/>
          <w:sz w:val="22"/>
        </w:rPr>
        <w:t>诚意金金额（amount of the good-faith deposit）</w:t>
      </w:r>
    </w:p>
    <w:p w14:paraId="139DB592">
      <w:pPr>
        <w:numPr>
          <w:ilvl w:val="0"/>
          <w:numId w:val="46"/>
        </w:numPr>
        <w:spacing w:before="120" w:after="120" w:line="288" w:lineRule="auto"/>
        <w:ind w:left="0"/>
        <w:jc w:val="left"/>
      </w:pPr>
      <w:r>
        <w:rPr>
          <w:rFonts w:ascii="Arial" w:hAnsi="Arial" w:eastAsia="等线" w:cs="Arial"/>
          <w:sz w:val="22"/>
        </w:rPr>
        <w:t>以净利息成本（NIC，net interest cost）还是真实利息成本（TIC，true interest cost，即考虑货币时间价值）为基础进行投标</w:t>
      </w:r>
    </w:p>
    <w:p w14:paraId="7EF91250">
      <w:pPr>
        <w:numPr>
          <w:ilvl w:val="0"/>
          <w:numId w:val="47"/>
        </w:numPr>
        <w:spacing w:before="120" w:after="120" w:line="288" w:lineRule="auto"/>
        <w:ind w:left="0"/>
        <w:jc w:val="left"/>
      </w:pPr>
      <w:r>
        <w:rPr>
          <w:rFonts w:ascii="Arial" w:hAnsi="Arial" w:eastAsia="等线" w:cs="Arial"/>
          <w:sz w:val="22"/>
        </w:rPr>
        <w:t>等等。</w:t>
      </w:r>
    </w:p>
    <w:p w14:paraId="708EFBBC">
      <w:pPr>
        <w:spacing w:before="120" w:after="120" w:line="288" w:lineRule="auto"/>
        <w:ind w:left="0"/>
        <w:jc w:val="left"/>
      </w:pPr>
    </w:p>
    <w:p w14:paraId="421376BD">
      <w:pPr>
        <w:numPr>
          <w:ilvl w:val="0"/>
          <w:numId w:val="48"/>
        </w:numPr>
        <w:spacing w:before="120" w:after="120" w:line="288" w:lineRule="auto"/>
        <w:ind w:left="0"/>
        <w:jc w:val="left"/>
      </w:pPr>
      <w:r>
        <w:rPr>
          <w:rFonts w:ascii="Arial" w:hAnsi="Arial" w:eastAsia="等线" w:cs="Arial"/>
          <w:sz w:val="22"/>
        </w:rPr>
        <w:t>承销商准备：分析与制定报价</w:t>
      </w:r>
    </w:p>
    <w:p w14:paraId="03B5C7E6">
      <w:pPr>
        <w:numPr>
          <w:ilvl w:val="0"/>
          <w:numId w:val="49"/>
        </w:numPr>
        <w:spacing w:before="120" w:after="120" w:line="288" w:lineRule="auto"/>
        <w:ind w:left="0"/>
        <w:jc w:val="left"/>
      </w:pPr>
      <w:r>
        <w:rPr>
          <w:rFonts w:ascii="Arial" w:hAnsi="Arial" w:eastAsia="等线" w:cs="Arial"/>
          <w:sz w:val="22"/>
        </w:rPr>
        <w:t>有意向的承销商（通常为具备市政债承销资质的金融机构）负责确定票面利率（基于发行人的信用记录、未偿还债务金额、发行规模、税基等）以及该发行的销售价格。</w:t>
      </w:r>
    </w:p>
    <w:p w14:paraId="75167F77">
      <w:pPr>
        <w:numPr>
          <w:ilvl w:val="0"/>
          <w:numId w:val="50"/>
        </w:numPr>
        <w:spacing w:before="120" w:after="120" w:line="288" w:lineRule="auto"/>
        <w:ind w:left="0"/>
        <w:jc w:val="left"/>
      </w:pPr>
      <w:r>
        <w:rPr>
          <w:rFonts w:ascii="Arial" w:hAnsi="Arial" w:eastAsia="等线" w:cs="Arial"/>
          <w:sz w:val="22"/>
        </w:rPr>
        <w:t>制定</w:t>
      </w:r>
      <w:r>
        <w:rPr>
          <w:rFonts w:ascii="Arial" w:hAnsi="Arial" w:eastAsia="等线" w:cs="Arial"/>
          <w:b/>
          <w:sz w:val="22"/>
        </w:rPr>
        <w:t>投标报价</w:t>
      </w:r>
      <w:r>
        <w:rPr>
          <w:rFonts w:ascii="Arial" w:hAnsi="Arial" w:eastAsia="等线" w:cs="Arial"/>
          <w:sz w:val="22"/>
        </w:rPr>
        <w:t>：核心是确定 “收益率”（对承销商而言，是购买债券的成本；对发行人而言，是融资成本），报价需符合招标公告要求（如是否允许浮动利率、最小报价单位等）。</w:t>
      </w:r>
    </w:p>
    <w:p w14:paraId="2F994E12">
      <w:pPr>
        <w:numPr>
          <w:ilvl w:val="0"/>
          <w:numId w:val="51"/>
        </w:numPr>
        <w:spacing w:before="120" w:after="120" w:line="288" w:lineRule="auto"/>
        <w:ind w:left="0"/>
        <w:jc w:val="left"/>
      </w:pPr>
      <w:r>
        <w:rPr>
          <w:rFonts w:ascii="Arial" w:hAnsi="Arial" w:eastAsia="等线" w:cs="Arial"/>
          <w:sz w:val="22"/>
        </w:rPr>
        <w:t>注意：承销商需在截止时间前提交密封的投标文件，避免报价泄露。</w:t>
      </w:r>
    </w:p>
    <w:p w14:paraId="3E1F0D76">
      <w:pPr>
        <w:spacing w:before="120" w:after="120" w:line="288" w:lineRule="auto"/>
        <w:ind w:left="0"/>
        <w:jc w:val="left"/>
      </w:pPr>
    </w:p>
    <w:p w14:paraId="0D0F7673">
      <w:pPr>
        <w:numPr>
          <w:ilvl w:val="0"/>
          <w:numId w:val="52"/>
        </w:numPr>
        <w:spacing w:before="120" w:after="120" w:line="288" w:lineRule="auto"/>
        <w:ind w:left="0"/>
        <w:jc w:val="left"/>
      </w:pPr>
      <w:r>
        <w:rPr>
          <w:rFonts w:ascii="Arial" w:hAnsi="Arial" w:eastAsia="等线" w:cs="Arial"/>
          <w:sz w:val="22"/>
        </w:rPr>
        <w:t>投标提交：承销商提交密封报价</w:t>
      </w:r>
    </w:p>
    <w:p w14:paraId="06E1B7E4">
      <w:pPr>
        <w:numPr>
          <w:ilvl w:val="0"/>
          <w:numId w:val="53"/>
        </w:numPr>
        <w:spacing w:before="120" w:after="120" w:line="288" w:lineRule="auto"/>
        <w:ind w:left="0"/>
        <w:jc w:val="left"/>
      </w:pPr>
      <w:r>
        <w:rPr>
          <w:rFonts w:ascii="Arial" w:hAnsi="Arial" w:eastAsia="等线" w:cs="Arial"/>
          <w:sz w:val="22"/>
        </w:rPr>
        <w:t>承销商按公告要求，将包含 “拟承销金额、收益率报价、承诺条款” 的投标文件密封后，通过线上平台（如市政债招标系统）或线下指定地点提交给发行人或其委托的代理机构（如信托公司）。</w:t>
      </w:r>
    </w:p>
    <w:p w14:paraId="27F72C38">
      <w:pPr>
        <w:numPr>
          <w:ilvl w:val="0"/>
          <w:numId w:val="54"/>
        </w:numPr>
        <w:spacing w:before="120" w:after="120" w:line="288" w:lineRule="auto"/>
        <w:ind w:left="0"/>
        <w:jc w:val="left"/>
      </w:pPr>
      <w:r>
        <w:rPr>
          <w:rFonts w:ascii="Arial" w:hAnsi="Arial" w:eastAsia="等线" w:cs="Arial"/>
          <w:sz w:val="22"/>
        </w:rPr>
        <w:t>投标截止后，发行人将所有投标文件统一开封，进入评审环节，期间不接受任何补充或修改。</w:t>
      </w:r>
    </w:p>
    <w:p w14:paraId="3F02F72A">
      <w:pPr>
        <w:spacing w:before="120" w:after="120" w:line="288" w:lineRule="auto"/>
        <w:ind w:left="0"/>
        <w:jc w:val="left"/>
      </w:pPr>
    </w:p>
    <w:p w14:paraId="2B5D900E">
      <w:pPr>
        <w:numPr>
          <w:ilvl w:val="0"/>
          <w:numId w:val="55"/>
        </w:numPr>
        <w:spacing w:before="120" w:after="120" w:line="288" w:lineRule="auto"/>
        <w:ind w:left="0"/>
        <w:jc w:val="left"/>
      </w:pPr>
      <w:r>
        <w:rPr>
          <w:rFonts w:ascii="Arial" w:hAnsi="Arial" w:eastAsia="等线" w:cs="Arial"/>
          <w:sz w:val="22"/>
        </w:rPr>
        <w:t>开标评审：筛选最优中标者</w:t>
      </w:r>
    </w:p>
    <w:p w14:paraId="4212C861">
      <w:pPr>
        <w:spacing w:before="120" w:after="120" w:line="288" w:lineRule="auto"/>
        <w:ind w:left="0"/>
        <w:jc w:val="left"/>
      </w:pPr>
      <w:r>
        <w:rPr>
          <w:rFonts w:ascii="Arial" w:hAnsi="Arial" w:eastAsia="等线" w:cs="Arial"/>
          <w:sz w:val="22"/>
        </w:rPr>
        <w:t>发行人按 “对自身最有利” 的原则评审报价：核心是选择 “收益率最低” 的承销商（因收益率越低，发行人融资成本越低）。</w:t>
      </w:r>
    </w:p>
    <w:p w14:paraId="1CEE3561">
      <w:pPr>
        <w:spacing w:before="120" w:after="120" w:line="288" w:lineRule="auto"/>
        <w:ind w:left="0"/>
        <w:jc w:val="left"/>
      </w:pPr>
    </w:p>
    <w:p w14:paraId="5EB03A66">
      <w:pPr>
        <w:numPr>
          <w:ilvl w:val="0"/>
          <w:numId w:val="56"/>
        </w:numPr>
        <w:spacing w:before="120" w:after="120" w:line="288" w:lineRule="auto"/>
        <w:ind w:left="0"/>
        <w:jc w:val="left"/>
      </w:pPr>
      <w:r>
        <w:rPr>
          <w:rFonts w:ascii="Arial" w:hAnsi="Arial" w:eastAsia="等线" w:cs="Arial"/>
          <w:sz w:val="22"/>
        </w:rPr>
        <w:t>确定中标与签订协议</w:t>
      </w:r>
    </w:p>
    <w:p w14:paraId="173A5AC4">
      <w:pPr>
        <w:numPr>
          <w:ilvl w:val="0"/>
          <w:numId w:val="57"/>
        </w:numPr>
        <w:spacing w:before="120" w:after="120" w:line="288" w:lineRule="auto"/>
        <w:ind w:left="0"/>
        <w:jc w:val="left"/>
      </w:pPr>
      <w:r>
        <w:rPr>
          <w:rFonts w:ascii="Arial" w:hAnsi="Arial" w:eastAsia="等线" w:cs="Arial"/>
          <w:sz w:val="22"/>
        </w:rPr>
        <w:t>发行人公示中标结果（中标承销商名单、中标收益率、承销金额），并与中标承销商签订</w:t>
      </w:r>
      <w:r>
        <w:rPr>
          <w:rFonts w:ascii="Arial" w:hAnsi="Arial" w:eastAsia="等线" w:cs="Arial"/>
          <w:b/>
          <w:sz w:val="22"/>
        </w:rPr>
        <w:t>承销协议</w:t>
      </w:r>
      <w:r>
        <w:rPr>
          <w:rFonts w:ascii="Arial" w:hAnsi="Arial" w:eastAsia="等线" w:cs="Arial"/>
          <w:sz w:val="22"/>
        </w:rPr>
        <w:t>。</w:t>
      </w:r>
    </w:p>
    <w:p w14:paraId="06875A9A">
      <w:pPr>
        <w:numPr>
          <w:ilvl w:val="0"/>
          <w:numId w:val="58"/>
        </w:numPr>
        <w:spacing w:before="120" w:after="120" w:line="288" w:lineRule="auto"/>
        <w:ind w:left="0"/>
        <w:jc w:val="left"/>
      </w:pPr>
      <w:r>
        <w:rPr>
          <w:rFonts w:ascii="Arial" w:hAnsi="Arial" w:eastAsia="等线" w:cs="Arial"/>
          <w:sz w:val="22"/>
        </w:rPr>
        <w:t>协议明确双方权利义务：承销商需按约定时间向发行人支付承销款项，发行人需配合提供后续发行所需文件。</w:t>
      </w:r>
    </w:p>
    <w:p w14:paraId="14DD895E">
      <w:pPr>
        <w:spacing w:before="120" w:after="120" w:line="288" w:lineRule="auto"/>
        <w:ind w:left="0"/>
        <w:jc w:val="left"/>
      </w:pPr>
    </w:p>
    <w:p w14:paraId="79EA26DF">
      <w:pPr>
        <w:numPr>
          <w:ilvl w:val="0"/>
          <w:numId w:val="59"/>
        </w:numPr>
        <w:spacing w:before="120" w:after="120" w:line="288" w:lineRule="auto"/>
        <w:ind w:left="0"/>
        <w:jc w:val="left"/>
      </w:pPr>
      <w:r>
        <w:rPr>
          <w:rFonts w:ascii="Arial" w:hAnsi="Arial" w:eastAsia="等线" w:cs="Arial"/>
          <w:sz w:val="22"/>
        </w:rPr>
        <w:t>债券分销与上市</w:t>
      </w:r>
    </w:p>
    <w:p w14:paraId="54DF0CE9">
      <w:pPr>
        <w:numPr>
          <w:ilvl w:val="0"/>
          <w:numId w:val="60"/>
        </w:numPr>
        <w:spacing w:before="120" w:after="120" w:line="288" w:lineRule="auto"/>
        <w:ind w:left="0"/>
        <w:jc w:val="left"/>
      </w:pPr>
      <w:r>
        <w:rPr>
          <w:rFonts w:ascii="Arial" w:hAnsi="Arial" w:eastAsia="等线" w:cs="Arial"/>
          <w:sz w:val="22"/>
        </w:rPr>
        <w:t>中标承销商将承接的市政债券，通过二级市场分销给投资者（如基金公司、保险公司、个人投资者），完成债券的最终发行。</w:t>
      </w:r>
    </w:p>
    <w:p w14:paraId="610341A8">
      <w:pPr>
        <w:numPr>
          <w:ilvl w:val="0"/>
          <w:numId w:val="61"/>
        </w:numPr>
        <w:spacing w:before="120" w:after="120" w:line="288" w:lineRule="auto"/>
        <w:ind w:left="0"/>
        <w:jc w:val="left"/>
      </w:pPr>
      <w:r>
        <w:rPr>
          <w:rFonts w:ascii="Arial" w:hAnsi="Arial" w:eastAsia="等线" w:cs="Arial"/>
          <w:sz w:val="22"/>
        </w:rPr>
        <w:t>若债券计划上市交易，承销商需协助发行人完成交易所或场外市场的上市备案，确保债券能正常流通。</w:t>
      </w:r>
    </w:p>
    <w:p w14:paraId="30695428">
      <w:pPr>
        <w:spacing w:before="120" w:after="120" w:line="288" w:lineRule="auto"/>
        <w:ind w:left="0"/>
        <w:jc w:val="left"/>
      </w:pPr>
    </w:p>
    <w:p w14:paraId="291FF2A3">
      <w:pPr>
        <w:spacing w:before="260" w:after="120" w:line="288" w:lineRule="auto"/>
        <w:ind w:left="0"/>
        <w:jc w:val="left"/>
        <w:outlineLvl w:val="3"/>
      </w:pPr>
      <w:bookmarkStart w:id="13" w:name="heading_13"/>
      <w:r>
        <w:rPr>
          <w:rFonts w:ascii="Arial" w:hAnsi="Arial" w:eastAsia="等线" w:cs="Arial"/>
          <w:color w:val="3370FF"/>
          <w:sz w:val="28"/>
        </w:rPr>
        <w:t xml:space="preserve">2.2.1.2 </w:t>
      </w:r>
      <w:r>
        <w:rPr>
          <w:rFonts w:ascii="Arial" w:hAnsi="Arial" w:eastAsia="等线" w:cs="Arial"/>
          <w:b/>
          <w:sz w:val="28"/>
        </w:rPr>
        <w:t>协商发行（Negotiated Offering）</w:t>
      </w:r>
      <w:bookmarkEnd w:id="13"/>
    </w:p>
    <w:p w14:paraId="2EBEE9C0">
      <w:pPr>
        <w:numPr>
          <w:ilvl w:val="0"/>
          <w:numId w:val="62"/>
        </w:numPr>
        <w:spacing w:before="120" w:after="120" w:line="288" w:lineRule="auto"/>
        <w:ind w:left="0"/>
        <w:jc w:val="left"/>
      </w:pPr>
      <w:r>
        <w:rPr>
          <w:rFonts w:ascii="Arial" w:hAnsi="Arial" w:eastAsia="等线" w:cs="Arial"/>
          <w:sz w:val="22"/>
        </w:rPr>
        <w:t>收益债券（Revenue Bonds）主流方式。</w:t>
      </w:r>
    </w:p>
    <w:p w14:paraId="3FE56731">
      <w:pPr>
        <w:numPr>
          <w:ilvl w:val="0"/>
          <w:numId w:val="63"/>
        </w:numPr>
        <w:spacing w:before="120" w:after="120" w:line="288" w:lineRule="auto"/>
        <w:ind w:left="0"/>
        <w:jc w:val="left"/>
      </w:pPr>
      <w:r>
        <w:rPr>
          <w:rFonts w:ascii="Arial" w:hAnsi="Arial" w:eastAsia="等线" w:cs="Arial"/>
          <w:sz w:val="22"/>
        </w:rPr>
        <w:t>适用场景：主要用于收益债券，因收益债券项目复杂（如机场、医院），发行方需与承销商协商发行细节（如发行时机、 coupon 利率、销售策略）。</w:t>
      </w:r>
    </w:p>
    <w:p w14:paraId="3B2D8FDD">
      <w:pPr>
        <w:numPr>
          <w:ilvl w:val="0"/>
          <w:numId w:val="64"/>
        </w:numPr>
        <w:spacing w:before="120" w:after="120" w:line="288" w:lineRule="auto"/>
        <w:ind w:left="0"/>
        <w:jc w:val="left"/>
      </w:pPr>
      <w:r>
        <w:rPr>
          <w:rFonts w:ascii="Arial" w:hAnsi="Arial" w:eastAsia="等线" w:cs="Arial"/>
          <w:sz w:val="22"/>
        </w:rPr>
        <w:t>关键流程：</w:t>
      </w:r>
    </w:p>
    <w:p w14:paraId="73F1C721">
      <w:pPr>
        <w:numPr>
          <w:ilvl w:val="0"/>
          <w:numId w:val="65"/>
        </w:numPr>
        <w:spacing w:before="120" w:after="120" w:line="288" w:lineRule="auto"/>
        <w:ind w:left="453"/>
        <w:jc w:val="left"/>
      </w:pPr>
      <w:r>
        <w:rPr>
          <w:rFonts w:ascii="Arial" w:hAnsi="Arial" w:eastAsia="等线" w:cs="Arial"/>
          <w:sz w:val="22"/>
        </w:rPr>
        <w:t>发行方直接选择熟悉地方市场的承销商，双方协商确定债券发行条款（如期限、利率、承销价差）。</w:t>
      </w:r>
    </w:p>
    <w:p w14:paraId="61801EFB">
      <w:pPr>
        <w:numPr>
          <w:ilvl w:val="0"/>
          <w:numId w:val="66"/>
        </w:numPr>
        <w:spacing w:before="120" w:after="120" w:line="288" w:lineRule="auto"/>
        <w:ind w:left="453"/>
        <w:jc w:val="left"/>
      </w:pPr>
      <w:r>
        <w:rPr>
          <w:rFonts w:ascii="Arial" w:hAnsi="Arial" w:eastAsia="等线" w:cs="Arial"/>
          <w:sz w:val="22"/>
        </w:rPr>
        <w:t>承销商负责撰写 “官方声明”（Official Statement，类似招股书）、组织销售，无需公开招标。</w:t>
      </w:r>
    </w:p>
    <w:p w14:paraId="5BAEA77E">
      <w:pPr>
        <w:numPr>
          <w:ilvl w:val="0"/>
          <w:numId w:val="67"/>
        </w:numPr>
        <w:spacing w:before="120" w:after="120" w:line="288" w:lineRule="auto"/>
        <w:ind w:left="0"/>
        <w:jc w:val="left"/>
      </w:pPr>
      <w:r>
        <w:rPr>
          <w:rFonts w:ascii="Arial" w:hAnsi="Arial" w:eastAsia="等线" w:cs="Arial"/>
          <w:sz w:val="22"/>
        </w:rPr>
        <w:t>考试提示：题干中出现 “GO 债券”“纳税人利益”“招标通知”，对应竞争性招标；出现 “收益债券”“项目复杂”“直接选择承销商”，对应协商发行。</w:t>
      </w:r>
    </w:p>
    <w:p w14:paraId="26116724">
      <w:pPr>
        <w:spacing w:before="120" w:after="120" w:line="288" w:lineRule="auto"/>
        <w:ind w:left="0"/>
        <w:jc w:val="left"/>
      </w:pPr>
    </w:p>
    <w:p w14:paraId="6EF46FFE">
      <w:pPr>
        <w:spacing w:before="300" w:after="120" w:line="288" w:lineRule="auto"/>
        <w:ind w:left="0"/>
        <w:jc w:val="left"/>
        <w:outlineLvl w:val="2"/>
      </w:pPr>
      <w:bookmarkStart w:id="14" w:name="heading_14"/>
      <w:r>
        <w:rPr>
          <w:rFonts w:ascii="Arial" w:hAnsi="Arial" w:eastAsia="等线" w:cs="Arial"/>
          <w:color w:val="3370FF"/>
          <w:sz w:val="30"/>
        </w:rPr>
        <w:t xml:space="preserve">2.2.2 </w:t>
      </w:r>
      <w:r>
        <w:rPr>
          <w:rFonts w:ascii="Arial" w:hAnsi="Arial" w:eastAsia="等线" w:cs="Arial"/>
          <w:b/>
          <w:sz w:val="30"/>
        </w:rPr>
        <w:t>订单分配（Allocation of orders）</w:t>
      </w:r>
      <w:bookmarkEnd w:id="14"/>
    </w:p>
    <w:p w14:paraId="18C74B73">
      <w:pPr>
        <w:spacing w:before="120" w:after="120" w:line="288" w:lineRule="auto"/>
        <w:ind w:left="0"/>
        <w:jc w:val="left"/>
      </w:pPr>
      <w:r>
        <w:rPr>
          <w:rFonts w:ascii="Arial" w:hAnsi="Arial" w:eastAsia="等线" w:cs="Arial"/>
          <w:sz w:val="22"/>
        </w:rPr>
        <w:t>根据市政证券规则制定委员会（MSRB）的规定，所有承销团（syndicates）都必须制定订单分配方案。</w:t>
      </w:r>
    </w:p>
    <w:p w14:paraId="3BD95D9D">
      <w:pPr>
        <w:spacing w:before="120" w:after="120" w:line="288" w:lineRule="auto"/>
        <w:ind w:left="0"/>
        <w:jc w:val="left"/>
      </w:pPr>
    </w:p>
    <w:p w14:paraId="56F0D677">
      <w:pPr>
        <w:spacing w:before="120" w:after="120" w:line="288" w:lineRule="auto"/>
        <w:ind w:left="0"/>
        <w:jc w:val="left"/>
      </w:pPr>
      <w:r>
        <w:rPr>
          <w:rFonts w:ascii="Arial" w:hAnsi="Arial" w:eastAsia="等线" w:cs="Arial"/>
          <w:sz w:val="22"/>
        </w:rPr>
        <w:t>订单分配方案会明确哪些订单优先执行——这是一项优先条款。应向提出请求的客户提供该订单分配方案。订单分配方案包含在承销团协议（承销商之间的协议）中，且必须经所有承销团成员签字。</w:t>
      </w:r>
    </w:p>
    <w:p w14:paraId="483EDAA9">
      <w:pPr>
        <w:spacing w:before="120" w:after="120" w:line="288" w:lineRule="auto"/>
        <w:ind w:left="0"/>
        <w:jc w:val="left"/>
      </w:pPr>
    </w:p>
    <w:p w14:paraId="127B036B">
      <w:pPr>
        <w:spacing w:before="120" w:after="120" w:line="288" w:lineRule="auto"/>
        <w:ind w:left="0"/>
        <w:jc w:val="left"/>
      </w:pPr>
      <w:r>
        <w:rPr>
          <w:rFonts w:ascii="Arial" w:hAnsi="Arial" w:eastAsia="等线" w:cs="Arial"/>
          <w:sz w:val="22"/>
        </w:rPr>
        <w:t>典型的订单分配顺序如下：</w:t>
      </w:r>
    </w:p>
    <w:p w14:paraId="1AB8490A">
      <w:pPr>
        <w:numPr>
          <w:ilvl w:val="0"/>
          <w:numId w:val="68"/>
        </w:numPr>
        <w:spacing w:before="120" w:after="120" w:line="288" w:lineRule="auto"/>
        <w:ind w:left="0"/>
        <w:jc w:val="left"/>
      </w:pPr>
      <w:r>
        <w:rPr>
          <w:rFonts w:ascii="Arial" w:hAnsi="Arial" w:eastAsia="等线" w:cs="Arial"/>
          <w:sz w:val="22"/>
        </w:rPr>
        <w:t>预售订单（Presale orders）</w:t>
      </w:r>
    </w:p>
    <w:p w14:paraId="5CA551CE">
      <w:pPr>
        <w:spacing w:before="120" w:after="120" w:line="288" w:lineRule="auto"/>
        <w:ind w:left="0"/>
        <w:jc w:val="left"/>
      </w:pPr>
      <w:r>
        <w:rPr>
          <w:rFonts w:ascii="Arial" w:hAnsi="Arial" w:eastAsia="等线" w:cs="Arial"/>
          <w:sz w:val="22"/>
        </w:rPr>
        <w:t>这些订单是在证券正式发售日期之前下达的。</w:t>
      </w:r>
    </w:p>
    <w:p w14:paraId="3C7F49A0">
      <w:pPr>
        <w:numPr>
          <w:ilvl w:val="0"/>
          <w:numId w:val="69"/>
        </w:numPr>
        <w:spacing w:before="120" w:after="120" w:line="288" w:lineRule="auto"/>
        <w:ind w:left="0"/>
        <w:jc w:val="left"/>
      </w:pPr>
      <w:r>
        <w:rPr>
          <w:rFonts w:ascii="Arial" w:hAnsi="Arial" w:eastAsia="等线" w:cs="Arial"/>
          <w:sz w:val="22"/>
        </w:rPr>
        <w:t>辛迪加（团体净价）订单（Syndicate (group-net) orders）</w:t>
      </w:r>
    </w:p>
    <w:p w14:paraId="2B2C1FC5">
      <w:pPr>
        <w:spacing w:before="120" w:after="120" w:line="288" w:lineRule="auto"/>
        <w:ind w:left="0"/>
        <w:jc w:val="left"/>
      </w:pPr>
      <w:r>
        <w:rPr>
          <w:rFonts w:ascii="Arial" w:hAnsi="Arial" w:eastAsia="等线" w:cs="Arial"/>
          <w:sz w:val="22"/>
        </w:rPr>
        <w:t>在这种情况下，收到订单的辛迪加成员会将这笔销售业绩记在所有辛迪加成员名下，因此所有成员都能获利。</w:t>
      </w:r>
    </w:p>
    <w:p w14:paraId="529C988D">
      <w:pPr>
        <w:numPr>
          <w:ilvl w:val="0"/>
          <w:numId w:val="70"/>
        </w:numPr>
        <w:spacing w:before="120" w:after="120" w:line="288" w:lineRule="auto"/>
        <w:ind w:left="0"/>
        <w:jc w:val="left"/>
      </w:pPr>
      <w:r>
        <w:rPr>
          <w:rFonts w:ascii="Arial" w:hAnsi="Arial" w:eastAsia="等线" w:cs="Arial"/>
          <w:sz w:val="22"/>
        </w:rPr>
        <w:t>指定订单（Designated orders）</w:t>
      </w:r>
    </w:p>
    <w:p w14:paraId="4CC632B0">
      <w:pPr>
        <w:spacing w:before="120" w:after="120" w:line="288" w:lineRule="auto"/>
        <w:ind w:left="0"/>
        <w:jc w:val="left"/>
      </w:pPr>
      <w:r>
        <w:rPr>
          <w:rFonts w:ascii="Arial" w:hAnsi="Arial" w:eastAsia="等线" w:cs="Arial"/>
          <w:sz w:val="22"/>
        </w:rPr>
        <w:t>对于指定订单，买方会指明由哪个辛迪加成员从销售中获利。</w:t>
      </w:r>
    </w:p>
    <w:p w14:paraId="3C8BF0C8">
      <w:pPr>
        <w:numPr>
          <w:ilvl w:val="0"/>
          <w:numId w:val="71"/>
        </w:numPr>
        <w:spacing w:before="120" w:after="120" w:line="288" w:lineRule="auto"/>
        <w:ind w:left="0"/>
        <w:jc w:val="left"/>
      </w:pPr>
      <w:r>
        <w:rPr>
          <w:rFonts w:ascii="Arial" w:hAnsi="Arial" w:eastAsia="等线" w:cs="Arial"/>
          <w:sz w:val="22"/>
        </w:rPr>
        <w:t>成员订单（Member orders）</w:t>
      </w:r>
    </w:p>
    <w:p w14:paraId="1B47DB7D">
      <w:pPr>
        <w:spacing w:before="120" w:after="120" w:line="288" w:lineRule="auto"/>
        <w:ind w:left="0"/>
        <w:jc w:val="left"/>
      </w:pPr>
      <w:r>
        <w:rPr>
          <w:rFonts w:ascii="Arial" w:hAnsi="Arial" w:eastAsia="等线" w:cs="Arial"/>
          <w:sz w:val="22"/>
        </w:rPr>
        <w:t>如果在预售、辛迪加和指定订单之后仍有证券剩余，辛迪加成员可以为自己的投资组合购买这些证券。</w:t>
      </w:r>
    </w:p>
    <w:p w14:paraId="5ECF3AC1">
      <w:pPr>
        <w:spacing w:before="120" w:after="120" w:line="288" w:lineRule="auto"/>
        <w:ind w:left="0"/>
        <w:jc w:val="left"/>
      </w:pPr>
    </w:p>
    <w:p w14:paraId="2D92CBE0">
      <w:pPr>
        <w:spacing w:before="320" w:after="120" w:line="288" w:lineRule="auto"/>
        <w:ind w:left="0"/>
        <w:jc w:val="left"/>
        <w:outlineLvl w:val="1"/>
      </w:pPr>
      <w:bookmarkStart w:id="15" w:name="heading_15"/>
      <w:r>
        <w:rPr>
          <w:rFonts w:ascii="Arial" w:hAnsi="Arial" w:eastAsia="等线" w:cs="Arial"/>
          <w:color w:val="3370FF"/>
          <w:sz w:val="32"/>
        </w:rPr>
        <w:t xml:space="preserve">2.3 </w:t>
      </w:r>
      <w:r>
        <w:rPr>
          <w:rFonts w:ascii="Arial" w:hAnsi="Arial" w:eastAsia="等线" w:cs="Arial"/>
          <w:b/>
          <w:sz w:val="32"/>
        </w:rPr>
        <w:t>其他市政债券</w:t>
      </w:r>
      <w:bookmarkEnd w:id="15"/>
    </w:p>
    <w:p w14:paraId="3D28A8AC">
      <w:pPr>
        <w:spacing w:before="300" w:after="120" w:line="288" w:lineRule="auto"/>
        <w:ind w:left="0"/>
        <w:jc w:val="left"/>
        <w:outlineLvl w:val="2"/>
      </w:pPr>
      <w:bookmarkStart w:id="16" w:name="heading_16"/>
      <w:r>
        <w:rPr>
          <w:rFonts w:ascii="Arial" w:hAnsi="Arial" w:eastAsia="等线" w:cs="Arial"/>
          <w:color w:val="3370FF"/>
          <w:sz w:val="30"/>
        </w:rPr>
        <w:t xml:space="preserve">2.3.1 </w:t>
      </w:r>
      <w:r>
        <w:rPr>
          <w:rFonts w:ascii="Arial" w:hAnsi="Arial" w:eastAsia="等线" w:cs="Arial"/>
          <w:b/>
          <w:sz w:val="30"/>
        </w:rPr>
        <w:t>常见市政债券</w:t>
      </w:r>
      <w:bookmarkEnd w:id="16"/>
    </w:p>
    <w:p w14:paraId="0A709672">
      <w:pPr>
        <w:spacing w:before="120" w:after="120" w:line="288" w:lineRule="auto"/>
        <w:ind w:left="0"/>
        <w:jc w:val="left"/>
      </w:pPr>
      <w:r>
        <w:rPr>
          <w:rFonts w:ascii="Arial" w:hAnsi="Arial" w:eastAsia="等线" w:cs="Arial"/>
          <w:sz w:val="22"/>
        </w:rPr>
        <w:t>除上述两类核心债券外，下面多种特殊市政债券需掌握其 “担保来源” 与 “风险等级”。</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755"/>
        <w:gridCol w:w="1770"/>
        <w:gridCol w:w="1335"/>
        <w:gridCol w:w="3405"/>
      </w:tblGrid>
      <w:tr w14:paraId="45AFD36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1682BF7E">
            <w:pPr>
              <w:spacing w:before="120" w:after="120" w:line="288" w:lineRule="auto"/>
              <w:ind w:left="0"/>
              <w:jc w:val="left"/>
            </w:pPr>
            <w:r>
              <w:rPr>
                <w:rFonts w:ascii="Arial" w:hAnsi="Arial" w:eastAsia="等线" w:cs="Arial"/>
                <w:b/>
                <w:sz w:val="22"/>
              </w:rPr>
              <w:t>债券类型</w:t>
            </w:r>
          </w:p>
        </w:tc>
        <w:tc>
          <w:tcPr>
            <w:tcW w:w="1770" w:type="dxa"/>
            <w:tcMar>
              <w:top w:w="60" w:type="dxa"/>
              <w:left w:w="120" w:type="dxa"/>
              <w:bottom w:w="30" w:type="dxa"/>
              <w:right w:w="120" w:type="dxa"/>
            </w:tcMar>
          </w:tcPr>
          <w:p w14:paraId="1E9C61B3">
            <w:pPr>
              <w:spacing w:before="120" w:after="120" w:line="288" w:lineRule="auto"/>
              <w:ind w:left="0"/>
              <w:jc w:val="left"/>
            </w:pPr>
            <w:r>
              <w:rPr>
                <w:rFonts w:ascii="Arial" w:hAnsi="Arial" w:eastAsia="等线" w:cs="Arial"/>
                <w:b/>
                <w:sz w:val="22"/>
              </w:rPr>
              <w:t>担保来源</w:t>
            </w:r>
          </w:p>
        </w:tc>
        <w:tc>
          <w:tcPr>
            <w:tcW w:w="1335" w:type="dxa"/>
            <w:tcMar>
              <w:top w:w="60" w:type="dxa"/>
              <w:left w:w="120" w:type="dxa"/>
              <w:bottom w:w="30" w:type="dxa"/>
              <w:right w:w="120" w:type="dxa"/>
            </w:tcMar>
          </w:tcPr>
          <w:p w14:paraId="3F97EB87">
            <w:pPr>
              <w:spacing w:before="120" w:after="120" w:line="288" w:lineRule="auto"/>
              <w:ind w:left="0"/>
              <w:jc w:val="left"/>
            </w:pPr>
            <w:r>
              <w:rPr>
                <w:rFonts w:ascii="Arial" w:hAnsi="Arial" w:eastAsia="等线" w:cs="Arial"/>
                <w:b/>
                <w:sz w:val="22"/>
              </w:rPr>
              <w:t>风险等级</w:t>
            </w:r>
          </w:p>
        </w:tc>
        <w:tc>
          <w:tcPr>
            <w:tcW w:w="3405" w:type="dxa"/>
            <w:tcMar>
              <w:top w:w="60" w:type="dxa"/>
              <w:left w:w="120" w:type="dxa"/>
              <w:bottom w:w="30" w:type="dxa"/>
              <w:right w:w="120" w:type="dxa"/>
            </w:tcMar>
          </w:tcPr>
          <w:p w14:paraId="2DC5EE74">
            <w:pPr>
              <w:spacing w:before="120" w:after="120" w:line="288" w:lineRule="auto"/>
              <w:ind w:left="0"/>
              <w:jc w:val="left"/>
            </w:pPr>
            <w:r>
              <w:rPr>
                <w:rFonts w:ascii="Arial" w:hAnsi="Arial" w:eastAsia="等线" w:cs="Arial"/>
                <w:b/>
                <w:sz w:val="22"/>
              </w:rPr>
              <w:t>考试关键提示</w:t>
            </w:r>
          </w:p>
        </w:tc>
      </w:tr>
      <w:tr w14:paraId="429E35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26371F36">
            <w:pPr>
              <w:spacing w:before="120" w:after="120" w:line="288" w:lineRule="auto"/>
              <w:ind w:left="0"/>
              <w:jc w:val="left"/>
            </w:pPr>
            <w:r>
              <w:rPr>
                <w:rFonts w:ascii="Arial" w:hAnsi="Arial" w:eastAsia="等线" w:cs="Arial"/>
                <w:sz w:val="22"/>
              </w:rPr>
              <w:t>Special Tax Bonds</w:t>
            </w:r>
          </w:p>
          <w:p w14:paraId="2BAED866">
            <w:pPr>
              <w:spacing w:before="120" w:after="120" w:line="288" w:lineRule="auto"/>
              <w:ind w:left="0"/>
              <w:jc w:val="left"/>
            </w:pPr>
            <w:r>
              <w:rPr>
                <w:rFonts w:ascii="Arial" w:hAnsi="Arial" w:eastAsia="等线" w:cs="Arial"/>
                <w:sz w:val="22"/>
              </w:rPr>
              <w:t xml:space="preserve">特种税债券 </w:t>
            </w:r>
          </w:p>
        </w:tc>
        <w:tc>
          <w:tcPr>
            <w:tcW w:w="1770" w:type="dxa"/>
            <w:tcMar>
              <w:top w:w="60" w:type="dxa"/>
              <w:left w:w="120" w:type="dxa"/>
              <w:bottom w:w="30" w:type="dxa"/>
              <w:right w:w="120" w:type="dxa"/>
            </w:tcMar>
          </w:tcPr>
          <w:p w14:paraId="05C8C1CB">
            <w:pPr>
              <w:spacing w:before="120" w:after="120" w:line="288" w:lineRule="auto"/>
              <w:ind w:left="0"/>
              <w:jc w:val="left"/>
            </w:pPr>
            <w:r>
              <w:rPr>
                <w:rFonts w:ascii="Arial" w:hAnsi="Arial" w:eastAsia="等线" w:cs="Arial"/>
                <w:sz w:val="22"/>
              </w:rPr>
              <w:t>特定税种（如烟草税、燃油税）</w:t>
            </w:r>
          </w:p>
        </w:tc>
        <w:tc>
          <w:tcPr>
            <w:tcW w:w="1335" w:type="dxa"/>
            <w:tcMar>
              <w:top w:w="60" w:type="dxa"/>
              <w:left w:w="120" w:type="dxa"/>
              <w:bottom w:w="30" w:type="dxa"/>
              <w:right w:w="120" w:type="dxa"/>
            </w:tcMar>
          </w:tcPr>
          <w:p w14:paraId="39D326F8">
            <w:pPr>
              <w:spacing w:before="120" w:after="120" w:line="288" w:lineRule="auto"/>
              <w:ind w:left="0"/>
              <w:jc w:val="left"/>
            </w:pPr>
            <w:r>
              <w:rPr>
                <w:rFonts w:ascii="Arial" w:hAnsi="Arial" w:eastAsia="等线" w:cs="Arial"/>
                <w:sz w:val="22"/>
              </w:rPr>
              <w:t>中低</w:t>
            </w:r>
          </w:p>
        </w:tc>
        <w:tc>
          <w:tcPr>
            <w:tcW w:w="3405" w:type="dxa"/>
            <w:tcMar>
              <w:top w:w="60" w:type="dxa"/>
              <w:left w:w="120" w:type="dxa"/>
              <w:bottom w:w="30" w:type="dxa"/>
              <w:right w:w="120" w:type="dxa"/>
            </w:tcMar>
          </w:tcPr>
          <w:p w14:paraId="59B78C73">
            <w:pPr>
              <w:spacing w:before="120" w:after="120" w:line="288" w:lineRule="auto"/>
              <w:ind w:left="0"/>
              <w:jc w:val="left"/>
            </w:pPr>
            <w:r>
              <w:rPr>
                <w:rFonts w:ascii="Arial" w:hAnsi="Arial" w:eastAsia="等线" w:cs="Arial"/>
                <w:sz w:val="22"/>
              </w:rPr>
              <w:t>仅依赖单一税种，税收稳定性影响信用。</w:t>
            </w:r>
          </w:p>
        </w:tc>
      </w:tr>
      <w:tr w14:paraId="659FE59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59A63E5A">
            <w:pPr>
              <w:spacing w:before="120" w:after="120" w:line="288" w:lineRule="auto"/>
              <w:ind w:left="0"/>
              <w:jc w:val="left"/>
            </w:pPr>
            <w:r>
              <w:rPr>
                <w:rFonts w:ascii="Arial" w:hAnsi="Arial" w:eastAsia="等线" w:cs="Arial"/>
                <w:sz w:val="22"/>
              </w:rPr>
              <w:t>Special Assessment Bond</w:t>
            </w:r>
          </w:p>
          <w:p w14:paraId="5F96741B">
            <w:pPr>
              <w:spacing w:before="120" w:after="120" w:line="288" w:lineRule="auto"/>
              <w:ind w:left="0"/>
              <w:jc w:val="left"/>
            </w:pPr>
            <w:r>
              <w:rPr>
                <w:rFonts w:ascii="Arial" w:hAnsi="Arial" w:eastAsia="等线" w:cs="Arial"/>
                <w:sz w:val="22"/>
              </w:rPr>
              <w:t xml:space="preserve">特别评估债券 </w:t>
            </w:r>
          </w:p>
        </w:tc>
        <w:tc>
          <w:tcPr>
            <w:tcW w:w="1770" w:type="dxa"/>
            <w:tcMar>
              <w:top w:w="60" w:type="dxa"/>
              <w:left w:w="120" w:type="dxa"/>
              <w:bottom w:w="30" w:type="dxa"/>
              <w:right w:w="120" w:type="dxa"/>
            </w:tcMar>
          </w:tcPr>
          <w:p w14:paraId="40952595">
            <w:pPr>
              <w:spacing w:before="120" w:after="120" w:line="288" w:lineRule="auto"/>
              <w:ind w:left="0"/>
              <w:jc w:val="left"/>
            </w:pPr>
            <w:r>
              <w:rPr>
                <w:rFonts w:ascii="Arial" w:hAnsi="Arial" w:eastAsia="等线" w:cs="Arial"/>
                <w:sz w:val="22"/>
              </w:rPr>
              <w:t>受益财产的收费。</w:t>
            </w:r>
          </w:p>
        </w:tc>
        <w:tc>
          <w:tcPr>
            <w:tcW w:w="1335" w:type="dxa"/>
            <w:tcMar>
              <w:top w:w="60" w:type="dxa"/>
              <w:left w:w="120" w:type="dxa"/>
              <w:bottom w:w="30" w:type="dxa"/>
              <w:right w:w="120" w:type="dxa"/>
            </w:tcMar>
          </w:tcPr>
          <w:p w14:paraId="4DC8F5E9">
            <w:pPr>
              <w:spacing w:before="120" w:after="120" w:line="288" w:lineRule="auto"/>
              <w:ind w:left="0"/>
              <w:jc w:val="left"/>
            </w:pPr>
            <w:r>
              <w:rPr>
                <w:rFonts w:ascii="Arial" w:hAnsi="Arial" w:eastAsia="等线" w:cs="Arial"/>
                <w:sz w:val="22"/>
              </w:rPr>
              <w:t>中低</w:t>
            </w:r>
          </w:p>
        </w:tc>
        <w:tc>
          <w:tcPr>
            <w:tcW w:w="3405" w:type="dxa"/>
            <w:tcMar>
              <w:top w:w="60" w:type="dxa"/>
              <w:left w:w="120" w:type="dxa"/>
              <w:bottom w:w="30" w:type="dxa"/>
              <w:right w:w="120" w:type="dxa"/>
            </w:tcMar>
          </w:tcPr>
          <w:p w14:paraId="5469B2BB">
            <w:pPr>
              <w:spacing w:before="120" w:after="120" w:line="288" w:lineRule="auto"/>
              <w:ind w:left="0"/>
              <w:jc w:val="left"/>
            </w:pPr>
            <w:r>
              <w:rPr>
                <w:rFonts w:ascii="Arial" w:hAnsi="Arial" w:eastAsia="等线" w:cs="Arial"/>
                <w:sz w:val="22"/>
              </w:rPr>
              <w:t>债券以从改善项目中受益的房产所缴纳的税款作为担保。</w:t>
            </w:r>
          </w:p>
          <w:p w14:paraId="46DEB927">
            <w:pPr>
              <w:spacing w:before="120" w:after="120" w:line="288" w:lineRule="auto"/>
              <w:ind w:left="0"/>
              <w:jc w:val="left"/>
            </w:pPr>
          </w:p>
          <w:p w14:paraId="49E3D905">
            <w:pPr>
              <w:spacing w:before="120" w:after="120" w:line="288" w:lineRule="auto"/>
              <w:ind w:left="0"/>
              <w:jc w:val="left"/>
            </w:pPr>
            <w:r>
              <w:rPr>
                <w:rFonts w:ascii="Arial" w:hAnsi="Arial" w:eastAsia="等线" w:cs="Arial"/>
                <w:sz w:val="22"/>
              </w:rPr>
              <w:t>这类债券的发行是为了为人行道（sidewalks）、街道（ streets）、下水道（sewers）等设施的建设提供资金。</w:t>
            </w:r>
          </w:p>
          <w:p w14:paraId="13846967">
            <w:pPr>
              <w:spacing w:before="120" w:after="120" w:line="288" w:lineRule="auto"/>
              <w:ind w:left="0"/>
              <w:jc w:val="left"/>
            </w:pPr>
          </w:p>
          <w:p w14:paraId="42E45729">
            <w:pPr>
              <w:spacing w:before="120" w:after="120" w:line="288" w:lineRule="auto"/>
              <w:ind w:left="0"/>
              <w:jc w:val="left"/>
            </w:pPr>
            <w:r>
              <w:rPr>
                <w:rFonts w:ascii="Arial" w:hAnsi="Arial" w:eastAsia="等线" w:cs="Arial"/>
                <w:sz w:val="22"/>
              </w:rPr>
              <w:t>特别评估债券仅由从改善工程中受益的房产所缴纳的税款作为担保。换句话说，如果你住的地方几个街区之外的居民有了新的人行道，他们会为此缴税，而不是你。</w:t>
            </w:r>
          </w:p>
        </w:tc>
      </w:tr>
      <w:tr w14:paraId="62DFF6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7530E95B">
            <w:pPr>
              <w:spacing w:before="120" w:after="120" w:line="288" w:lineRule="auto"/>
              <w:ind w:left="0"/>
              <w:jc w:val="left"/>
            </w:pPr>
            <w:r>
              <w:rPr>
                <w:rFonts w:ascii="Arial" w:hAnsi="Arial" w:eastAsia="等线" w:cs="Arial"/>
                <w:sz w:val="22"/>
              </w:rPr>
              <w:t>Double Barreled Bonds</w:t>
            </w:r>
          </w:p>
          <w:p w14:paraId="1FFF67DD">
            <w:pPr>
              <w:spacing w:before="120" w:after="120" w:line="288" w:lineRule="auto"/>
              <w:ind w:left="0"/>
              <w:jc w:val="left"/>
            </w:pPr>
            <w:r>
              <w:rPr>
                <w:rFonts w:ascii="Arial" w:hAnsi="Arial" w:eastAsia="等线" w:cs="Arial"/>
                <w:sz w:val="22"/>
              </w:rPr>
              <w:t>双桶债券</w:t>
            </w:r>
          </w:p>
        </w:tc>
        <w:tc>
          <w:tcPr>
            <w:tcW w:w="1770" w:type="dxa"/>
            <w:tcMar>
              <w:top w:w="60" w:type="dxa"/>
              <w:left w:w="120" w:type="dxa"/>
              <w:bottom w:w="30" w:type="dxa"/>
              <w:right w:w="120" w:type="dxa"/>
            </w:tcMar>
          </w:tcPr>
          <w:p w14:paraId="13E431E0">
            <w:pPr>
              <w:spacing w:before="120" w:after="120" w:line="288" w:lineRule="auto"/>
              <w:ind w:left="0"/>
              <w:jc w:val="left"/>
            </w:pPr>
            <w:r>
              <w:rPr>
                <w:rFonts w:ascii="Arial" w:hAnsi="Arial" w:eastAsia="等线" w:cs="Arial"/>
                <w:sz w:val="22"/>
              </w:rPr>
              <w:t>项目收益 + 税收兜底</w:t>
            </w:r>
          </w:p>
        </w:tc>
        <w:tc>
          <w:tcPr>
            <w:tcW w:w="1335" w:type="dxa"/>
            <w:tcMar>
              <w:top w:w="60" w:type="dxa"/>
              <w:left w:w="120" w:type="dxa"/>
              <w:bottom w:w="30" w:type="dxa"/>
              <w:right w:w="120" w:type="dxa"/>
            </w:tcMar>
          </w:tcPr>
          <w:p w14:paraId="5AB2A191">
            <w:pPr>
              <w:spacing w:before="120" w:after="120" w:line="288" w:lineRule="auto"/>
              <w:ind w:left="0"/>
              <w:jc w:val="left"/>
            </w:pPr>
            <w:r>
              <w:rPr>
                <w:rFonts w:ascii="Arial" w:hAnsi="Arial" w:eastAsia="等线" w:cs="Arial"/>
                <w:sz w:val="22"/>
              </w:rPr>
              <w:t>低</w:t>
            </w:r>
          </w:p>
        </w:tc>
        <w:tc>
          <w:tcPr>
            <w:tcW w:w="3405" w:type="dxa"/>
            <w:tcMar>
              <w:top w:w="60" w:type="dxa"/>
              <w:left w:w="120" w:type="dxa"/>
              <w:bottom w:w="30" w:type="dxa"/>
              <w:right w:w="120" w:type="dxa"/>
            </w:tcMar>
          </w:tcPr>
          <w:p w14:paraId="7E81DD7D">
            <w:pPr>
              <w:spacing w:before="120" w:after="120" w:line="288" w:lineRule="auto"/>
              <w:ind w:left="0"/>
              <w:jc w:val="left"/>
            </w:pPr>
            <w:r>
              <w:rPr>
                <w:rFonts w:ascii="Arial" w:hAnsi="Arial" w:eastAsia="等线" w:cs="Arial"/>
                <w:sz w:val="22"/>
              </w:rPr>
              <w:t>“收益不足时用税收补足” 是核心特征。</w:t>
            </w:r>
          </w:p>
          <w:p w14:paraId="173EBA79">
            <w:pPr>
              <w:spacing w:before="120" w:after="120" w:line="288" w:lineRule="auto"/>
              <w:ind w:left="0"/>
              <w:jc w:val="left"/>
            </w:pPr>
          </w:p>
          <w:p w14:paraId="4C208261">
            <w:pPr>
              <w:spacing w:before="120" w:after="120" w:line="288" w:lineRule="auto"/>
              <w:ind w:left="0"/>
              <w:jc w:val="left"/>
            </w:pPr>
            <w:r>
              <w:rPr>
                <w:rFonts w:ascii="Arial" w:hAnsi="Arial" w:eastAsia="等线" w:cs="Arial"/>
                <w:sz w:val="22"/>
              </w:rPr>
              <w:t>这类债券是收益债券和一般责任债券的组合。</w:t>
            </w:r>
          </w:p>
          <w:p w14:paraId="3484C367">
            <w:pPr>
              <w:spacing w:before="120" w:after="120" w:line="288" w:lineRule="auto"/>
              <w:ind w:left="0"/>
              <w:jc w:val="left"/>
            </w:pPr>
          </w:p>
          <w:p w14:paraId="0940AB67">
            <w:pPr>
              <w:spacing w:before="120" w:after="120" w:line="288" w:lineRule="auto"/>
              <w:ind w:left="0"/>
              <w:jc w:val="left"/>
            </w:pPr>
            <w:r>
              <w:rPr>
                <w:rFonts w:ascii="Arial" w:hAnsi="Arial" w:eastAsia="等线" w:cs="Arial"/>
                <w:sz w:val="22"/>
              </w:rPr>
              <w:t>市政当局发行这些债券为产生收益的设施（收费桥梁、供水和污水处理设施等）提供资金，但如果所获得的收入不足以偿还债务，税收收入将弥补差额。</w:t>
            </w:r>
          </w:p>
        </w:tc>
      </w:tr>
      <w:tr w14:paraId="6C98EAA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7CAC9939">
            <w:pPr>
              <w:spacing w:before="120" w:after="120" w:line="288" w:lineRule="auto"/>
              <w:ind w:left="0"/>
              <w:jc w:val="left"/>
            </w:pPr>
            <w:r>
              <w:rPr>
                <w:rFonts w:ascii="Arial" w:hAnsi="Arial" w:eastAsia="等线" w:cs="Arial"/>
                <w:sz w:val="22"/>
              </w:rPr>
              <w:t>Limited-tax general obligation bonds (LTGOs)</w:t>
            </w:r>
          </w:p>
          <w:p w14:paraId="00A354B1">
            <w:pPr>
              <w:spacing w:before="120" w:after="120" w:line="288" w:lineRule="auto"/>
              <w:ind w:left="0"/>
              <w:jc w:val="left"/>
            </w:pPr>
            <w:r>
              <w:rPr>
                <w:rFonts w:ascii="Arial" w:hAnsi="Arial" w:eastAsia="等线" w:cs="Arial"/>
                <w:sz w:val="22"/>
              </w:rPr>
              <w:t>有限税一般责任债券</w:t>
            </w:r>
          </w:p>
        </w:tc>
        <w:tc>
          <w:tcPr>
            <w:tcW w:w="1770" w:type="dxa"/>
            <w:tcMar>
              <w:top w:w="60" w:type="dxa"/>
              <w:left w:w="120" w:type="dxa"/>
              <w:bottom w:w="30" w:type="dxa"/>
              <w:right w:w="120" w:type="dxa"/>
            </w:tcMar>
          </w:tcPr>
          <w:p w14:paraId="7D1ADBA3">
            <w:pPr>
              <w:spacing w:before="120" w:after="120" w:line="288" w:lineRule="auto"/>
              <w:ind w:left="0"/>
              <w:jc w:val="left"/>
            </w:pPr>
            <w:r>
              <w:rPr>
                <w:rFonts w:ascii="Arial" w:hAnsi="Arial" w:eastAsia="等线" w:cs="Arial"/>
                <w:sz w:val="22"/>
              </w:rPr>
              <w:t>由 “受税率 / 税种限制的税收 + 政府一般收入” 双重担保，但税收权力被法律约束，无法无限征税。</w:t>
            </w:r>
          </w:p>
        </w:tc>
        <w:tc>
          <w:tcPr>
            <w:tcW w:w="1335" w:type="dxa"/>
            <w:tcMar>
              <w:top w:w="60" w:type="dxa"/>
              <w:left w:w="120" w:type="dxa"/>
              <w:bottom w:w="30" w:type="dxa"/>
              <w:right w:w="120" w:type="dxa"/>
            </w:tcMar>
          </w:tcPr>
          <w:p w14:paraId="5E899E27">
            <w:pPr>
              <w:spacing w:before="120" w:after="120" w:line="288" w:lineRule="auto"/>
              <w:ind w:left="0"/>
              <w:jc w:val="left"/>
            </w:pPr>
            <w:r>
              <w:rPr>
                <w:rFonts w:ascii="Arial" w:hAnsi="Arial" w:eastAsia="等线" w:cs="Arial"/>
                <w:sz w:val="22"/>
              </w:rPr>
              <w:t>中低风险：高于无限税 GO，低于收益债券。</w:t>
            </w:r>
          </w:p>
        </w:tc>
        <w:tc>
          <w:tcPr>
            <w:tcW w:w="3405" w:type="dxa"/>
            <w:tcMar>
              <w:top w:w="60" w:type="dxa"/>
              <w:left w:w="120" w:type="dxa"/>
              <w:bottom w:w="30" w:type="dxa"/>
              <w:right w:w="120" w:type="dxa"/>
            </w:tcMar>
          </w:tcPr>
          <w:p w14:paraId="2EFB05CA">
            <w:pPr>
              <w:spacing w:before="120" w:after="120" w:line="288" w:lineRule="auto"/>
              <w:ind w:left="0"/>
              <w:jc w:val="left"/>
            </w:pPr>
            <w:r>
              <w:rPr>
                <w:rFonts w:ascii="Arial" w:hAnsi="Arial" w:eastAsia="等线" w:cs="Arial"/>
                <w:sz w:val="22"/>
              </w:rPr>
              <w:t>这些债券是一般责任债券，其背后支持债券的税收是有限的。</w:t>
            </w:r>
          </w:p>
          <w:p w14:paraId="2A8C7ED2">
            <w:pPr>
              <w:spacing w:before="120" w:after="120" w:line="288" w:lineRule="auto"/>
              <w:ind w:left="0"/>
              <w:jc w:val="left"/>
            </w:pPr>
          </w:p>
          <w:p w14:paraId="154E9E3D">
            <w:pPr>
              <w:spacing w:before="120" w:after="120" w:line="288" w:lineRule="auto"/>
              <w:ind w:left="0"/>
              <w:jc w:val="left"/>
            </w:pPr>
            <w:r>
              <w:rPr>
                <w:rFonts w:ascii="Arial" w:hAnsi="Arial" w:eastAsia="等线" w:cs="Arial"/>
                <w:sz w:val="22"/>
              </w:rPr>
              <w:t>有限税一般责任债券由市政当局所有未用于支持其他债券的收入提供担保。然而，市政当局可用于支持这些债券的财产税金额是有限的。如果债券由无限税承诺支持，市政当局可以提高财产税率，以确保债券能够偿还，这对投资者有利，但对房主不利。</w:t>
            </w:r>
          </w:p>
        </w:tc>
      </w:tr>
      <w:tr w14:paraId="37AF8C6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65FCA68E">
            <w:pPr>
              <w:spacing w:before="120" w:after="120" w:line="288" w:lineRule="auto"/>
              <w:ind w:left="0"/>
              <w:jc w:val="left"/>
            </w:pPr>
            <w:r>
              <w:rPr>
                <w:rFonts w:ascii="Arial" w:hAnsi="Arial" w:eastAsia="等线" w:cs="Arial"/>
                <w:sz w:val="22"/>
              </w:rPr>
              <w:t>Public Housing Authority Bonds (PHAs)</w:t>
            </w:r>
          </w:p>
          <w:p w14:paraId="67C78573">
            <w:pPr>
              <w:spacing w:before="120" w:after="120" w:line="288" w:lineRule="auto"/>
              <w:ind w:left="0"/>
              <w:jc w:val="left"/>
            </w:pPr>
            <w:r>
              <w:rPr>
                <w:rFonts w:ascii="Arial" w:hAnsi="Arial" w:eastAsia="等线" w:cs="Arial"/>
                <w:sz w:val="22"/>
              </w:rPr>
              <w:t>公共住房管理局债券</w:t>
            </w:r>
          </w:p>
        </w:tc>
        <w:tc>
          <w:tcPr>
            <w:tcW w:w="1770" w:type="dxa"/>
            <w:tcMar>
              <w:top w:w="60" w:type="dxa"/>
              <w:left w:w="120" w:type="dxa"/>
              <w:bottom w:w="30" w:type="dxa"/>
              <w:right w:w="120" w:type="dxa"/>
            </w:tcMar>
          </w:tcPr>
          <w:p w14:paraId="557D4A37">
            <w:pPr>
              <w:spacing w:before="120" w:after="120" w:line="288" w:lineRule="auto"/>
              <w:ind w:left="0"/>
              <w:jc w:val="left"/>
            </w:pPr>
            <w:r>
              <w:rPr>
                <w:rFonts w:ascii="Arial" w:hAnsi="Arial" w:eastAsia="等线" w:cs="Arial"/>
                <w:sz w:val="22"/>
              </w:rPr>
              <w:t>地方政府 + 美国联邦政府补贴</w:t>
            </w:r>
          </w:p>
        </w:tc>
        <w:tc>
          <w:tcPr>
            <w:tcW w:w="1335" w:type="dxa"/>
            <w:tcMar>
              <w:top w:w="60" w:type="dxa"/>
              <w:left w:w="120" w:type="dxa"/>
              <w:bottom w:w="30" w:type="dxa"/>
              <w:right w:w="120" w:type="dxa"/>
            </w:tcMar>
          </w:tcPr>
          <w:p w14:paraId="03F22E19">
            <w:pPr>
              <w:spacing w:before="120" w:after="120" w:line="288" w:lineRule="auto"/>
              <w:ind w:left="0"/>
              <w:jc w:val="left"/>
            </w:pPr>
            <w:r>
              <w:rPr>
                <w:rFonts w:ascii="Arial" w:hAnsi="Arial" w:eastAsia="等线" w:cs="Arial"/>
                <w:sz w:val="22"/>
              </w:rPr>
              <w:t>极低</w:t>
            </w:r>
          </w:p>
        </w:tc>
        <w:tc>
          <w:tcPr>
            <w:tcW w:w="3405" w:type="dxa"/>
            <w:tcMar>
              <w:top w:w="60" w:type="dxa"/>
              <w:left w:w="120" w:type="dxa"/>
              <w:bottom w:w="30" w:type="dxa"/>
              <w:right w:w="120" w:type="dxa"/>
            </w:tcMar>
          </w:tcPr>
          <w:p w14:paraId="68440436">
            <w:pPr>
              <w:spacing w:before="120" w:after="120" w:line="288" w:lineRule="auto"/>
              <w:ind w:left="0"/>
              <w:jc w:val="left"/>
            </w:pPr>
            <w:r>
              <w:rPr>
                <w:rFonts w:ascii="Arial" w:hAnsi="Arial" w:eastAsia="等线" w:cs="Arial"/>
                <w:sz w:val="22"/>
              </w:rPr>
              <w:t>这些债券也被称为新住房管理局（NHA）债券，由地方住房管理局发行，用于建设和改善低收入住房。</w:t>
            </w:r>
          </w:p>
          <w:p w14:paraId="4B3A2FA7">
            <w:pPr>
              <w:spacing w:before="120" w:after="120" w:line="288" w:lineRule="auto"/>
              <w:ind w:left="0"/>
              <w:jc w:val="left"/>
            </w:pPr>
          </w:p>
          <w:p w14:paraId="4D8BD270">
            <w:pPr>
              <w:spacing w:before="120" w:after="120" w:line="288" w:lineRule="auto"/>
              <w:ind w:left="0"/>
              <w:jc w:val="left"/>
            </w:pPr>
            <w:r>
              <w:rPr>
                <w:rFonts w:ascii="Arial" w:hAnsi="Arial" w:eastAsia="等线" w:cs="Arial"/>
                <w:sz w:val="22"/>
              </w:rPr>
              <w:t>这些债券由美国政府补贴提供担保，若发行人无法偿还债务，美国政府将弥补任何资金缺口。</w:t>
            </w:r>
          </w:p>
          <w:p w14:paraId="4B1E43A1">
            <w:pPr>
              <w:spacing w:before="120" w:after="120" w:line="288" w:lineRule="auto"/>
              <w:ind w:left="0"/>
              <w:jc w:val="left"/>
            </w:pPr>
          </w:p>
          <w:p w14:paraId="71E28841">
            <w:pPr>
              <w:spacing w:before="120" w:after="120" w:line="288" w:lineRule="auto"/>
              <w:ind w:left="0"/>
              <w:jc w:val="left"/>
            </w:pPr>
            <w:r>
              <w:rPr>
                <w:rFonts w:ascii="Arial" w:hAnsi="Arial" w:eastAsia="等线" w:cs="Arial"/>
                <w:b/>
                <w:sz w:val="22"/>
              </w:rPr>
              <w:t>唯一由联邦政府间接担保的市政债券，安全性最高。</w:t>
            </w:r>
          </w:p>
        </w:tc>
      </w:tr>
      <w:tr w14:paraId="1B8FB7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32CE8EFB">
            <w:pPr>
              <w:spacing w:before="120" w:after="120" w:line="288" w:lineRule="auto"/>
              <w:ind w:left="0"/>
              <w:jc w:val="left"/>
            </w:pPr>
            <w:r>
              <w:rPr>
                <w:rFonts w:ascii="Arial" w:hAnsi="Arial" w:eastAsia="等线" w:cs="Arial"/>
                <w:sz w:val="22"/>
              </w:rPr>
              <w:t>Moral Obligation Bonds</w:t>
            </w:r>
          </w:p>
          <w:p w14:paraId="23C68F1A">
            <w:pPr>
              <w:spacing w:before="120" w:after="120" w:line="288" w:lineRule="auto"/>
              <w:ind w:left="0"/>
              <w:jc w:val="left"/>
            </w:pPr>
            <w:r>
              <w:rPr>
                <w:rFonts w:ascii="Arial" w:hAnsi="Arial" w:eastAsia="等线" w:cs="Arial"/>
                <w:sz w:val="22"/>
              </w:rPr>
              <w:t>道德责任债券</w:t>
            </w:r>
          </w:p>
        </w:tc>
        <w:tc>
          <w:tcPr>
            <w:tcW w:w="1770" w:type="dxa"/>
            <w:tcMar>
              <w:top w:w="60" w:type="dxa"/>
              <w:left w:w="120" w:type="dxa"/>
              <w:bottom w:w="30" w:type="dxa"/>
              <w:right w:w="120" w:type="dxa"/>
            </w:tcMar>
          </w:tcPr>
          <w:p w14:paraId="74608375">
            <w:pPr>
              <w:spacing w:before="120" w:after="120" w:line="288" w:lineRule="auto"/>
              <w:ind w:left="0"/>
              <w:jc w:val="left"/>
            </w:pPr>
            <w:r>
              <w:rPr>
                <w:rFonts w:ascii="Arial" w:hAnsi="Arial" w:eastAsia="等线" w:cs="Arial"/>
                <w:sz w:val="22"/>
              </w:rPr>
              <w:t>地方政府 + 州政府 “道德承诺”（非法律义务），是一种 “弱担保型市政债务工具”。</w:t>
            </w:r>
          </w:p>
        </w:tc>
        <w:tc>
          <w:tcPr>
            <w:tcW w:w="1335" w:type="dxa"/>
            <w:tcMar>
              <w:top w:w="60" w:type="dxa"/>
              <w:left w:w="120" w:type="dxa"/>
              <w:bottom w:w="30" w:type="dxa"/>
              <w:right w:w="120" w:type="dxa"/>
            </w:tcMar>
          </w:tcPr>
          <w:p w14:paraId="2AF7A975">
            <w:pPr>
              <w:spacing w:before="120" w:after="120" w:line="288" w:lineRule="auto"/>
              <w:ind w:left="0"/>
              <w:jc w:val="left"/>
            </w:pPr>
            <w:r>
              <w:rPr>
                <w:rFonts w:ascii="Arial" w:hAnsi="Arial" w:eastAsia="等线" w:cs="Arial"/>
                <w:sz w:val="22"/>
              </w:rPr>
              <w:t>中</w:t>
            </w:r>
          </w:p>
        </w:tc>
        <w:tc>
          <w:tcPr>
            <w:tcW w:w="3405" w:type="dxa"/>
            <w:tcMar>
              <w:top w:w="60" w:type="dxa"/>
              <w:left w:w="120" w:type="dxa"/>
              <w:bottom w:w="30" w:type="dxa"/>
              <w:right w:w="120" w:type="dxa"/>
            </w:tcMar>
          </w:tcPr>
          <w:p w14:paraId="6641E185">
            <w:pPr>
              <w:spacing w:before="120" w:after="120" w:line="288" w:lineRule="auto"/>
              <w:ind w:left="0"/>
              <w:jc w:val="left"/>
            </w:pPr>
            <w:r>
              <w:rPr>
                <w:rFonts w:ascii="Arial" w:hAnsi="Arial" w:eastAsia="等线" w:cs="Arial"/>
                <w:sz w:val="22"/>
              </w:rPr>
              <w:t>这类债券由市政府发行，但由州政府承诺，若市政府无法偿还债务，将由州政府代为偿还。</w:t>
            </w:r>
          </w:p>
          <w:p w14:paraId="7991DB5A">
            <w:pPr>
              <w:spacing w:before="120" w:after="120" w:line="288" w:lineRule="auto"/>
              <w:ind w:left="0"/>
              <w:jc w:val="left"/>
            </w:pPr>
          </w:p>
          <w:p w14:paraId="66317635">
            <w:pPr>
              <w:spacing w:before="120" w:after="120" w:line="288" w:lineRule="auto"/>
              <w:ind w:left="0"/>
              <w:jc w:val="left"/>
            </w:pPr>
            <w:r>
              <w:rPr>
                <w:rFonts w:ascii="Arial" w:hAnsi="Arial" w:eastAsia="等线" w:cs="Arial"/>
                <w:sz w:val="22"/>
              </w:rPr>
              <w:t>由于有州政府的额外支持，它们被认为是安全的。发行道德义务债券需要获得立法批准（legislative approval）。</w:t>
            </w:r>
          </w:p>
          <w:p w14:paraId="642A5B18">
            <w:pPr>
              <w:spacing w:before="120" w:after="120" w:line="288" w:lineRule="auto"/>
              <w:ind w:left="0"/>
              <w:jc w:val="left"/>
            </w:pPr>
          </w:p>
          <w:p w14:paraId="21E33776">
            <w:pPr>
              <w:spacing w:before="120" w:after="120" w:line="288" w:lineRule="auto"/>
              <w:ind w:left="0"/>
              <w:jc w:val="left"/>
            </w:pPr>
            <w:r>
              <w:rPr>
                <w:rFonts w:ascii="Arial" w:hAnsi="Arial" w:eastAsia="等线" w:cs="Arial"/>
                <w:sz w:val="22"/>
              </w:rPr>
              <w:t>由于它们被称为道德义务债券，因此如果市政当局无力偿还债务，州政府负有道德责任（但并非法律义务）来协助偿还。</w:t>
            </w:r>
          </w:p>
        </w:tc>
      </w:tr>
    </w:tbl>
    <w:p w14:paraId="74F7B6F7">
      <w:pPr>
        <w:spacing w:before="300" w:after="120" w:line="288" w:lineRule="auto"/>
        <w:ind w:left="0"/>
        <w:jc w:val="left"/>
        <w:outlineLvl w:val="2"/>
      </w:pPr>
      <w:bookmarkStart w:id="17" w:name="heading_17"/>
      <w:r>
        <w:rPr>
          <w:rFonts w:ascii="Arial" w:hAnsi="Arial" w:eastAsia="等线" w:cs="Arial"/>
          <w:color w:val="3370FF"/>
          <w:sz w:val="30"/>
        </w:rPr>
        <w:t xml:space="preserve">2.3.2 </w:t>
      </w:r>
      <w:r>
        <w:rPr>
          <w:rFonts w:ascii="Arial" w:hAnsi="Arial" w:eastAsia="等线" w:cs="Arial"/>
          <w:b/>
          <w:sz w:val="30"/>
        </w:rPr>
        <w:t>建设美国债券</w:t>
      </w:r>
      <w:bookmarkEnd w:id="17"/>
    </w:p>
    <w:p w14:paraId="377E8CC7">
      <w:pPr>
        <w:spacing w:before="120" w:after="120" w:line="288" w:lineRule="auto"/>
        <w:ind w:left="0"/>
        <w:jc w:val="left"/>
      </w:pPr>
      <w:r>
        <w:rPr>
          <w:rFonts w:ascii="Arial" w:hAnsi="Arial" w:eastAsia="等线" w:cs="Arial"/>
          <w:sz w:val="22"/>
        </w:rPr>
        <w:t>虽然大多数市政债券的利息免缴联邦税，有时还享受三重免税（利息免缴联邦、州和地方税），但是建设美国债券为应税债券。</w:t>
      </w:r>
    </w:p>
    <w:p w14:paraId="63DF5B65">
      <w:pPr>
        <w:spacing w:before="120" w:after="120" w:line="288" w:lineRule="auto"/>
        <w:ind w:left="0"/>
        <w:jc w:val="left"/>
      </w:pPr>
    </w:p>
    <w:p w14:paraId="50E0F747">
      <w:pPr>
        <w:spacing w:before="120" w:after="120" w:line="288" w:lineRule="auto"/>
        <w:ind w:left="0"/>
        <w:jc w:val="left"/>
      </w:pPr>
      <w:r>
        <w:rPr>
          <w:rFonts w:ascii="Arial" w:hAnsi="Arial" w:eastAsia="等线" w:cs="Arial"/>
          <w:sz w:val="22"/>
        </w:rPr>
        <w:t>建设美国债券（BABs，Build America Bonds）是根据2009年《经济复苏与再投资法案》发行的应税市政债券（Taxable Municipal Bonds）。</w:t>
      </w:r>
    </w:p>
    <w:p w14:paraId="374919D1">
      <w:pPr>
        <w:spacing w:before="120" w:after="120" w:line="288" w:lineRule="auto"/>
        <w:ind w:left="0"/>
        <w:jc w:val="left"/>
      </w:pPr>
    </w:p>
    <w:p w14:paraId="554C58DF">
      <w:pPr>
        <w:spacing w:before="120" w:after="120" w:line="288" w:lineRule="auto"/>
        <w:ind w:left="0"/>
        <w:jc w:val="left"/>
      </w:pPr>
      <w:r>
        <w:rPr>
          <w:rFonts w:ascii="Arial" w:hAnsi="Arial" w:eastAsia="等线" w:cs="Arial"/>
          <w:sz w:val="22"/>
        </w:rPr>
        <w:t>BABs 初衷是帮助市政当局为隧道（tunnels）、桥梁（bridges）、道路（roads）等基础设施项目（ infrastructure projects）筹集资金。与大多数其他市政债券相比，这些债券要么票面利率更高（因为市政当局可获得联邦政府的税收抵免），要么更具吸引力（因为投资者可获得联邦政府的税收抵免）。因此，这些市政债券对所有投资者都更具吸引力，即使是那些所得税率较低的投资者。</w:t>
      </w:r>
    </w:p>
    <w:p w14:paraId="0CCBE575">
      <w:pPr>
        <w:spacing w:before="120" w:after="120" w:line="288" w:lineRule="auto"/>
        <w:ind w:left="0"/>
        <w:jc w:val="left"/>
      </w:pPr>
    </w:p>
    <w:p w14:paraId="57484750">
      <w:pPr>
        <w:spacing w:before="120" w:after="120" w:line="288" w:lineRule="auto"/>
        <w:ind w:left="0"/>
        <w:jc w:val="left"/>
      </w:pPr>
      <w:r>
        <w:rPr>
          <w:rFonts w:ascii="Arial" w:hAnsi="Arial" w:eastAsia="等线" w:cs="Arial"/>
          <w:sz w:val="22"/>
        </w:rPr>
        <w:t>尽管 BABs 计划于2010年到期，但仍有大量此类债券在流通，因此你会被考到相关内容。BABs 有以下两种类型：</w:t>
      </w:r>
    </w:p>
    <w:p w14:paraId="2F06E7A3">
      <w:pPr>
        <w:spacing w:before="120" w:after="120" w:line="288" w:lineRule="auto"/>
        <w:ind w:left="0"/>
        <w:jc w:val="left"/>
      </w:pPr>
    </w:p>
    <w:p w14:paraId="596C755F">
      <w:pPr>
        <w:numPr>
          <w:ilvl w:val="0"/>
          <w:numId w:val="72"/>
        </w:numPr>
        <w:spacing w:before="120" w:after="120" w:line="288" w:lineRule="auto"/>
        <w:ind w:left="0"/>
        <w:jc w:val="left"/>
      </w:pPr>
      <w:r>
        <w:rPr>
          <w:rFonts w:ascii="Arial" w:hAnsi="Arial" w:eastAsia="等线" w:cs="Arial"/>
          <w:sz w:val="22"/>
        </w:rPr>
        <w:t>税收抵免 BABs（Tax Credit BABs）</w:t>
      </w:r>
    </w:p>
    <w:p w14:paraId="0B9B21A0">
      <w:pPr>
        <w:spacing w:before="120" w:after="120" w:line="288" w:lineRule="auto"/>
        <w:ind w:left="0"/>
        <w:jc w:val="left"/>
      </w:pPr>
      <w:r>
        <w:rPr>
          <w:rFonts w:ascii="Arial" w:hAnsi="Arial" w:eastAsia="等线" w:cs="Arial"/>
          <w:sz w:val="22"/>
        </w:rPr>
        <w:t>这些债券的投资者可获得相当于票面利率35%的税收抵免。</w:t>
      </w:r>
    </w:p>
    <w:p w14:paraId="4C63011B">
      <w:pPr>
        <w:spacing w:before="120" w:after="120" w:line="288" w:lineRule="auto"/>
        <w:ind w:left="0"/>
        <w:jc w:val="left"/>
      </w:pPr>
    </w:p>
    <w:p w14:paraId="61FC1150">
      <w:pPr>
        <w:numPr>
          <w:ilvl w:val="0"/>
          <w:numId w:val="73"/>
        </w:numPr>
        <w:spacing w:before="120" w:after="120" w:line="288" w:lineRule="auto"/>
        <w:ind w:left="0"/>
        <w:jc w:val="left"/>
      </w:pPr>
      <w:r>
        <w:rPr>
          <w:rFonts w:ascii="Arial" w:hAnsi="Arial" w:eastAsia="等线" w:cs="Arial"/>
          <w:sz w:val="22"/>
        </w:rPr>
        <w:t>直接支付（Direct Payment BABs）</w:t>
      </w:r>
    </w:p>
    <w:p w14:paraId="4225FE48">
      <w:pPr>
        <w:spacing w:before="120" w:after="120" w:line="288" w:lineRule="auto"/>
        <w:ind w:left="0"/>
        <w:jc w:val="left"/>
      </w:pPr>
      <w:r>
        <w:rPr>
          <w:rFonts w:ascii="Arial" w:hAnsi="Arial" w:eastAsia="等线" w:cs="Arial"/>
          <w:sz w:val="22"/>
        </w:rPr>
        <w:t>当市政当局发行直接支付 BABs 时，它会从美国财政部获得相当于票面利率35%的补贴。因此，直接支付 BABs 的票面利率往往高于税收抵免 BABs。</w:t>
      </w:r>
    </w:p>
    <w:p w14:paraId="7CA28994">
      <w:pPr>
        <w:spacing w:before="120" w:after="120" w:line="288" w:lineRule="auto"/>
        <w:ind w:left="0"/>
        <w:jc w:val="left"/>
      </w:pPr>
    </w:p>
    <w:p w14:paraId="7BE4CB18">
      <w:pPr>
        <w:spacing w:before="300" w:after="120" w:line="288" w:lineRule="auto"/>
        <w:ind w:left="0"/>
        <w:jc w:val="left"/>
        <w:outlineLvl w:val="2"/>
      </w:pPr>
      <w:bookmarkStart w:id="18" w:name="heading_18"/>
      <w:r>
        <w:rPr>
          <w:rFonts w:ascii="Arial" w:hAnsi="Arial" w:eastAsia="等线" w:cs="Arial"/>
          <w:color w:val="3370FF"/>
          <w:sz w:val="30"/>
        </w:rPr>
        <w:t xml:space="preserve">2.3.3 </w:t>
      </w:r>
      <w:r>
        <w:rPr>
          <w:rFonts w:ascii="Arial" w:hAnsi="Arial" w:eastAsia="等线" w:cs="Arial"/>
          <w:b/>
          <w:sz w:val="30"/>
        </w:rPr>
        <w:t>市政票据：获取短期融资</w:t>
      </w:r>
      <w:bookmarkEnd w:id="18"/>
    </w:p>
    <w:p w14:paraId="2EFCA082">
      <w:pPr>
        <w:spacing w:before="260" w:after="120" w:line="288" w:lineRule="auto"/>
        <w:ind w:left="0"/>
        <w:jc w:val="left"/>
        <w:outlineLvl w:val="3"/>
      </w:pPr>
      <w:bookmarkStart w:id="19" w:name="heading_19"/>
      <w:r>
        <w:rPr>
          <w:rFonts w:ascii="Arial" w:hAnsi="Arial" w:eastAsia="等线" w:cs="Arial"/>
          <w:color w:val="3370FF"/>
          <w:sz w:val="28"/>
        </w:rPr>
        <w:t xml:space="preserve">2.3.3.1 </w:t>
      </w:r>
      <w:r>
        <w:rPr>
          <w:rFonts w:ascii="Arial" w:hAnsi="Arial" w:eastAsia="等线" w:cs="Arial"/>
          <w:b/>
          <w:sz w:val="28"/>
        </w:rPr>
        <w:t>简介</w:t>
      </w:r>
      <w:bookmarkEnd w:id="19"/>
    </w:p>
    <w:p w14:paraId="3B93B0DE">
      <w:pPr>
        <w:spacing w:before="120" w:after="120" w:line="288" w:lineRule="auto"/>
        <w:ind w:left="0"/>
        <w:jc w:val="left"/>
      </w:pPr>
      <w:r>
        <w:rPr>
          <w:rFonts w:ascii="Arial" w:hAnsi="Arial" w:eastAsia="等线" w:cs="Arial"/>
          <w:sz w:val="22"/>
        </w:rPr>
        <w:t>市政票据（Municipal Notes）是市政当局需要短期（临时）融资（short-term (interim)  financing）时，发行的债务证券。</w:t>
      </w:r>
    </w:p>
    <w:p w14:paraId="5766AC93">
      <w:pPr>
        <w:spacing w:before="120" w:after="120" w:line="288" w:lineRule="auto"/>
        <w:ind w:left="0"/>
        <w:jc w:val="left"/>
      </w:pPr>
    </w:p>
    <w:p w14:paraId="5E4A75EA">
      <w:pPr>
        <w:spacing w:before="120" w:after="120" w:line="288" w:lineRule="auto"/>
        <w:ind w:left="0"/>
        <w:jc w:val="left"/>
      </w:pPr>
      <w:r>
        <w:rPr>
          <w:rFonts w:ascii="Arial" w:hAnsi="Arial" w:eastAsia="等线" w:cs="Arial"/>
          <w:sz w:val="22"/>
        </w:rPr>
        <w:t>市政票据可解决短期资金需求，如临时支付工资、垫付基建款、覆盖税收征收缺口。</w:t>
      </w:r>
    </w:p>
    <w:p w14:paraId="2ECDF4D1">
      <w:pPr>
        <w:spacing w:before="120" w:after="120" w:line="288" w:lineRule="auto"/>
        <w:ind w:left="0"/>
        <w:jc w:val="left"/>
      </w:pPr>
    </w:p>
    <w:p w14:paraId="1A4A2335">
      <w:pPr>
        <w:spacing w:before="120" w:after="120" w:line="288" w:lineRule="auto"/>
        <w:ind w:left="0"/>
        <w:jc w:val="left"/>
      </w:pPr>
      <w:r>
        <w:rPr>
          <w:rFonts w:ascii="Arial" w:hAnsi="Arial" w:eastAsia="等线" w:cs="Arial"/>
          <w:sz w:val="22"/>
        </w:rPr>
        <w:t>市政票据期限通常为一年或更短（通常为三到五个月）。</w:t>
      </w:r>
    </w:p>
    <w:p w14:paraId="6515A781">
      <w:pPr>
        <w:spacing w:before="120" w:after="120" w:line="288" w:lineRule="auto"/>
        <w:ind w:left="0"/>
        <w:jc w:val="left"/>
      </w:pPr>
    </w:p>
    <w:p w14:paraId="460A8735">
      <w:pPr>
        <w:spacing w:before="260" w:after="120" w:line="288" w:lineRule="auto"/>
        <w:ind w:left="0"/>
        <w:jc w:val="left"/>
        <w:outlineLvl w:val="3"/>
      </w:pPr>
      <w:bookmarkStart w:id="20" w:name="heading_20"/>
      <w:r>
        <w:rPr>
          <w:rFonts w:ascii="Arial" w:hAnsi="Arial" w:eastAsia="等线" w:cs="Arial"/>
          <w:color w:val="3370FF"/>
          <w:sz w:val="28"/>
        </w:rPr>
        <w:t xml:space="preserve">2.3.3.2 </w:t>
      </w:r>
      <w:r>
        <w:rPr>
          <w:rFonts w:ascii="Arial" w:hAnsi="Arial" w:eastAsia="等线" w:cs="Arial"/>
          <w:b/>
          <w:sz w:val="28"/>
        </w:rPr>
        <w:t>分类</w:t>
      </w:r>
      <w:bookmarkEnd w:id="20"/>
    </w:p>
    <w:p w14:paraId="0C9D9D14">
      <w:pPr>
        <w:numPr>
          <w:ilvl w:val="0"/>
          <w:numId w:val="74"/>
        </w:numPr>
        <w:spacing w:before="120" w:after="120" w:line="288" w:lineRule="auto"/>
        <w:ind w:left="0"/>
        <w:jc w:val="left"/>
      </w:pPr>
      <w:r>
        <w:rPr>
          <w:rFonts w:ascii="Arial" w:hAnsi="Arial" w:eastAsia="等线" w:cs="Arial"/>
          <w:sz w:val="22"/>
        </w:rPr>
        <w:t>TANs（Tax Anticipation Notes）</w:t>
      </w:r>
    </w:p>
    <w:p w14:paraId="3FF5D569">
      <w:pPr>
        <w:spacing w:before="120" w:after="120" w:line="288" w:lineRule="auto"/>
        <w:ind w:left="0"/>
        <w:jc w:val="left"/>
      </w:pPr>
      <w:r>
        <w:rPr>
          <w:rFonts w:ascii="Arial" w:hAnsi="Arial" w:eastAsia="等线" w:cs="Arial"/>
          <w:sz w:val="22"/>
        </w:rPr>
        <w:t>税收预期票据（TANs）专门以未来税收收入为偿还保障的短期市政融资工具。</w:t>
      </w:r>
    </w:p>
    <w:p w14:paraId="655814C8">
      <w:pPr>
        <w:spacing w:before="120" w:after="120" w:line="288" w:lineRule="auto"/>
        <w:ind w:left="0"/>
        <w:jc w:val="left"/>
      </w:pPr>
    </w:p>
    <w:p w14:paraId="0D431273">
      <w:pPr>
        <w:spacing w:before="120" w:after="120" w:line="288" w:lineRule="auto"/>
        <w:ind w:left="0"/>
        <w:jc w:val="left"/>
      </w:pPr>
      <w:r>
        <w:rPr>
          <w:rFonts w:ascii="Arial" w:hAnsi="Arial" w:eastAsia="等线" w:cs="Arial"/>
          <w:sz w:val="22"/>
        </w:rPr>
        <w:t>例如：市政当局的年度税收通常在特定季度征收，但日常运营（如垃圾处理、道路维护）需持续资金，此时发行 TANs 融资，待税收到账后偿还。</w:t>
      </w:r>
    </w:p>
    <w:p w14:paraId="31357A43">
      <w:pPr>
        <w:spacing w:before="120" w:after="120" w:line="288" w:lineRule="auto"/>
        <w:ind w:left="0"/>
        <w:jc w:val="left"/>
      </w:pPr>
    </w:p>
    <w:p w14:paraId="486B085D">
      <w:pPr>
        <w:numPr>
          <w:ilvl w:val="0"/>
          <w:numId w:val="75"/>
        </w:numPr>
        <w:spacing w:before="120" w:after="120" w:line="288" w:lineRule="auto"/>
        <w:ind w:left="0"/>
        <w:jc w:val="left"/>
      </w:pPr>
      <w:r>
        <w:rPr>
          <w:rFonts w:ascii="Arial" w:hAnsi="Arial" w:eastAsia="等线" w:cs="Arial"/>
          <w:sz w:val="22"/>
        </w:rPr>
        <w:t>RANs（Revenue Anticipation Notes）</w:t>
      </w:r>
    </w:p>
    <w:p w14:paraId="72F9505A">
      <w:pPr>
        <w:spacing w:before="120" w:after="120" w:line="288" w:lineRule="auto"/>
        <w:ind w:left="0"/>
        <w:jc w:val="left"/>
      </w:pPr>
      <w:r>
        <w:rPr>
          <w:rFonts w:ascii="Arial" w:hAnsi="Arial" w:eastAsia="等线" w:cs="Arial"/>
          <w:sz w:val="22"/>
        </w:rPr>
        <w:t>收入预期票据（RANs）核心对应 “基于未来收入预期发行的短期票据”。</w:t>
      </w:r>
    </w:p>
    <w:p w14:paraId="58036771">
      <w:pPr>
        <w:spacing w:before="120" w:after="120" w:line="288" w:lineRule="auto"/>
        <w:ind w:left="0"/>
        <w:jc w:val="left"/>
      </w:pPr>
    </w:p>
    <w:p w14:paraId="5AF8DE25">
      <w:pPr>
        <w:numPr>
          <w:ilvl w:val="0"/>
          <w:numId w:val="76"/>
        </w:numPr>
        <w:spacing w:before="120" w:after="120" w:line="288" w:lineRule="auto"/>
        <w:ind w:left="0"/>
        <w:jc w:val="left"/>
      </w:pPr>
      <w:r>
        <w:rPr>
          <w:rFonts w:ascii="Arial" w:hAnsi="Arial" w:eastAsia="等线" w:cs="Arial"/>
          <w:sz w:val="22"/>
        </w:rPr>
        <w:t>TRANs（Tax and Revenue Anticipation Notes）</w:t>
      </w:r>
    </w:p>
    <w:p w14:paraId="493688B4">
      <w:pPr>
        <w:spacing w:before="120" w:after="120" w:line="288" w:lineRule="auto"/>
        <w:ind w:left="0"/>
        <w:jc w:val="left"/>
      </w:pPr>
      <w:r>
        <w:rPr>
          <w:rFonts w:ascii="Arial" w:hAnsi="Arial" w:eastAsia="等线" w:cs="Arial"/>
          <w:sz w:val="22"/>
        </w:rPr>
        <w:t>税收和收入预期票据，为税收预期票据（TANs）和收入预期票据（RANs）的结合体。</w:t>
      </w:r>
    </w:p>
    <w:p w14:paraId="6B2FC865">
      <w:pPr>
        <w:spacing w:before="120" w:after="120" w:line="288" w:lineRule="auto"/>
        <w:ind w:left="0"/>
        <w:jc w:val="left"/>
      </w:pPr>
    </w:p>
    <w:p w14:paraId="4ECEB61A">
      <w:pPr>
        <w:spacing w:before="120" w:after="120" w:line="288" w:lineRule="auto"/>
        <w:ind w:left="0"/>
        <w:jc w:val="left"/>
      </w:pPr>
      <w:r>
        <w:rPr>
          <w:rFonts w:ascii="Arial" w:hAnsi="Arial" w:eastAsia="等线" w:cs="Arial"/>
          <w:sz w:val="22"/>
        </w:rPr>
        <w:t>等待常规税收收入（如财产税、销售税）或市政运营收入到账前，市政当局可发行 TRANs 临时融资。</w:t>
      </w:r>
    </w:p>
    <w:p w14:paraId="6299DC16">
      <w:pPr>
        <w:spacing w:before="120" w:after="120" w:line="288" w:lineRule="auto"/>
        <w:ind w:left="0"/>
        <w:jc w:val="left"/>
      </w:pPr>
    </w:p>
    <w:p w14:paraId="7E5C7531">
      <w:pPr>
        <w:numPr>
          <w:ilvl w:val="0"/>
          <w:numId w:val="77"/>
        </w:numPr>
        <w:spacing w:before="120" w:after="120" w:line="288" w:lineRule="auto"/>
        <w:ind w:left="0"/>
        <w:jc w:val="left"/>
      </w:pPr>
      <w:r>
        <w:rPr>
          <w:rFonts w:ascii="Arial" w:hAnsi="Arial" w:eastAsia="等线" w:cs="Arial"/>
          <w:sz w:val="22"/>
        </w:rPr>
        <w:t>GANs（Grant Anticipation Notes）</w:t>
      </w:r>
    </w:p>
    <w:p w14:paraId="41E40D84">
      <w:pPr>
        <w:spacing w:before="120" w:after="120" w:line="288" w:lineRule="auto"/>
        <w:ind w:left="0"/>
        <w:jc w:val="left"/>
      </w:pPr>
      <w:r>
        <w:rPr>
          <w:rFonts w:ascii="Arial" w:hAnsi="Arial" w:eastAsia="等线" w:cs="Arial"/>
          <w:sz w:val="22"/>
        </w:rPr>
        <w:t>拨款预期票据（GANs）专门为等待美国联邦政府拨款（如教育拨款、基础设施建设拨款）的市政当局提供临时融资。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例如：市政当局已获批联邦政府的道路改造拨款，但拨款需 6 个月后到账，为提前启动项目，发行 GANs，待拨款到账后直接偿还。</w:t>
      </w:r>
    </w:p>
    <w:p w14:paraId="5CB0A238">
      <w:pPr>
        <w:spacing w:before="120" w:after="120" w:line="288" w:lineRule="auto"/>
        <w:ind w:left="0"/>
        <w:jc w:val="left"/>
      </w:pPr>
    </w:p>
    <w:p w14:paraId="50AE2EED">
      <w:pPr>
        <w:numPr>
          <w:ilvl w:val="0"/>
          <w:numId w:val="78"/>
        </w:numPr>
        <w:spacing w:before="120" w:after="120" w:line="288" w:lineRule="auto"/>
        <w:ind w:left="0"/>
        <w:jc w:val="left"/>
      </w:pPr>
      <w:r>
        <w:rPr>
          <w:rFonts w:ascii="Arial" w:hAnsi="Arial" w:eastAsia="等线" w:cs="Arial"/>
          <w:sz w:val="22"/>
        </w:rPr>
        <w:t>BANs（Bond Anticipation Notes）</w:t>
      </w:r>
    </w:p>
    <w:p w14:paraId="38653EAE">
      <w:pPr>
        <w:spacing w:before="120" w:after="120" w:line="288" w:lineRule="auto"/>
        <w:ind w:left="0"/>
        <w:jc w:val="left"/>
      </w:pPr>
      <w:r>
        <w:rPr>
          <w:rFonts w:ascii="Arial" w:hAnsi="Arial" w:eastAsia="等线" w:cs="Arial"/>
          <w:sz w:val="22"/>
        </w:rPr>
        <w:t>债券预期票据（BANs）为市政当局在等待长期债券发行期间发行的短期票据以获得临时融资，旨在解决 “长期债券发行前的资金缺口”，常见于基建项目前期资金周转场景。</w:t>
      </w:r>
      <w:r>
        <w:rPr>
          <w:rFonts w:ascii="Arial" w:hAnsi="Arial" w:eastAsia="等线" w:cs="Arial"/>
          <w:sz w:val="22"/>
        </w:rPr>
        <w:br w:type="textWrapping"/>
      </w:r>
    </w:p>
    <w:p w14:paraId="295669C7">
      <w:pPr>
        <w:numPr>
          <w:ilvl w:val="0"/>
          <w:numId w:val="79"/>
        </w:numPr>
        <w:spacing w:before="120" w:after="120" w:line="288" w:lineRule="auto"/>
        <w:ind w:left="0"/>
        <w:jc w:val="left"/>
      </w:pPr>
      <w:r>
        <w:rPr>
          <w:rFonts w:ascii="Arial" w:hAnsi="Arial" w:eastAsia="等线" w:cs="Arial"/>
          <w:sz w:val="22"/>
        </w:rPr>
        <w:t>CLNs（Construction Loan Notes）</w:t>
      </w:r>
    </w:p>
    <w:p w14:paraId="48F2B209">
      <w:pPr>
        <w:spacing w:before="120" w:after="120" w:line="288" w:lineRule="auto"/>
        <w:ind w:left="0"/>
        <w:jc w:val="left"/>
      </w:pPr>
      <w:r>
        <w:rPr>
          <w:rFonts w:ascii="Arial" w:hAnsi="Arial" w:eastAsia="等线" w:cs="Arial"/>
          <w:sz w:val="22"/>
        </w:rPr>
        <w:t>建筑贷款票据（CLNs）提供临时融资（interim financing），通常用于住房项目的建设。票据的偿还资金通常来自发行人发行长期债券所获得的款项。</w:t>
      </w:r>
      <w:r>
        <w:rPr>
          <w:rFonts w:ascii="Arial" w:hAnsi="Arial" w:eastAsia="等线" w:cs="Arial"/>
          <w:sz w:val="22"/>
        </w:rPr>
        <w:br w:type="textWrapping"/>
      </w:r>
    </w:p>
    <w:p w14:paraId="33FA85F6">
      <w:pPr>
        <w:numPr>
          <w:ilvl w:val="0"/>
          <w:numId w:val="80"/>
        </w:numPr>
        <w:spacing w:before="120" w:after="120" w:line="288" w:lineRule="auto"/>
        <w:ind w:left="0"/>
        <w:jc w:val="left"/>
      </w:pPr>
      <w:r>
        <w:rPr>
          <w:rFonts w:ascii="Arial" w:hAnsi="Arial" w:eastAsia="等线" w:cs="Arial"/>
          <w:sz w:val="22"/>
        </w:rPr>
        <w:t>TECP（Tax-exempt commercial paper）</w:t>
      </w:r>
    </w:p>
    <w:p w14:paraId="630D2202">
      <w:pPr>
        <w:spacing w:before="120" w:after="120" w:line="288" w:lineRule="auto"/>
        <w:ind w:left="0"/>
        <w:jc w:val="left"/>
      </w:pPr>
      <w:r>
        <w:rPr>
          <w:rFonts w:ascii="Arial" w:hAnsi="Arial" w:eastAsia="等线" w:cs="Arial"/>
          <w:sz w:val="22"/>
        </w:rPr>
        <w:t>免税商业票据（TECP）：这些短期票据通常由大学等机构经政府许可发行。这种债务通常期限不超过270天，用于帮助机构支付短期负债。</w:t>
      </w:r>
    </w:p>
    <w:p w14:paraId="3E5B83B0">
      <w:pPr>
        <w:spacing w:before="120" w:after="120" w:line="288" w:lineRule="auto"/>
        <w:ind w:left="0"/>
        <w:jc w:val="left"/>
      </w:pPr>
    </w:p>
    <w:p w14:paraId="37D574AD">
      <w:pPr>
        <w:numPr>
          <w:ilvl w:val="0"/>
          <w:numId w:val="81"/>
        </w:numPr>
        <w:spacing w:before="120" w:after="120" w:line="288" w:lineRule="auto"/>
        <w:ind w:left="0"/>
        <w:jc w:val="left"/>
      </w:pPr>
      <w:r>
        <w:rPr>
          <w:rFonts w:ascii="Arial" w:hAnsi="Arial" w:eastAsia="等线" w:cs="Arial"/>
          <w:sz w:val="22"/>
        </w:rPr>
        <w:t>VRDN（Variable-rate demand note）</w:t>
      </w:r>
    </w:p>
    <w:p w14:paraId="156FF20B">
      <w:pPr>
        <w:spacing w:before="120" w:after="120" w:line="288" w:lineRule="auto"/>
        <w:ind w:left="0"/>
        <w:jc w:val="left"/>
      </w:pPr>
      <w:r>
        <w:rPr>
          <w:rFonts w:ascii="Arial" w:hAnsi="Arial" w:eastAsia="等线" w:cs="Arial"/>
          <w:sz w:val="22"/>
        </w:rPr>
        <w:t>浮动利率即期票据（VRDN）本质是</w:t>
      </w:r>
      <w:r>
        <w:rPr>
          <w:rFonts w:ascii="Arial" w:hAnsi="Arial" w:eastAsia="等线" w:cs="Arial"/>
          <w:b/>
          <w:sz w:val="22"/>
        </w:rPr>
        <w:t>市政实体发行的长期债务证券</w:t>
      </w:r>
      <w:r>
        <w:rPr>
          <w:rFonts w:ascii="Arial" w:hAnsi="Arial" w:eastAsia="等线" w:cs="Arial"/>
          <w:sz w:val="22"/>
        </w:rPr>
        <w:t>（通常最终到期日为 30 年），但通过浮动利率（floating interest rate）和回售权（put option），实现了短期投资工具的功能：</w:t>
      </w:r>
    </w:p>
    <w:p w14:paraId="068EA1F8">
      <w:pPr>
        <w:numPr>
          <w:ilvl w:val="0"/>
          <w:numId w:val="82"/>
        </w:numPr>
        <w:spacing w:before="120" w:after="120" w:line="288" w:lineRule="auto"/>
        <w:ind w:left="453"/>
        <w:jc w:val="left"/>
      </w:pPr>
      <w:r>
        <w:rPr>
          <w:rFonts w:ascii="Arial" w:hAnsi="Arial" w:eastAsia="等线" w:cs="Arial"/>
          <w:sz w:val="22"/>
        </w:rPr>
        <w:t>对发行方（市政实体）：可长期借用资金（用于基建、公共项目等），但仅需支付短期市场利率，降低长期融资成本；</w:t>
      </w:r>
    </w:p>
    <w:p w14:paraId="3CDFE403">
      <w:pPr>
        <w:numPr>
          <w:ilvl w:val="0"/>
          <w:numId w:val="83"/>
        </w:numPr>
        <w:spacing w:before="120" w:after="120" w:line="288" w:lineRule="auto"/>
        <w:ind w:left="453"/>
        <w:jc w:val="left"/>
      </w:pPr>
      <w:r>
        <w:rPr>
          <w:rFonts w:ascii="Arial" w:hAnsi="Arial" w:eastAsia="等线" w:cs="Arial"/>
          <w:sz w:val="22"/>
        </w:rPr>
        <w:t>对投资者：可享受 “短期利率收益 + 随时赎回本金” 的灵活性，同时获得市政债的低风险属性（部分还享税收优惠）。</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2C9CA4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EEAD2"/>
            <w:tcMar>
              <w:top w:w="60" w:type="dxa"/>
              <w:left w:w="120" w:type="dxa"/>
              <w:bottom w:w="30" w:type="dxa"/>
              <w:right w:w="120" w:type="dxa"/>
            </w:tcMar>
          </w:tcPr>
          <w:p w14:paraId="7B98A6A6">
            <w:pPr>
              <w:spacing w:before="120" w:after="120" w:line="288" w:lineRule="auto"/>
              <w:ind w:left="0"/>
              <w:jc w:val="left"/>
            </w:pPr>
            <w:r>
              <w:rPr>
                <w:rFonts w:ascii="Arial" w:hAnsi="Arial" w:eastAsia="等线" w:cs="Arial"/>
                <w:sz w:val="22"/>
              </w:rPr>
              <w:t>即期票据，顾名思义，是一种见票即付的债务票据。它没有明确的到期日，持票人有权在任何时候向出票人（发行人）要求按票面金额全额兑付。</w:t>
            </w:r>
          </w:p>
          <w:p w14:paraId="0759E5C7">
            <w:pPr>
              <w:spacing w:before="120" w:after="120" w:line="288" w:lineRule="auto"/>
              <w:ind w:left="0"/>
              <w:jc w:val="left"/>
            </w:pPr>
          </w:p>
          <w:p w14:paraId="2B1B6B3F">
            <w:pPr>
              <w:spacing w:before="120" w:after="120" w:line="288" w:lineRule="auto"/>
              <w:ind w:left="0"/>
              <w:jc w:val="left"/>
            </w:pPr>
            <w:r>
              <w:rPr>
                <w:rFonts w:ascii="Arial" w:hAnsi="Arial" w:eastAsia="等线" w:cs="Arial"/>
                <w:sz w:val="22"/>
              </w:rPr>
              <w:t>您可以把它理解为一种 “活期的债券”。</w:t>
            </w:r>
          </w:p>
        </w:tc>
      </w:tr>
    </w:tbl>
    <w:p w14:paraId="2290888C">
      <w:pPr>
        <w:numPr>
          <w:ilvl w:val="0"/>
          <w:numId w:val="84"/>
        </w:numPr>
        <w:spacing w:before="120" w:after="120" w:line="288" w:lineRule="auto"/>
        <w:ind w:left="0"/>
        <w:jc w:val="left"/>
      </w:pPr>
      <w:r>
        <w:rPr>
          <w:rFonts w:ascii="Arial" w:hAnsi="Arial" w:eastAsia="等线" w:cs="Arial"/>
          <w:sz w:val="22"/>
        </w:rPr>
        <w:t>PNs（Project Notes）</w:t>
      </w:r>
    </w:p>
    <w:p w14:paraId="7616B112">
      <w:pPr>
        <w:spacing w:before="120" w:after="120" w:line="288" w:lineRule="auto"/>
        <w:ind w:left="0"/>
        <w:jc w:val="left"/>
      </w:pPr>
      <w:r>
        <w:rPr>
          <w:rFonts w:ascii="Arial" w:hAnsi="Arial" w:eastAsia="等线" w:cs="Arial"/>
          <w:sz w:val="22"/>
        </w:rPr>
        <w:t>项目票据（PNs）是美国市政当局发行的一种短期债务工具，专门用于为联邦资助的特定公共项目融资。</w:t>
      </w:r>
    </w:p>
    <w:p w14:paraId="160A430E">
      <w:pPr>
        <w:spacing w:before="120" w:after="120" w:line="288" w:lineRule="auto"/>
        <w:ind w:left="0"/>
        <w:jc w:val="left"/>
      </w:pPr>
    </w:p>
    <w:p w14:paraId="2D050070">
      <w:pPr>
        <w:spacing w:before="260" w:after="120" w:line="288" w:lineRule="auto"/>
        <w:ind w:left="0"/>
        <w:jc w:val="left"/>
        <w:outlineLvl w:val="3"/>
      </w:pPr>
      <w:bookmarkStart w:id="21" w:name="heading_21"/>
      <w:r>
        <w:rPr>
          <w:rFonts w:ascii="Arial" w:hAnsi="Arial" w:eastAsia="等线" w:cs="Arial"/>
          <w:color w:val="3370FF"/>
          <w:sz w:val="28"/>
        </w:rPr>
        <w:t xml:space="preserve">2.3.3.3 </w:t>
      </w:r>
      <w:r>
        <w:rPr>
          <w:rFonts w:ascii="Arial" w:hAnsi="Arial" w:eastAsia="等线" w:cs="Arial"/>
          <w:b/>
          <w:sz w:val="28"/>
        </w:rPr>
        <w:t>评级</w:t>
      </w:r>
      <w:bookmarkEnd w:id="21"/>
    </w:p>
    <w:p w14:paraId="0C8AE205">
      <w:pPr>
        <w:spacing w:before="120" w:after="120" w:line="288" w:lineRule="auto"/>
        <w:ind w:left="0"/>
        <w:jc w:val="left"/>
      </w:pPr>
      <w:r>
        <w:rPr>
          <w:rFonts w:ascii="Arial" w:hAnsi="Arial" w:eastAsia="等线" w:cs="Arial"/>
          <w:sz w:val="22"/>
        </w:rPr>
        <w:t>市政票据评级与市政债券或公司债券（AAA、AA、A等）不同。市政票据的评级如下（从最佳到最差）：</w:t>
      </w:r>
    </w:p>
    <w:p w14:paraId="4081F23E">
      <w:pPr>
        <w:numPr>
          <w:ilvl w:val="0"/>
          <w:numId w:val="85"/>
        </w:numPr>
        <w:spacing w:before="120" w:after="120" w:line="288" w:lineRule="auto"/>
        <w:ind w:left="0"/>
        <w:jc w:val="left"/>
      </w:pPr>
      <w:r>
        <w:rPr>
          <w:rFonts w:ascii="Arial" w:hAnsi="Arial" w:eastAsia="等线" w:cs="Arial"/>
          <w:sz w:val="22"/>
        </w:rPr>
        <w:t>穆迪（Moody’s）: MIG 1, MIG 2, MIG 3, MIG 4</w:t>
      </w:r>
    </w:p>
    <w:p w14:paraId="3E24F756">
      <w:pPr>
        <w:numPr>
          <w:ilvl w:val="0"/>
          <w:numId w:val="86"/>
        </w:numPr>
        <w:spacing w:before="120" w:after="120" w:line="288" w:lineRule="auto"/>
        <w:ind w:left="0"/>
        <w:jc w:val="left"/>
      </w:pPr>
      <w:r>
        <w:rPr>
          <w:rFonts w:ascii="Arial" w:hAnsi="Arial" w:eastAsia="等线" w:cs="Arial"/>
          <w:sz w:val="22"/>
        </w:rPr>
        <w:t>标准普尔（Standard &amp; Poor’s）: SP-1, SP-2, SP-3</w:t>
      </w:r>
    </w:p>
    <w:p w14:paraId="52296B68">
      <w:pPr>
        <w:numPr>
          <w:ilvl w:val="0"/>
          <w:numId w:val="87"/>
        </w:numPr>
        <w:spacing w:before="120" w:after="120" w:line="288" w:lineRule="auto"/>
        <w:ind w:left="0"/>
        <w:jc w:val="left"/>
      </w:pPr>
      <w:r>
        <w:rPr>
          <w:rFonts w:ascii="Arial" w:hAnsi="Arial" w:eastAsia="等线" w:cs="Arial"/>
          <w:sz w:val="22"/>
        </w:rPr>
        <w:t>惠誉（Fitch）: F-1, F-2, F-3</w:t>
      </w:r>
    </w:p>
    <w:p w14:paraId="6A61C62E">
      <w:pPr>
        <w:spacing w:before="120" w:after="120" w:line="288" w:lineRule="auto"/>
        <w:ind w:left="0"/>
        <w:jc w:val="left"/>
      </w:pPr>
    </w:p>
    <w:p w14:paraId="4AF98100">
      <w:pPr>
        <w:spacing w:before="120" w:after="120" w:line="288" w:lineRule="auto"/>
        <w:ind w:left="0"/>
        <w:jc w:val="left"/>
      </w:pPr>
      <w:r>
        <w:rPr>
          <w:rFonts w:ascii="Arial" w:hAnsi="Arial" w:eastAsia="等线" w:cs="Arial"/>
          <w:sz w:val="22"/>
        </w:rPr>
        <w:t>其中 MIG 表示 Moody’s Investment Grade。</w:t>
      </w:r>
    </w:p>
    <w:p w14:paraId="2BF57E7E">
      <w:pPr>
        <w:spacing w:before="300" w:after="120" w:line="288" w:lineRule="auto"/>
        <w:ind w:left="0"/>
        <w:jc w:val="left"/>
        <w:outlineLvl w:val="2"/>
      </w:pPr>
      <w:bookmarkStart w:id="22" w:name="heading_22"/>
      <w:r>
        <w:rPr>
          <w:rFonts w:ascii="Arial" w:hAnsi="Arial" w:eastAsia="等线" w:cs="Arial"/>
          <w:color w:val="3370FF"/>
          <w:sz w:val="30"/>
        </w:rPr>
        <w:t xml:space="preserve">2.3.4 </w:t>
      </w:r>
      <w:r>
        <w:rPr>
          <w:rFonts w:ascii="Arial" w:hAnsi="Arial" w:eastAsia="等线" w:cs="Arial"/>
          <w:b/>
          <w:sz w:val="30"/>
        </w:rPr>
        <w:t>市政基金证券（Municipal Fund Security）</w:t>
      </w:r>
      <w:bookmarkEnd w:id="22"/>
    </w:p>
    <w:p w14:paraId="710C15FA">
      <w:pPr>
        <w:spacing w:before="120" w:after="120" w:line="288" w:lineRule="auto"/>
        <w:ind w:left="0"/>
        <w:jc w:val="left"/>
      </w:pPr>
      <w:r>
        <w:rPr>
          <w:rFonts w:ascii="Arial" w:hAnsi="Arial" w:eastAsia="等线" w:cs="Arial"/>
          <w:sz w:val="22"/>
        </w:rPr>
        <w:t>市政基金三兄弟：529 管学费，ABLE 帮残疾，LGIP 存公币（政府闲钱）。</w:t>
      </w:r>
    </w:p>
    <w:p w14:paraId="7AE391C5">
      <w:pPr>
        <w:spacing w:before="120" w:after="120" w:line="288" w:lineRule="auto"/>
        <w:ind w:left="0"/>
        <w:jc w:val="left"/>
      </w:pPr>
    </w:p>
    <w:p w14:paraId="196514C8">
      <w:pPr>
        <w:spacing w:before="120" w:after="120" w:line="288" w:lineRule="auto"/>
        <w:ind w:left="0"/>
        <w:jc w:val="left"/>
      </w:pPr>
      <w:r>
        <w:rPr>
          <w:rFonts w:ascii="Arial" w:hAnsi="Arial" w:eastAsia="等线" w:cs="Arial"/>
          <w:sz w:val="22"/>
        </w:rPr>
        <w:t>注意：规则G-45要求承销 ABLE计划 或529储蓄计划（不包括LGIP）的交易商每半年通过电子市政市场接入（EMMA，Electronic Municipal Market Access ）系统提交计划描述信息、资产、各可用计划的资产配置信息、缴款、业绩数据等信息，并每年提交业绩数据。MSRB 的 EMMA 系统旨在提供市场透明度，以帮助保护市场参与者。</w:t>
      </w:r>
    </w:p>
    <w:p w14:paraId="7B3140F9">
      <w:pPr>
        <w:spacing w:before="120" w:after="120" w:line="288" w:lineRule="auto"/>
        <w:ind w:left="0"/>
        <w:jc w:val="left"/>
      </w:pPr>
    </w:p>
    <w:p w14:paraId="49B944B9">
      <w:pPr>
        <w:spacing w:before="260" w:after="120" w:line="288" w:lineRule="auto"/>
        <w:ind w:left="0"/>
        <w:jc w:val="left"/>
        <w:outlineLvl w:val="3"/>
      </w:pPr>
      <w:bookmarkStart w:id="23" w:name="heading_23"/>
      <w:r>
        <w:rPr>
          <w:rFonts w:ascii="Arial" w:hAnsi="Arial" w:eastAsia="等线" w:cs="Arial"/>
          <w:color w:val="3370FF"/>
          <w:sz w:val="28"/>
        </w:rPr>
        <w:t xml:space="preserve">2.3.4.1 </w:t>
      </w:r>
      <w:r>
        <w:rPr>
          <w:rFonts w:ascii="Arial" w:hAnsi="Arial" w:eastAsia="等线" w:cs="Arial"/>
          <w:b/>
          <w:sz w:val="28"/>
        </w:rPr>
        <w:t>529 储蓄计划</w:t>
      </w:r>
      <w:bookmarkEnd w:id="23"/>
    </w:p>
    <w:p w14:paraId="599CBB08">
      <w:pPr>
        <w:spacing w:before="120" w:after="120" w:line="288" w:lineRule="auto"/>
        <w:ind w:left="0"/>
        <w:jc w:val="left"/>
      </w:pPr>
      <w:r>
        <w:rPr>
          <w:rFonts w:ascii="Arial" w:hAnsi="Arial" w:eastAsia="等线" w:cs="Arial"/>
          <w:sz w:val="22"/>
        </w:rPr>
        <w:t>529 储蓄计划是一种由美国各州或教育机构设立的免税教育储蓄账户，帮助家庭为孩子的合格教育支出储蓄资金。</w:t>
      </w:r>
    </w:p>
    <w:p w14:paraId="438E2808">
      <w:pPr>
        <w:spacing w:before="120" w:after="120" w:line="288" w:lineRule="auto"/>
        <w:ind w:left="0"/>
        <w:jc w:val="left"/>
      </w:pPr>
    </w:p>
    <w:p w14:paraId="0FF3BA67">
      <w:pPr>
        <w:spacing w:before="120" w:after="120" w:line="288" w:lineRule="auto"/>
        <w:ind w:left="0"/>
        <w:jc w:val="left"/>
      </w:pPr>
      <w:r>
        <w:rPr>
          <w:rFonts w:ascii="Arial" w:hAnsi="Arial" w:eastAsia="等线" w:cs="Arial"/>
          <w:sz w:val="22"/>
        </w:rPr>
        <w:t>529 储蓄计划也被称为合格学费计划（QTPs，qualified tuition plans）。</w:t>
      </w:r>
    </w:p>
    <w:p w14:paraId="4A160219">
      <w:pPr>
        <w:spacing w:before="120" w:after="120" w:line="288" w:lineRule="auto"/>
        <w:ind w:left="0"/>
        <w:jc w:val="left"/>
      </w:pPr>
    </w:p>
    <w:p w14:paraId="56E02BB4">
      <w:pPr>
        <w:spacing w:before="120" w:after="120" w:line="288" w:lineRule="auto"/>
        <w:ind w:left="0"/>
        <w:jc w:val="left"/>
      </w:pPr>
      <w:r>
        <w:rPr>
          <w:rFonts w:ascii="Arial" w:hAnsi="Arial" w:eastAsia="等线" w:cs="Arial"/>
          <w:sz w:val="22"/>
        </w:rPr>
        <w:t>它得名于《国内收入法典》第 529 条。您可以将其理解为“教育版的 401(k) 退休计划”，只不过资金专门用于教育目的。</w:t>
      </w:r>
    </w:p>
    <w:p w14:paraId="18FFD275">
      <w:pPr>
        <w:spacing w:before="120" w:after="120" w:line="288" w:lineRule="auto"/>
        <w:ind w:left="0"/>
        <w:jc w:val="left"/>
      </w:pPr>
    </w:p>
    <w:p w14:paraId="6B4B32FB">
      <w:pPr>
        <w:spacing w:before="120" w:after="120" w:line="288" w:lineRule="auto"/>
        <w:ind w:left="0"/>
        <w:jc w:val="left"/>
      </w:pPr>
      <w:r>
        <w:rPr>
          <w:rFonts w:ascii="Arial" w:hAnsi="Arial" w:eastAsia="等线" w:cs="Arial"/>
          <w:sz w:val="22"/>
        </w:rPr>
        <w:t>529储蓄计划旨在允许用于支付符合条件的高等教育费用（大学、高等职业技术学校、研究生项目等）的储蓄资金。自2018年起，市政证券规则制定委员会（MSRB）还将小学或中学的公立、宗教或私立学校的学费列为符合条件的高等教育费用。</w:t>
      </w:r>
    </w:p>
    <w:p w14:paraId="22763E0F">
      <w:pPr>
        <w:spacing w:before="120" w:after="120" w:line="288" w:lineRule="auto"/>
        <w:ind w:left="0"/>
        <w:jc w:val="left"/>
      </w:pPr>
    </w:p>
    <w:p w14:paraId="63D6C764">
      <w:pPr>
        <w:spacing w:before="120" w:after="120" w:line="288" w:lineRule="auto"/>
        <w:ind w:left="0"/>
        <w:jc w:val="left"/>
      </w:pPr>
      <w:r>
        <w:rPr>
          <w:rFonts w:ascii="Arial" w:hAnsi="Arial" w:eastAsia="等线" w:cs="Arial"/>
          <w:sz w:val="22"/>
        </w:rPr>
        <w:t>529计划有一个账户所有人（即设立并向该计划缴费的人，通常是父母）和一个受益人（即从该计划中受益的人，通常是设立计划者的子女或亲属）。缴费限额因州而异，且缴费资金来自税后收入。</w:t>
      </w:r>
      <w:r>
        <w:rPr>
          <w:rFonts w:ascii="Arial" w:hAnsi="Arial" w:eastAsia="等线" w:cs="Arial"/>
          <w:b/>
          <w:sz w:val="22"/>
        </w:rPr>
        <w:t>取出的投资金额加上所获利息是免税的，这意味着收益以递延纳税的方式增长，且若收益用于符合条件的教育费用，则无需缴税。</w:t>
      </w:r>
      <w:r>
        <w:rPr>
          <w:rFonts w:ascii="Arial" w:hAnsi="Arial" w:eastAsia="等线" w:cs="Arial"/>
          <w:sz w:val="22"/>
        </w:rPr>
        <w:t>投资者在开户前必须收到官方声明（official statement）或发行说明书（offering circular）。</w:t>
      </w:r>
    </w:p>
    <w:p w14:paraId="096A55EC">
      <w:pPr>
        <w:spacing w:before="120" w:after="120" w:line="288" w:lineRule="auto"/>
        <w:ind w:left="0"/>
        <w:jc w:val="left"/>
      </w:pPr>
    </w:p>
    <w:p w14:paraId="69909C4A">
      <w:pPr>
        <w:spacing w:before="120" w:after="120" w:line="288" w:lineRule="auto"/>
        <w:ind w:left="0"/>
        <w:jc w:val="left"/>
      </w:pPr>
      <w:r>
        <w:rPr>
          <w:rFonts w:ascii="Arial" w:hAnsi="Arial" w:eastAsia="等线" w:cs="Arial"/>
          <w:b/>
          <w:sz w:val="22"/>
        </w:rPr>
        <w:t>两种类型：</w:t>
      </w:r>
    </w:p>
    <w:p w14:paraId="0501925B">
      <w:pPr>
        <w:numPr>
          <w:ilvl w:val="0"/>
          <w:numId w:val="88"/>
        </w:numPr>
        <w:spacing w:before="120" w:after="120" w:line="288" w:lineRule="auto"/>
        <w:ind w:left="0"/>
        <w:jc w:val="left"/>
      </w:pPr>
      <w:r>
        <w:rPr>
          <w:rFonts w:ascii="Arial" w:hAnsi="Arial" w:eastAsia="等线" w:cs="Arial"/>
          <w:sz w:val="22"/>
        </w:rPr>
        <w:t>College Savings Plan（大学储蓄计划）</w:t>
      </w:r>
    </w:p>
    <w:p w14:paraId="3E80F96D">
      <w:pPr>
        <w:numPr>
          <w:ilvl w:val="0"/>
          <w:numId w:val="89"/>
        </w:numPr>
        <w:spacing w:before="120" w:after="120" w:line="288" w:lineRule="auto"/>
        <w:ind w:left="453"/>
        <w:jc w:val="left"/>
      </w:pPr>
      <w:r>
        <w:rPr>
          <w:rFonts w:ascii="Arial" w:hAnsi="Arial" w:eastAsia="等线" w:cs="Arial"/>
          <w:sz w:val="22"/>
        </w:rPr>
        <w:t>投资组合型账户（类似 mutual fund）</w:t>
      </w:r>
    </w:p>
    <w:p w14:paraId="037EBCE7">
      <w:pPr>
        <w:numPr>
          <w:ilvl w:val="0"/>
          <w:numId w:val="90"/>
        </w:numPr>
        <w:spacing w:before="120" w:after="120" w:line="288" w:lineRule="auto"/>
        <w:ind w:left="453"/>
        <w:jc w:val="left"/>
      </w:pPr>
      <w:r>
        <w:rPr>
          <w:rFonts w:ascii="Arial" w:hAnsi="Arial" w:eastAsia="等线" w:cs="Arial"/>
          <w:sz w:val="22"/>
        </w:rPr>
        <w:t>账户价值随市场波动。</w:t>
      </w:r>
    </w:p>
    <w:p w14:paraId="1378B394">
      <w:pPr>
        <w:numPr>
          <w:ilvl w:val="0"/>
          <w:numId w:val="91"/>
        </w:numPr>
        <w:spacing w:before="120" w:after="120" w:line="288" w:lineRule="auto"/>
        <w:ind w:left="453"/>
        <w:jc w:val="left"/>
      </w:pPr>
      <w:r>
        <w:rPr>
          <w:rFonts w:ascii="Arial" w:hAnsi="Arial" w:eastAsia="等线" w:cs="Arial"/>
          <w:sz w:val="22"/>
        </w:rPr>
        <w:t>可用于支付大学、K-12 私立教育、学徒项目、学生贷款（最多 $10,000）等费用</w:t>
      </w:r>
    </w:p>
    <w:p w14:paraId="78733212">
      <w:pPr>
        <w:numPr>
          <w:ilvl w:val="0"/>
          <w:numId w:val="92"/>
        </w:numPr>
        <w:spacing w:before="120" w:after="120" w:line="288" w:lineRule="auto"/>
        <w:ind w:left="0"/>
        <w:jc w:val="left"/>
      </w:pPr>
      <w:r>
        <w:rPr>
          <w:rFonts w:ascii="Arial" w:hAnsi="Arial" w:eastAsia="等线" w:cs="Arial"/>
          <w:sz w:val="22"/>
        </w:rPr>
        <w:t>Prepaid Tuition Plan（学费预付计划）</w:t>
      </w:r>
    </w:p>
    <w:p w14:paraId="4259EFE3">
      <w:pPr>
        <w:numPr>
          <w:ilvl w:val="0"/>
          <w:numId w:val="93"/>
        </w:numPr>
        <w:spacing w:before="120" w:after="120" w:line="288" w:lineRule="auto"/>
        <w:ind w:left="453"/>
        <w:jc w:val="left"/>
      </w:pPr>
      <w:r>
        <w:rPr>
          <w:rFonts w:ascii="Arial" w:hAnsi="Arial" w:eastAsia="等线" w:cs="Arial"/>
          <w:sz w:val="22"/>
        </w:rPr>
        <w:t>锁定未来学费在当前价格</w:t>
      </w:r>
    </w:p>
    <w:p w14:paraId="3E89162A">
      <w:pPr>
        <w:numPr>
          <w:ilvl w:val="0"/>
          <w:numId w:val="94"/>
        </w:numPr>
        <w:spacing w:before="120" w:after="120" w:line="288" w:lineRule="auto"/>
        <w:ind w:left="453"/>
        <w:jc w:val="left"/>
      </w:pPr>
      <w:r>
        <w:rPr>
          <w:rFonts w:ascii="Arial" w:hAnsi="Arial" w:eastAsia="等线" w:cs="Arial"/>
          <w:sz w:val="22"/>
        </w:rPr>
        <w:t>通常限本州公立大学使用</w:t>
      </w:r>
    </w:p>
    <w:p w14:paraId="2E2817DE">
      <w:pPr>
        <w:numPr>
          <w:ilvl w:val="0"/>
          <w:numId w:val="95"/>
        </w:numPr>
        <w:spacing w:before="120" w:after="120" w:line="288" w:lineRule="auto"/>
        <w:ind w:left="453"/>
        <w:jc w:val="left"/>
      </w:pPr>
      <w:r>
        <w:rPr>
          <w:rFonts w:ascii="Arial" w:hAnsi="Arial" w:eastAsia="等线" w:cs="Arial"/>
          <w:sz w:val="22"/>
        </w:rPr>
        <w:t>风险由州政府承担</w:t>
      </w:r>
    </w:p>
    <w:p w14:paraId="6735C239">
      <w:pPr>
        <w:spacing w:before="120" w:after="120" w:line="288" w:lineRule="auto"/>
        <w:ind w:left="0"/>
        <w:jc w:val="left"/>
      </w:pPr>
    </w:p>
    <w:p w14:paraId="7AA5BC9C">
      <w:pPr>
        <w:spacing w:before="120" w:after="120" w:line="288" w:lineRule="auto"/>
        <w:ind w:left="0"/>
        <w:jc w:val="left"/>
      </w:pPr>
      <w:r>
        <w:rPr>
          <w:rFonts w:ascii="Arial" w:hAnsi="Arial" w:eastAsia="等线" w:cs="Arial"/>
          <w:b/>
          <w:sz w:val="22"/>
        </w:rPr>
        <w:t>税收优势：</w:t>
      </w:r>
    </w:p>
    <w:p w14:paraId="1A45BB7E">
      <w:pPr>
        <w:numPr>
          <w:ilvl w:val="0"/>
          <w:numId w:val="96"/>
        </w:numPr>
        <w:spacing w:before="120" w:after="120" w:line="288" w:lineRule="auto"/>
        <w:ind w:left="0"/>
        <w:jc w:val="left"/>
      </w:pPr>
      <w:r>
        <w:rPr>
          <w:rFonts w:ascii="Arial" w:hAnsi="Arial" w:eastAsia="等线" w:cs="Arial"/>
          <w:sz w:val="22"/>
        </w:rPr>
        <w:t>账户增值免税：账户内的投资收益在增长期间无需缴纳联邦资本利得税，在很多州也免州税。</w:t>
      </w:r>
    </w:p>
    <w:p w14:paraId="0DA43D87">
      <w:pPr>
        <w:numPr>
          <w:ilvl w:val="0"/>
          <w:numId w:val="97"/>
        </w:numPr>
        <w:spacing w:before="120" w:after="120" w:line="288" w:lineRule="auto"/>
        <w:ind w:left="0"/>
        <w:jc w:val="left"/>
      </w:pPr>
      <w:r>
        <w:rPr>
          <w:rFonts w:ascii="Arial" w:hAnsi="Arial" w:eastAsia="等线" w:cs="Arial"/>
          <w:sz w:val="22"/>
        </w:rPr>
        <w:t>提款免税：只要提取的资金用于合格的教育开支（Qualified Education Expenses），这些收益在提取时也免缴联邦所得税，通常也免州税。</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75EFEF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c>
          <w:tcPr>
            <w:tcW w:w="8280" w:type="dxa"/>
            <w:shd w:val="clear" w:color="auto" w:fill="FEEAD2"/>
            <w:tcMar>
              <w:top w:w="60" w:type="dxa"/>
              <w:left w:w="120" w:type="dxa"/>
              <w:bottom w:w="30" w:type="dxa"/>
              <w:right w:w="120" w:type="dxa"/>
            </w:tcMar>
          </w:tcPr>
          <w:p w14:paraId="5FBE7AD7">
            <w:pPr>
              <w:spacing w:before="120" w:after="120" w:line="288" w:lineRule="auto"/>
              <w:ind w:left="0"/>
              <w:jc w:val="left"/>
            </w:pPr>
            <w:r>
              <w:rPr>
                <w:rFonts w:ascii="Arial" w:hAnsi="Arial" w:eastAsia="等线" w:cs="Arial"/>
                <w:sz w:val="22"/>
              </w:rPr>
              <w:t>注意：如果注册代表向客户推荐529储蓄计划，应该向客户解释其缴费可能获得的州税减免</w:t>
            </w:r>
            <w:r>
              <w:rPr>
                <w:rFonts w:ascii="Arial" w:hAnsi="Arial" w:eastAsia="等线" w:cs="Arial"/>
                <w:b/>
                <w:sz w:val="22"/>
              </w:rPr>
              <w:t>（potential deductibility of contributions from state taxes）</w:t>
            </w:r>
            <w:r>
              <w:rPr>
                <w:rFonts w:ascii="Arial" w:hAnsi="Arial" w:eastAsia="等线" w:cs="Arial"/>
                <w:sz w:val="22"/>
              </w:rPr>
              <w:t>。请记住，缴费金额和可抵扣金额因州而异。</w:t>
            </w:r>
          </w:p>
        </w:tc>
      </w:tr>
    </w:tbl>
    <w:p w14:paraId="00EF2BAF">
      <w:pPr>
        <w:spacing w:before="120" w:after="120" w:line="288" w:lineRule="auto"/>
        <w:ind w:left="0"/>
        <w:jc w:val="left"/>
      </w:pPr>
    </w:p>
    <w:p w14:paraId="674680A0">
      <w:pPr>
        <w:spacing w:before="120" w:after="120" w:line="288" w:lineRule="auto"/>
        <w:ind w:left="0"/>
        <w:jc w:val="left"/>
      </w:pPr>
      <w:r>
        <w:rPr>
          <w:rFonts w:ascii="Arial" w:hAnsi="Arial" w:eastAsia="等线" w:cs="Arial"/>
          <w:b/>
          <w:sz w:val="22"/>
        </w:rPr>
        <w:t>监管：</w:t>
      </w:r>
    </w:p>
    <w:p w14:paraId="6127B139">
      <w:pPr>
        <w:numPr>
          <w:ilvl w:val="0"/>
          <w:numId w:val="98"/>
        </w:numPr>
        <w:spacing w:before="120" w:after="120" w:line="288" w:lineRule="auto"/>
        <w:ind w:left="0"/>
        <w:jc w:val="left"/>
      </w:pPr>
      <w:r>
        <w:rPr>
          <w:rFonts w:ascii="Arial" w:hAnsi="Arial" w:eastAsia="等线" w:cs="Arial"/>
          <w:sz w:val="22"/>
        </w:rPr>
        <w:t>由州政府运营</w:t>
      </w:r>
    </w:p>
    <w:p w14:paraId="46851DE1">
      <w:pPr>
        <w:numPr>
          <w:ilvl w:val="0"/>
          <w:numId w:val="99"/>
        </w:numPr>
        <w:spacing w:before="120" w:after="120" w:line="288" w:lineRule="auto"/>
        <w:ind w:left="0"/>
        <w:jc w:val="left"/>
      </w:pPr>
      <w:r>
        <w:rPr>
          <w:rFonts w:ascii="Arial" w:hAnsi="Arial" w:eastAsia="等线" w:cs="Arial"/>
          <w:sz w:val="22"/>
        </w:rPr>
        <w:t>由 MSRB 制定销售规则（如广告披露、适当性要求）</w:t>
      </w:r>
    </w:p>
    <w:p w14:paraId="0CADEF4F">
      <w:pPr>
        <w:spacing w:before="120" w:after="120" w:line="288" w:lineRule="auto"/>
        <w:ind w:left="0"/>
        <w:jc w:val="left"/>
      </w:pPr>
    </w:p>
    <w:p w14:paraId="76A5B1F4">
      <w:pPr>
        <w:spacing w:before="260" w:after="120" w:line="288" w:lineRule="auto"/>
        <w:ind w:left="0"/>
        <w:jc w:val="left"/>
        <w:outlineLvl w:val="3"/>
      </w:pPr>
      <w:bookmarkStart w:id="24" w:name="heading_24"/>
      <w:r>
        <w:rPr>
          <w:rFonts w:ascii="Arial" w:hAnsi="Arial" w:eastAsia="等线" w:cs="Arial"/>
          <w:color w:val="3370FF"/>
          <w:sz w:val="28"/>
        </w:rPr>
        <w:t xml:space="preserve">2.3.4.2 </w:t>
      </w:r>
      <w:r>
        <w:rPr>
          <w:rFonts w:ascii="Arial" w:hAnsi="Arial" w:eastAsia="等线" w:cs="Arial"/>
          <w:b/>
          <w:sz w:val="28"/>
        </w:rPr>
        <w:t>ABLE（老年人养老相关）</w:t>
      </w:r>
      <w:bookmarkEnd w:id="24"/>
    </w:p>
    <w:p w14:paraId="10923AF5">
      <w:pPr>
        <w:spacing w:before="120" w:after="120" w:line="288" w:lineRule="auto"/>
        <w:ind w:left="0"/>
        <w:jc w:val="left"/>
      </w:pPr>
      <w:r>
        <w:rPr>
          <w:rFonts w:ascii="Arial" w:hAnsi="Arial" w:eastAsia="等线" w:cs="Arial"/>
          <w:sz w:val="22"/>
        </w:rPr>
        <w:t>ABLE（Achieving a Better Life Experience）账户为残疾人士设立的免税账户，用于支付合格残障相关费用（医疗、教育、住房等）。</w:t>
      </w:r>
    </w:p>
    <w:p w14:paraId="0867B04D">
      <w:pPr>
        <w:spacing w:before="120" w:after="120" w:line="288" w:lineRule="auto"/>
        <w:ind w:left="0"/>
        <w:jc w:val="left"/>
      </w:pPr>
    </w:p>
    <w:p w14:paraId="003C6A29">
      <w:pPr>
        <w:spacing w:before="120" w:after="120" w:line="288" w:lineRule="auto"/>
        <w:ind w:left="0"/>
        <w:jc w:val="left"/>
      </w:pPr>
      <w:r>
        <w:rPr>
          <w:rFonts w:ascii="Arial" w:hAnsi="Arial" w:eastAsia="等线" w:cs="Arial"/>
          <w:sz w:val="22"/>
        </w:rPr>
        <w:t>设立依据：2014 年《ABLE Act》</w:t>
      </w:r>
    </w:p>
    <w:p w14:paraId="42341A6C">
      <w:pPr>
        <w:spacing w:before="120" w:after="120" w:line="288" w:lineRule="auto"/>
        <w:ind w:left="0"/>
        <w:jc w:val="left"/>
      </w:pPr>
    </w:p>
    <w:p w14:paraId="496A09F3">
      <w:pPr>
        <w:spacing w:before="120" w:after="120" w:line="288" w:lineRule="auto"/>
        <w:ind w:left="0"/>
        <w:jc w:val="left"/>
      </w:pPr>
      <w:r>
        <w:rPr>
          <w:rFonts w:ascii="Arial" w:hAnsi="Arial" w:eastAsia="等线" w:cs="Arial"/>
          <w:sz w:val="22"/>
        </w:rPr>
        <w:t>适用对象：</w:t>
      </w:r>
    </w:p>
    <w:p w14:paraId="6EE5F6F9">
      <w:pPr>
        <w:numPr>
          <w:ilvl w:val="0"/>
          <w:numId w:val="100"/>
        </w:numPr>
        <w:spacing w:before="120" w:after="120" w:line="288" w:lineRule="auto"/>
        <w:ind w:left="453"/>
        <w:jc w:val="left"/>
      </w:pPr>
      <w:r>
        <w:rPr>
          <w:rFonts w:ascii="Arial" w:hAnsi="Arial" w:eastAsia="等线" w:cs="Arial"/>
          <w:sz w:val="22"/>
        </w:rPr>
        <w:t>残疾发生年龄在 26 岁前。</w:t>
      </w:r>
    </w:p>
    <w:p w14:paraId="6896E5AC">
      <w:pPr>
        <w:numPr>
          <w:ilvl w:val="0"/>
          <w:numId w:val="101"/>
        </w:numPr>
        <w:spacing w:before="120" w:after="120" w:line="288" w:lineRule="auto"/>
        <w:ind w:left="453"/>
        <w:jc w:val="left"/>
      </w:pPr>
      <w:r>
        <w:rPr>
          <w:rFonts w:ascii="Arial" w:hAnsi="Arial" w:eastAsia="等线" w:cs="Arial"/>
          <w:sz w:val="22"/>
        </w:rPr>
        <w:t>需满足社会保障残疾标准（SSDI/SSI）。</w:t>
      </w:r>
    </w:p>
    <w:p w14:paraId="2A2F1E87">
      <w:pPr>
        <w:spacing w:before="120" w:after="120" w:line="288" w:lineRule="auto"/>
        <w:ind w:left="0"/>
        <w:jc w:val="left"/>
      </w:pPr>
    </w:p>
    <w:p w14:paraId="574B4D71">
      <w:pPr>
        <w:spacing w:before="120" w:after="120" w:line="288" w:lineRule="auto"/>
        <w:ind w:left="0"/>
        <w:jc w:val="left"/>
      </w:pPr>
      <w:r>
        <w:rPr>
          <w:rFonts w:ascii="Arial" w:hAnsi="Arial" w:eastAsia="等线" w:cs="Arial"/>
          <w:sz w:val="22"/>
        </w:rPr>
        <w:t>账户特征：</w:t>
      </w:r>
    </w:p>
    <w:p w14:paraId="746E4E0E">
      <w:pPr>
        <w:numPr>
          <w:ilvl w:val="0"/>
          <w:numId w:val="102"/>
        </w:numPr>
        <w:spacing w:before="120" w:after="120" w:line="288" w:lineRule="auto"/>
        <w:ind w:left="453"/>
        <w:jc w:val="left"/>
      </w:pPr>
      <w:r>
        <w:rPr>
          <w:rFonts w:ascii="Arial" w:hAnsi="Arial" w:eastAsia="等线" w:cs="Arial"/>
          <w:sz w:val="22"/>
        </w:rPr>
        <w:t>由州政府运营（类似 529 plan）</w:t>
      </w:r>
    </w:p>
    <w:p w14:paraId="24602B8E">
      <w:pPr>
        <w:numPr>
          <w:ilvl w:val="0"/>
          <w:numId w:val="103"/>
        </w:numPr>
        <w:spacing w:before="120" w:after="120" w:line="288" w:lineRule="auto"/>
        <w:ind w:left="453"/>
        <w:jc w:val="left"/>
      </w:pPr>
      <w:r>
        <w:rPr>
          <w:rFonts w:ascii="Arial" w:hAnsi="Arial" w:eastAsia="等线" w:cs="Arial"/>
          <w:sz w:val="22"/>
        </w:rPr>
        <w:t>投资增长免税</w:t>
      </w:r>
    </w:p>
    <w:p w14:paraId="16F58CBC">
      <w:pPr>
        <w:numPr>
          <w:ilvl w:val="0"/>
          <w:numId w:val="104"/>
        </w:numPr>
        <w:spacing w:before="120" w:after="120" w:line="288" w:lineRule="auto"/>
        <w:ind w:left="453"/>
        <w:jc w:val="left"/>
      </w:pPr>
      <w:r>
        <w:rPr>
          <w:rFonts w:ascii="Arial" w:hAnsi="Arial" w:eastAsia="等线" w:cs="Arial"/>
          <w:sz w:val="22"/>
        </w:rPr>
        <w:t>每年捐款限额与美国国税局（IRS）礼品税年度限额一致（2024年为 $18,000）</w:t>
      </w:r>
    </w:p>
    <w:p w14:paraId="08BCB150">
      <w:pPr>
        <w:spacing w:before="120" w:after="120" w:line="288" w:lineRule="auto"/>
        <w:ind w:left="0"/>
        <w:jc w:val="left"/>
      </w:pPr>
    </w:p>
    <w:p w14:paraId="023D57B5">
      <w:pPr>
        <w:spacing w:before="120" w:after="120" w:line="288" w:lineRule="auto"/>
        <w:ind w:left="0"/>
        <w:jc w:val="left"/>
      </w:pPr>
      <w:r>
        <w:rPr>
          <w:rFonts w:ascii="Arial" w:hAnsi="Arial" w:eastAsia="等线" w:cs="Arial"/>
          <w:sz w:val="22"/>
        </w:rPr>
        <w:t>税收优势：</w:t>
      </w:r>
    </w:p>
    <w:p w14:paraId="012A931D">
      <w:pPr>
        <w:numPr>
          <w:ilvl w:val="0"/>
          <w:numId w:val="105"/>
        </w:numPr>
        <w:spacing w:before="120" w:after="120" w:line="288" w:lineRule="auto"/>
        <w:ind w:left="453"/>
        <w:jc w:val="left"/>
      </w:pPr>
      <w:r>
        <w:rPr>
          <w:rFonts w:ascii="Arial" w:hAnsi="Arial" w:eastAsia="等线" w:cs="Arial"/>
          <w:sz w:val="22"/>
        </w:rPr>
        <w:t>账户增长免税</w:t>
      </w:r>
    </w:p>
    <w:p w14:paraId="4836D222">
      <w:pPr>
        <w:numPr>
          <w:ilvl w:val="0"/>
          <w:numId w:val="106"/>
        </w:numPr>
        <w:spacing w:before="120" w:after="120" w:line="288" w:lineRule="auto"/>
        <w:ind w:left="453"/>
        <w:jc w:val="left"/>
      </w:pPr>
      <w:r>
        <w:rPr>
          <w:rFonts w:ascii="Arial" w:hAnsi="Arial" w:eastAsia="等线" w:cs="Arial"/>
          <w:sz w:val="22"/>
        </w:rPr>
        <w:t>合格支出不纳入应税收入</w:t>
      </w:r>
    </w:p>
    <w:p w14:paraId="7955DE8C">
      <w:pPr>
        <w:numPr>
          <w:ilvl w:val="0"/>
          <w:numId w:val="107"/>
        </w:numPr>
        <w:spacing w:before="120" w:after="120" w:line="288" w:lineRule="auto"/>
        <w:ind w:left="453"/>
        <w:jc w:val="left"/>
      </w:pPr>
      <w:r>
        <w:rPr>
          <w:rFonts w:ascii="Arial" w:hAnsi="Arial" w:eastAsia="等线" w:cs="Arial"/>
          <w:sz w:val="22"/>
        </w:rPr>
        <w:t>若余额低于 $100,000，SSDI/SSI 资格不受影响</w:t>
      </w:r>
    </w:p>
    <w:p w14:paraId="3C43AFD8">
      <w:pPr>
        <w:spacing w:before="120" w:after="120" w:line="288" w:lineRule="auto"/>
        <w:ind w:left="0"/>
        <w:jc w:val="left"/>
      </w:pPr>
    </w:p>
    <w:p w14:paraId="2FBBBBC9">
      <w:pPr>
        <w:spacing w:before="120" w:after="120" w:line="288" w:lineRule="auto"/>
        <w:ind w:left="0"/>
        <w:jc w:val="left"/>
      </w:pPr>
      <w:r>
        <w:rPr>
          <w:rFonts w:ascii="Arial" w:hAnsi="Arial" w:eastAsia="等线" w:cs="Arial"/>
          <w:sz w:val="22"/>
        </w:rPr>
        <w:t>监管：</w:t>
      </w:r>
    </w:p>
    <w:p w14:paraId="463A9852">
      <w:pPr>
        <w:numPr>
          <w:ilvl w:val="0"/>
          <w:numId w:val="108"/>
        </w:numPr>
        <w:spacing w:before="120" w:after="120" w:line="288" w:lineRule="auto"/>
        <w:ind w:left="453"/>
        <w:jc w:val="left"/>
      </w:pPr>
      <w:r>
        <w:rPr>
          <w:rFonts w:ascii="Arial" w:hAnsi="Arial" w:eastAsia="等线" w:cs="Arial"/>
          <w:sz w:val="22"/>
        </w:rPr>
        <w:t>属于 Municipal Fund Security</w:t>
      </w:r>
    </w:p>
    <w:p w14:paraId="5B5EF37C">
      <w:pPr>
        <w:numPr>
          <w:ilvl w:val="0"/>
          <w:numId w:val="109"/>
        </w:numPr>
        <w:spacing w:before="120" w:after="120" w:line="288" w:lineRule="auto"/>
        <w:ind w:left="453"/>
        <w:jc w:val="left"/>
      </w:pPr>
      <w:r>
        <w:rPr>
          <w:rFonts w:ascii="Arial" w:hAnsi="Arial" w:eastAsia="等线" w:cs="Arial"/>
          <w:sz w:val="22"/>
        </w:rPr>
        <w:t>由 MSRB 监管销售行为.</w:t>
      </w:r>
    </w:p>
    <w:p w14:paraId="69EF1A60">
      <w:pPr>
        <w:spacing w:before="120" w:after="120" w:line="288" w:lineRule="auto"/>
        <w:ind w:left="0"/>
        <w:jc w:val="left"/>
      </w:pPr>
    </w:p>
    <w:p w14:paraId="264E6A45">
      <w:pPr>
        <w:spacing w:before="260" w:after="120" w:line="288" w:lineRule="auto"/>
        <w:ind w:left="0"/>
        <w:jc w:val="left"/>
        <w:outlineLvl w:val="3"/>
      </w:pPr>
      <w:bookmarkStart w:id="25" w:name="heading_25"/>
      <w:r>
        <w:rPr>
          <w:rFonts w:ascii="Arial" w:hAnsi="Arial" w:eastAsia="等线" w:cs="Arial"/>
          <w:color w:val="3370FF"/>
          <w:sz w:val="28"/>
        </w:rPr>
        <w:t xml:space="preserve">2.3.4.3 </w:t>
      </w:r>
      <w:r>
        <w:rPr>
          <w:rFonts w:ascii="Arial" w:hAnsi="Arial" w:eastAsia="等线" w:cs="Arial"/>
          <w:b/>
          <w:sz w:val="28"/>
        </w:rPr>
        <w:t>LGIPs（地方政府投资池）</w:t>
      </w:r>
      <w:bookmarkEnd w:id="25"/>
    </w:p>
    <w:p w14:paraId="51E71898">
      <w:pPr>
        <w:spacing w:before="120" w:after="120" w:line="288" w:lineRule="auto"/>
        <w:ind w:left="0"/>
        <w:jc w:val="left"/>
      </w:pPr>
      <w:r>
        <w:rPr>
          <w:rFonts w:ascii="Arial" w:hAnsi="Arial" w:eastAsia="等线" w:cs="Arial"/>
          <w:sz w:val="22"/>
        </w:rPr>
        <w:t>LGIPs（Local Government Investment Pools）由各州设立，旨在为其他政府实体（城市、县、学区等）提供短期投资工具，供其进行资金投资。</w:t>
      </w:r>
    </w:p>
    <w:p w14:paraId="29689174">
      <w:pPr>
        <w:spacing w:before="120" w:after="120" w:line="288" w:lineRule="auto"/>
        <w:ind w:left="0"/>
        <w:jc w:val="left"/>
      </w:pPr>
    </w:p>
    <w:p w14:paraId="14666EC8">
      <w:pPr>
        <w:spacing w:before="120" w:after="120" w:line="288" w:lineRule="auto"/>
        <w:ind w:left="0"/>
        <w:jc w:val="left"/>
      </w:pPr>
      <w:r>
        <w:rPr>
          <w:rFonts w:ascii="Arial" w:hAnsi="Arial" w:eastAsia="等线" w:cs="Arial"/>
          <w:sz w:val="22"/>
        </w:rPr>
        <w:t>由于这些投资池是州政府为州内实体设立的，因此 LGIPs 无需向 SEC 注册。因此，它们不需要招股说明书，但LGIPs 有披露文件，内容涵盖投资政策、操作程序等。虽然它们不是货币市场基金，但在许多方面的运作方式与货币市场基金相似。与货币市场基金一样，LGIPs 通常将资产净值（NAV）设定为1美元，而且资金通常投资于安全的领域，不过这并非强制要求。LGIPs 可以直接向市政当局出售，也可以通过市政发行方聘请的市政顾问进行销售。</w:t>
      </w:r>
    </w:p>
    <w:p w14:paraId="00DC91B8">
      <w:pPr>
        <w:spacing w:before="120" w:after="120" w:line="288" w:lineRule="auto"/>
        <w:ind w:left="0"/>
        <w:jc w:val="left"/>
      </w:pPr>
    </w:p>
    <w:p w14:paraId="00E90273">
      <w:pPr>
        <w:spacing w:before="120" w:after="120" w:line="288" w:lineRule="auto"/>
        <w:ind w:left="0"/>
        <w:jc w:val="left"/>
      </w:pPr>
      <w:r>
        <w:rPr>
          <w:rFonts w:ascii="Arial" w:hAnsi="Arial" w:eastAsia="等线" w:cs="Arial"/>
          <w:b/>
          <w:sz w:val="22"/>
        </w:rPr>
        <w:t>参与对象：</w:t>
      </w:r>
    </w:p>
    <w:p w14:paraId="487B4141">
      <w:pPr>
        <w:numPr>
          <w:ilvl w:val="0"/>
          <w:numId w:val="110"/>
        </w:numPr>
        <w:spacing w:before="120" w:after="120" w:line="288" w:lineRule="auto"/>
        <w:ind w:left="0"/>
        <w:jc w:val="left"/>
      </w:pPr>
      <w:r>
        <w:rPr>
          <w:rFonts w:ascii="Arial" w:hAnsi="Arial" w:eastAsia="等线" w:cs="Arial"/>
          <w:sz w:val="22"/>
        </w:rPr>
        <w:t>政府实体（如市政府、学区、消防局等）。</w:t>
      </w:r>
    </w:p>
    <w:p w14:paraId="2397CD15">
      <w:pPr>
        <w:numPr>
          <w:ilvl w:val="0"/>
          <w:numId w:val="111"/>
        </w:numPr>
        <w:spacing w:before="120" w:after="120" w:line="288" w:lineRule="auto"/>
        <w:ind w:left="0"/>
        <w:jc w:val="left"/>
      </w:pPr>
      <w:r>
        <w:rPr>
          <w:rFonts w:ascii="Arial" w:hAnsi="Arial" w:eastAsia="等线" w:cs="Arial"/>
          <w:sz w:val="22"/>
        </w:rPr>
        <w:t>不对个人投资者开放。</w:t>
      </w:r>
    </w:p>
    <w:p w14:paraId="68A4C6CB">
      <w:pPr>
        <w:spacing w:before="120" w:after="120" w:line="288" w:lineRule="auto"/>
        <w:ind w:left="0"/>
        <w:jc w:val="left"/>
      </w:pPr>
    </w:p>
    <w:p w14:paraId="52DBC137">
      <w:pPr>
        <w:spacing w:before="120" w:after="120" w:line="288" w:lineRule="auto"/>
        <w:ind w:left="0"/>
        <w:jc w:val="left"/>
      </w:pPr>
      <w:r>
        <w:rPr>
          <w:rFonts w:ascii="Arial" w:hAnsi="Arial" w:eastAsia="等线" w:cs="Arial"/>
          <w:b/>
          <w:sz w:val="22"/>
        </w:rPr>
        <w:t>投资目标：</w:t>
      </w:r>
    </w:p>
    <w:p w14:paraId="4FBCF8F0">
      <w:pPr>
        <w:numPr>
          <w:ilvl w:val="0"/>
          <w:numId w:val="112"/>
        </w:numPr>
        <w:spacing w:before="120" w:after="120" w:line="288" w:lineRule="auto"/>
        <w:ind w:left="0"/>
        <w:jc w:val="left"/>
      </w:pPr>
      <w:r>
        <w:rPr>
          <w:rFonts w:ascii="Arial" w:hAnsi="Arial" w:eastAsia="等线" w:cs="Arial"/>
          <w:sz w:val="22"/>
        </w:rPr>
        <w:t>安全性（principal preservation）</w:t>
      </w:r>
    </w:p>
    <w:p w14:paraId="2C0F3A0E">
      <w:pPr>
        <w:numPr>
          <w:ilvl w:val="0"/>
          <w:numId w:val="113"/>
        </w:numPr>
        <w:spacing w:before="120" w:after="120" w:line="288" w:lineRule="auto"/>
        <w:ind w:left="0"/>
        <w:jc w:val="left"/>
      </w:pPr>
      <w:r>
        <w:rPr>
          <w:rFonts w:ascii="Arial" w:hAnsi="Arial" w:eastAsia="等线" w:cs="Arial"/>
          <w:sz w:val="22"/>
        </w:rPr>
        <w:t>流动性（liquidity）</w:t>
      </w:r>
    </w:p>
    <w:p w14:paraId="0C6F88F2">
      <w:pPr>
        <w:numPr>
          <w:ilvl w:val="0"/>
          <w:numId w:val="114"/>
        </w:numPr>
        <w:spacing w:before="120" w:after="120" w:line="288" w:lineRule="auto"/>
        <w:ind w:left="0"/>
        <w:jc w:val="left"/>
      </w:pPr>
      <w:r>
        <w:rPr>
          <w:rFonts w:ascii="Arial" w:hAnsi="Arial" w:eastAsia="等线" w:cs="Arial"/>
          <w:sz w:val="22"/>
        </w:rPr>
        <w:t>短期收益（interest income）</w:t>
      </w:r>
    </w:p>
    <w:p w14:paraId="17EE8EFA">
      <w:pPr>
        <w:spacing w:before="120" w:after="120" w:line="288" w:lineRule="auto"/>
        <w:ind w:left="0"/>
        <w:jc w:val="left"/>
      </w:pPr>
    </w:p>
    <w:p w14:paraId="3B482B6C">
      <w:pPr>
        <w:spacing w:before="120" w:after="120" w:line="288" w:lineRule="auto"/>
        <w:ind w:left="0"/>
        <w:jc w:val="left"/>
      </w:pPr>
      <w:r>
        <w:rPr>
          <w:rFonts w:ascii="Arial" w:hAnsi="Arial" w:eastAsia="等线" w:cs="Arial"/>
          <w:b/>
          <w:sz w:val="22"/>
        </w:rPr>
        <w:t>投资组合：</w:t>
      </w:r>
    </w:p>
    <w:p w14:paraId="39CD1F64">
      <w:pPr>
        <w:numPr>
          <w:ilvl w:val="0"/>
          <w:numId w:val="115"/>
        </w:numPr>
        <w:spacing w:before="120" w:after="120" w:line="288" w:lineRule="auto"/>
        <w:ind w:left="0"/>
        <w:jc w:val="left"/>
      </w:pPr>
      <w:r>
        <w:rPr>
          <w:rFonts w:ascii="Arial" w:hAnsi="Arial" w:eastAsia="等线" w:cs="Arial"/>
          <w:sz w:val="22"/>
        </w:rPr>
        <w:t>通常投资于高等级短期工具，如国库券、商业票据、回购协议等</w:t>
      </w:r>
    </w:p>
    <w:p w14:paraId="2D90B593">
      <w:pPr>
        <w:numPr>
          <w:ilvl w:val="0"/>
          <w:numId w:val="116"/>
        </w:numPr>
        <w:spacing w:before="120" w:after="120" w:line="288" w:lineRule="auto"/>
        <w:ind w:left="0"/>
        <w:jc w:val="left"/>
      </w:pPr>
      <w:r>
        <w:rPr>
          <w:rFonts w:ascii="Arial" w:hAnsi="Arial" w:eastAsia="等线" w:cs="Arial"/>
          <w:sz w:val="22"/>
        </w:rPr>
        <w:t>类似于政府版的 Money Market Fund（货币市场基金）</w:t>
      </w:r>
    </w:p>
    <w:p w14:paraId="16144050">
      <w:pPr>
        <w:spacing w:before="120" w:after="120" w:line="288" w:lineRule="auto"/>
        <w:ind w:left="0"/>
        <w:jc w:val="left"/>
      </w:pPr>
    </w:p>
    <w:p w14:paraId="72F70070">
      <w:pPr>
        <w:spacing w:before="120" w:after="120" w:line="288" w:lineRule="auto"/>
        <w:ind w:left="0"/>
        <w:jc w:val="left"/>
      </w:pPr>
      <w:r>
        <w:rPr>
          <w:rFonts w:ascii="Arial" w:hAnsi="Arial" w:eastAsia="等线" w:cs="Arial"/>
          <w:b/>
          <w:sz w:val="22"/>
        </w:rPr>
        <w:t>特点：</w:t>
      </w:r>
    </w:p>
    <w:p w14:paraId="6878D4E1">
      <w:pPr>
        <w:numPr>
          <w:ilvl w:val="0"/>
          <w:numId w:val="117"/>
        </w:numPr>
        <w:spacing w:before="120" w:after="120" w:line="288" w:lineRule="auto"/>
        <w:ind w:left="0"/>
        <w:jc w:val="left"/>
      </w:pPr>
      <w:r>
        <w:rPr>
          <w:rFonts w:ascii="Arial" w:hAnsi="Arial" w:eastAsia="等线" w:cs="Arial"/>
          <w:sz w:val="22"/>
        </w:rPr>
        <w:t>没有 NAV（净值）浮动，通常维持 $1 / share</w:t>
      </w:r>
    </w:p>
    <w:p w14:paraId="53A8E39B">
      <w:pPr>
        <w:numPr>
          <w:ilvl w:val="0"/>
          <w:numId w:val="118"/>
        </w:numPr>
        <w:spacing w:before="120" w:after="120" w:line="288" w:lineRule="auto"/>
        <w:ind w:left="0"/>
        <w:jc w:val="left"/>
      </w:pPr>
      <w:r>
        <w:rPr>
          <w:rFonts w:ascii="Arial" w:hAnsi="Arial" w:eastAsia="等线" w:cs="Arial"/>
          <w:sz w:val="22"/>
        </w:rPr>
        <w:t>不提供证券投顾服务</w:t>
      </w:r>
    </w:p>
    <w:p w14:paraId="6F66A936">
      <w:pPr>
        <w:numPr>
          <w:ilvl w:val="0"/>
          <w:numId w:val="119"/>
        </w:numPr>
        <w:spacing w:before="120" w:after="120" w:line="288" w:lineRule="auto"/>
        <w:ind w:left="0"/>
        <w:jc w:val="left"/>
      </w:pPr>
      <w:r>
        <w:rPr>
          <w:rFonts w:ascii="Arial" w:hAnsi="Arial" w:eastAsia="等线" w:cs="Arial"/>
          <w:sz w:val="22"/>
        </w:rPr>
        <w:t>不适用于 SEC 的 1940 年投资公司法豁免</w:t>
      </w:r>
    </w:p>
    <w:p w14:paraId="1031D4B1">
      <w:pPr>
        <w:spacing w:before="120" w:after="120" w:line="288" w:lineRule="auto"/>
        <w:ind w:left="0"/>
        <w:jc w:val="left"/>
      </w:pPr>
    </w:p>
    <w:p w14:paraId="1D1678F8">
      <w:pPr>
        <w:spacing w:before="120" w:after="120" w:line="288" w:lineRule="auto"/>
        <w:ind w:left="0"/>
        <w:jc w:val="left"/>
      </w:pPr>
      <w:r>
        <w:rPr>
          <w:rFonts w:ascii="Arial" w:hAnsi="Arial" w:eastAsia="等线" w:cs="Arial"/>
          <w:b/>
          <w:sz w:val="22"/>
        </w:rPr>
        <w:t>监管：</w:t>
      </w:r>
    </w:p>
    <w:p w14:paraId="21AB3752">
      <w:pPr>
        <w:numPr>
          <w:ilvl w:val="0"/>
          <w:numId w:val="120"/>
        </w:numPr>
        <w:spacing w:before="120" w:after="120" w:line="288" w:lineRule="auto"/>
        <w:ind w:left="0"/>
        <w:jc w:val="left"/>
      </w:pPr>
      <w:r>
        <w:rPr>
          <w:rFonts w:ascii="Arial" w:hAnsi="Arial" w:eastAsia="等线" w:cs="Arial"/>
          <w:sz w:val="22"/>
        </w:rPr>
        <w:t>由 MSRB 管理销售行为。</w:t>
      </w:r>
    </w:p>
    <w:p w14:paraId="52B78928">
      <w:pPr>
        <w:numPr>
          <w:ilvl w:val="0"/>
          <w:numId w:val="121"/>
        </w:numPr>
        <w:spacing w:before="120" w:after="120" w:line="288" w:lineRule="auto"/>
        <w:ind w:left="0"/>
        <w:jc w:val="left"/>
      </w:pPr>
      <w:r>
        <w:rPr>
          <w:rFonts w:ascii="Arial" w:hAnsi="Arial" w:eastAsia="等线" w:cs="Arial"/>
          <w:sz w:val="22"/>
        </w:rPr>
        <w:t>但不直接监管州或地方政府的投资操作。</w:t>
      </w:r>
    </w:p>
    <w:p w14:paraId="540241C3">
      <w:pPr>
        <w:spacing w:before="260" w:after="120" w:line="288" w:lineRule="auto"/>
        <w:ind w:left="0"/>
        <w:jc w:val="left"/>
        <w:outlineLvl w:val="3"/>
      </w:pPr>
      <w:bookmarkStart w:id="26" w:name="heading_26"/>
      <w:r>
        <w:rPr>
          <w:rFonts w:ascii="Arial" w:hAnsi="Arial" w:eastAsia="等线" w:cs="Arial"/>
          <w:color w:val="3370FF"/>
          <w:sz w:val="28"/>
        </w:rPr>
        <w:t xml:space="preserve">2.3.4.4 </w:t>
      </w:r>
      <w:r>
        <w:rPr>
          <w:rFonts w:ascii="Arial" w:hAnsi="Arial" w:eastAsia="等线" w:cs="Arial"/>
          <w:b/>
          <w:sz w:val="28"/>
        </w:rPr>
        <w:t>对比图</w:t>
      </w:r>
      <w:bookmarkEnd w:id="26"/>
    </w:p>
    <w:p w14:paraId="514D0750">
      <w:pPr>
        <w:spacing w:before="120" w:after="120" w:line="288" w:lineRule="auto"/>
        <w:ind w:left="0"/>
      </w:pPr>
      <w:r>
        <w:object>
          <v:shape id="_x0000_i1025" o:spt="75" type="#_x0000_t75" style="height:77pt;width:414pt;" o:ole="t" filled="f" o:preferrelative="t" stroked="f" coordsize="21600,21600">
            <v:path/>
            <v:fill on="f" focussize="0,0"/>
            <v:stroke on="f" joinstyle="miter"/>
            <v:imagedata r:id="rId7" o:title=""/>
            <o:lock v:ext="edit" aspectratio="t"/>
            <w10:wrap type="none"/>
            <w10:anchorlock/>
          </v:shape>
          <o:OLEObject Type="Embed" ProgID="Excel.Sheet.12" ShapeID="_x0000_i1025" DrawAspect="Icon" ObjectID="_1468075725" r:id="rId6">
            <o:LockedField>false</o:LockedField>
          </o:OLEObject>
        </w:object>
      </w:r>
    </w:p>
    <w:p w14:paraId="500E98B2">
      <w:pPr>
        <w:spacing w:after="120"/>
        <w:ind w:left="0"/>
        <w:jc w:val="center"/>
      </w:pPr>
      <w:r>
        <w:rPr>
          <w:rFonts w:ascii="Arial" w:hAnsi="Arial" w:eastAsia="等线" w:cs="Arial"/>
          <w:b/>
          <w:sz w:val="22"/>
        </w:rPr>
        <w:t>点击图片可查看完整电子表格</w:t>
      </w:r>
    </w:p>
    <w:p w14:paraId="5F688297">
      <w:pPr>
        <w:spacing w:before="320" w:after="120" w:line="288" w:lineRule="auto"/>
        <w:ind w:left="0"/>
        <w:jc w:val="left"/>
        <w:outlineLvl w:val="1"/>
      </w:pPr>
      <w:bookmarkStart w:id="27" w:name="heading_27"/>
      <w:r>
        <w:rPr>
          <w:rFonts w:ascii="Arial" w:hAnsi="Arial" w:eastAsia="等线" w:cs="Arial"/>
          <w:color w:val="3370FF"/>
          <w:sz w:val="32"/>
        </w:rPr>
        <w:t xml:space="preserve">2.4 </w:t>
      </w:r>
      <w:r>
        <w:rPr>
          <w:rFonts w:ascii="Arial" w:hAnsi="Arial" w:eastAsia="等线" w:cs="Arial"/>
          <w:b/>
          <w:sz w:val="32"/>
        </w:rPr>
        <w:t>市政债券税务优势</w:t>
      </w:r>
      <w:bookmarkEnd w:id="27"/>
    </w:p>
    <w:p w14:paraId="762C5BE7">
      <w:pPr>
        <w:spacing w:before="300" w:after="120" w:line="288" w:lineRule="auto"/>
        <w:ind w:left="0"/>
        <w:jc w:val="left"/>
        <w:outlineLvl w:val="2"/>
      </w:pPr>
      <w:bookmarkStart w:id="28" w:name="heading_28"/>
      <w:r>
        <w:rPr>
          <w:rFonts w:ascii="Arial" w:hAnsi="Arial" w:eastAsia="等线" w:cs="Arial"/>
          <w:color w:val="3370FF"/>
          <w:sz w:val="30"/>
        </w:rPr>
        <w:t xml:space="preserve">2.4.1 </w:t>
      </w:r>
      <w:r>
        <w:rPr>
          <w:rFonts w:ascii="Arial" w:hAnsi="Arial" w:eastAsia="等线" w:cs="Arial"/>
          <w:b/>
          <w:sz w:val="30"/>
        </w:rPr>
        <w:t>免税特性</w:t>
      </w:r>
      <w:bookmarkEnd w:id="28"/>
    </w:p>
    <w:p w14:paraId="22DAC8B5">
      <w:pPr>
        <w:spacing w:before="120" w:after="120" w:line="288" w:lineRule="auto"/>
        <w:ind w:left="0"/>
        <w:jc w:val="left"/>
      </w:pPr>
      <w:r>
        <w:rPr>
          <w:rFonts w:ascii="Arial" w:hAnsi="Arial" w:eastAsia="等线" w:cs="Arial"/>
          <w:sz w:val="22"/>
        </w:rPr>
        <w:t>市政债券的税务豁免是其与公司债、国债的核心差异，也是 SIE 考试 “投资税务” 模块的高频考点，需掌握 “免税层级” 与 “应税等价收益率计算”。</w:t>
      </w:r>
    </w:p>
    <w:p w14:paraId="147DCEB4">
      <w:pPr>
        <w:spacing w:before="120" w:after="120" w:line="288" w:lineRule="auto"/>
        <w:ind w:left="0"/>
        <w:jc w:val="left"/>
      </w:pPr>
    </w:p>
    <w:p w14:paraId="28A44EA6">
      <w:pPr>
        <w:spacing w:before="120" w:after="120" w:line="288" w:lineRule="auto"/>
        <w:ind w:left="0"/>
        <w:jc w:val="left"/>
      </w:pPr>
      <w:r>
        <w:rPr>
          <w:rFonts w:ascii="Arial" w:hAnsi="Arial" w:eastAsia="等线" w:cs="Arial"/>
          <w:sz w:val="22"/>
        </w:rPr>
        <w:t>最高法院（The Supreme Court）制定了免税互惠规则（tax-free reciprocal rule），规定市政债券的利息免联邦免税，美国政府债券的利息免州税。</w:t>
      </w:r>
    </w:p>
    <w:p w14:paraId="3D39BCC5">
      <w:pPr>
        <w:spacing w:before="120" w:after="120" w:line="288" w:lineRule="auto"/>
        <w:ind w:left="0"/>
        <w:jc w:val="left"/>
      </w:pPr>
    </w:p>
    <w:p w14:paraId="313D222D">
      <w:pPr>
        <w:numPr>
          <w:ilvl w:val="0"/>
          <w:numId w:val="122"/>
        </w:numPr>
        <w:spacing w:before="120" w:after="120" w:line="288" w:lineRule="auto"/>
        <w:ind w:left="0"/>
        <w:jc w:val="left"/>
      </w:pPr>
      <w:r>
        <w:rPr>
          <w:rFonts w:ascii="Arial" w:hAnsi="Arial" w:eastAsia="等线" w:cs="Arial"/>
          <w:sz w:val="22"/>
        </w:rPr>
        <w:t>联邦免税</w:t>
      </w:r>
    </w:p>
    <w:p w14:paraId="51081AB8">
      <w:pPr>
        <w:spacing w:before="120" w:after="120" w:line="288" w:lineRule="auto"/>
        <w:ind w:left="0"/>
        <w:jc w:val="left"/>
      </w:pPr>
      <w:r>
        <w:rPr>
          <w:rFonts w:ascii="Arial" w:hAnsi="Arial" w:eastAsia="等线" w:cs="Arial"/>
          <w:sz w:val="22"/>
        </w:rPr>
        <w:t>除 2009 年推出的应税市政债“建设美国债券”（BABs）外，市政债券利息收入免征联邦所得税（</w:t>
      </w:r>
      <w:r>
        <w:rPr>
          <w:rFonts w:ascii="Arial" w:hAnsi="Arial" w:eastAsia="等线" w:cs="Arial"/>
          <w:b/>
          <w:sz w:val="22"/>
        </w:rPr>
        <w:t>资本利得仍需缴税</w:t>
      </w:r>
      <w:r>
        <w:rPr>
          <w:rFonts w:ascii="Arial" w:hAnsi="Arial" w:eastAsia="等线" w:cs="Arial"/>
          <w:sz w:val="22"/>
        </w:rPr>
        <w:t>）。</w:t>
      </w:r>
    </w:p>
    <w:p w14:paraId="3F867DC4">
      <w:pPr>
        <w:spacing w:before="120" w:after="120" w:line="288" w:lineRule="auto"/>
        <w:ind w:left="0"/>
        <w:jc w:val="left"/>
      </w:pPr>
    </w:p>
    <w:p w14:paraId="459005E6">
      <w:pPr>
        <w:numPr>
          <w:ilvl w:val="0"/>
          <w:numId w:val="123"/>
        </w:numPr>
        <w:spacing w:before="120" w:after="120" w:line="288" w:lineRule="auto"/>
        <w:ind w:left="0"/>
        <w:jc w:val="left"/>
      </w:pPr>
      <w:r>
        <w:rPr>
          <w:rFonts w:ascii="Arial" w:hAnsi="Arial" w:eastAsia="等线" w:cs="Arial"/>
          <w:sz w:val="22"/>
        </w:rPr>
        <w:t>州 / 地方免税</w:t>
      </w:r>
    </w:p>
    <w:p w14:paraId="1486C8BB">
      <w:pPr>
        <w:spacing w:before="120" w:after="120" w:line="288" w:lineRule="auto"/>
        <w:ind w:left="0"/>
        <w:jc w:val="left"/>
      </w:pPr>
      <w:r>
        <w:rPr>
          <w:rFonts w:ascii="Arial" w:hAnsi="Arial" w:eastAsia="等线" w:cs="Arial"/>
          <w:sz w:val="22"/>
        </w:rPr>
        <w:t>若投资者购买 本州发行的市政债券，利息收入通常</w:t>
      </w:r>
      <w:r>
        <w:rPr>
          <w:rFonts w:ascii="Arial" w:hAnsi="Arial" w:eastAsia="等线" w:cs="Arial"/>
          <w:b/>
          <w:sz w:val="22"/>
        </w:rPr>
        <w:t>免征本州与地方所得税（即三重免税），</w:t>
      </w:r>
      <w:r>
        <w:rPr>
          <w:rFonts w:ascii="Arial" w:hAnsi="Arial" w:eastAsia="等线" w:cs="Arial"/>
          <w:sz w:val="22"/>
        </w:rPr>
        <w:t>如加州投资者购买加州市政债。</w:t>
      </w:r>
    </w:p>
    <w:p w14:paraId="45418BBE">
      <w:pPr>
        <w:spacing w:before="120" w:after="120" w:line="288" w:lineRule="auto"/>
        <w:ind w:left="0"/>
        <w:jc w:val="left"/>
      </w:pPr>
    </w:p>
    <w:p w14:paraId="43BB753E">
      <w:pPr>
        <w:spacing w:before="120" w:after="120" w:line="288" w:lineRule="auto"/>
        <w:ind w:left="0"/>
        <w:jc w:val="left"/>
      </w:pPr>
      <w:r>
        <w:rPr>
          <w:rFonts w:ascii="Arial" w:hAnsi="Arial" w:eastAsia="等线" w:cs="Arial"/>
          <w:sz w:val="22"/>
        </w:rPr>
        <w:t>美国领地（territories）发行的市政债券，利息收入免征联邦、州、地方所得税（即三重免税），是税务敏感型投资者（高税率人群）的优选。</w:t>
      </w:r>
    </w:p>
    <w:p w14:paraId="1D92C797">
      <w:pPr>
        <w:numPr>
          <w:ilvl w:val="0"/>
          <w:numId w:val="124"/>
        </w:numPr>
        <w:spacing w:before="120" w:after="120" w:line="288" w:lineRule="auto"/>
        <w:ind w:left="453"/>
        <w:jc w:val="left"/>
      </w:pPr>
      <w:r>
        <w:rPr>
          <w:rFonts w:ascii="Arial" w:hAnsi="Arial" w:eastAsia="等线" w:cs="Arial"/>
          <w:sz w:val="22"/>
        </w:rPr>
        <w:t>Puerto Rico 波多黎各</w:t>
      </w:r>
    </w:p>
    <w:p w14:paraId="23BF78F8">
      <w:pPr>
        <w:numPr>
          <w:ilvl w:val="0"/>
          <w:numId w:val="125"/>
        </w:numPr>
        <w:spacing w:before="120" w:after="120" w:line="288" w:lineRule="auto"/>
        <w:ind w:left="453"/>
        <w:jc w:val="left"/>
      </w:pPr>
      <w:r>
        <w:rPr>
          <w:rFonts w:ascii="Arial" w:hAnsi="Arial" w:eastAsia="等线" w:cs="Arial"/>
          <w:sz w:val="22"/>
        </w:rPr>
        <w:t>Guam 关岛</w:t>
      </w:r>
    </w:p>
    <w:p w14:paraId="24E359CB">
      <w:pPr>
        <w:numPr>
          <w:ilvl w:val="0"/>
          <w:numId w:val="126"/>
        </w:numPr>
        <w:spacing w:before="120" w:after="120" w:line="288" w:lineRule="auto"/>
        <w:ind w:left="453"/>
        <w:jc w:val="left"/>
      </w:pPr>
      <w:r>
        <w:rPr>
          <w:rFonts w:ascii="Arial" w:hAnsi="Arial" w:eastAsia="等线" w:cs="Arial"/>
          <w:sz w:val="22"/>
        </w:rPr>
        <w:t>U.S. Virgin Islands 美属维尔京群岛</w:t>
      </w:r>
    </w:p>
    <w:p w14:paraId="4CBA0026">
      <w:pPr>
        <w:numPr>
          <w:ilvl w:val="0"/>
          <w:numId w:val="127"/>
        </w:numPr>
        <w:spacing w:before="120" w:after="120" w:line="288" w:lineRule="auto"/>
        <w:ind w:left="453"/>
        <w:jc w:val="left"/>
      </w:pPr>
      <w:r>
        <w:rPr>
          <w:rFonts w:ascii="Arial" w:hAnsi="Arial" w:eastAsia="等线" w:cs="Arial"/>
          <w:sz w:val="22"/>
        </w:rPr>
        <w:t>American Samoa 美属萨摩亚</w:t>
      </w:r>
    </w:p>
    <w:p w14:paraId="5B8E8D6F">
      <w:pPr>
        <w:numPr>
          <w:ilvl w:val="0"/>
          <w:numId w:val="128"/>
        </w:numPr>
        <w:spacing w:before="120" w:after="120" w:line="288" w:lineRule="auto"/>
        <w:ind w:left="453"/>
        <w:jc w:val="left"/>
      </w:pPr>
      <w:r>
        <w:rPr>
          <w:rFonts w:ascii="Arial" w:hAnsi="Arial" w:eastAsia="等线" w:cs="Arial"/>
          <w:sz w:val="22"/>
        </w:rPr>
        <w:t>Washington, D.C. 华盛顿特区</w:t>
      </w:r>
    </w:p>
    <w:p w14:paraId="396A45DB">
      <w:pPr>
        <w:spacing w:before="300" w:after="120" w:line="288" w:lineRule="auto"/>
        <w:ind w:left="0"/>
        <w:jc w:val="left"/>
        <w:outlineLvl w:val="2"/>
      </w:pPr>
      <w:bookmarkStart w:id="29" w:name="heading_29"/>
      <w:r>
        <w:rPr>
          <w:rFonts w:ascii="Arial" w:hAnsi="Arial" w:eastAsia="等线" w:cs="Arial"/>
          <w:color w:val="3370FF"/>
          <w:sz w:val="30"/>
        </w:rPr>
        <w:t xml:space="preserve">2.4.2 </w:t>
      </w:r>
      <w:r>
        <w:rPr>
          <w:rFonts w:ascii="Arial" w:hAnsi="Arial" w:eastAsia="等线" w:cs="Arial"/>
          <w:b/>
          <w:sz w:val="30"/>
        </w:rPr>
        <w:t>应税等价收益率（TEY）：市政债与应税债券的对比工具</w:t>
      </w:r>
      <w:bookmarkEnd w:id="29"/>
    </w:p>
    <w:p w14:paraId="3235BF4E">
      <w:pPr>
        <w:spacing w:before="120" w:after="120" w:line="288" w:lineRule="auto"/>
        <w:ind w:left="0"/>
        <w:jc w:val="left"/>
      </w:pPr>
      <w:r>
        <w:rPr>
          <w:rFonts w:ascii="Arial" w:hAnsi="Arial" w:eastAsia="等线" w:cs="Arial"/>
          <w:sz w:val="22"/>
        </w:rPr>
        <w:t>应税等价收益率（TEY，Taxable Equivalent Yield）是专为需缴税的投资者设计的一个计算工具，用于将免税债券的收益率转换为与之等价的应税债券收益率。</w:t>
      </w:r>
    </w:p>
    <w:p w14:paraId="4D8097FA">
      <w:pPr>
        <w:spacing w:before="120" w:after="120" w:line="288" w:lineRule="auto"/>
        <w:ind w:left="0"/>
        <w:jc w:val="left"/>
      </w:pPr>
    </w:p>
    <w:p w14:paraId="32D4E6B0">
      <w:pPr>
        <w:spacing w:before="120" w:after="120" w:line="288" w:lineRule="auto"/>
        <w:ind w:left="0"/>
        <w:jc w:val="left"/>
      </w:pPr>
      <w:r>
        <w:rPr>
          <w:rFonts w:ascii="Arial" w:hAnsi="Arial" w:eastAsia="等线" w:cs="Arial"/>
          <w:sz w:val="22"/>
        </w:rPr>
        <w:t>TEY 回答了一个关键问题：对一个免税的债券，需要相当于多少收益率的应税债券，才能拿到同样多的税后收入？</w:t>
      </w:r>
    </w:p>
    <w:p w14:paraId="547E9257">
      <w:pPr>
        <w:spacing w:before="120" w:after="120" w:line="288" w:lineRule="auto"/>
        <w:ind w:left="0"/>
        <w:jc w:val="left"/>
      </w:pPr>
    </w:p>
    <w:p w14:paraId="31957ED4">
      <w:pPr>
        <w:spacing w:before="120" w:after="120" w:line="288" w:lineRule="auto"/>
        <w:ind w:left="0"/>
        <w:jc w:val="left"/>
      </w:pPr>
      <m:oMathPara>
        <m:oMath>
          <m:r>
            <m:rPr/>
            <w:rPr>
              <w:rFonts w:ascii="Cambria Math" w:hAnsi="Cambria Math"/>
            </w:rPr>
            <m:t>应税等价收益率（TEY）=</m:t>
          </m:r>
          <m:f>
            <m:fPr/>
            <m:num>
              <m:r>
                <m:rPr/>
                <w:rPr>
                  <w:rFonts w:ascii="Cambria Math" w:hAnsi="Cambria Math"/>
                </w:rPr>
                <m:t>免税债券收益率</m:t>
              </m:r>
            </m:num>
            <m:den>
              <m:r>
                <m:rPr/>
                <w:rPr>
                  <w:rFonts w:ascii="Cambria Math" w:hAnsi="Cambria Math"/>
                </w:rPr>
                <m:t>1−投资者边际税率</m:t>
              </m:r>
            </m:den>
          </m:f>
        </m:oMath>
      </m:oMathPara>
    </w:p>
    <w:p w14:paraId="29C400F4">
      <w:pPr>
        <w:spacing w:before="120" w:after="120" w:line="288" w:lineRule="auto"/>
        <w:ind w:left="0"/>
        <w:jc w:val="left"/>
      </w:pPr>
    </w:p>
    <w:p w14:paraId="0E5CD83F">
      <w:pPr>
        <w:spacing w:before="120" w:after="120" w:line="288" w:lineRule="auto"/>
        <w:ind w:left="0"/>
        <w:jc w:val="left"/>
      </w:pPr>
      <w:r>
        <w:rPr>
          <w:rFonts w:ascii="Arial" w:hAnsi="Arial" w:eastAsia="等线" w:cs="Arial"/>
          <w:sz w:val="22"/>
        </w:rPr>
        <w:t>计算逻辑：因市政债利息免税，需将其收益率换算为 “应税债券等价收益率”，才能与公司债、国债的收益率直接对比。</w:t>
      </w:r>
    </w:p>
    <w:p w14:paraId="466FD6B6">
      <w:pPr>
        <w:spacing w:before="120" w:after="120" w:line="288" w:lineRule="auto"/>
        <w:ind w:left="0"/>
        <w:jc w:val="left"/>
      </w:pPr>
    </w:p>
    <w:p w14:paraId="7B12D740">
      <w:pPr>
        <w:spacing w:before="120" w:after="120" w:line="288" w:lineRule="auto"/>
        <w:ind w:left="0"/>
        <w:jc w:val="left"/>
      </w:pPr>
      <w:r>
        <w:rPr>
          <w:rFonts w:ascii="Arial" w:hAnsi="Arial" w:eastAsia="等线" w:cs="Arial"/>
          <w:sz w:val="22"/>
        </w:rPr>
        <w:t>考试示例：若投资者处于 24% 边际税率，购买 5% 收益率的市政债，其应税等价收益率 5%/(1−24%)≈6.58%，即相当于购买 6.58% 收益率的应税债券（如公司债），税后收益相同。</w:t>
      </w:r>
    </w:p>
    <w:p w14:paraId="2F254DFC">
      <w:pPr>
        <w:spacing w:before="120" w:after="120" w:line="288" w:lineRule="auto"/>
        <w:ind w:left="0"/>
        <w:jc w:val="left"/>
      </w:pPr>
    </w:p>
    <w:p w14:paraId="49B9179C">
      <w:pPr>
        <w:spacing w:before="120" w:after="120" w:line="288" w:lineRule="auto"/>
        <w:ind w:left="0"/>
        <w:jc w:val="left"/>
      </w:pPr>
      <w:r>
        <w:rPr>
          <w:rFonts w:ascii="Arial" w:hAnsi="Arial" w:eastAsia="等线" w:cs="Arial"/>
          <w:sz w:val="22"/>
        </w:rPr>
        <w:t>考试提示：题干中出现“高税率投资者”“市政债与公司债对比”，需使用 TEY 公式计算，且需明确 “市政债收益率为分子，税率为边际税率”。</w:t>
      </w:r>
    </w:p>
    <w:p w14:paraId="4BB8BDB6">
      <w:pPr>
        <w:spacing w:before="320" w:after="120" w:line="288" w:lineRule="auto"/>
        <w:ind w:left="0"/>
        <w:jc w:val="left"/>
        <w:outlineLvl w:val="1"/>
      </w:pPr>
      <w:bookmarkStart w:id="30" w:name="heading_30"/>
      <w:r>
        <w:rPr>
          <w:rFonts w:ascii="Arial" w:hAnsi="Arial" w:eastAsia="等线" w:cs="Arial"/>
          <w:color w:val="3370FF"/>
          <w:sz w:val="32"/>
        </w:rPr>
        <w:t xml:space="preserve">2.5 </w:t>
      </w:r>
      <w:r>
        <w:rPr>
          <w:rFonts w:ascii="Arial" w:hAnsi="Arial" w:eastAsia="等线" w:cs="Arial"/>
          <w:b/>
          <w:sz w:val="32"/>
        </w:rPr>
        <w:t>发行文件与信息披露</w:t>
      </w:r>
      <w:bookmarkEnd w:id="30"/>
    </w:p>
    <w:p w14:paraId="71D97DF2">
      <w:pPr>
        <w:spacing w:before="120" w:after="120" w:line="288" w:lineRule="auto"/>
        <w:ind w:left="0"/>
        <w:jc w:val="left"/>
      </w:pPr>
      <w:r>
        <w:rPr>
          <w:rFonts w:ascii="Arial" w:hAnsi="Arial" w:eastAsia="等线" w:cs="Arial"/>
          <w:sz w:val="22"/>
        </w:rPr>
        <w:t>市政债券无招股说明书（Prospectus），需通过特定文件披露信息，核心文件包括：</w:t>
      </w:r>
    </w:p>
    <w:p w14:paraId="2358D76F">
      <w:pPr>
        <w:numPr>
          <w:ilvl w:val="0"/>
          <w:numId w:val="129"/>
        </w:numPr>
        <w:spacing w:before="120" w:after="120" w:line="288" w:lineRule="auto"/>
        <w:ind w:left="0"/>
        <w:jc w:val="left"/>
      </w:pPr>
      <w:r>
        <w:rPr>
          <w:rFonts w:ascii="Arial" w:hAnsi="Arial" w:eastAsia="等线" w:cs="Arial"/>
          <w:sz w:val="22"/>
        </w:rPr>
        <w:t xml:space="preserve">官方声明（Official Statement） </w:t>
      </w:r>
    </w:p>
    <w:p w14:paraId="17CFD7C1">
      <w:pPr>
        <w:numPr>
          <w:ilvl w:val="0"/>
          <w:numId w:val="130"/>
        </w:numPr>
        <w:spacing w:before="120" w:after="120" w:line="288" w:lineRule="auto"/>
        <w:ind w:left="0"/>
        <w:jc w:val="left"/>
      </w:pPr>
      <w:r>
        <w:rPr>
          <w:rFonts w:ascii="Arial" w:hAnsi="Arial" w:eastAsia="等线" w:cs="Arial"/>
          <w:sz w:val="22"/>
        </w:rPr>
        <w:t xml:space="preserve">债券契约（Indenture） </w:t>
      </w:r>
    </w:p>
    <w:p w14:paraId="5A98CC2C">
      <w:pPr>
        <w:numPr>
          <w:ilvl w:val="0"/>
          <w:numId w:val="131"/>
        </w:numPr>
        <w:spacing w:before="120" w:after="120" w:line="288" w:lineRule="auto"/>
        <w:ind w:left="0"/>
        <w:jc w:val="left"/>
      </w:pPr>
      <w:r>
        <w:rPr>
          <w:rFonts w:ascii="Arial" w:hAnsi="Arial" w:eastAsia="等线" w:cs="Arial"/>
          <w:sz w:val="22"/>
        </w:rPr>
        <w:t xml:space="preserve">法律意见（Legal Opinion） </w:t>
      </w:r>
    </w:p>
    <w:p w14:paraId="2981EED3">
      <w:pPr>
        <w:spacing w:before="300" w:after="120" w:line="288" w:lineRule="auto"/>
        <w:ind w:left="0"/>
        <w:jc w:val="left"/>
        <w:outlineLvl w:val="2"/>
      </w:pPr>
      <w:bookmarkStart w:id="31" w:name="heading_31"/>
      <w:r>
        <w:rPr>
          <w:rFonts w:ascii="Arial" w:hAnsi="Arial" w:eastAsia="等线" w:cs="Arial"/>
          <w:color w:val="3370FF"/>
          <w:sz w:val="30"/>
        </w:rPr>
        <w:t xml:space="preserve">2.5.1 </w:t>
      </w:r>
      <w:r>
        <w:rPr>
          <w:rFonts w:ascii="Arial" w:hAnsi="Arial" w:eastAsia="等线" w:cs="Arial"/>
          <w:b/>
          <w:sz w:val="30"/>
        </w:rPr>
        <w:t>官方声明（Official Statements）</w:t>
      </w:r>
      <w:bookmarkEnd w:id="31"/>
    </w:p>
    <w:p w14:paraId="3CF53DAC">
      <w:pPr>
        <w:spacing w:before="120" w:after="120" w:line="288" w:lineRule="auto"/>
        <w:ind w:left="0"/>
        <w:jc w:val="left"/>
      </w:pPr>
      <w:r>
        <w:rPr>
          <w:rFonts w:ascii="Arial" w:hAnsi="Arial" w:eastAsia="等线" w:cs="Arial"/>
          <w:sz w:val="22"/>
        </w:rPr>
        <w:t>官方声明（Official Statements）为核心披露文件，类似股票的招股书，是发行方提供的法定披露文件。</w:t>
      </w:r>
    </w:p>
    <w:p w14:paraId="6303CDCD">
      <w:pPr>
        <w:spacing w:before="120" w:after="120" w:line="288" w:lineRule="auto"/>
        <w:ind w:left="0"/>
        <w:jc w:val="left"/>
      </w:pPr>
    </w:p>
    <w:p w14:paraId="478A2ED1">
      <w:pPr>
        <w:spacing w:before="120" w:after="120" w:line="288" w:lineRule="auto"/>
        <w:ind w:left="0"/>
        <w:jc w:val="left"/>
      </w:pPr>
      <w:r>
        <w:rPr>
          <w:rFonts w:ascii="Arial" w:hAnsi="Arial" w:eastAsia="等线" w:cs="Arial"/>
          <w:sz w:val="22"/>
        </w:rPr>
        <w:t>官方声明分为 “初步官方声明”（发行前，无最终发行价）与 “最终官方声明”（发行后，含发行价、 coupon 利率）。</w:t>
      </w:r>
    </w:p>
    <w:p w14:paraId="52AF7147">
      <w:pPr>
        <w:spacing w:before="120" w:after="120" w:line="288" w:lineRule="auto"/>
        <w:ind w:left="0"/>
        <w:jc w:val="left"/>
      </w:pPr>
    </w:p>
    <w:p w14:paraId="58753071">
      <w:pPr>
        <w:spacing w:before="120" w:after="120" w:line="288" w:lineRule="auto"/>
        <w:ind w:left="0"/>
        <w:jc w:val="left"/>
      </w:pPr>
      <w:r>
        <w:rPr>
          <w:rFonts w:ascii="Arial" w:hAnsi="Arial" w:eastAsia="等线" w:cs="Arial"/>
          <w:b/>
          <w:sz w:val="22"/>
        </w:rPr>
        <w:t>核心内容：</w:t>
      </w:r>
    </w:p>
    <w:p w14:paraId="653DBE4D">
      <w:pPr>
        <w:numPr>
          <w:ilvl w:val="0"/>
          <w:numId w:val="132"/>
        </w:numPr>
        <w:spacing w:before="120" w:after="120" w:line="288" w:lineRule="auto"/>
        <w:ind w:left="0"/>
        <w:jc w:val="left"/>
      </w:pPr>
      <w:r>
        <w:rPr>
          <w:rFonts w:ascii="Arial" w:hAnsi="Arial" w:eastAsia="等线" w:cs="Arial"/>
          <w:sz w:val="22"/>
        </w:rPr>
        <w:t>发行条款（offering terms）：期限、利率、偿还方式、赎回条款。</w:t>
      </w:r>
    </w:p>
    <w:p w14:paraId="2A5485A7">
      <w:pPr>
        <w:numPr>
          <w:ilvl w:val="0"/>
          <w:numId w:val="133"/>
        </w:numPr>
        <w:spacing w:before="120" w:after="120" w:line="288" w:lineRule="auto"/>
        <w:ind w:left="0"/>
        <w:jc w:val="left"/>
      </w:pPr>
      <w:r>
        <w:rPr>
          <w:rFonts w:ascii="Arial" w:hAnsi="Arial" w:eastAsia="等线" w:cs="Arial"/>
          <w:sz w:val="22"/>
        </w:rPr>
        <w:t>承销差价（underwriting spread），基本上就是各方的收益分配；</w:t>
      </w:r>
    </w:p>
    <w:p w14:paraId="700CBF2A">
      <w:pPr>
        <w:numPr>
          <w:ilvl w:val="0"/>
          <w:numId w:val="134"/>
        </w:numPr>
        <w:spacing w:before="120" w:after="120" w:line="288" w:lineRule="auto"/>
        <w:ind w:left="0"/>
        <w:jc w:val="left"/>
      </w:pPr>
      <w:r>
        <w:rPr>
          <w:rFonts w:ascii="Arial" w:hAnsi="Arial" w:eastAsia="等线" w:cs="Arial"/>
          <w:sz w:val="22"/>
        </w:rPr>
        <w:t>债券说明（A description of the bonds）</w:t>
      </w:r>
    </w:p>
    <w:p w14:paraId="6BA02028">
      <w:pPr>
        <w:numPr>
          <w:ilvl w:val="0"/>
          <w:numId w:val="135"/>
        </w:numPr>
        <w:spacing w:before="120" w:after="120" w:line="288" w:lineRule="auto"/>
        <w:ind w:left="0"/>
        <w:jc w:val="left"/>
      </w:pPr>
      <w:r>
        <w:rPr>
          <w:rFonts w:ascii="Arial" w:hAnsi="Arial" w:eastAsia="等线" w:cs="Arial"/>
          <w:sz w:val="22"/>
        </w:rPr>
        <w:t>发行方信息（description of the issuer）：地方政府名称、财政状况、债务水平；</w:t>
      </w:r>
    </w:p>
    <w:p w14:paraId="0F962B9B">
      <w:pPr>
        <w:numPr>
          <w:ilvl w:val="0"/>
          <w:numId w:val="136"/>
        </w:numPr>
        <w:spacing w:before="120" w:after="120" w:line="288" w:lineRule="auto"/>
        <w:ind w:left="0"/>
        <w:jc w:val="left"/>
      </w:pPr>
      <w:r>
        <w:rPr>
          <w:rFonts w:ascii="Arial" w:hAnsi="Arial" w:eastAsia="等线" w:cs="Arial"/>
          <w:sz w:val="22"/>
        </w:rPr>
        <w:t>发行价格（The offering price）</w:t>
      </w:r>
    </w:p>
    <w:p w14:paraId="46FC8716">
      <w:pPr>
        <w:numPr>
          <w:ilvl w:val="0"/>
          <w:numId w:val="137"/>
        </w:numPr>
        <w:spacing w:before="120" w:after="120" w:line="288" w:lineRule="auto"/>
        <w:ind w:left="0"/>
        <w:jc w:val="left"/>
      </w:pPr>
      <w:r>
        <w:rPr>
          <w:rFonts w:ascii="Arial" w:hAnsi="Arial" w:eastAsia="等线" w:cs="Arial"/>
          <w:sz w:val="22"/>
        </w:rPr>
        <w:t>票面利率（coupon rate）</w:t>
      </w:r>
    </w:p>
    <w:p w14:paraId="26ED6FFF">
      <w:pPr>
        <w:numPr>
          <w:ilvl w:val="0"/>
          <w:numId w:val="138"/>
        </w:numPr>
        <w:spacing w:before="120" w:after="120" w:line="288" w:lineRule="auto"/>
        <w:ind w:left="0"/>
        <w:jc w:val="left"/>
      </w:pPr>
      <w:r>
        <w:rPr>
          <w:rFonts w:ascii="Arial" w:hAnsi="Arial" w:eastAsia="等线" w:cs="Arial"/>
          <w:sz w:val="22"/>
        </w:rPr>
        <w:t>可行性声明（The feasibility statement），针对收益债券——该项目的合理性如何；</w:t>
      </w:r>
    </w:p>
    <w:p w14:paraId="46A1AB49">
      <w:pPr>
        <w:numPr>
          <w:ilvl w:val="0"/>
          <w:numId w:val="139"/>
        </w:numPr>
        <w:spacing w:before="120" w:after="120" w:line="288" w:lineRule="auto"/>
        <w:ind w:left="0"/>
        <w:jc w:val="left"/>
      </w:pPr>
      <w:r>
        <w:rPr>
          <w:rFonts w:ascii="Arial" w:hAnsi="Arial" w:eastAsia="等线" w:cs="Arial"/>
          <w:sz w:val="22"/>
        </w:rPr>
        <w:t>法律意见（legal opinion）：债券合法性、利息免税资格。</w:t>
      </w:r>
    </w:p>
    <w:p w14:paraId="2CBE7E49">
      <w:pPr>
        <w:spacing w:before="120" w:after="120" w:line="288" w:lineRule="auto"/>
        <w:ind w:left="0"/>
        <w:jc w:val="left"/>
      </w:pPr>
    </w:p>
    <w:p w14:paraId="49B458B4">
      <w:pPr>
        <w:spacing w:before="120" w:after="120" w:line="288" w:lineRule="auto"/>
        <w:ind w:left="0"/>
        <w:jc w:val="left"/>
      </w:pPr>
      <w:r>
        <w:rPr>
          <w:rFonts w:ascii="Arial" w:hAnsi="Arial" w:eastAsia="等线" w:cs="Arial"/>
          <w:b/>
          <w:sz w:val="22"/>
        </w:rPr>
        <w:t>交付要求：</w:t>
      </w:r>
      <w:r>
        <w:rPr>
          <w:rFonts w:ascii="Arial" w:hAnsi="Arial" w:eastAsia="等线" w:cs="Arial"/>
          <w:sz w:val="22"/>
        </w:rPr>
        <w:t>承销商需在债券交割前（T+2，市政债常规结算周期）向投资者提供最终官方声明。</w:t>
      </w:r>
    </w:p>
    <w:p w14:paraId="2E0354C8">
      <w:pPr>
        <w:spacing w:before="120" w:after="120" w:line="288" w:lineRule="auto"/>
        <w:ind w:left="0"/>
        <w:jc w:val="left"/>
      </w:pPr>
    </w:p>
    <w:p w14:paraId="513C3F53">
      <w:pPr>
        <w:spacing w:before="300" w:after="120" w:line="288" w:lineRule="auto"/>
        <w:ind w:left="0"/>
        <w:jc w:val="left"/>
        <w:outlineLvl w:val="2"/>
      </w:pPr>
      <w:bookmarkStart w:id="32" w:name="heading_32"/>
      <w:r>
        <w:rPr>
          <w:rFonts w:ascii="Arial" w:hAnsi="Arial" w:eastAsia="等线" w:cs="Arial"/>
          <w:color w:val="3370FF"/>
          <w:sz w:val="30"/>
        </w:rPr>
        <w:t xml:space="preserve">2.5.2 </w:t>
      </w:r>
      <w:r>
        <w:rPr>
          <w:rFonts w:ascii="Arial" w:hAnsi="Arial" w:eastAsia="等线" w:cs="Arial"/>
          <w:b/>
          <w:sz w:val="30"/>
        </w:rPr>
        <w:t>债券契约（Indenture）：法律协议</w:t>
      </w:r>
      <w:bookmarkEnd w:id="32"/>
    </w:p>
    <w:p w14:paraId="5CB1ED41">
      <w:pPr>
        <w:spacing w:before="120" w:after="120" w:line="288" w:lineRule="auto"/>
        <w:ind w:left="0"/>
        <w:jc w:val="left"/>
      </w:pPr>
      <w:r>
        <w:rPr>
          <w:rFonts w:ascii="Arial" w:hAnsi="Arial" w:eastAsia="等线" w:cs="Arial"/>
          <w:sz w:val="22"/>
        </w:rPr>
        <w:t>发行方与受托人（通常为银行）签订的法律协议，明确双方权利义务，保护投资者利益。</w:t>
      </w:r>
    </w:p>
    <w:p w14:paraId="1A37CC99">
      <w:pPr>
        <w:spacing w:before="120" w:after="120" w:line="288" w:lineRule="auto"/>
        <w:ind w:left="0"/>
        <w:jc w:val="left"/>
      </w:pPr>
    </w:p>
    <w:p w14:paraId="6A00B9A7">
      <w:pPr>
        <w:spacing w:before="120" w:after="120" w:line="288" w:lineRule="auto"/>
        <w:ind w:left="0"/>
        <w:jc w:val="left"/>
      </w:pPr>
      <w:r>
        <w:rPr>
          <w:rFonts w:ascii="Arial" w:hAnsi="Arial" w:eastAsia="等线" w:cs="Arial"/>
          <w:b/>
          <w:sz w:val="22"/>
        </w:rPr>
        <w:t>核心条款：</w:t>
      </w:r>
    </w:p>
    <w:p w14:paraId="5B21B765">
      <w:pPr>
        <w:numPr>
          <w:ilvl w:val="0"/>
          <w:numId w:val="140"/>
        </w:numPr>
        <w:spacing w:before="120" w:after="120" w:line="288" w:lineRule="auto"/>
        <w:ind w:left="0"/>
        <w:jc w:val="left"/>
      </w:pPr>
      <w:r>
        <w:rPr>
          <w:rFonts w:ascii="Arial" w:hAnsi="Arial" w:eastAsia="等线" w:cs="Arial"/>
          <w:sz w:val="22"/>
        </w:rPr>
        <w:t>票面利率（coupon rate）；</w:t>
      </w:r>
    </w:p>
    <w:p w14:paraId="4EDB6384">
      <w:pPr>
        <w:numPr>
          <w:ilvl w:val="0"/>
          <w:numId w:val="141"/>
        </w:numPr>
        <w:spacing w:before="120" w:after="120" w:line="288" w:lineRule="auto"/>
        <w:ind w:left="0"/>
        <w:jc w:val="left"/>
      </w:pPr>
      <w:r>
        <w:rPr>
          <w:rFonts w:ascii="Arial" w:hAnsi="Arial" w:eastAsia="等线" w:cs="Arial"/>
          <w:sz w:val="22"/>
        </w:rPr>
        <w:t>到期年限（years until maturity）；</w:t>
      </w:r>
    </w:p>
    <w:p w14:paraId="5C070BFF">
      <w:pPr>
        <w:numPr>
          <w:ilvl w:val="0"/>
          <w:numId w:val="142"/>
        </w:numPr>
        <w:spacing w:before="120" w:after="120" w:line="288" w:lineRule="auto"/>
        <w:ind w:left="0"/>
        <w:jc w:val="left"/>
      </w:pPr>
      <w:r>
        <w:rPr>
          <w:rFonts w:ascii="Arial" w:hAnsi="Arial" w:eastAsia="等线" w:cs="Arial"/>
          <w:sz w:val="22"/>
        </w:rPr>
        <w:t>担保物（collateral backing the bond）描述（如有）；</w:t>
      </w:r>
    </w:p>
    <w:p w14:paraId="4C224619">
      <w:pPr>
        <w:numPr>
          <w:ilvl w:val="0"/>
          <w:numId w:val="143"/>
        </w:numPr>
        <w:spacing w:before="120" w:after="120" w:line="288" w:lineRule="auto"/>
        <w:ind w:left="0"/>
        <w:jc w:val="left"/>
      </w:pPr>
      <w:r>
        <w:rPr>
          <w:rFonts w:ascii="Arial" w:hAnsi="Arial" w:eastAsia="等线" w:cs="Arial"/>
          <w:sz w:val="22"/>
        </w:rPr>
        <w:t>还款来源（税收 / 项目收益）；</w:t>
      </w:r>
    </w:p>
    <w:p w14:paraId="710FA5E4">
      <w:pPr>
        <w:numPr>
          <w:ilvl w:val="0"/>
          <w:numId w:val="144"/>
        </w:numPr>
        <w:spacing w:before="120" w:after="120" w:line="288" w:lineRule="auto"/>
        <w:ind w:left="0"/>
        <w:jc w:val="left"/>
      </w:pPr>
      <w:r>
        <w:rPr>
          <w:rFonts w:ascii="Arial" w:hAnsi="Arial" w:eastAsia="等线" w:cs="Arial"/>
          <w:sz w:val="22"/>
        </w:rPr>
        <w:t>契约保护，如收益债券的 “费率契约”和“维护契约”；</w:t>
      </w:r>
    </w:p>
    <w:p w14:paraId="0FFFFEF4">
      <w:pPr>
        <w:numPr>
          <w:ilvl w:val="0"/>
          <w:numId w:val="145"/>
        </w:numPr>
        <w:spacing w:before="120" w:after="120" w:line="288" w:lineRule="auto"/>
        <w:ind w:left="0"/>
        <w:jc w:val="left"/>
      </w:pPr>
      <w:r>
        <w:rPr>
          <w:rFonts w:ascii="Arial" w:hAnsi="Arial" w:eastAsia="等线" w:cs="Arial"/>
          <w:sz w:val="22"/>
        </w:rPr>
        <w:t>资金流向（Flow of funds），如何分配创收项目中筹集的资金。</w:t>
      </w:r>
    </w:p>
    <w:p w14:paraId="4E24B01B">
      <w:pPr>
        <w:numPr>
          <w:ilvl w:val="0"/>
          <w:numId w:val="146"/>
        </w:numPr>
        <w:spacing w:before="120" w:after="120" w:line="288" w:lineRule="auto"/>
        <w:ind w:left="0"/>
        <w:jc w:val="left"/>
      </w:pPr>
      <w:r>
        <w:rPr>
          <w:rFonts w:ascii="Arial" w:hAnsi="Arial" w:eastAsia="等线" w:cs="Arial"/>
          <w:sz w:val="22"/>
        </w:rPr>
        <w:t>受托人职责（监督项目收益使用、确保利息按时支付）。</w:t>
      </w:r>
    </w:p>
    <w:p w14:paraId="666554B1">
      <w:pPr>
        <w:spacing w:before="120" w:after="120" w:line="288" w:lineRule="auto"/>
        <w:ind w:left="0"/>
        <w:jc w:val="left"/>
      </w:pPr>
    </w:p>
    <w:p w14:paraId="27721E27">
      <w:pPr>
        <w:spacing w:before="120" w:after="120" w:line="288" w:lineRule="auto"/>
        <w:ind w:left="0"/>
        <w:jc w:val="left"/>
      </w:pPr>
      <w:r>
        <w:rPr>
          <w:rFonts w:ascii="Arial" w:hAnsi="Arial" w:eastAsia="等线" w:cs="Arial"/>
          <w:sz w:val="22"/>
        </w:rPr>
        <w:t>几乎每一种市政债券都附有债券契约，大多数市政债券证书的正面都印有该契约。法律并未强制要求债券契约，但它能提高债券的市场流动性，因为它充当了市政当局与受指派保护投资者权利的受托人之间的合同。</w:t>
      </w:r>
    </w:p>
    <w:p w14:paraId="55E92B35">
      <w:pPr>
        <w:spacing w:before="120" w:after="120" w:line="288" w:lineRule="auto"/>
        <w:ind w:left="0"/>
        <w:jc w:val="left"/>
      </w:pPr>
    </w:p>
    <w:p w14:paraId="5BD96555">
      <w:pPr>
        <w:spacing w:before="300" w:after="120" w:line="288" w:lineRule="auto"/>
        <w:ind w:left="0"/>
        <w:jc w:val="left"/>
        <w:outlineLvl w:val="2"/>
      </w:pPr>
      <w:bookmarkStart w:id="33" w:name="heading_33"/>
      <w:r>
        <w:rPr>
          <w:rFonts w:ascii="Arial" w:hAnsi="Arial" w:eastAsia="等线" w:cs="Arial"/>
          <w:color w:val="3370FF"/>
          <w:sz w:val="30"/>
        </w:rPr>
        <w:t xml:space="preserve">2.5.3 </w:t>
      </w:r>
      <w:r>
        <w:rPr>
          <w:rFonts w:ascii="Arial" w:hAnsi="Arial" w:eastAsia="等线" w:cs="Arial"/>
          <w:b/>
          <w:sz w:val="30"/>
        </w:rPr>
        <w:t>法律意见（Legal Opinion）：合法性与免税证明</w:t>
      </w:r>
      <w:bookmarkEnd w:id="33"/>
    </w:p>
    <w:p w14:paraId="50DFD786">
      <w:pPr>
        <w:spacing w:before="120" w:after="120" w:line="288" w:lineRule="auto"/>
        <w:ind w:left="0"/>
        <w:jc w:val="left"/>
      </w:pPr>
      <w:r>
        <w:rPr>
          <w:rFonts w:ascii="Arial" w:hAnsi="Arial" w:eastAsia="等线" w:cs="Arial"/>
          <w:sz w:val="22"/>
        </w:rPr>
        <w:t>由市政债券律师出具，印在市政债券证书的正面，是市政债券的独特文件。</w:t>
      </w:r>
    </w:p>
    <w:p w14:paraId="485742AC">
      <w:pPr>
        <w:spacing w:before="120" w:after="120" w:line="288" w:lineRule="auto"/>
        <w:ind w:left="0"/>
        <w:jc w:val="left"/>
      </w:pPr>
    </w:p>
    <w:p w14:paraId="32AB3A53">
      <w:pPr>
        <w:spacing w:before="120" w:after="120" w:line="288" w:lineRule="auto"/>
        <w:ind w:left="0"/>
        <w:jc w:val="left"/>
      </w:pPr>
      <w:r>
        <w:rPr>
          <w:rFonts w:ascii="Arial" w:hAnsi="Arial" w:eastAsia="等线" w:cs="Arial"/>
          <w:b/>
          <w:sz w:val="22"/>
        </w:rPr>
        <w:t>核心作用：</w:t>
      </w:r>
    </w:p>
    <w:p w14:paraId="43030EB8">
      <w:pPr>
        <w:numPr>
          <w:ilvl w:val="0"/>
          <w:numId w:val="147"/>
        </w:numPr>
        <w:spacing w:before="120" w:after="120" w:line="288" w:lineRule="auto"/>
        <w:ind w:left="0"/>
        <w:jc w:val="left"/>
      </w:pPr>
      <w:r>
        <w:rPr>
          <w:rFonts w:ascii="Arial" w:hAnsi="Arial" w:eastAsia="等线" w:cs="Arial"/>
          <w:sz w:val="22"/>
        </w:rPr>
        <w:t>证明债券发行程序合法、条款有效；</w:t>
      </w:r>
    </w:p>
    <w:p w14:paraId="26965D3D">
      <w:pPr>
        <w:numPr>
          <w:ilvl w:val="0"/>
          <w:numId w:val="148"/>
        </w:numPr>
        <w:spacing w:before="120" w:after="120" w:line="288" w:lineRule="auto"/>
        <w:ind w:left="0"/>
        <w:jc w:val="left"/>
      </w:pPr>
      <w:r>
        <w:rPr>
          <w:rFonts w:ascii="Arial" w:hAnsi="Arial" w:eastAsia="等线" w:cs="Arial"/>
          <w:sz w:val="22"/>
        </w:rPr>
        <w:t>确认债券利息符合联邦免税条件（若标注 “ex-legal”，则无法律意见，利息可能不免税）。</w:t>
      </w:r>
    </w:p>
    <w:p w14:paraId="21784632">
      <w:pPr>
        <w:spacing w:before="120" w:after="120" w:line="288" w:lineRule="auto"/>
        <w:ind w:left="0"/>
        <w:jc w:val="left"/>
      </w:pPr>
    </w:p>
    <w:p w14:paraId="251443BE">
      <w:pPr>
        <w:spacing w:before="120" w:after="120" w:line="288" w:lineRule="auto"/>
        <w:ind w:left="0"/>
        <w:jc w:val="left"/>
      </w:pPr>
      <w:r>
        <w:rPr>
          <w:rFonts w:ascii="Arial" w:hAnsi="Arial" w:eastAsia="等线" w:cs="Arial"/>
          <w:b/>
          <w:sz w:val="22"/>
        </w:rPr>
        <w:t>注意：</w:t>
      </w:r>
      <w:r>
        <w:rPr>
          <w:rFonts w:ascii="Arial" w:hAnsi="Arial" w:eastAsia="等线" w:cs="Arial"/>
          <w:sz w:val="22"/>
        </w:rPr>
        <w:t>在市政债券承销中，无保留法律意见（unqualified legal opinion）意味着完全认可、无附加条件或限制（without condition or restriction）。</w:t>
      </w:r>
    </w:p>
    <w:p w14:paraId="3165C489">
      <w:pPr>
        <w:spacing w:before="120" w:after="120" w:line="288" w:lineRule="auto"/>
        <w:ind w:left="0"/>
        <w:jc w:val="left"/>
      </w:pPr>
    </w:p>
    <w:p w14:paraId="017382D5">
      <w:pPr>
        <w:spacing w:before="120" w:after="120" w:line="288" w:lineRule="auto"/>
        <w:ind w:left="0"/>
        <w:jc w:val="left"/>
      </w:pPr>
      <w:r>
        <w:rPr>
          <w:rFonts w:ascii="Arial" w:hAnsi="Arial" w:eastAsia="等线" w:cs="Arial"/>
          <w:sz w:val="22"/>
        </w:rPr>
        <w:t>债券法律顾问在核查后，认为债券发行的流程、条款、偿债来源等完全符合法律法规，不存在任何需要 “保留质疑”（如部分条款合规性存疑、需补充文件证明）的情况，因此给出完全肯定的法律意见。</w:t>
      </w:r>
    </w:p>
    <w:p w14:paraId="4F0C791D">
      <w:pPr>
        <w:spacing w:before="120" w:after="120" w:line="288" w:lineRule="auto"/>
        <w:ind w:left="0"/>
        <w:jc w:val="left"/>
      </w:pPr>
    </w:p>
    <w:p w14:paraId="54942245">
      <w:pPr>
        <w:spacing w:before="320" w:after="120" w:line="288" w:lineRule="auto"/>
        <w:ind w:left="0"/>
        <w:jc w:val="left"/>
        <w:outlineLvl w:val="1"/>
      </w:pPr>
      <w:bookmarkStart w:id="34" w:name="heading_34"/>
      <w:r>
        <w:rPr>
          <w:rFonts w:ascii="Arial" w:hAnsi="Arial" w:eastAsia="等线" w:cs="Arial"/>
          <w:color w:val="3370FF"/>
          <w:sz w:val="32"/>
        </w:rPr>
        <w:t xml:space="preserve">2.6 </w:t>
      </w:r>
      <w:r>
        <w:rPr>
          <w:rFonts w:ascii="Arial" w:hAnsi="Arial" w:eastAsia="等线" w:cs="Arial"/>
          <w:b/>
          <w:sz w:val="32"/>
        </w:rPr>
        <w:t>监管规则</w:t>
      </w:r>
      <w:bookmarkEnd w:id="34"/>
    </w:p>
    <w:p w14:paraId="1866140E">
      <w:pPr>
        <w:spacing w:before="120" w:after="120" w:line="288" w:lineRule="auto"/>
        <w:ind w:left="0"/>
        <w:jc w:val="left"/>
      </w:pPr>
      <w:r>
        <w:rPr>
          <w:rFonts w:ascii="Arial" w:hAnsi="Arial" w:eastAsia="等线" w:cs="Arial"/>
          <w:sz w:val="22"/>
        </w:rPr>
        <w:t>市政债券由市政证券规则制定委员会（MSRB，Municipal Securities Rulemaking Board） 监管，聚焦 “交易规范”“广告存档”和“礼品限制” 等实操要求。</w:t>
      </w:r>
    </w:p>
    <w:p w14:paraId="174E5BF9">
      <w:pPr>
        <w:spacing w:before="120" w:after="120" w:line="288" w:lineRule="auto"/>
        <w:ind w:left="0"/>
        <w:jc w:val="left"/>
      </w:pPr>
    </w:p>
    <w:p w14:paraId="61880DEC">
      <w:pPr>
        <w:spacing w:before="300" w:after="120" w:line="288" w:lineRule="auto"/>
        <w:ind w:left="0"/>
        <w:jc w:val="left"/>
        <w:outlineLvl w:val="2"/>
      </w:pPr>
      <w:bookmarkStart w:id="35" w:name="heading_35"/>
      <w:r>
        <w:rPr>
          <w:rFonts w:ascii="Arial" w:hAnsi="Arial" w:eastAsia="等线" w:cs="Arial"/>
          <w:color w:val="3370FF"/>
          <w:sz w:val="30"/>
        </w:rPr>
        <w:t xml:space="preserve">2.6.1 </w:t>
      </w:r>
      <w:r>
        <w:rPr>
          <w:rFonts w:ascii="Arial" w:hAnsi="Arial" w:eastAsia="等线" w:cs="Arial"/>
          <w:b/>
          <w:sz w:val="30"/>
        </w:rPr>
        <w:t>MSRB</w:t>
      </w:r>
      <w:bookmarkEnd w:id="35"/>
    </w:p>
    <w:p w14:paraId="31725F03">
      <w:pPr>
        <w:spacing w:before="120" w:after="120" w:line="288" w:lineRule="auto"/>
        <w:ind w:left="0"/>
        <w:jc w:val="left"/>
      </w:pPr>
      <w:r>
        <w:rPr>
          <w:rFonts w:ascii="Arial" w:hAnsi="Arial" w:eastAsia="等线" w:cs="Arial"/>
          <w:sz w:val="22"/>
        </w:rPr>
        <w:t>职责：制定市政证券交易规则。</w:t>
      </w:r>
    </w:p>
    <w:p w14:paraId="677A6A47">
      <w:pPr>
        <w:spacing w:before="120" w:after="120" w:line="288" w:lineRule="auto"/>
        <w:ind w:left="0"/>
        <w:jc w:val="left"/>
      </w:pPr>
    </w:p>
    <w:p w14:paraId="36D7F393">
      <w:pPr>
        <w:spacing w:before="120" w:after="120" w:line="288" w:lineRule="auto"/>
        <w:ind w:left="0"/>
        <w:jc w:val="left"/>
      </w:pPr>
      <w:r>
        <w:rPr>
          <w:rFonts w:ascii="Arial" w:hAnsi="Arial" w:eastAsia="等线" w:cs="Arial"/>
          <w:sz w:val="22"/>
        </w:rPr>
        <w:t>监管对象：经纪交易商（Broker - Dealers）、银行交易商（Bank Dealers）、市政顾问（Municipal Advisors）等中介机构。</w:t>
      </w:r>
    </w:p>
    <w:p w14:paraId="11F1C984">
      <w:pPr>
        <w:spacing w:before="120" w:after="120" w:line="288" w:lineRule="auto"/>
        <w:ind w:left="0"/>
        <w:jc w:val="left"/>
      </w:pPr>
    </w:p>
    <w:p w14:paraId="59D05B3C">
      <w:pPr>
        <w:spacing w:before="120" w:after="120" w:line="288" w:lineRule="auto"/>
        <w:ind w:left="0"/>
        <w:jc w:val="left"/>
      </w:pPr>
      <w:r>
        <w:rPr>
          <w:rFonts w:ascii="Arial" w:hAnsi="Arial" w:eastAsia="等线" w:cs="Arial"/>
          <w:b/>
          <w:sz w:val="22"/>
        </w:rPr>
        <w:t>注意：</w:t>
      </w:r>
      <w:r>
        <w:rPr>
          <w:rFonts w:ascii="Arial" w:hAnsi="Arial" w:eastAsia="等线" w:cs="Arial"/>
          <w:sz w:val="22"/>
        </w:rPr>
        <w:t>不监管发行人（如地方政府）和普通投资者。</w:t>
      </w:r>
    </w:p>
    <w:p w14:paraId="3B599ACA">
      <w:pPr>
        <w:spacing w:before="300" w:after="120" w:line="288" w:lineRule="auto"/>
        <w:ind w:left="0"/>
        <w:jc w:val="left"/>
        <w:outlineLvl w:val="2"/>
      </w:pPr>
      <w:bookmarkStart w:id="36" w:name="heading_36"/>
      <w:r>
        <w:rPr>
          <w:rFonts w:ascii="Arial" w:hAnsi="Arial" w:eastAsia="等线" w:cs="Arial"/>
          <w:color w:val="3370FF"/>
          <w:sz w:val="30"/>
        </w:rPr>
        <w:t xml:space="preserve">2.6.2 </w:t>
      </w:r>
      <w:r>
        <w:rPr>
          <w:rFonts w:ascii="Arial" w:hAnsi="Arial" w:eastAsia="等线" w:cs="Arial"/>
          <w:b/>
          <w:sz w:val="30"/>
        </w:rPr>
        <w:t>监管范围</w:t>
      </w:r>
      <w:bookmarkEnd w:id="36"/>
    </w:p>
    <w:p w14:paraId="1D3B794B">
      <w:pPr>
        <w:spacing w:before="120" w:after="120" w:line="288" w:lineRule="auto"/>
        <w:ind w:left="0"/>
        <w:jc w:val="left"/>
      </w:pPr>
      <w:r>
        <w:rPr>
          <w:rFonts w:ascii="Arial" w:hAnsi="Arial" w:eastAsia="等线" w:cs="Arial"/>
          <w:sz w:val="22"/>
        </w:rPr>
        <w:t>MSRB 制定的规则由以下机构执行：</w:t>
      </w:r>
    </w:p>
    <w:p w14:paraId="59AF06FA">
      <w:pPr>
        <w:numPr>
          <w:ilvl w:val="0"/>
          <w:numId w:val="149"/>
        </w:numPr>
        <w:spacing w:before="120" w:after="120" w:line="288" w:lineRule="auto"/>
        <w:ind w:left="0"/>
        <w:jc w:val="left"/>
      </w:pPr>
      <w:r>
        <w:rPr>
          <w:rFonts w:ascii="Arial" w:hAnsi="Arial" w:eastAsia="等线" w:cs="Arial"/>
          <w:sz w:val="22"/>
        </w:rPr>
        <w:t>经纪商 → FINRA 执行。</w:t>
      </w:r>
    </w:p>
    <w:p w14:paraId="0C299D33">
      <w:pPr>
        <w:numPr>
          <w:ilvl w:val="0"/>
          <w:numId w:val="150"/>
        </w:numPr>
        <w:spacing w:before="120" w:after="120" w:line="288" w:lineRule="auto"/>
        <w:ind w:left="0"/>
        <w:jc w:val="left"/>
      </w:pPr>
      <w:r>
        <w:rPr>
          <w:rFonts w:ascii="Arial" w:hAnsi="Arial" w:eastAsia="等线" w:cs="Arial"/>
          <w:sz w:val="22"/>
        </w:rPr>
        <w:t>银行 → 美国货币监理署（OCC）或联邦储备系统（FRB）执行。</w:t>
      </w:r>
    </w:p>
    <w:p w14:paraId="75B1B553">
      <w:pPr>
        <w:spacing w:before="300" w:after="120" w:line="288" w:lineRule="auto"/>
        <w:ind w:left="0"/>
        <w:jc w:val="left"/>
        <w:outlineLvl w:val="2"/>
      </w:pPr>
      <w:bookmarkStart w:id="37" w:name="heading_37"/>
      <w:r>
        <w:rPr>
          <w:rFonts w:ascii="Arial" w:hAnsi="Arial" w:eastAsia="等线" w:cs="Arial"/>
          <w:color w:val="3370FF"/>
          <w:sz w:val="30"/>
        </w:rPr>
        <w:t xml:space="preserve">2.6.3 </w:t>
      </w:r>
      <w:r>
        <w:rPr>
          <w:rFonts w:ascii="Arial" w:hAnsi="Arial" w:eastAsia="等线" w:cs="Arial"/>
          <w:b/>
          <w:sz w:val="30"/>
        </w:rPr>
        <w:t>交易确认规则</w:t>
      </w:r>
      <w:bookmarkEnd w:id="37"/>
    </w:p>
    <w:p w14:paraId="6F9094DA">
      <w:pPr>
        <w:spacing w:before="120" w:after="120" w:line="288" w:lineRule="auto"/>
        <w:ind w:left="0"/>
        <w:jc w:val="left"/>
      </w:pPr>
      <w:r>
        <w:rPr>
          <w:rFonts w:ascii="Arial" w:hAnsi="Arial" w:eastAsia="等线" w:cs="Arial"/>
          <w:sz w:val="22"/>
        </w:rPr>
        <w:t>券商需在结算日（T+2）前向客户发送交易确认书（trade confirmations），内容需包含：</w:t>
      </w:r>
    </w:p>
    <w:p w14:paraId="2A06911F">
      <w:pPr>
        <w:numPr>
          <w:ilvl w:val="0"/>
          <w:numId w:val="151"/>
        </w:numPr>
        <w:spacing w:before="120" w:after="120" w:line="288" w:lineRule="auto"/>
        <w:ind w:left="453"/>
        <w:jc w:val="left"/>
      </w:pPr>
      <w:r>
        <w:rPr>
          <w:rFonts w:ascii="Arial" w:hAnsi="Arial" w:eastAsia="等线" w:cs="Arial"/>
          <w:sz w:val="22"/>
        </w:rPr>
        <w:t>券商名称、地址、联系方式，客户姓名；</w:t>
      </w:r>
    </w:p>
    <w:p w14:paraId="70569417">
      <w:pPr>
        <w:numPr>
          <w:ilvl w:val="0"/>
          <w:numId w:val="152"/>
        </w:numPr>
        <w:spacing w:before="120" w:after="120" w:line="288" w:lineRule="auto"/>
        <w:ind w:left="453"/>
        <w:jc w:val="left"/>
      </w:pPr>
      <w:r>
        <w:rPr>
          <w:rFonts w:ascii="Arial" w:hAnsi="Arial" w:eastAsia="等线" w:cs="Arial"/>
          <w:sz w:val="22"/>
        </w:rPr>
        <w:t>债券详情（发行方、利率、期限、赎回条款）；</w:t>
      </w:r>
    </w:p>
    <w:p w14:paraId="1554BCDE">
      <w:pPr>
        <w:numPr>
          <w:ilvl w:val="0"/>
          <w:numId w:val="153"/>
        </w:numPr>
        <w:spacing w:before="120" w:after="120" w:line="288" w:lineRule="auto"/>
        <w:ind w:left="453"/>
        <w:jc w:val="left"/>
      </w:pPr>
      <w:r>
        <w:rPr>
          <w:rFonts w:ascii="Arial" w:hAnsi="Arial" w:eastAsia="等线" w:cs="Arial"/>
          <w:sz w:val="22"/>
        </w:rPr>
        <w:t>交易信息（交易日期、执行时间、结算日期、价格、收益率、应计利息）；</w:t>
      </w:r>
    </w:p>
    <w:p w14:paraId="2E02E042">
      <w:pPr>
        <w:numPr>
          <w:ilvl w:val="0"/>
          <w:numId w:val="154"/>
        </w:numPr>
        <w:spacing w:before="120" w:after="120" w:line="288" w:lineRule="auto"/>
        <w:ind w:left="453"/>
        <w:jc w:val="left"/>
      </w:pPr>
      <w:r>
        <w:rPr>
          <w:rFonts w:ascii="Arial" w:hAnsi="Arial" w:eastAsia="等线" w:cs="Arial"/>
          <w:sz w:val="22"/>
        </w:rPr>
        <w:t>券商角色（代理 / 自营）及佣金（若为代理交易）。</w:t>
      </w:r>
    </w:p>
    <w:p w14:paraId="39F404AD">
      <w:pPr>
        <w:spacing w:before="120" w:after="120" w:line="288" w:lineRule="auto"/>
        <w:ind w:left="0"/>
        <w:jc w:val="left"/>
      </w:pPr>
    </w:p>
    <w:p w14:paraId="57DF33ED">
      <w:pPr>
        <w:spacing w:before="300" w:after="120" w:line="288" w:lineRule="auto"/>
        <w:ind w:left="0"/>
        <w:jc w:val="left"/>
        <w:outlineLvl w:val="2"/>
      </w:pPr>
      <w:bookmarkStart w:id="38" w:name="heading_38"/>
      <w:r>
        <w:rPr>
          <w:rFonts w:ascii="Arial" w:hAnsi="Arial" w:eastAsia="等线" w:cs="Arial"/>
          <w:color w:val="3370FF"/>
          <w:sz w:val="30"/>
        </w:rPr>
        <w:t xml:space="preserve">2.6.4 </w:t>
      </w:r>
      <w:r>
        <w:rPr>
          <w:rFonts w:ascii="Arial" w:hAnsi="Arial" w:eastAsia="等线" w:cs="Arial"/>
          <w:b/>
          <w:sz w:val="30"/>
        </w:rPr>
        <w:t>广告与记录保存规则</w:t>
      </w:r>
      <w:bookmarkEnd w:id="38"/>
    </w:p>
    <w:p w14:paraId="14A440D4">
      <w:pPr>
        <w:spacing w:before="120" w:after="120" w:line="288" w:lineRule="auto"/>
        <w:ind w:left="0"/>
        <w:jc w:val="left"/>
      </w:pPr>
      <w:r>
        <w:rPr>
          <w:rFonts w:ascii="Arial" w:hAnsi="Arial" w:eastAsia="等线" w:cs="Arial"/>
          <w:sz w:val="22"/>
        </w:rPr>
        <w:t>广告包括任何设计用于公共媒体的材料。包括：</w:t>
      </w:r>
    </w:p>
    <w:p w14:paraId="219E3B76">
      <w:pPr>
        <w:spacing w:before="120" w:after="120" w:line="288" w:lineRule="auto"/>
        <w:ind w:left="0"/>
        <w:jc w:val="left"/>
      </w:pPr>
    </w:p>
    <w:p w14:paraId="6D1DF3CA">
      <w:pPr>
        <w:numPr>
          <w:ilvl w:val="0"/>
          <w:numId w:val="155"/>
        </w:numPr>
        <w:spacing w:before="120" w:after="120" w:line="288" w:lineRule="auto"/>
        <w:ind w:left="0"/>
        <w:jc w:val="left"/>
      </w:pPr>
      <w:r>
        <w:rPr>
          <w:rFonts w:ascii="Arial" w:hAnsi="Arial" w:eastAsia="等线" w:cs="Arial"/>
          <w:sz w:val="22"/>
        </w:rPr>
        <w:t>发行通函（offering circulars）</w:t>
      </w:r>
    </w:p>
    <w:p w14:paraId="573D04F8">
      <w:pPr>
        <w:spacing w:before="120" w:after="120" w:line="288" w:lineRule="auto"/>
        <w:ind w:left="0"/>
        <w:jc w:val="left"/>
      </w:pPr>
      <w:r>
        <w:rPr>
          <w:rFonts w:ascii="Arial" w:hAnsi="Arial" w:eastAsia="等线" w:cs="Arial"/>
          <w:sz w:val="22"/>
        </w:rPr>
        <w:t>由证券公司等从业者制作，内容是简化版的发行信息（如浓缩的债券条款、投资亮点）。</w:t>
      </w:r>
    </w:p>
    <w:p w14:paraId="7A43528E">
      <w:pPr>
        <w:spacing w:before="120" w:after="120" w:line="288" w:lineRule="auto"/>
        <w:ind w:left="0"/>
        <w:jc w:val="left"/>
      </w:pPr>
    </w:p>
    <w:p w14:paraId="76B94F6C">
      <w:pPr>
        <w:spacing w:before="120" w:after="120" w:line="288" w:lineRule="auto"/>
        <w:ind w:left="0"/>
        <w:jc w:val="left"/>
      </w:pPr>
      <w:r>
        <w:rPr>
          <w:rFonts w:ascii="Arial" w:hAnsi="Arial" w:eastAsia="等线" w:cs="Arial"/>
          <w:b/>
          <w:sz w:val="22"/>
        </w:rPr>
        <w:t>注意：</w:t>
      </w:r>
      <w:r>
        <w:rPr>
          <w:rFonts w:ascii="Arial" w:hAnsi="Arial" w:eastAsia="等线" w:cs="Arial"/>
          <w:sz w:val="22"/>
        </w:rPr>
        <w:t>这里与 《1001 Practice Questions》第 329 题答案冲突，329 题认为 offering circulars 不是广告。</w:t>
      </w:r>
    </w:p>
    <w:p w14:paraId="2DF8C8F5">
      <w:pPr>
        <w:spacing w:before="120" w:after="120" w:line="288" w:lineRule="auto"/>
        <w:ind w:left="0"/>
        <w:jc w:val="left"/>
      </w:pPr>
    </w:p>
    <w:p w14:paraId="486D80FB">
      <w:pPr>
        <w:numPr>
          <w:ilvl w:val="0"/>
          <w:numId w:val="156"/>
        </w:numPr>
        <w:spacing w:before="120" w:after="120" w:line="288" w:lineRule="auto"/>
        <w:ind w:left="0"/>
        <w:jc w:val="left"/>
      </w:pPr>
      <w:r>
        <w:rPr>
          <w:rFonts w:ascii="Arial" w:hAnsi="Arial" w:eastAsia="等线" w:cs="Arial"/>
          <w:sz w:val="22"/>
        </w:rPr>
        <w:t>市场信函（market letters）</w:t>
      </w:r>
    </w:p>
    <w:p w14:paraId="1D36830E">
      <w:pPr>
        <w:spacing w:before="120" w:after="120" w:line="288" w:lineRule="auto"/>
        <w:ind w:left="0"/>
        <w:jc w:val="left"/>
      </w:pPr>
      <w:r>
        <w:rPr>
          <w:rFonts w:ascii="Arial" w:hAnsi="Arial" w:eastAsia="等线" w:cs="Arial"/>
          <w:sz w:val="22"/>
        </w:rPr>
        <w:t>由证券公司或经纪人制作，内容通常包含市政证券市场分析、投资建议、产品推荐等，用于与客户沟通或吸引潜在投资者。</w:t>
      </w:r>
    </w:p>
    <w:p w14:paraId="2F8FD3A0">
      <w:pPr>
        <w:spacing w:before="120" w:after="120" w:line="288" w:lineRule="auto"/>
        <w:ind w:left="0"/>
        <w:jc w:val="left"/>
      </w:pPr>
    </w:p>
    <w:p w14:paraId="11536EF6">
      <w:pPr>
        <w:numPr>
          <w:ilvl w:val="0"/>
          <w:numId w:val="157"/>
        </w:numPr>
        <w:spacing w:before="120" w:after="120" w:line="288" w:lineRule="auto"/>
        <w:ind w:left="0"/>
        <w:jc w:val="left"/>
      </w:pPr>
      <w:r>
        <w:rPr>
          <w:rFonts w:ascii="Arial" w:hAnsi="Arial" w:eastAsia="等线" w:cs="Arial"/>
          <w:sz w:val="22"/>
        </w:rPr>
        <w:t>官方声明摘要（summaries of official statements）</w:t>
      </w:r>
    </w:p>
    <w:p w14:paraId="45CCFBEF">
      <w:pPr>
        <w:spacing w:before="120" w:after="120" w:line="288" w:lineRule="auto"/>
        <w:ind w:left="0"/>
        <w:jc w:val="left"/>
      </w:pPr>
      <w:r>
        <w:rPr>
          <w:rFonts w:ascii="Arial" w:hAnsi="Arial" w:eastAsia="等线" w:cs="Arial"/>
          <w:sz w:val="22"/>
        </w:rPr>
        <w:t>是证券公司等从业者对官方声明的 “二次加工产物”**，需纳入广告范畴。</w:t>
      </w:r>
    </w:p>
    <w:p w14:paraId="3B4DFFA1">
      <w:pPr>
        <w:spacing w:before="120" w:after="120" w:line="288" w:lineRule="auto"/>
        <w:ind w:left="0"/>
        <w:jc w:val="left"/>
      </w:pPr>
    </w:p>
    <w:p w14:paraId="338211A4">
      <w:pPr>
        <w:numPr>
          <w:ilvl w:val="0"/>
          <w:numId w:val="158"/>
        </w:numPr>
        <w:spacing w:before="120" w:after="120" w:line="288" w:lineRule="auto"/>
        <w:ind w:left="0"/>
        <w:jc w:val="left"/>
      </w:pPr>
      <w:r>
        <w:rPr>
          <w:rFonts w:ascii="Arial" w:hAnsi="Arial" w:eastAsia="等线" w:cs="Arial"/>
          <w:sz w:val="22"/>
        </w:rPr>
        <w:t>研讨会文本（Seminar text）</w:t>
      </w:r>
    </w:p>
    <w:p w14:paraId="10A60C86">
      <w:pPr>
        <w:spacing w:before="120" w:after="120" w:line="288" w:lineRule="auto"/>
        <w:ind w:left="0"/>
        <w:jc w:val="left"/>
      </w:pPr>
      <w:r>
        <w:rPr>
          <w:rFonts w:ascii="Arial" w:hAnsi="Arial" w:eastAsia="等线" w:cs="Arial"/>
          <w:sz w:val="22"/>
        </w:rPr>
        <w:t>指从业者为举办市政证券相关研讨会（如投资讲座、产品推介会）准备的材料（如 PPT 文稿、讲义），内容用于向参会者传递投资信息、介绍业务，具备 “推广和沟通属性”。</w:t>
      </w:r>
    </w:p>
    <w:p w14:paraId="68C7723C">
      <w:pPr>
        <w:spacing w:before="120" w:after="120" w:line="288" w:lineRule="auto"/>
        <w:ind w:left="0"/>
        <w:jc w:val="left"/>
      </w:pPr>
    </w:p>
    <w:p w14:paraId="6E7C5AA5">
      <w:pPr>
        <w:numPr>
          <w:ilvl w:val="0"/>
          <w:numId w:val="159"/>
        </w:numPr>
        <w:spacing w:before="120" w:after="120" w:line="288" w:lineRule="auto"/>
        <w:ind w:left="0"/>
        <w:jc w:val="left"/>
      </w:pPr>
      <w:r>
        <w:rPr>
          <w:rFonts w:ascii="Arial" w:hAnsi="Arial" w:eastAsia="等线" w:cs="Arial"/>
          <w:sz w:val="22"/>
        </w:rPr>
        <w:t>产品宣传册（product brochures）</w:t>
      </w:r>
    </w:p>
    <w:p w14:paraId="731540DC">
      <w:pPr>
        <w:spacing w:before="120" w:after="120" w:line="288" w:lineRule="auto"/>
        <w:ind w:left="0"/>
        <w:jc w:val="left"/>
      </w:pPr>
      <w:r>
        <w:rPr>
          <w:rFonts w:ascii="Arial" w:hAnsi="Arial" w:eastAsia="等线" w:cs="Arial"/>
          <w:sz w:val="22"/>
        </w:rPr>
        <w:t>产品宣传册是典型的广告类材料，完全符合 MSRB 和证券行业对广告的界定。</w:t>
      </w:r>
    </w:p>
    <w:p w14:paraId="103A97F8">
      <w:pPr>
        <w:spacing w:before="120" w:after="120" w:line="288" w:lineRule="auto"/>
        <w:ind w:left="0"/>
        <w:jc w:val="left"/>
      </w:pPr>
    </w:p>
    <w:p w14:paraId="72EEC6E4">
      <w:pPr>
        <w:numPr>
          <w:ilvl w:val="0"/>
          <w:numId w:val="160"/>
        </w:numPr>
        <w:spacing w:before="120" w:after="120" w:line="288" w:lineRule="auto"/>
        <w:ind w:left="0"/>
        <w:jc w:val="left"/>
      </w:pPr>
      <w:r>
        <w:rPr>
          <w:rFonts w:ascii="Arial" w:hAnsi="Arial" w:eastAsia="等线" w:cs="Arial"/>
          <w:sz w:val="22"/>
        </w:rPr>
        <w:t>等等</w:t>
      </w:r>
    </w:p>
    <w:p w14:paraId="195C193C">
      <w:pPr>
        <w:spacing w:before="120" w:after="120" w:line="288" w:lineRule="auto"/>
        <w:ind w:left="0"/>
        <w:jc w:val="left"/>
      </w:pPr>
    </w:p>
    <w:p w14:paraId="08761FC3">
      <w:pPr>
        <w:spacing w:before="120" w:after="120" w:line="288" w:lineRule="auto"/>
        <w:ind w:left="0"/>
        <w:jc w:val="left"/>
      </w:pPr>
      <w:r>
        <w:rPr>
          <w:rFonts w:ascii="Arial" w:hAnsi="Arial" w:eastAsia="等线" w:cs="Arial"/>
          <w:b/>
          <w:sz w:val="22"/>
        </w:rPr>
        <w:t>注意：</w:t>
      </w:r>
      <w:r>
        <w:rPr>
          <w:rFonts w:ascii="Arial" w:hAnsi="Arial" w:eastAsia="等线" w:cs="Arial"/>
          <w:sz w:val="22"/>
        </w:rPr>
        <w:t>初步和最终的官方声明因由发行方制作，不视为广告，无需券商负责人（Principal）批准。</w:t>
      </w:r>
    </w:p>
    <w:p w14:paraId="7C6E664D">
      <w:pPr>
        <w:spacing w:before="120" w:after="120" w:line="288" w:lineRule="auto"/>
        <w:ind w:left="0"/>
        <w:jc w:val="left"/>
      </w:pPr>
    </w:p>
    <w:p w14:paraId="61099D21">
      <w:pPr>
        <w:spacing w:before="120" w:after="120" w:line="288" w:lineRule="auto"/>
        <w:ind w:left="0"/>
        <w:jc w:val="left"/>
      </w:pPr>
      <w:r>
        <w:rPr>
          <w:rFonts w:ascii="Arial" w:hAnsi="Arial" w:eastAsia="等线" w:cs="Arial"/>
          <w:b/>
          <w:sz w:val="22"/>
        </w:rPr>
        <w:t>存档要求：</w:t>
      </w:r>
      <w:r>
        <w:rPr>
          <w:rFonts w:ascii="Arial" w:hAnsi="Arial" w:eastAsia="等线" w:cs="Arial"/>
          <w:sz w:val="22"/>
        </w:rPr>
        <w:t>所有广告需保存至少 3 年，且前 2 年需易于调取，如存放在办公系统，而非离线仓库。</w:t>
      </w:r>
    </w:p>
    <w:p w14:paraId="4DCE2731">
      <w:pPr>
        <w:spacing w:before="120" w:after="120" w:line="288" w:lineRule="auto"/>
        <w:ind w:left="0"/>
        <w:jc w:val="left"/>
      </w:pPr>
    </w:p>
    <w:p w14:paraId="55F368E3">
      <w:pPr>
        <w:spacing w:before="120" w:after="120" w:line="288" w:lineRule="auto"/>
        <w:ind w:left="0"/>
        <w:jc w:val="left"/>
      </w:pPr>
      <w:r>
        <w:rPr>
          <w:rFonts w:ascii="Arial" w:hAnsi="Arial" w:eastAsia="等线" w:cs="Arial"/>
          <w:b/>
          <w:sz w:val="22"/>
        </w:rPr>
        <w:t>审批要求：</w:t>
      </w:r>
      <w:r>
        <w:rPr>
          <w:rFonts w:ascii="Arial" w:hAnsi="Arial" w:eastAsia="等线" w:cs="Arial"/>
          <w:sz w:val="22"/>
        </w:rPr>
        <w:t>广告发布前需经券商负责人（Principal）审批，确保内容真实、不误导。</w:t>
      </w:r>
    </w:p>
    <w:p w14:paraId="1B6DFD8A">
      <w:pPr>
        <w:spacing w:before="120" w:after="120" w:line="288" w:lineRule="auto"/>
        <w:ind w:left="0"/>
        <w:jc w:val="left"/>
      </w:pPr>
    </w:p>
    <w:p w14:paraId="635CF996">
      <w:pPr>
        <w:spacing w:before="300" w:after="120" w:line="288" w:lineRule="auto"/>
        <w:ind w:left="0"/>
        <w:jc w:val="left"/>
        <w:outlineLvl w:val="2"/>
      </w:pPr>
      <w:bookmarkStart w:id="39" w:name="heading_39"/>
      <w:r>
        <w:rPr>
          <w:rFonts w:ascii="Arial" w:hAnsi="Arial" w:eastAsia="等线" w:cs="Arial"/>
          <w:color w:val="3370FF"/>
          <w:sz w:val="30"/>
        </w:rPr>
        <w:t xml:space="preserve">2.6.5 </w:t>
      </w:r>
      <w:r>
        <w:rPr>
          <w:rFonts w:ascii="Arial" w:hAnsi="Arial" w:eastAsia="等线" w:cs="Arial"/>
          <w:b/>
          <w:sz w:val="30"/>
        </w:rPr>
        <w:t>礼品与佣金规则</w:t>
      </w:r>
      <w:bookmarkEnd w:id="39"/>
    </w:p>
    <w:p w14:paraId="12A69DC0">
      <w:pPr>
        <w:spacing w:before="120" w:after="120" w:line="288" w:lineRule="auto"/>
        <w:ind w:left="0"/>
        <w:jc w:val="left"/>
      </w:pPr>
      <w:r>
        <w:rPr>
          <w:rFonts w:ascii="Arial" w:hAnsi="Arial" w:eastAsia="等线" w:cs="Arial"/>
          <w:sz w:val="22"/>
        </w:rPr>
        <w:t xml:space="preserve">礼品限制：券商向客户赠送礼品的价值每年不超过 </w:t>
      </w:r>
      <w:r>
        <w:rPr>
          <w:rFonts w:ascii="Arial" w:hAnsi="Arial" w:eastAsia="等线" w:cs="Arial"/>
          <w:b/>
          <w:sz w:val="22"/>
        </w:rPr>
        <w:t>100 美元</w:t>
      </w:r>
      <w:r>
        <w:rPr>
          <w:rFonts w:ascii="Arial" w:hAnsi="Arial" w:eastAsia="等线" w:cs="Arial"/>
          <w:sz w:val="22"/>
        </w:rPr>
        <w:t>，商务开支（如客户来访的机票、酒店、工作餐）不计入礼品额度。</w:t>
      </w:r>
    </w:p>
    <w:p w14:paraId="6265DFA5">
      <w:pPr>
        <w:spacing w:before="120" w:after="120" w:line="288" w:lineRule="auto"/>
        <w:ind w:left="0"/>
        <w:jc w:val="left"/>
      </w:pPr>
    </w:p>
    <w:p w14:paraId="46D25AE7">
      <w:pPr>
        <w:spacing w:before="120" w:after="120" w:line="288" w:lineRule="auto"/>
        <w:ind w:left="0"/>
        <w:jc w:val="left"/>
      </w:pPr>
      <w:r>
        <w:rPr>
          <w:rFonts w:ascii="Arial" w:hAnsi="Arial" w:eastAsia="等线" w:cs="Arial"/>
          <w:sz w:val="22"/>
        </w:rPr>
        <w:t>佣金规则：无固定佣金比例（区别于股票的 5% markup 政策），但需 “公平合理”，需考虑债券市值、交易金额、交易难度等因素，且不得歧视客户。</w:t>
      </w:r>
    </w:p>
    <w:p w14:paraId="48304A6D">
      <w:pPr>
        <w:spacing w:before="120" w:after="120" w:line="288" w:lineRule="auto"/>
        <w:ind w:left="0"/>
        <w:jc w:val="left"/>
      </w:pPr>
    </w:p>
    <w:p w14:paraId="082BAC5A">
      <w:pPr>
        <w:spacing w:before="300" w:after="120" w:line="288" w:lineRule="auto"/>
        <w:ind w:left="0"/>
        <w:jc w:val="left"/>
        <w:outlineLvl w:val="2"/>
      </w:pPr>
      <w:bookmarkStart w:id="40" w:name="heading_40"/>
      <w:r>
        <w:rPr>
          <w:rFonts w:ascii="Arial" w:hAnsi="Arial" w:eastAsia="等线" w:cs="Arial"/>
          <w:color w:val="3370FF"/>
          <w:sz w:val="30"/>
        </w:rPr>
        <w:t xml:space="preserve">2.6.6 </w:t>
      </w:r>
      <w:r>
        <w:rPr>
          <w:rFonts w:ascii="Arial" w:hAnsi="Arial" w:eastAsia="等线" w:cs="Arial"/>
          <w:b/>
          <w:sz w:val="30"/>
        </w:rPr>
        <w:t>多如牛毛的 G 规则</w:t>
      </w:r>
      <w:bookmarkEnd w:id="40"/>
    </w:p>
    <w:p w14:paraId="03444614">
      <w:pPr>
        <w:spacing w:before="120" w:after="120" w:line="288" w:lineRule="auto"/>
        <w:ind w:left="0"/>
        <w:jc w:val="left"/>
      </w:pPr>
      <w:r>
        <w:rPr>
          <w:rFonts w:ascii="Arial" w:hAnsi="Arial" w:eastAsia="等线" w:cs="Arial"/>
          <w:sz w:val="22"/>
        </w:rPr>
        <w:t>在参加一些必修考试（比如7系列考试）之前，你必须进行更多的学习。有些规则如果打印出来，甚至比你还高——即便你高到足以和沙奎尔·奥尼尔一较高下。</w:t>
      </w:r>
    </w:p>
    <w:p w14:paraId="0590A32A">
      <w:pPr>
        <w:numPr>
          <w:ilvl w:val="0"/>
          <w:numId w:val="161"/>
        </w:numPr>
        <w:spacing w:before="120" w:after="120" w:line="288" w:lineRule="auto"/>
        <w:ind w:left="0"/>
        <w:jc w:val="left"/>
      </w:pPr>
      <w:r>
        <w:rPr>
          <w:rFonts w:ascii="Arial" w:hAnsi="Arial" w:eastAsia="等线" w:cs="Arial"/>
          <w:sz w:val="22"/>
        </w:rPr>
        <w:t>规则G-2（专业资格标准）：在进行任何市政证券的交易（招揽、条款协商或交易执行），或诱导或试图诱导市政证券的购买或销售之前，交易商及其所有关联人员必须符合市政证券规则制定委员会（MSRB）的规则要求，具备相应资格。</w:t>
      </w:r>
    </w:p>
    <w:p w14:paraId="2A91CBAA">
      <w:pPr>
        <w:numPr>
          <w:ilvl w:val="0"/>
          <w:numId w:val="162"/>
        </w:numPr>
        <w:spacing w:before="120" w:after="120" w:line="288" w:lineRule="auto"/>
        <w:ind w:left="0"/>
        <w:jc w:val="left"/>
      </w:pPr>
      <w:r>
        <w:rPr>
          <w:rFonts w:ascii="Arial" w:hAnsi="Arial" w:eastAsia="等线" w:cs="Arial"/>
          <w:sz w:val="22"/>
        </w:rPr>
        <w:t>规则G-3（专业资格要求）：从事一般证券业务的经纪交易商必须至少有一名关联人员具备市政证券负责人资格，以监督和管理其市政证券业务。</w:t>
      </w:r>
    </w:p>
    <w:p w14:paraId="0D805464">
      <w:pPr>
        <w:numPr>
          <w:ilvl w:val="0"/>
          <w:numId w:val="163"/>
        </w:numPr>
        <w:spacing w:before="120" w:after="120" w:line="288" w:lineRule="auto"/>
        <w:ind w:left="0"/>
        <w:jc w:val="left"/>
      </w:pPr>
      <w:r>
        <w:rPr>
          <w:rFonts w:ascii="Arial" w:hAnsi="Arial" w:eastAsia="等线" w:cs="Arial"/>
          <w:sz w:val="22"/>
        </w:rPr>
        <w:t>G-7规则（关于关联人员的信息）：关联人员（市政证券销售负责人、市政证券负责人、从事市政证券业务的一般证券负责人、市政证券代表、有限代表等）必须向其雇主提供U-4表格或银行交易商的MSD-4表格。U-4表格是连同申请人的指纹一起提交给中央注册存款机构（CRD）的申请表。表格中包含申请人的地址、工作经历、逮捕记录（如有——最好没有）、教育背景、先前地址等信息。雇主必须保留该表格的副本。此外，雇主有责任联系前雇主，核实表格中的信息是否准确。如果申请人的信息在受雇期间有任何变动，雇主有责任更新相关信息。</w:t>
      </w:r>
    </w:p>
    <w:p w14:paraId="403EBCB5">
      <w:pPr>
        <w:numPr>
          <w:ilvl w:val="0"/>
          <w:numId w:val="164"/>
        </w:numPr>
        <w:spacing w:before="120" w:after="120" w:line="288" w:lineRule="auto"/>
        <w:ind w:left="0"/>
        <w:jc w:val="left"/>
      </w:pPr>
      <w:r>
        <w:rPr>
          <w:rFonts w:ascii="Arial" w:hAnsi="Arial" w:eastAsia="等线" w:cs="Arial"/>
          <w:sz w:val="22"/>
        </w:rPr>
        <w:t>规则G-8和G-9（账簿和记录要求）：所有经纪商、交易商和市政证券交易商必须保存与市政证券业务相关的记录。他们必须保存的众多项目包括以下内容：</w:t>
      </w:r>
    </w:p>
    <w:p w14:paraId="370F07CB">
      <w:pPr>
        <w:numPr>
          <w:ilvl w:val="0"/>
          <w:numId w:val="165"/>
        </w:numPr>
        <w:spacing w:before="120" w:after="120" w:line="288" w:lineRule="auto"/>
        <w:ind w:left="453"/>
        <w:jc w:val="left"/>
      </w:pPr>
      <w:r>
        <w:rPr>
          <w:rFonts w:ascii="Arial" w:hAnsi="Arial" w:eastAsia="等线" w:cs="Arial"/>
          <w:sz w:val="22"/>
        </w:rPr>
        <w:t>原始分录记录（流水账 blotters）：市政证券所有买卖的每日明细记录；</w:t>
      </w:r>
    </w:p>
    <w:p w14:paraId="17ACCAA1">
      <w:pPr>
        <w:numPr>
          <w:ilvl w:val="0"/>
          <w:numId w:val="166"/>
        </w:numPr>
        <w:spacing w:before="120" w:after="120" w:line="288" w:lineRule="auto"/>
        <w:ind w:left="453"/>
        <w:jc w:val="left"/>
      </w:pPr>
      <w:r>
        <w:rPr>
          <w:rFonts w:ascii="Arial" w:hAnsi="Arial" w:eastAsia="等线" w:cs="Arial"/>
          <w:sz w:val="22"/>
        </w:rPr>
        <w:t xml:space="preserve"> 账户记录：每个客户账户的账户记录；</w:t>
      </w:r>
    </w:p>
    <w:p w14:paraId="08E6DBFC">
      <w:pPr>
        <w:numPr>
          <w:ilvl w:val="0"/>
          <w:numId w:val="167"/>
        </w:numPr>
        <w:spacing w:before="120" w:after="120" w:line="288" w:lineRule="auto"/>
        <w:ind w:left="453"/>
        <w:jc w:val="left"/>
      </w:pPr>
      <w:r>
        <w:rPr>
          <w:rFonts w:ascii="Arial" w:hAnsi="Arial" w:eastAsia="等线" w:cs="Arial"/>
          <w:sz w:val="22"/>
        </w:rPr>
        <w:t>证券记录：显示所有市政证券持仓的单独记录；</w:t>
      </w:r>
    </w:p>
    <w:p w14:paraId="61CE4171">
      <w:pPr>
        <w:numPr>
          <w:ilvl w:val="0"/>
          <w:numId w:val="168"/>
        </w:numPr>
        <w:spacing w:before="120" w:after="120" w:line="288" w:lineRule="auto"/>
        <w:ind w:left="453"/>
        <w:jc w:val="left"/>
      </w:pPr>
      <w:r>
        <w:rPr>
          <w:rFonts w:ascii="Arial" w:hAnsi="Arial" w:eastAsia="等线" w:cs="Arial"/>
          <w:sz w:val="22"/>
        </w:rPr>
        <w:t>辅助记录（Subsidiary records）：正在转让的市政证券、借入或借出的市政证券、结算日未完成的市政证券交易等的记录；</w:t>
      </w:r>
    </w:p>
    <w:p w14:paraId="349382E8">
      <w:pPr>
        <w:numPr>
          <w:ilvl w:val="0"/>
          <w:numId w:val="169"/>
        </w:numPr>
        <w:spacing w:before="120" w:after="120" w:line="288" w:lineRule="auto"/>
        <w:ind w:left="453"/>
        <w:jc w:val="left"/>
      </w:pPr>
      <w:r>
        <w:rPr>
          <w:rFonts w:ascii="Arial" w:hAnsi="Arial" w:eastAsia="等线" w:cs="Arial"/>
          <w:sz w:val="22"/>
        </w:rPr>
        <w:t>看跌期权和回购协议；</w:t>
      </w:r>
    </w:p>
    <w:p w14:paraId="3452FA39">
      <w:pPr>
        <w:numPr>
          <w:ilvl w:val="0"/>
          <w:numId w:val="170"/>
        </w:numPr>
        <w:spacing w:before="120" w:after="120" w:line="288" w:lineRule="auto"/>
        <w:ind w:left="453"/>
        <w:jc w:val="left"/>
      </w:pPr>
      <w:r>
        <w:rPr>
          <w:rFonts w:ascii="Arial" w:hAnsi="Arial" w:eastAsia="等线" w:cs="Arial"/>
          <w:sz w:val="22"/>
        </w:rPr>
        <w:t>代理交易记录；</w:t>
      </w:r>
    </w:p>
    <w:p w14:paraId="0EF8CDB1">
      <w:pPr>
        <w:numPr>
          <w:ilvl w:val="0"/>
          <w:numId w:val="171"/>
        </w:numPr>
        <w:spacing w:before="120" w:after="120" w:line="288" w:lineRule="auto"/>
        <w:ind w:left="453"/>
        <w:jc w:val="left"/>
      </w:pPr>
      <w:r>
        <w:rPr>
          <w:rFonts w:ascii="Arial" w:hAnsi="Arial" w:eastAsia="等线" w:cs="Arial"/>
          <w:sz w:val="22"/>
        </w:rPr>
        <w:t>与首次发行相关的记录；</w:t>
      </w:r>
    </w:p>
    <w:p w14:paraId="30EBEF73">
      <w:pPr>
        <w:numPr>
          <w:ilvl w:val="0"/>
          <w:numId w:val="172"/>
        </w:numPr>
        <w:spacing w:before="120" w:after="120" w:line="288" w:lineRule="auto"/>
        <w:ind w:left="453"/>
        <w:jc w:val="left"/>
      </w:pPr>
      <w:r>
        <w:rPr>
          <w:rFonts w:ascii="Arial" w:hAnsi="Arial" w:eastAsia="等线" w:cs="Arial"/>
          <w:sz w:val="22"/>
        </w:rPr>
        <w:t>确认书副本（关于确认书的更多内容，参见第16章）；</w:t>
      </w:r>
    </w:p>
    <w:p w14:paraId="177F5283">
      <w:pPr>
        <w:numPr>
          <w:ilvl w:val="0"/>
          <w:numId w:val="173"/>
        </w:numPr>
        <w:spacing w:before="120" w:after="120" w:line="288" w:lineRule="auto"/>
        <w:ind w:left="453"/>
        <w:jc w:val="left"/>
      </w:pPr>
      <w:r>
        <w:rPr>
          <w:rFonts w:ascii="Arial" w:hAnsi="Arial" w:eastAsia="等线" w:cs="Arial"/>
          <w:sz w:val="22"/>
        </w:rPr>
        <w:t>客户账户信息；</w:t>
      </w:r>
    </w:p>
    <w:p w14:paraId="6259B546">
      <w:pPr>
        <w:numPr>
          <w:ilvl w:val="0"/>
          <w:numId w:val="174"/>
        </w:numPr>
        <w:spacing w:before="120" w:after="120" w:line="288" w:lineRule="auto"/>
        <w:ind w:left="453"/>
        <w:jc w:val="left"/>
      </w:pPr>
      <w:r>
        <w:rPr>
          <w:rFonts w:ascii="Arial" w:hAnsi="Arial" w:eastAsia="等线" w:cs="Arial"/>
          <w:sz w:val="22"/>
        </w:rPr>
        <w:t>客户投诉；</w:t>
      </w:r>
    </w:p>
    <w:p w14:paraId="6968E96E">
      <w:pPr>
        <w:numPr>
          <w:ilvl w:val="0"/>
          <w:numId w:val="175"/>
        </w:numPr>
        <w:spacing w:before="120" w:after="120" w:line="288" w:lineRule="auto"/>
        <w:ind w:left="453"/>
        <w:jc w:val="left"/>
      </w:pPr>
      <w:r>
        <w:rPr>
          <w:rFonts w:ascii="Arial" w:hAnsi="Arial" w:eastAsia="等线" w:cs="Arial"/>
          <w:sz w:val="22"/>
        </w:rPr>
        <w:t>关于政治献金的记录。</w:t>
      </w:r>
    </w:p>
    <w:p w14:paraId="35AAFE6A">
      <w:pPr>
        <w:spacing w:before="120" w:after="120" w:line="288" w:lineRule="auto"/>
        <w:ind w:left="453"/>
        <w:jc w:val="left"/>
      </w:pPr>
      <w:r>
        <w:rPr>
          <w:rFonts w:ascii="Arial" w:hAnsi="Arial" w:eastAsia="等线" w:cs="Arial"/>
          <w:sz w:val="22"/>
        </w:rPr>
        <w:t>你不需要记住前面的整个列表。只需大致了解所需内容即可。看起来MSRB希望经纪交易商或市政证券交易商保留几乎所有东西的记录。</w:t>
      </w:r>
    </w:p>
    <w:p w14:paraId="4DF749C6">
      <w:pPr>
        <w:numPr>
          <w:ilvl w:val="0"/>
          <w:numId w:val="176"/>
        </w:numPr>
        <w:spacing w:before="120" w:after="120" w:line="288" w:lineRule="auto"/>
        <w:ind w:left="0"/>
        <w:jc w:val="left"/>
      </w:pPr>
      <w:r>
        <w:rPr>
          <w:rFonts w:ascii="Arial" w:hAnsi="Arial" w:eastAsia="等线" w:cs="Arial"/>
          <w:sz w:val="22"/>
        </w:rPr>
        <w:t>规则G-9（记录保存）：MSRB 的记录保存要求与 FINRA 的要求非常相似（但并非完全相同）。大多数记录必须保存四年或六年。为了不让你抓狂（这话来自一个光头人士），请查看第16章中的记录保存要求，其中注明了MSRB规则与FINRA规则的不同之处。</w:t>
      </w:r>
    </w:p>
    <w:p w14:paraId="111AA933">
      <w:pPr>
        <w:numPr>
          <w:ilvl w:val="0"/>
          <w:numId w:val="177"/>
        </w:numPr>
        <w:spacing w:before="120" w:after="120" w:line="288" w:lineRule="auto"/>
        <w:ind w:left="0"/>
        <w:jc w:val="left"/>
      </w:pPr>
      <w:r>
        <w:rPr>
          <w:rFonts w:ascii="Arial" w:hAnsi="Arial" w:eastAsia="等线" w:cs="Arial"/>
          <w:sz w:val="22"/>
        </w:rPr>
        <w:t>规则G-10（投资手册的交付）：经纪交易商和市政证券交易商必须每年向每位客户发送书面声明（可以是电子形式），说明他们已在SEC和MSRB注册。该声明还必须包含MSRB的网址，以及关于如何在网站上获取描述客户保护措施和如何向适当机构投诉的投资手册的说明。同样的信息也适用于市政顾问，他们也必须每年发送包含相同信息的声明，并提供关于如何在MSRB网站上获取客户手册的信息。</w:t>
      </w:r>
    </w:p>
    <w:p w14:paraId="43C470CB">
      <w:pPr>
        <w:numPr>
          <w:ilvl w:val="0"/>
          <w:numId w:val="178"/>
        </w:numPr>
        <w:spacing w:before="120" w:after="120" w:line="288" w:lineRule="auto"/>
        <w:ind w:left="0"/>
        <w:jc w:val="left"/>
      </w:pPr>
      <w:r>
        <w:rPr>
          <w:rFonts w:ascii="Arial" w:hAnsi="Arial" w:eastAsia="等线" w:cs="Arial"/>
          <w:sz w:val="22"/>
        </w:rPr>
        <w:t>规则G-13（报价）：根据市政证券规则制定委员会（MSRB）的规定，任何经纪交易商、市政证券交易商或与经纪交易商或市政证券交易商相关联的人员所发布或传播的所有市政证券报价都必须真实可靠。</w:t>
      </w:r>
    </w:p>
    <w:p w14:paraId="5CB27139">
      <w:pPr>
        <w:numPr>
          <w:ilvl w:val="0"/>
          <w:numId w:val="179"/>
        </w:numPr>
        <w:spacing w:before="120" w:after="120" w:line="288" w:lineRule="auto"/>
        <w:ind w:left="0"/>
        <w:jc w:val="left"/>
      </w:pPr>
      <w:r>
        <w:rPr>
          <w:rFonts w:ascii="Arial" w:hAnsi="Arial" w:eastAsia="等线" w:cs="Arial"/>
          <w:sz w:val="22"/>
        </w:rPr>
        <w:t>规则G-17（市政证券和市政顾问活动行为规范）：市政证券经纪交易商、市政证券交易商、市政顾问、代理人等应公平对待所有人，不得从事不诚实、欺骗性或不公平的行为。</w:t>
      </w:r>
    </w:p>
    <w:p w14:paraId="2C89DD93">
      <w:pPr>
        <w:numPr>
          <w:ilvl w:val="0"/>
          <w:numId w:val="180"/>
        </w:numPr>
        <w:spacing w:before="120" w:after="120" w:line="288" w:lineRule="auto"/>
        <w:ind w:left="0"/>
        <w:jc w:val="left"/>
      </w:pPr>
      <w:r>
        <w:rPr>
          <w:rFonts w:ascii="Arial" w:hAnsi="Arial" w:eastAsia="等线" w:cs="Arial"/>
          <w:sz w:val="22"/>
        </w:rPr>
        <w:t>规则G-18（最佳执行）：当与客户或其他经纪商、交易商或市政证券交易商的客户进行市政证券交易时，经纪商必须尽合理努力，试图为该证券获得最佳价格（对客户而言是最低买入价或最高卖出价）。本规则与规则G-30相似，但G-30包含加价、减价和佣金。</w:t>
      </w:r>
    </w:p>
    <w:p w14:paraId="72D52E2E">
      <w:pPr>
        <w:numPr>
          <w:ilvl w:val="0"/>
          <w:numId w:val="181"/>
        </w:numPr>
        <w:spacing w:before="120" w:after="120" w:line="288" w:lineRule="auto"/>
        <w:ind w:left="0"/>
        <w:jc w:val="left"/>
      </w:pPr>
      <w:r>
        <w:rPr>
          <w:rFonts w:ascii="Arial" w:hAnsi="Arial" w:eastAsia="等线" w:cs="Arial"/>
          <w:sz w:val="22"/>
        </w:rPr>
        <w:t>规则G-21（广告）：市政证券交易商、经纪商和交易商的广告不得包含虚假或误导性陈述。广告包括用于电子或其他公共媒体的已发布材料、向客户或公众提供的宣传资料（书面或电子形式）、通函、市场通讯、研讨会文本、新闻稿等。初步官方声明、官方声明、发行通函等不被视为广告。</w:t>
      </w:r>
    </w:p>
    <w:p w14:paraId="416E5B48">
      <w:pPr>
        <w:numPr>
          <w:ilvl w:val="0"/>
          <w:numId w:val="182"/>
        </w:numPr>
        <w:spacing w:before="120" w:after="120" w:line="288" w:lineRule="auto"/>
        <w:ind w:left="0"/>
        <w:jc w:val="left"/>
      </w:pPr>
      <w:r>
        <w:rPr>
          <w:rFonts w:ascii="Arial" w:hAnsi="Arial" w:eastAsia="等线" w:cs="Arial"/>
          <w:sz w:val="22"/>
        </w:rPr>
        <w:t>规则G-25（资产的不当使用）：经纪商、交易商和市政证券交易商不得不当使用代他人持有的市政证券或资金。此外，任何经纪商、交易商或市政证券交易商不得作出损失担保，且不得直接或间接分享客户账户的利润或损失。关联人员可与客户设立合伙企业或联名账户，并根据投入账户的资金份额分享利润或承担损失。在此情况下，应签订按比例分享协议。</w:t>
      </w:r>
    </w:p>
    <w:p w14:paraId="12D9191A">
      <w:pPr>
        <w:numPr>
          <w:ilvl w:val="0"/>
          <w:numId w:val="183"/>
        </w:numPr>
        <w:spacing w:before="120" w:after="120" w:line="288" w:lineRule="auto"/>
        <w:ind w:left="0"/>
        <w:jc w:val="left"/>
      </w:pPr>
      <w:r>
        <w:rPr>
          <w:rFonts w:ascii="Arial" w:hAnsi="Arial" w:eastAsia="等线" w:cs="Arial"/>
          <w:sz w:val="22"/>
        </w:rPr>
        <w:t>规则G-30（定价与佣金）：若以自有资金为客户买卖市政证券（即从交易商库存中买入或向其卖出），总价格（包括降价或加价部分）必须公平合理。若以代理身份为客户买卖市政证券，经纪交易商有责任尽合理努力为客户获取最优价格，且收取的佣金须与当前市场状况相符，做到公平合理。</w:t>
      </w:r>
    </w:p>
    <w:p w14:paraId="511C8CFC">
      <w:pPr>
        <w:numPr>
          <w:ilvl w:val="0"/>
          <w:numId w:val="184"/>
        </w:numPr>
        <w:spacing w:before="120" w:after="120" w:line="288" w:lineRule="auto"/>
        <w:ind w:left="0"/>
        <w:jc w:val="left"/>
      </w:pPr>
      <w:r>
        <w:rPr>
          <w:rFonts w:ascii="Arial" w:hAnsi="Arial" w:eastAsia="等线" w:cs="Arial"/>
          <w:sz w:val="22"/>
        </w:rPr>
        <w:t>规则G-34（CUSIP编号、新发行债券及市场信息要求）：对于市政债券的新发行（无论是协商承销还是竞争性承销），主承销商必须向CUSIP申请，为债券的每个到期日（如果有多个到期日）获取识别编号。对于直接选定承销商的协商承销，主承销商必须在新市政债券定价前提出申请。对于竞争性承销，主承销商必须在中标后提出申请。如果市政发行人聘请了顾问，市政顾问必须在销售公告发布后的下一个工作日或之前提出申请。</w:t>
      </w:r>
    </w:p>
    <w:p w14:paraId="46710712">
      <w:pPr>
        <w:numPr>
          <w:ilvl w:val="0"/>
          <w:numId w:val="185"/>
        </w:numPr>
        <w:spacing w:before="120" w:after="120" w:line="288" w:lineRule="auto"/>
        <w:ind w:left="0"/>
        <w:jc w:val="left"/>
      </w:pPr>
      <w:r>
        <w:rPr>
          <w:rFonts w:ascii="Arial" w:hAnsi="Arial" w:eastAsia="等线" w:cs="Arial"/>
          <w:sz w:val="22"/>
        </w:rPr>
        <w:t>规则G-37（政治献金及市政证券业务禁令）：本规则禁止经纪商、交易商、市政证券交易商和市政顾问在向市政实体的官员进行政治献金后，与该市政实体开展市政顾问业务。若如第一句所述进行了政治献金，他们在献金后的两年内不得与该市政实体开展市政证券业务。市政金融专业人士（MFPs）被允许向其有权投票支持的候选人每次选举捐赠不超过</w:t>
      </w:r>
      <w:r>
        <w:rPr>
          <w:rFonts w:ascii="Arial" w:hAnsi="Arial" w:eastAsia="等线" w:cs="Arial"/>
          <w:b/>
          <w:sz w:val="22"/>
        </w:rPr>
        <w:t>250美元</w:t>
      </w:r>
      <w:r>
        <w:rPr>
          <w:rFonts w:ascii="Arial" w:hAnsi="Arial" w:eastAsia="等线" w:cs="Arial"/>
          <w:sz w:val="22"/>
        </w:rPr>
        <w:t>的政治献金。</w:t>
      </w:r>
    </w:p>
    <w:p w14:paraId="0E97477B">
      <w:pPr>
        <w:numPr>
          <w:ilvl w:val="0"/>
          <w:numId w:val="186"/>
        </w:numPr>
        <w:spacing w:before="120" w:after="120" w:line="288" w:lineRule="auto"/>
        <w:ind w:left="0"/>
        <w:jc w:val="left"/>
      </w:pPr>
      <w:r>
        <w:rPr>
          <w:rFonts w:ascii="Arial" w:hAnsi="Arial" w:eastAsia="等线" w:cs="Arial"/>
          <w:sz w:val="22"/>
        </w:rPr>
        <w:t>规则G-47（交易时披露）：经纪商、交易商和市政证券顾问不得在未提供有关交易的所有重大信息的情况下与客户进行市政证券交易（买入或卖出）（无论是否为招揽交易）。该信息必须在销售前或销售时提供，并且可以口头或书面形式披露。</w:t>
      </w:r>
    </w:p>
    <w:p w14:paraId="60BE9004">
      <w:pPr>
        <w:spacing w:before="120" w:after="120" w:line="288" w:lineRule="auto"/>
        <w:ind w:left="0"/>
        <w:jc w:val="left"/>
      </w:pPr>
      <w:r>
        <w:rPr>
          <w:rFonts w:ascii="Arial" w:hAnsi="Arial" w:eastAsia="等线" w:cs="Arial"/>
          <w:sz w:val="22"/>
        </w:rPr>
        <w:t>如果你非常想知道，可以在 www.msrb.org/Rules-and-Interpretations/MSRB-Rules/General/Rule-G-47.aspx 查看MSRB 认定的重要信息完整清单。没必要把这些信息记在脑子里。</w:t>
      </w:r>
    </w:p>
    <w:p w14:paraId="7F1E3593">
      <w:pPr>
        <w:spacing w:before="380" w:after="140" w:line="288" w:lineRule="auto"/>
        <w:ind w:left="0"/>
        <w:jc w:val="left"/>
        <w:outlineLvl w:val="0"/>
      </w:pPr>
      <w:bookmarkStart w:id="41" w:name="heading_41"/>
      <w:r>
        <w:rPr>
          <w:rFonts w:ascii="Arial" w:hAnsi="Arial" w:eastAsia="等线" w:cs="Arial"/>
          <w:color w:val="3370FF"/>
          <w:sz w:val="36"/>
        </w:rPr>
        <w:t xml:space="preserve">3. </w:t>
      </w:r>
      <w:r>
        <w:rPr>
          <w:rFonts w:ascii="Arial" w:hAnsi="Arial" w:eastAsia="等线" w:cs="Arial"/>
          <w:b/>
          <w:sz w:val="36"/>
        </w:rPr>
        <w:t>英文词汇</w:t>
      </w:r>
      <w:bookmarkEnd w:id="41"/>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20"/>
        <w:gridCol w:w="1755"/>
        <w:gridCol w:w="1005"/>
        <w:gridCol w:w="2640"/>
        <w:gridCol w:w="2460"/>
      </w:tblGrid>
      <w:tr w14:paraId="0BF3177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420" w:type="dxa"/>
            <w:tcMar>
              <w:top w:w="60" w:type="dxa"/>
              <w:left w:w="120" w:type="dxa"/>
              <w:bottom w:w="30" w:type="dxa"/>
              <w:right w:w="120" w:type="dxa"/>
            </w:tcMar>
          </w:tcPr>
          <w:p w14:paraId="757A1EBD">
            <w:pPr>
              <w:spacing w:before="120" w:after="120" w:line="288" w:lineRule="auto"/>
              <w:ind w:left="0"/>
              <w:jc w:val="left"/>
            </w:pPr>
            <w:r>
              <w:rPr>
                <w:rFonts w:ascii="Arial" w:hAnsi="Arial" w:eastAsia="等线" w:cs="Arial"/>
                <w:sz w:val="22"/>
              </w:rPr>
              <w:t>No.</w:t>
            </w:r>
          </w:p>
        </w:tc>
        <w:tc>
          <w:tcPr>
            <w:tcW w:w="1755" w:type="dxa"/>
            <w:tcMar>
              <w:top w:w="60" w:type="dxa"/>
              <w:left w:w="120" w:type="dxa"/>
              <w:bottom w:w="30" w:type="dxa"/>
              <w:right w:w="120" w:type="dxa"/>
            </w:tcMar>
          </w:tcPr>
          <w:p w14:paraId="279275F4">
            <w:pPr>
              <w:spacing w:before="120" w:after="120" w:line="288" w:lineRule="auto"/>
              <w:ind w:left="0"/>
              <w:jc w:val="left"/>
            </w:pPr>
            <w:r>
              <w:rPr>
                <w:rFonts w:ascii="Arial" w:hAnsi="Arial" w:eastAsia="等线" w:cs="Arial"/>
                <w:sz w:val="22"/>
              </w:rPr>
              <w:t>英文术语</w:t>
            </w:r>
          </w:p>
        </w:tc>
        <w:tc>
          <w:tcPr>
            <w:tcW w:w="1005" w:type="dxa"/>
            <w:tcMar>
              <w:top w:w="60" w:type="dxa"/>
              <w:left w:w="120" w:type="dxa"/>
              <w:bottom w:w="30" w:type="dxa"/>
              <w:right w:w="120" w:type="dxa"/>
            </w:tcMar>
          </w:tcPr>
          <w:p w14:paraId="4688D123">
            <w:pPr>
              <w:spacing w:before="120" w:after="120" w:line="288" w:lineRule="auto"/>
              <w:ind w:left="0"/>
              <w:jc w:val="left"/>
            </w:pPr>
            <w:r>
              <w:rPr>
                <w:rFonts w:ascii="Arial" w:hAnsi="Arial" w:eastAsia="等线" w:cs="Arial"/>
                <w:sz w:val="22"/>
              </w:rPr>
              <w:t>中文释义</w:t>
            </w:r>
          </w:p>
        </w:tc>
        <w:tc>
          <w:tcPr>
            <w:tcW w:w="2640" w:type="dxa"/>
            <w:tcMar>
              <w:top w:w="60" w:type="dxa"/>
              <w:left w:w="120" w:type="dxa"/>
              <w:bottom w:w="30" w:type="dxa"/>
              <w:right w:w="120" w:type="dxa"/>
            </w:tcMar>
          </w:tcPr>
          <w:p w14:paraId="7C0A8A9D">
            <w:pPr>
              <w:spacing w:before="120" w:after="120" w:line="288" w:lineRule="auto"/>
              <w:ind w:left="0"/>
              <w:jc w:val="left"/>
            </w:pPr>
            <w:r>
              <w:rPr>
                <w:rFonts w:ascii="Arial" w:hAnsi="Arial" w:eastAsia="等线" w:cs="Arial"/>
                <w:sz w:val="22"/>
              </w:rPr>
              <w:t>补充说明</w:t>
            </w:r>
          </w:p>
        </w:tc>
        <w:tc>
          <w:tcPr>
            <w:tcW w:w="2460" w:type="dxa"/>
            <w:tcMar>
              <w:top w:w="60" w:type="dxa"/>
              <w:left w:w="120" w:type="dxa"/>
              <w:bottom w:w="30" w:type="dxa"/>
              <w:right w:w="120" w:type="dxa"/>
            </w:tcMar>
          </w:tcPr>
          <w:p w14:paraId="68230CC6">
            <w:pPr>
              <w:spacing w:before="120" w:after="120" w:line="288" w:lineRule="auto"/>
              <w:ind w:left="0"/>
              <w:jc w:val="left"/>
            </w:pPr>
            <w:r>
              <w:rPr>
                <w:rFonts w:ascii="Arial" w:hAnsi="Arial" w:eastAsia="等线" w:cs="Arial"/>
                <w:sz w:val="22"/>
              </w:rPr>
              <w:t>英文例句 &amp; 中文翻译</w:t>
            </w:r>
          </w:p>
        </w:tc>
      </w:tr>
      <w:tr w14:paraId="714DBB6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0" w:type="dxa"/>
            <w:tcMar>
              <w:top w:w="60" w:type="dxa"/>
              <w:left w:w="120" w:type="dxa"/>
              <w:bottom w:w="30" w:type="dxa"/>
              <w:right w:w="120" w:type="dxa"/>
            </w:tcMar>
          </w:tcPr>
          <w:p w14:paraId="69C6F2E0">
            <w:pPr>
              <w:spacing w:before="120" w:after="120" w:line="288" w:lineRule="auto"/>
              <w:ind w:left="0"/>
              <w:jc w:val="left"/>
            </w:pPr>
            <w:r>
              <w:rPr>
                <w:rFonts w:ascii="Arial" w:hAnsi="Arial" w:eastAsia="等线" w:cs="Arial"/>
                <w:sz w:val="22"/>
              </w:rPr>
              <w:t>1</w:t>
            </w:r>
          </w:p>
        </w:tc>
        <w:tc>
          <w:tcPr>
            <w:tcW w:w="1755" w:type="dxa"/>
            <w:tcMar>
              <w:top w:w="60" w:type="dxa"/>
              <w:left w:w="120" w:type="dxa"/>
              <w:bottom w:w="30" w:type="dxa"/>
              <w:right w:w="120" w:type="dxa"/>
            </w:tcMar>
          </w:tcPr>
          <w:p w14:paraId="575ACD8E">
            <w:pPr>
              <w:spacing w:before="120" w:after="120" w:line="288" w:lineRule="auto"/>
              <w:ind w:left="0"/>
              <w:jc w:val="left"/>
            </w:pPr>
            <w:r>
              <w:rPr>
                <w:rFonts w:ascii="Arial" w:hAnsi="Arial" w:eastAsia="等线" w:cs="Arial"/>
                <w:sz w:val="22"/>
              </w:rPr>
              <w:t>Municipal Bond</w:t>
            </w:r>
          </w:p>
        </w:tc>
        <w:tc>
          <w:tcPr>
            <w:tcW w:w="1005" w:type="dxa"/>
            <w:tcMar>
              <w:top w:w="60" w:type="dxa"/>
              <w:left w:w="120" w:type="dxa"/>
              <w:bottom w:w="30" w:type="dxa"/>
              <w:right w:w="120" w:type="dxa"/>
            </w:tcMar>
          </w:tcPr>
          <w:p w14:paraId="643E4A14">
            <w:pPr>
              <w:spacing w:before="120" w:after="120" w:line="288" w:lineRule="auto"/>
              <w:ind w:left="0"/>
              <w:jc w:val="left"/>
            </w:pPr>
            <w:r>
              <w:rPr>
                <w:rFonts w:ascii="Arial" w:hAnsi="Arial" w:eastAsia="等线" w:cs="Arial"/>
                <w:sz w:val="22"/>
              </w:rPr>
              <w:t>市政债券</w:t>
            </w:r>
          </w:p>
        </w:tc>
        <w:tc>
          <w:tcPr>
            <w:tcW w:w="2640" w:type="dxa"/>
            <w:tcMar>
              <w:top w:w="60" w:type="dxa"/>
              <w:left w:w="120" w:type="dxa"/>
              <w:bottom w:w="30" w:type="dxa"/>
              <w:right w:w="120" w:type="dxa"/>
            </w:tcMar>
          </w:tcPr>
          <w:p w14:paraId="325B573A">
            <w:pPr>
              <w:spacing w:before="120" w:after="120" w:line="288" w:lineRule="auto"/>
              <w:ind w:left="0"/>
              <w:jc w:val="left"/>
            </w:pPr>
            <w:r>
              <w:rPr>
                <w:rFonts w:ascii="Arial" w:hAnsi="Arial" w:eastAsia="等线" w:cs="Arial"/>
                <w:sz w:val="22"/>
              </w:rPr>
              <w:t>政府（州、市）为公共项目融资发行的债券，利息通常免联邦税</w:t>
            </w:r>
          </w:p>
        </w:tc>
        <w:tc>
          <w:tcPr>
            <w:tcW w:w="2460" w:type="dxa"/>
            <w:tcMar>
              <w:top w:w="60" w:type="dxa"/>
              <w:left w:w="120" w:type="dxa"/>
              <w:bottom w:w="30" w:type="dxa"/>
              <w:right w:w="120" w:type="dxa"/>
            </w:tcMar>
          </w:tcPr>
          <w:p w14:paraId="194EBD9C">
            <w:pPr>
              <w:spacing w:before="120" w:after="120" w:line="288" w:lineRule="auto"/>
              <w:ind w:left="0"/>
              <w:jc w:val="left"/>
            </w:pPr>
            <w:r>
              <w:rPr>
                <w:rFonts w:ascii="Arial" w:hAnsi="Arial" w:eastAsia="等线" w:cs="Arial"/>
                <w:sz w:val="22"/>
              </w:rPr>
              <w:t>Municipal bonds are often tax-exempt. 市政债券通常免税。</w:t>
            </w:r>
          </w:p>
        </w:tc>
      </w:tr>
      <w:tr w14:paraId="517074E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0" w:type="dxa"/>
            <w:tcMar>
              <w:top w:w="60" w:type="dxa"/>
              <w:left w:w="120" w:type="dxa"/>
              <w:bottom w:w="30" w:type="dxa"/>
              <w:right w:w="120" w:type="dxa"/>
            </w:tcMar>
          </w:tcPr>
          <w:p w14:paraId="05EAD764">
            <w:pPr>
              <w:spacing w:before="120" w:after="120" w:line="288" w:lineRule="auto"/>
              <w:ind w:left="0"/>
              <w:jc w:val="left"/>
            </w:pPr>
            <w:r>
              <w:rPr>
                <w:rFonts w:ascii="Arial" w:hAnsi="Arial" w:eastAsia="等线" w:cs="Arial"/>
                <w:sz w:val="22"/>
              </w:rPr>
              <w:t>2</w:t>
            </w:r>
          </w:p>
        </w:tc>
        <w:tc>
          <w:tcPr>
            <w:tcW w:w="1755" w:type="dxa"/>
            <w:tcMar>
              <w:top w:w="60" w:type="dxa"/>
              <w:left w:w="120" w:type="dxa"/>
              <w:bottom w:w="30" w:type="dxa"/>
              <w:right w:w="120" w:type="dxa"/>
            </w:tcMar>
          </w:tcPr>
          <w:p w14:paraId="06842D3E">
            <w:pPr>
              <w:spacing w:before="120" w:after="120" w:line="288" w:lineRule="auto"/>
              <w:ind w:left="0"/>
              <w:jc w:val="left"/>
            </w:pPr>
            <w:r>
              <w:rPr>
                <w:rFonts w:ascii="Arial" w:hAnsi="Arial" w:eastAsia="等线" w:cs="Arial"/>
                <w:sz w:val="22"/>
              </w:rPr>
              <w:t>General Obligation Bond (GO)</w:t>
            </w:r>
          </w:p>
        </w:tc>
        <w:tc>
          <w:tcPr>
            <w:tcW w:w="1005" w:type="dxa"/>
            <w:tcMar>
              <w:top w:w="60" w:type="dxa"/>
              <w:left w:w="120" w:type="dxa"/>
              <w:bottom w:w="30" w:type="dxa"/>
              <w:right w:w="120" w:type="dxa"/>
            </w:tcMar>
          </w:tcPr>
          <w:p w14:paraId="74B86EB7">
            <w:pPr>
              <w:spacing w:before="120" w:after="120" w:line="288" w:lineRule="auto"/>
              <w:ind w:left="0"/>
              <w:jc w:val="left"/>
            </w:pPr>
            <w:r>
              <w:rPr>
                <w:rFonts w:ascii="Arial" w:hAnsi="Arial" w:eastAsia="等线" w:cs="Arial"/>
                <w:sz w:val="22"/>
              </w:rPr>
              <w:t>一般责任债券</w:t>
            </w:r>
          </w:p>
        </w:tc>
        <w:tc>
          <w:tcPr>
            <w:tcW w:w="2640" w:type="dxa"/>
            <w:tcMar>
              <w:top w:w="60" w:type="dxa"/>
              <w:left w:w="120" w:type="dxa"/>
              <w:bottom w:w="30" w:type="dxa"/>
              <w:right w:w="120" w:type="dxa"/>
            </w:tcMar>
          </w:tcPr>
          <w:p w14:paraId="4F287B7F">
            <w:pPr>
              <w:spacing w:before="120" w:after="120" w:line="288" w:lineRule="auto"/>
              <w:ind w:left="0"/>
              <w:jc w:val="left"/>
            </w:pPr>
            <w:r>
              <w:rPr>
                <w:rFonts w:ascii="Arial" w:hAnsi="Arial" w:eastAsia="等线" w:cs="Arial"/>
                <w:sz w:val="22"/>
              </w:rPr>
              <w:t>由政府税收偿还，通常需选民批准，风险较低</w:t>
            </w:r>
          </w:p>
        </w:tc>
        <w:tc>
          <w:tcPr>
            <w:tcW w:w="2460" w:type="dxa"/>
            <w:tcMar>
              <w:top w:w="60" w:type="dxa"/>
              <w:left w:w="120" w:type="dxa"/>
              <w:bottom w:w="30" w:type="dxa"/>
              <w:right w:w="120" w:type="dxa"/>
            </w:tcMar>
          </w:tcPr>
          <w:p w14:paraId="0D207432">
            <w:pPr>
              <w:spacing w:before="120" w:after="120" w:line="288" w:lineRule="auto"/>
              <w:ind w:left="0"/>
              <w:jc w:val="left"/>
            </w:pPr>
            <w:r>
              <w:rPr>
                <w:rFonts w:ascii="Arial" w:hAnsi="Arial" w:eastAsia="等线" w:cs="Arial"/>
                <w:sz w:val="22"/>
              </w:rPr>
              <w:t>GO bonds are backed by the issuer’s taxing power. GO 债券由发行人的税收能力担保。</w:t>
            </w:r>
          </w:p>
        </w:tc>
      </w:tr>
      <w:tr w14:paraId="4851CE3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0" w:type="dxa"/>
            <w:tcMar>
              <w:top w:w="60" w:type="dxa"/>
              <w:left w:w="120" w:type="dxa"/>
              <w:bottom w:w="30" w:type="dxa"/>
              <w:right w:w="120" w:type="dxa"/>
            </w:tcMar>
          </w:tcPr>
          <w:p w14:paraId="79258B83">
            <w:pPr>
              <w:spacing w:before="120" w:after="120" w:line="288" w:lineRule="auto"/>
              <w:ind w:left="0"/>
              <w:jc w:val="left"/>
            </w:pPr>
            <w:r>
              <w:rPr>
                <w:rFonts w:ascii="Arial" w:hAnsi="Arial" w:eastAsia="等线" w:cs="Arial"/>
                <w:sz w:val="22"/>
              </w:rPr>
              <w:t>3</w:t>
            </w:r>
          </w:p>
        </w:tc>
        <w:tc>
          <w:tcPr>
            <w:tcW w:w="1755" w:type="dxa"/>
            <w:tcMar>
              <w:top w:w="60" w:type="dxa"/>
              <w:left w:w="120" w:type="dxa"/>
              <w:bottom w:w="30" w:type="dxa"/>
              <w:right w:w="120" w:type="dxa"/>
            </w:tcMar>
          </w:tcPr>
          <w:p w14:paraId="13E9FF0A">
            <w:pPr>
              <w:spacing w:before="120" w:after="120" w:line="288" w:lineRule="auto"/>
              <w:ind w:left="0"/>
              <w:jc w:val="left"/>
            </w:pPr>
            <w:r>
              <w:rPr>
                <w:rFonts w:ascii="Arial" w:hAnsi="Arial" w:eastAsia="等线" w:cs="Arial"/>
                <w:sz w:val="22"/>
              </w:rPr>
              <w:t>Revenue Bond</w:t>
            </w:r>
          </w:p>
        </w:tc>
        <w:tc>
          <w:tcPr>
            <w:tcW w:w="1005" w:type="dxa"/>
            <w:tcMar>
              <w:top w:w="60" w:type="dxa"/>
              <w:left w:w="120" w:type="dxa"/>
              <w:bottom w:w="30" w:type="dxa"/>
              <w:right w:w="120" w:type="dxa"/>
            </w:tcMar>
          </w:tcPr>
          <w:p w14:paraId="7989B0E4">
            <w:pPr>
              <w:spacing w:before="120" w:after="120" w:line="288" w:lineRule="auto"/>
              <w:ind w:left="0"/>
              <w:jc w:val="left"/>
            </w:pPr>
            <w:r>
              <w:rPr>
                <w:rFonts w:ascii="Arial" w:hAnsi="Arial" w:eastAsia="等线" w:cs="Arial"/>
                <w:sz w:val="22"/>
              </w:rPr>
              <w:t>收益债券</w:t>
            </w:r>
          </w:p>
        </w:tc>
        <w:tc>
          <w:tcPr>
            <w:tcW w:w="2640" w:type="dxa"/>
            <w:tcMar>
              <w:top w:w="60" w:type="dxa"/>
              <w:left w:w="120" w:type="dxa"/>
              <w:bottom w:w="30" w:type="dxa"/>
              <w:right w:w="120" w:type="dxa"/>
            </w:tcMar>
          </w:tcPr>
          <w:p w14:paraId="26552588">
            <w:pPr>
              <w:spacing w:before="120" w:after="120" w:line="288" w:lineRule="auto"/>
              <w:ind w:left="0"/>
              <w:jc w:val="left"/>
            </w:pPr>
            <w:r>
              <w:rPr>
                <w:rFonts w:ascii="Arial" w:hAnsi="Arial" w:eastAsia="等线" w:cs="Arial"/>
                <w:sz w:val="22"/>
              </w:rPr>
              <w:t>由特定项目（如过路费、机场收入）偿还，风险相对较高</w:t>
            </w:r>
          </w:p>
        </w:tc>
        <w:tc>
          <w:tcPr>
            <w:tcW w:w="2460" w:type="dxa"/>
            <w:tcMar>
              <w:top w:w="60" w:type="dxa"/>
              <w:left w:w="120" w:type="dxa"/>
              <w:bottom w:w="30" w:type="dxa"/>
              <w:right w:w="120" w:type="dxa"/>
            </w:tcMar>
          </w:tcPr>
          <w:p w14:paraId="1EED1DB4">
            <w:pPr>
              <w:spacing w:before="120" w:after="120" w:line="288" w:lineRule="auto"/>
              <w:ind w:left="0"/>
              <w:jc w:val="left"/>
            </w:pPr>
            <w:r>
              <w:rPr>
                <w:rFonts w:ascii="Arial" w:hAnsi="Arial" w:eastAsia="等线" w:cs="Arial"/>
                <w:sz w:val="22"/>
              </w:rPr>
              <w:t>Revenue bonds are repaid from project revenues. 收益债由项目收入偿还。</w:t>
            </w:r>
          </w:p>
        </w:tc>
      </w:tr>
      <w:tr w14:paraId="00EA01F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0" w:type="dxa"/>
            <w:tcMar>
              <w:top w:w="60" w:type="dxa"/>
              <w:left w:w="120" w:type="dxa"/>
              <w:bottom w:w="30" w:type="dxa"/>
              <w:right w:w="120" w:type="dxa"/>
            </w:tcMar>
          </w:tcPr>
          <w:p w14:paraId="0B9AADAB">
            <w:pPr>
              <w:spacing w:before="120" w:after="120" w:line="288" w:lineRule="auto"/>
              <w:ind w:left="0"/>
              <w:jc w:val="left"/>
            </w:pPr>
            <w:r>
              <w:rPr>
                <w:rFonts w:ascii="Arial" w:hAnsi="Arial" w:eastAsia="等线" w:cs="Arial"/>
                <w:sz w:val="22"/>
              </w:rPr>
              <w:t>4</w:t>
            </w:r>
          </w:p>
        </w:tc>
        <w:tc>
          <w:tcPr>
            <w:tcW w:w="1755" w:type="dxa"/>
            <w:tcMar>
              <w:top w:w="60" w:type="dxa"/>
              <w:left w:w="120" w:type="dxa"/>
              <w:bottom w:w="30" w:type="dxa"/>
              <w:right w:w="120" w:type="dxa"/>
            </w:tcMar>
          </w:tcPr>
          <w:p w14:paraId="17D347D9">
            <w:pPr>
              <w:spacing w:before="120" w:after="120" w:line="288" w:lineRule="auto"/>
              <w:ind w:left="0"/>
              <w:jc w:val="left"/>
            </w:pPr>
            <w:r>
              <w:rPr>
                <w:rFonts w:ascii="Arial" w:hAnsi="Arial" w:eastAsia="等线" w:cs="Arial"/>
                <w:sz w:val="22"/>
              </w:rPr>
              <w:t>Tax-Exempt Interest</w:t>
            </w:r>
          </w:p>
        </w:tc>
        <w:tc>
          <w:tcPr>
            <w:tcW w:w="1005" w:type="dxa"/>
            <w:tcMar>
              <w:top w:w="60" w:type="dxa"/>
              <w:left w:w="120" w:type="dxa"/>
              <w:bottom w:w="30" w:type="dxa"/>
              <w:right w:w="120" w:type="dxa"/>
            </w:tcMar>
          </w:tcPr>
          <w:p w14:paraId="3EC7B7B6">
            <w:pPr>
              <w:spacing w:before="120" w:after="120" w:line="288" w:lineRule="auto"/>
              <w:ind w:left="0"/>
              <w:jc w:val="left"/>
            </w:pPr>
            <w:r>
              <w:rPr>
                <w:rFonts w:ascii="Arial" w:hAnsi="Arial" w:eastAsia="等线" w:cs="Arial"/>
                <w:sz w:val="22"/>
              </w:rPr>
              <w:t>免税利息</w:t>
            </w:r>
          </w:p>
        </w:tc>
        <w:tc>
          <w:tcPr>
            <w:tcW w:w="2640" w:type="dxa"/>
            <w:tcMar>
              <w:top w:w="60" w:type="dxa"/>
              <w:left w:w="120" w:type="dxa"/>
              <w:bottom w:w="30" w:type="dxa"/>
              <w:right w:w="120" w:type="dxa"/>
            </w:tcMar>
          </w:tcPr>
          <w:p w14:paraId="535F0362">
            <w:pPr>
              <w:spacing w:before="120" w:after="120" w:line="288" w:lineRule="auto"/>
              <w:ind w:left="0"/>
              <w:jc w:val="left"/>
            </w:pPr>
            <w:r>
              <w:rPr>
                <w:rFonts w:ascii="Arial" w:hAnsi="Arial" w:eastAsia="等线" w:cs="Arial"/>
                <w:sz w:val="22"/>
              </w:rPr>
              <w:t>市政债通常免联邦税，部分还免州税和地方税</w:t>
            </w:r>
          </w:p>
        </w:tc>
        <w:tc>
          <w:tcPr>
            <w:tcW w:w="2460" w:type="dxa"/>
            <w:tcMar>
              <w:top w:w="60" w:type="dxa"/>
              <w:left w:w="120" w:type="dxa"/>
              <w:bottom w:w="30" w:type="dxa"/>
              <w:right w:w="120" w:type="dxa"/>
            </w:tcMar>
          </w:tcPr>
          <w:p w14:paraId="66FC2BF3">
            <w:pPr>
              <w:spacing w:before="120" w:after="120" w:line="288" w:lineRule="auto"/>
              <w:ind w:left="0"/>
              <w:jc w:val="left"/>
            </w:pPr>
            <w:r>
              <w:rPr>
                <w:rFonts w:ascii="Arial" w:hAnsi="Arial" w:eastAsia="等线" w:cs="Arial"/>
                <w:sz w:val="22"/>
              </w:rPr>
              <w:t>Tax-exempt interest is attractive to high earners. 免税利息对高收入者有吸引力。</w:t>
            </w:r>
          </w:p>
        </w:tc>
      </w:tr>
      <w:tr w14:paraId="0253D7E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0" w:type="dxa"/>
            <w:tcMar>
              <w:top w:w="60" w:type="dxa"/>
              <w:left w:w="120" w:type="dxa"/>
              <w:bottom w:w="30" w:type="dxa"/>
              <w:right w:w="120" w:type="dxa"/>
            </w:tcMar>
          </w:tcPr>
          <w:p w14:paraId="724090E6">
            <w:pPr>
              <w:spacing w:before="120" w:after="120" w:line="288" w:lineRule="auto"/>
              <w:ind w:left="0"/>
              <w:jc w:val="left"/>
            </w:pPr>
            <w:r>
              <w:rPr>
                <w:rFonts w:ascii="Arial" w:hAnsi="Arial" w:eastAsia="等线" w:cs="Arial"/>
                <w:sz w:val="22"/>
              </w:rPr>
              <w:t>5</w:t>
            </w:r>
          </w:p>
        </w:tc>
        <w:tc>
          <w:tcPr>
            <w:tcW w:w="1755" w:type="dxa"/>
            <w:tcMar>
              <w:top w:w="60" w:type="dxa"/>
              <w:left w:w="120" w:type="dxa"/>
              <w:bottom w:w="30" w:type="dxa"/>
              <w:right w:w="120" w:type="dxa"/>
            </w:tcMar>
          </w:tcPr>
          <w:p w14:paraId="40061525">
            <w:pPr>
              <w:spacing w:before="120" w:after="120" w:line="288" w:lineRule="auto"/>
              <w:ind w:left="0"/>
              <w:jc w:val="left"/>
            </w:pPr>
            <w:r>
              <w:rPr>
                <w:rFonts w:ascii="Arial" w:hAnsi="Arial" w:eastAsia="等线" w:cs="Arial"/>
                <w:sz w:val="22"/>
              </w:rPr>
              <w:t>Triple Tax-Free</w:t>
            </w:r>
          </w:p>
        </w:tc>
        <w:tc>
          <w:tcPr>
            <w:tcW w:w="1005" w:type="dxa"/>
            <w:tcMar>
              <w:top w:w="60" w:type="dxa"/>
              <w:left w:w="120" w:type="dxa"/>
              <w:bottom w:w="30" w:type="dxa"/>
              <w:right w:w="120" w:type="dxa"/>
            </w:tcMar>
          </w:tcPr>
          <w:p w14:paraId="661EB49A">
            <w:pPr>
              <w:spacing w:before="120" w:after="120" w:line="288" w:lineRule="auto"/>
              <w:ind w:left="0"/>
              <w:jc w:val="left"/>
            </w:pPr>
            <w:r>
              <w:rPr>
                <w:rFonts w:ascii="Arial" w:hAnsi="Arial" w:eastAsia="等线" w:cs="Arial"/>
                <w:sz w:val="22"/>
              </w:rPr>
              <w:t>三重免税</w:t>
            </w:r>
          </w:p>
        </w:tc>
        <w:tc>
          <w:tcPr>
            <w:tcW w:w="2640" w:type="dxa"/>
            <w:tcMar>
              <w:top w:w="60" w:type="dxa"/>
              <w:left w:w="120" w:type="dxa"/>
              <w:bottom w:w="30" w:type="dxa"/>
              <w:right w:w="120" w:type="dxa"/>
            </w:tcMar>
          </w:tcPr>
          <w:p w14:paraId="4755DF7C">
            <w:pPr>
              <w:spacing w:before="120" w:after="120" w:line="288" w:lineRule="auto"/>
              <w:ind w:left="0"/>
              <w:jc w:val="left"/>
            </w:pPr>
            <w:r>
              <w:rPr>
                <w:rFonts w:ascii="Arial" w:hAnsi="Arial" w:eastAsia="等线" w:cs="Arial"/>
                <w:sz w:val="22"/>
              </w:rPr>
              <w:t>联邦、州和地方税都免除（投资者与发行地同州）</w:t>
            </w:r>
          </w:p>
        </w:tc>
        <w:tc>
          <w:tcPr>
            <w:tcW w:w="2460" w:type="dxa"/>
            <w:tcMar>
              <w:top w:w="60" w:type="dxa"/>
              <w:left w:w="120" w:type="dxa"/>
              <w:bottom w:w="30" w:type="dxa"/>
              <w:right w:w="120" w:type="dxa"/>
            </w:tcMar>
          </w:tcPr>
          <w:p w14:paraId="2D065ADE">
            <w:pPr>
              <w:spacing w:before="120" w:after="120" w:line="288" w:lineRule="auto"/>
              <w:ind w:left="0"/>
              <w:jc w:val="left"/>
            </w:pPr>
            <w:r>
              <w:rPr>
                <w:rFonts w:ascii="Arial" w:hAnsi="Arial" w:eastAsia="等线" w:cs="Arial"/>
                <w:sz w:val="22"/>
              </w:rPr>
              <w:t>In-state muni bonds may be triple tax-free. 本州市政债可能三重免税。</w:t>
            </w:r>
          </w:p>
        </w:tc>
      </w:tr>
      <w:tr w14:paraId="5015598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0" w:type="dxa"/>
            <w:tcMar>
              <w:top w:w="60" w:type="dxa"/>
              <w:left w:w="120" w:type="dxa"/>
              <w:bottom w:w="30" w:type="dxa"/>
              <w:right w:w="120" w:type="dxa"/>
            </w:tcMar>
          </w:tcPr>
          <w:p w14:paraId="65A1BD52">
            <w:pPr>
              <w:spacing w:before="120" w:after="120" w:line="288" w:lineRule="auto"/>
              <w:ind w:left="0"/>
              <w:jc w:val="left"/>
            </w:pPr>
            <w:r>
              <w:rPr>
                <w:rFonts w:ascii="Arial" w:hAnsi="Arial" w:eastAsia="等线" w:cs="Arial"/>
                <w:sz w:val="22"/>
              </w:rPr>
              <w:t>6</w:t>
            </w:r>
          </w:p>
        </w:tc>
        <w:tc>
          <w:tcPr>
            <w:tcW w:w="1755" w:type="dxa"/>
            <w:tcMar>
              <w:top w:w="60" w:type="dxa"/>
              <w:left w:w="120" w:type="dxa"/>
              <w:bottom w:w="30" w:type="dxa"/>
              <w:right w:w="120" w:type="dxa"/>
            </w:tcMar>
          </w:tcPr>
          <w:p w14:paraId="5CD64A75">
            <w:pPr>
              <w:spacing w:before="120" w:after="120" w:line="288" w:lineRule="auto"/>
              <w:ind w:left="0"/>
              <w:jc w:val="left"/>
            </w:pPr>
            <w:r>
              <w:rPr>
                <w:rFonts w:ascii="Arial" w:hAnsi="Arial" w:eastAsia="等线" w:cs="Arial"/>
                <w:sz w:val="22"/>
              </w:rPr>
              <w:t>529 Plan</w:t>
            </w:r>
          </w:p>
        </w:tc>
        <w:tc>
          <w:tcPr>
            <w:tcW w:w="1005" w:type="dxa"/>
            <w:tcMar>
              <w:top w:w="60" w:type="dxa"/>
              <w:left w:w="120" w:type="dxa"/>
              <w:bottom w:w="30" w:type="dxa"/>
              <w:right w:w="120" w:type="dxa"/>
            </w:tcMar>
          </w:tcPr>
          <w:p w14:paraId="6359BB56">
            <w:pPr>
              <w:spacing w:before="120" w:after="120" w:line="288" w:lineRule="auto"/>
              <w:ind w:left="0"/>
              <w:jc w:val="left"/>
            </w:pPr>
            <w:r>
              <w:rPr>
                <w:rFonts w:ascii="Arial" w:hAnsi="Arial" w:eastAsia="等线" w:cs="Arial"/>
                <w:sz w:val="22"/>
              </w:rPr>
              <w:t>529 教育计划</w:t>
            </w:r>
          </w:p>
        </w:tc>
        <w:tc>
          <w:tcPr>
            <w:tcW w:w="2640" w:type="dxa"/>
            <w:tcMar>
              <w:top w:w="60" w:type="dxa"/>
              <w:left w:w="120" w:type="dxa"/>
              <w:bottom w:w="30" w:type="dxa"/>
              <w:right w:w="120" w:type="dxa"/>
            </w:tcMar>
          </w:tcPr>
          <w:p w14:paraId="3687F4B2">
            <w:pPr>
              <w:spacing w:before="120" w:after="120" w:line="288" w:lineRule="auto"/>
              <w:ind w:left="0"/>
              <w:jc w:val="left"/>
            </w:pPr>
            <w:r>
              <w:rPr>
                <w:rFonts w:ascii="Arial" w:hAnsi="Arial" w:eastAsia="等线" w:cs="Arial"/>
                <w:sz w:val="22"/>
              </w:rPr>
              <w:t>州政府设立的教育储蓄账户，用于支付学费等教育费用。</w:t>
            </w:r>
          </w:p>
        </w:tc>
        <w:tc>
          <w:tcPr>
            <w:tcW w:w="2460" w:type="dxa"/>
            <w:tcMar>
              <w:top w:w="60" w:type="dxa"/>
              <w:left w:w="120" w:type="dxa"/>
              <w:bottom w:w="30" w:type="dxa"/>
              <w:right w:w="120" w:type="dxa"/>
            </w:tcMar>
          </w:tcPr>
          <w:p w14:paraId="0196CA80">
            <w:pPr>
              <w:spacing w:before="120" w:after="120" w:line="288" w:lineRule="auto"/>
              <w:ind w:left="0"/>
              <w:jc w:val="left"/>
            </w:pPr>
            <w:r>
              <w:rPr>
                <w:rFonts w:ascii="Arial" w:hAnsi="Arial" w:eastAsia="等线" w:cs="Arial"/>
                <w:sz w:val="22"/>
              </w:rPr>
              <w:t>A 529 plan allows tax-free withdrawals for education. 529 计划允许教育支出免税提取。</w:t>
            </w:r>
          </w:p>
        </w:tc>
      </w:tr>
      <w:tr w14:paraId="05387A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0" w:type="dxa"/>
            <w:tcMar>
              <w:top w:w="60" w:type="dxa"/>
              <w:left w:w="120" w:type="dxa"/>
              <w:bottom w:w="30" w:type="dxa"/>
              <w:right w:w="120" w:type="dxa"/>
            </w:tcMar>
          </w:tcPr>
          <w:p w14:paraId="3E55E9C6">
            <w:pPr>
              <w:spacing w:before="120" w:after="120" w:line="288" w:lineRule="auto"/>
              <w:ind w:left="0"/>
              <w:jc w:val="left"/>
            </w:pPr>
            <w:r>
              <w:rPr>
                <w:rFonts w:ascii="Arial" w:hAnsi="Arial" w:eastAsia="等线" w:cs="Arial"/>
                <w:sz w:val="22"/>
              </w:rPr>
              <w:t>7</w:t>
            </w:r>
          </w:p>
        </w:tc>
        <w:tc>
          <w:tcPr>
            <w:tcW w:w="1755" w:type="dxa"/>
            <w:tcMar>
              <w:top w:w="60" w:type="dxa"/>
              <w:left w:w="120" w:type="dxa"/>
              <w:bottom w:w="30" w:type="dxa"/>
              <w:right w:w="120" w:type="dxa"/>
            </w:tcMar>
          </w:tcPr>
          <w:p w14:paraId="654C8ACB">
            <w:pPr>
              <w:spacing w:before="120" w:after="120" w:line="288" w:lineRule="auto"/>
              <w:ind w:left="0"/>
              <w:jc w:val="left"/>
            </w:pPr>
            <w:r>
              <w:rPr>
                <w:rFonts w:ascii="Arial" w:hAnsi="Arial" w:eastAsia="等线" w:cs="Arial"/>
                <w:sz w:val="22"/>
              </w:rPr>
              <w:t>Prepaid Tuition Plan</w:t>
            </w:r>
          </w:p>
        </w:tc>
        <w:tc>
          <w:tcPr>
            <w:tcW w:w="1005" w:type="dxa"/>
            <w:tcMar>
              <w:top w:w="60" w:type="dxa"/>
              <w:left w:w="120" w:type="dxa"/>
              <w:bottom w:w="30" w:type="dxa"/>
              <w:right w:w="120" w:type="dxa"/>
            </w:tcMar>
          </w:tcPr>
          <w:p w14:paraId="197FA776">
            <w:pPr>
              <w:spacing w:before="120" w:after="120" w:line="288" w:lineRule="auto"/>
              <w:ind w:left="0"/>
              <w:jc w:val="left"/>
            </w:pPr>
            <w:r>
              <w:rPr>
                <w:rFonts w:ascii="Arial" w:hAnsi="Arial" w:eastAsia="等线" w:cs="Arial"/>
                <w:sz w:val="22"/>
              </w:rPr>
              <w:t>学费预付计划</w:t>
            </w:r>
          </w:p>
        </w:tc>
        <w:tc>
          <w:tcPr>
            <w:tcW w:w="2640" w:type="dxa"/>
            <w:tcMar>
              <w:top w:w="60" w:type="dxa"/>
              <w:left w:w="120" w:type="dxa"/>
              <w:bottom w:w="30" w:type="dxa"/>
              <w:right w:w="120" w:type="dxa"/>
            </w:tcMar>
          </w:tcPr>
          <w:p w14:paraId="2D66783A">
            <w:pPr>
              <w:spacing w:before="120" w:after="120" w:line="288" w:lineRule="auto"/>
              <w:ind w:left="0"/>
              <w:jc w:val="left"/>
            </w:pPr>
            <w:r>
              <w:rPr>
                <w:rFonts w:ascii="Arial" w:hAnsi="Arial" w:eastAsia="等线" w:cs="Arial"/>
                <w:sz w:val="22"/>
              </w:rPr>
              <w:t>提前以当前价格锁定未来大学学费</w:t>
            </w:r>
          </w:p>
        </w:tc>
        <w:tc>
          <w:tcPr>
            <w:tcW w:w="2460" w:type="dxa"/>
            <w:tcMar>
              <w:top w:w="60" w:type="dxa"/>
              <w:left w:w="120" w:type="dxa"/>
              <w:bottom w:w="30" w:type="dxa"/>
              <w:right w:w="120" w:type="dxa"/>
            </w:tcMar>
          </w:tcPr>
          <w:p w14:paraId="2E1112AE">
            <w:pPr>
              <w:spacing w:before="120" w:after="120" w:line="288" w:lineRule="auto"/>
              <w:ind w:left="0"/>
              <w:jc w:val="left"/>
            </w:pPr>
            <w:r>
              <w:rPr>
                <w:rFonts w:ascii="Arial" w:hAnsi="Arial" w:eastAsia="等线" w:cs="Arial"/>
                <w:sz w:val="22"/>
              </w:rPr>
              <w:t>Prepaid tuition plans are good for in-state students. 适合本州上学的学生。</w:t>
            </w:r>
          </w:p>
        </w:tc>
      </w:tr>
      <w:tr w14:paraId="1AB2466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0" w:type="dxa"/>
            <w:tcMar>
              <w:top w:w="60" w:type="dxa"/>
              <w:left w:w="120" w:type="dxa"/>
              <w:bottom w:w="30" w:type="dxa"/>
              <w:right w:w="120" w:type="dxa"/>
            </w:tcMar>
          </w:tcPr>
          <w:p w14:paraId="3B0F9696">
            <w:pPr>
              <w:spacing w:before="120" w:after="120" w:line="288" w:lineRule="auto"/>
              <w:ind w:left="0"/>
              <w:jc w:val="left"/>
            </w:pPr>
            <w:r>
              <w:rPr>
                <w:rFonts w:ascii="Arial" w:hAnsi="Arial" w:eastAsia="等线" w:cs="Arial"/>
                <w:sz w:val="22"/>
              </w:rPr>
              <w:t>8</w:t>
            </w:r>
          </w:p>
        </w:tc>
        <w:tc>
          <w:tcPr>
            <w:tcW w:w="1755" w:type="dxa"/>
            <w:tcMar>
              <w:top w:w="60" w:type="dxa"/>
              <w:left w:w="120" w:type="dxa"/>
              <w:bottom w:w="30" w:type="dxa"/>
              <w:right w:w="120" w:type="dxa"/>
            </w:tcMar>
          </w:tcPr>
          <w:p w14:paraId="1A2EF35E">
            <w:pPr>
              <w:spacing w:before="120" w:after="120" w:line="288" w:lineRule="auto"/>
              <w:ind w:left="0"/>
              <w:jc w:val="left"/>
            </w:pPr>
            <w:r>
              <w:rPr>
                <w:rFonts w:ascii="Arial" w:hAnsi="Arial" w:eastAsia="等线" w:cs="Arial"/>
                <w:sz w:val="22"/>
              </w:rPr>
              <w:t>ABLE Account</w:t>
            </w:r>
          </w:p>
        </w:tc>
        <w:tc>
          <w:tcPr>
            <w:tcW w:w="1005" w:type="dxa"/>
            <w:tcMar>
              <w:top w:w="60" w:type="dxa"/>
              <w:left w:w="120" w:type="dxa"/>
              <w:bottom w:w="30" w:type="dxa"/>
              <w:right w:w="120" w:type="dxa"/>
            </w:tcMar>
          </w:tcPr>
          <w:p w14:paraId="0306000F">
            <w:pPr>
              <w:spacing w:before="120" w:after="120" w:line="288" w:lineRule="auto"/>
              <w:ind w:left="0"/>
              <w:jc w:val="left"/>
            </w:pPr>
            <w:r>
              <w:rPr>
                <w:rFonts w:ascii="Arial" w:hAnsi="Arial" w:eastAsia="等线" w:cs="Arial"/>
                <w:sz w:val="22"/>
              </w:rPr>
              <w:t>残障人士储蓄账户</w:t>
            </w:r>
          </w:p>
        </w:tc>
        <w:tc>
          <w:tcPr>
            <w:tcW w:w="2640" w:type="dxa"/>
            <w:tcMar>
              <w:top w:w="60" w:type="dxa"/>
              <w:left w:w="120" w:type="dxa"/>
              <w:bottom w:w="30" w:type="dxa"/>
              <w:right w:w="120" w:type="dxa"/>
            </w:tcMar>
          </w:tcPr>
          <w:p w14:paraId="32994D84">
            <w:pPr>
              <w:spacing w:before="120" w:after="120" w:line="288" w:lineRule="auto"/>
              <w:ind w:left="0"/>
              <w:jc w:val="left"/>
            </w:pPr>
            <w:r>
              <w:rPr>
                <w:rFonts w:ascii="Arial" w:hAnsi="Arial" w:eastAsia="等线" w:cs="Arial"/>
                <w:sz w:val="22"/>
              </w:rPr>
              <w:t>为残障者设立的免税账户，限制为26岁前诊断</w:t>
            </w:r>
          </w:p>
        </w:tc>
        <w:tc>
          <w:tcPr>
            <w:tcW w:w="2460" w:type="dxa"/>
            <w:tcMar>
              <w:top w:w="60" w:type="dxa"/>
              <w:left w:w="120" w:type="dxa"/>
              <w:bottom w:w="30" w:type="dxa"/>
              <w:right w:w="120" w:type="dxa"/>
            </w:tcMar>
          </w:tcPr>
          <w:p w14:paraId="7AF10D9D">
            <w:pPr>
              <w:spacing w:before="120" w:after="120" w:line="288" w:lineRule="auto"/>
              <w:ind w:left="0"/>
              <w:jc w:val="left"/>
            </w:pPr>
            <w:r>
              <w:rPr>
                <w:rFonts w:ascii="Arial" w:hAnsi="Arial" w:eastAsia="等线" w:cs="Arial"/>
                <w:sz w:val="22"/>
              </w:rPr>
              <w:t>ABLE accounts support disabled individuals financially. ABLE 账户为残障人士提供经济支持。</w:t>
            </w:r>
          </w:p>
        </w:tc>
      </w:tr>
      <w:tr w14:paraId="7FDD53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0" w:type="dxa"/>
            <w:tcMar>
              <w:top w:w="60" w:type="dxa"/>
              <w:left w:w="120" w:type="dxa"/>
              <w:bottom w:w="30" w:type="dxa"/>
              <w:right w:w="120" w:type="dxa"/>
            </w:tcMar>
          </w:tcPr>
          <w:p w14:paraId="571E637D">
            <w:pPr>
              <w:spacing w:before="120" w:after="120" w:line="288" w:lineRule="auto"/>
              <w:ind w:left="0"/>
              <w:jc w:val="left"/>
            </w:pPr>
            <w:r>
              <w:rPr>
                <w:rFonts w:ascii="Arial" w:hAnsi="Arial" w:eastAsia="等线" w:cs="Arial"/>
                <w:sz w:val="22"/>
              </w:rPr>
              <w:t>9</w:t>
            </w:r>
          </w:p>
        </w:tc>
        <w:tc>
          <w:tcPr>
            <w:tcW w:w="1755" w:type="dxa"/>
            <w:tcMar>
              <w:top w:w="60" w:type="dxa"/>
              <w:left w:w="120" w:type="dxa"/>
              <w:bottom w:w="30" w:type="dxa"/>
              <w:right w:w="120" w:type="dxa"/>
            </w:tcMar>
          </w:tcPr>
          <w:p w14:paraId="22B657F3">
            <w:pPr>
              <w:spacing w:before="120" w:after="120" w:line="288" w:lineRule="auto"/>
              <w:ind w:left="0"/>
              <w:jc w:val="left"/>
            </w:pPr>
            <w:r>
              <w:rPr>
                <w:rFonts w:ascii="Arial" w:hAnsi="Arial" w:eastAsia="等线" w:cs="Arial"/>
                <w:sz w:val="22"/>
              </w:rPr>
              <w:t>LGIP (Local Govt. Investment Pool)</w:t>
            </w:r>
          </w:p>
        </w:tc>
        <w:tc>
          <w:tcPr>
            <w:tcW w:w="1005" w:type="dxa"/>
            <w:tcMar>
              <w:top w:w="60" w:type="dxa"/>
              <w:left w:w="120" w:type="dxa"/>
              <w:bottom w:w="30" w:type="dxa"/>
              <w:right w:w="120" w:type="dxa"/>
            </w:tcMar>
          </w:tcPr>
          <w:p w14:paraId="207A49FC">
            <w:pPr>
              <w:spacing w:before="120" w:after="120" w:line="288" w:lineRule="auto"/>
              <w:ind w:left="0"/>
              <w:jc w:val="left"/>
            </w:pPr>
            <w:r>
              <w:rPr>
                <w:rFonts w:ascii="Arial" w:hAnsi="Arial" w:eastAsia="等线" w:cs="Arial"/>
                <w:sz w:val="22"/>
              </w:rPr>
              <w:t>地方政府投资池</w:t>
            </w:r>
          </w:p>
        </w:tc>
        <w:tc>
          <w:tcPr>
            <w:tcW w:w="2640" w:type="dxa"/>
            <w:tcMar>
              <w:top w:w="60" w:type="dxa"/>
              <w:left w:w="120" w:type="dxa"/>
              <w:bottom w:w="30" w:type="dxa"/>
              <w:right w:w="120" w:type="dxa"/>
            </w:tcMar>
          </w:tcPr>
          <w:p w14:paraId="6A09701E">
            <w:pPr>
              <w:spacing w:before="120" w:after="120" w:line="288" w:lineRule="auto"/>
              <w:ind w:left="0"/>
              <w:jc w:val="left"/>
            </w:pPr>
            <w:r>
              <w:rPr>
                <w:rFonts w:ascii="Arial" w:hAnsi="Arial" w:eastAsia="等线" w:cs="Arial"/>
                <w:sz w:val="22"/>
              </w:rPr>
              <w:t>政府部门集中管理闲置资金的短期投资工具，非公开市场产品</w:t>
            </w:r>
          </w:p>
        </w:tc>
        <w:tc>
          <w:tcPr>
            <w:tcW w:w="2460" w:type="dxa"/>
            <w:tcMar>
              <w:top w:w="60" w:type="dxa"/>
              <w:left w:w="120" w:type="dxa"/>
              <w:bottom w:w="30" w:type="dxa"/>
              <w:right w:w="120" w:type="dxa"/>
            </w:tcMar>
          </w:tcPr>
          <w:p w14:paraId="2F4CD671">
            <w:pPr>
              <w:spacing w:before="120" w:after="120" w:line="288" w:lineRule="auto"/>
              <w:ind w:left="0"/>
              <w:jc w:val="left"/>
            </w:pPr>
            <w:r>
              <w:rPr>
                <w:rFonts w:ascii="Arial" w:hAnsi="Arial" w:eastAsia="等线" w:cs="Arial"/>
                <w:sz w:val="22"/>
              </w:rPr>
              <w:t>LGIPs are not available to the general public. LGIP 不对普通大众开放。</w:t>
            </w:r>
          </w:p>
        </w:tc>
      </w:tr>
      <w:tr w14:paraId="2FD823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0" w:type="dxa"/>
            <w:tcMar>
              <w:top w:w="60" w:type="dxa"/>
              <w:left w:w="120" w:type="dxa"/>
              <w:bottom w:w="30" w:type="dxa"/>
              <w:right w:w="120" w:type="dxa"/>
            </w:tcMar>
          </w:tcPr>
          <w:p w14:paraId="79CC22BF">
            <w:pPr>
              <w:spacing w:before="120" w:after="120" w:line="288" w:lineRule="auto"/>
              <w:ind w:left="0"/>
              <w:jc w:val="left"/>
            </w:pPr>
            <w:r>
              <w:rPr>
                <w:rFonts w:ascii="Arial" w:hAnsi="Arial" w:eastAsia="等线" w:cs="Arial"/>
                <w:sz w:val="22"/>
              </w:rPr>
              <w:t>10</w:t>
            </w:r>
          </w:p>
        </w:tc>
        <w:tc>
          <w:tcPr>
            <w:tcW w:w="1755" w:type="dxa"/>
            <w:tcMar>
              <w:top w:w="60" w:type="dxa"/>
              <w:left w:w="120" w:type="dxa"/>
              <w:bottom w:w="30" w:type="dxa"/>
              <w:right w:w="120" w:type="dxa"/>
            </w:tcMar>
          </w:tcPr>
          <w:p w14:paraId="7CA2BED1">
            <w:pPr>
              <w:spacing w:before="120" w:after="120" w:line="288" w:lineRule="auto"/>
              <w:ind w:left="0"/>
              <w:jc w:val="left"/>
            </w:pPr>
            <w:r>
              <w:rPr>
                <w:rFonts w:ascii="Arial" w:hAnsi="Arial" w:eastAsia="等线" w:cs="Arial"/>
                <w:sz w:val="22"/>
              </w:rPr>
              <w:t>MSRB</w:t>
            </w:r>
          </w:p>
        </w:tc>
        <w:tc>
          <w:tcPr>
            <w:tcW w:w="1005" w:type="dxa"/>
            <w:tcMar>
              <w:top w:w="60" w:type="dxa"/>
              <w:left w:w="120" w:type="dxa"/>
              <w:bottom w:w="30" w:type="dxa"/>
              <w:right w:w="120" w:type="dxa"/>
            </w:tcMar>
          </w:tcPr>
          <w:p w14:paraId="0B93291E">
            <w:pPr>
              <w:spacing w:before="120" w:after="120" w:line="288" w:lineRule="auto"/>
              <w:ind w:left="0"/>
              <w:jc w:val="left"/>
            </w:pPr>
            <w:r>
              <w:rPr>
                <w:rFonts w:ascii="Arial" w:hAnsi="Arial" w:eastAsia="等线" w:cs="Arial"/>
                <w:sz w:val="22"/>
              </w:rPr>
              <w:t>市政证券规则制定委员会</w:t>
            </w:r>
          </w:p>
        </w:tc>
        <w:tc>
          <w:tcPr>
            <w:tcW w:w="2640" w:type="dxa"/>
            <w:tcMar>
              <w:top w:w="60" w:type="dxa"/>
              <w:left w:w="120" w:type="dxa"/>
              <w:bottom w:w="30" w:type="dxa"/>
              <w:right w:w="120" w:type="dxa"/>
            </w:tcMar>
          </w:tcPr>
          <w:p w14:paraId="128EC84E">
            <w:pPr>
              <w:spacing w:before="120" w:after="120" w:line="288" w:lineRule="auto"/>
              <w:ind w:left="0"/>
              <w:jc w:val="left"/>
            </w:pPr>
            <w:r>
              <w:rPr>
                <w:rFonts w:ascii="Arial" w:hAnsi="Arial" w:eastAsia="等线" w:cs="Arial"/>
                <w:sz w:val="22"/>
              </w:rPr>
              <w:t>负责制定市政证券/基金销售规则，不直接监管</w:t>
            </w:r>
          </w:p>
          <w:p w14:paraId="61440480">
            <w:pPr>
              <w:spacing w:before="120" w:after="120" w:line="288" w:lineRule="auto"/>
              <w:ind w:left="0"/>
              <w:jc w:val="left"/>
            </w:pPr>
          </w:p>
        </w:tc>
        <w:tc>
          <w:tcPr>
            <w:tcW w:w="2460" w:type="dxa"/>
            <w:tcMar>
              <w:top w:w="60" w:type="dxa"/>
              <w:left w:w="120" w:type="dxa"/>
              <w:bottom w:w="30" w:type="dxa"/>
              <w:right w:w="120" w:type="dxa"/>
            </w:tcMar>
          </w:tcPr>
          <w:p w14:paraId="1E9B02C9">
            <w:pPr>
              <w:spacing w:before="120" w:after="120" w:line="288" w:lineRule="auto"/>
              <w:ind w:left="0"/>
              <w:jc w:val="left"/>
            </w:pPr>
            <w:r>
              <w:rPr>
                <w:rFonts w:ascii="Arial" w:hAnsi="Arial" w:eastAsia="等线" w:cs="Arial"/>
                <w:sz w:val="22"/>
              </w:rPr>
              <w:t>MSRB regulates municipal securities dealers. MSRB 监管市政证券销售商。</w:t>
            </w:r>
          </w:p>
        </w:tc>
      </w:tr>
      <w:tr w14:paraId="767A825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0" w:type="dxa"/>
            <w:tcMar>
              <w:top w:w="60" w:type="dxa"/>
              <w:left w:w="120" w:type="dxa"/>
              <w:bottom w:w="30" w:type="dxa"/>
              <w:right w:w="120" w:type="dxa"/>
            </w:tcMar>
          </w:tcPr>
          <w:p w14:paraId="76C8D16B">
            <w:pPr>
              <w:spacing w:before="120" w:after="120" w:line="288" w:lineRule="auto"/>
              <w:ind w:left="0"/>
              <w:jc w:val="left"/>
            </w:pPr>
            <w:r>
              <w:rPr>
                <w:rFonts w:ascii="Arial" w:hAnsi="Arial" w:eastAsia="等线" w:cs="Arial"/>
                <w:sz w:val="22"/>
              </w:rPr>
              <w:t>11</w:t>
            </w:r>
          </w:p>
        </w:tc>
        <w:tc>
          <w:tcPr>
            <w:tcW w:w="1755" w:type="dxa"/>
            <w:tcMar>
              <w:top w:w="60" w:type="dxa"/>
              <w:left w:w="120" w:type="dxa"/>
              <w:bottom w:w="30" w:type="dxa"/>
              <w:right w:w="120" w:type="dxa"/>
            </w:tcMar>
          </w:tcPr>
          <w:p w14:paraId="14C53BD9">
            <w:pPr>
              <w:spacing w:before="120" w:after="120" w:line="288" w:lineRule="auto"/>
              <w:ind w:left="0"/>
              <w:jc w:val="left"/>
            </w:pPr>
            <w:r>
              <w:rPr>
                <w:rFonts w:ascii="Arial" w:hAnsi="Arial" w:eastAsia="等线" w:cs="Arial"/>
                <w:sz w:val="22"/>
              </w:rPr>
              <w:t>Credit Rating</w:t>
            </w:r>
          </w:p>
        </w:tc>
        <w:tc>
          <w:tcPr>
            <w:tcW w:w="1005" w:type="dxa"/>
            <w:tcMar>
              <w:top w:w="60" w:type="dxa"/>
              <w:left w:w="120" w:type="dxa"/>
              <w:bottom w:w="30" w:type="dxa"/>
              <w:right w:w="120" w:type="dxa"/>
            </w:tcMar>
          </w:tcPr>
          <w:p w14:paraId="77EFD8DA">
            <w:pPr>
              <w:spacing w:before="120" w:after="120" w:line="288" w:lineRule="auto"/>
              <w:ind w:left="0"/>
              <w:jc w:val="left"/>
            </w:pPr>
            <w:r>
              <w:rPr>
                <w:rFonts w:ascii="Arial" w:hAnsi="Arial" w:eastAsia="等线" w:cs="Arial"/>
                <w:sz w:val="22"/>
              </w:rPr>
              <w:t>信用评级</w:t>
            </w:r>
          </w:p>
        </w:tc>
        <w:tc>
          <w:tcPr>
            <w:tcW w:w="2640" w:type="dxa"/>
            <w:tcMar>
              <w:top w:w="60" w:type="dxa"/>
              <w:left w:w="120" w:type="dxa"/>
              <w:bottom w:w="30" w:type="dxa"/>
              <w:right w:w="120" w:type="dxa"/>
            </w:tcMar>
          </w:tcPr>
          <w:p w14:paraId="648460FE">
            <w:pPr>
              <w:spacing w:before="120" w:after="120" w:line="288" w:lineRule="auto"/>
              <w:ind w:left="0"/>
              <w:jc w:val="left"/>
            </w:pPr>
            <w:r>
              <w:rPr>
                <w:rFonts w:ascii="Arial" w:hAnsi="Arial" w:eastAsia="等线" w:cs="Arial"/>
                <w:sz w:val="22"/>
              </w:rPr>
              <w:t>表示债券违约风险，S&amp;P、Moody’s 提供评级</w:t>
            </w:r>
          </w:p>
        </w:tc>
        <w:tc>
          <w:tcPr>
            <w:tcW w:w="2460" w:type="dxa"/>
            <w:tcMar>
              <w:top w:w="60" w:type="dxa"/>
              <w:left w:w="120" w:type="dxa"/>
              <w:bottom w:w="30" w:type="dxa"/>
              <w:right w:w="120" w:type="dxa"/>
            </w:tcMar>
          </w:tcPr>
          <w:p w14:paraId="21828742">
            <w:pPr>
              <w:spacing w:before="120" w:after="120" w:line="288" w:lineRule="auto"/>
              <w:ind w:left="0"/>
              <w:jc w:val="left"/>
            </w:pPr>
            <w:r>
              <w:rPr>
                <w:rFonts w:ascii="Arial" w:hAnsi="Arial" w:eastAsia="等线" w:cs="Arial"/>
                <w:sz w:val="22"/>
              </w:rPr>
              <w:t>A bond’s credit rating affects its interest rate. 债券评级影响利率水平。</w:t>
            </w:r>
          </w:p>
        </w:tc>
      </w:tr>
      <w:tr w14:paraId="6ED746E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0" w:type="dxa"/>
            <w:tcMar>
              <w:top w:w="60" w:type="dxa"/>
              <w:left w:w="120" w:type="dxa"/>
              <w:bottom w:w="30" w:type="dxa"/>
              <w:right w:w="120" w:type="dxa"/>
            </w:tcMar>
          </w:tcPr>
          <w:p w14:paraId="127A9158">
            <w:pPr>
              <w:spacing w:before="120" w:after="120" w:line="288" w:lineRule="auto"/>
              <w:ind w:left="0"/>
              <w:jc w:val="left"/>
            </w:pPr>
            <w:r>
              <w:rPr>
                <w:rFonts w:ascii="Arial" w:hAnsi="Arial" w:eastAsia="等线" w:cs="Arial"/>
                <w:sz w:val="22"/>
              </w:rPr>
              <w:t>12</w:t>
            </w:r>
          </w:p>
        </w:tc>
        <w:tc>
          <w:tcPr>
            <w:tcW w:w="1755" w:type="dxa"/>
            <w:tcMar>
              <w:top w:w="60" w:type="dxa"/>
              <w:left w:w="120" w:type="dxa"/>
              <w:bottom w:w="30" w:type="dxa"/>
              <w:right w:w="120" w:type="dxa"/>
            </w:tcMar>
          </w:tcPr>
          <w:p w14:paraId="22560D9F">
            <w:pPr>
              <w:spacing w:before="120" w:after="120" w:line="288" w:lineRule="auto"/>
              <w:ind w:left="0"/>
              <w:jc w:val="left"/>
            </w:pPr>
            <w:r>
              <w:rPr>
                <w:rFonts w:ascii="Arial" w:hAnsi="Arial" w:eastAsia="等线" w:cs="Arial"/>
                <w:sz w:val="22"/>
              </w:rPr>
              <w:t>Investment Grade</w:t>
            </w:r>
          </w:p>
        </w:tc>
        <w:tc>
          <w:tcPr>
            <w:tcW w:w="1005" w:type="dxa"/>
            <w:tcMar>
              <w:top w:w="60" w:type="dxa"/>
              <w:left w:w="120" w:type="dxa"/>
              <w:bottom w:w="30" w:type="dxa"/>
              <w:right w:w="120" w:type="dxa"/>
            </w:tcMar>
          </w:tcPr>
          <w:p w14:paraId="4539C534">
            <w:pPr>
              <w:spacing w:before="120" w:after="120" w:line="288" w:lineRule="auto"/>
              <w:ind w:left="0"/>
              <w:jc w:val="left"/>
            </w:pPr>
            <w:r>
              <w:rPr>
                <w:rFonts w:ascii="Arial" w:hAnsi="Arial" w:eastAsia="等线" w:cs="Arial"/>
                <w:sz w:val="22"/>
              </w:rPr>
              <w:t>投资级别</w:t>
            </w:r>
          </w:p>
        </w:tc>
        <w:tc>
          <w:tcPr>
            <w:tcW w:w="2640" w:type="dxa"/>
            <w:tcMar>
              <w:top w:w="60" w:type="dxa"/>
              <w:left w:w="120" w:type="dxa"/>
              <w:bottom w:w="30" w:type="dxa"/>
              <w:right w:w="120" w:type="dxa"/>
            </w:tcMar>
          </w:tcPr>
          <w:p w14:paraId="79A66577">
            <w:pPr>
              <w:spacing w:before="120" w:after="120" w:line="288" w:lineRule="auto"/>
              <w:ind w:left="0"/>
              <w:jc w:val="left"/>
            </w:pPr>
            <w:r>
              <w:rPr>
                <w:rFonts w:ascii="Arial" w:hAnsi="Arial" w:eastAsia="等线" w:cs="Arial"/>
                <w:sz w:val="22"/>
              </w:rPr>
              <w:t>BBB-/Baa3以上为投资级，风险低，适合保守投资者</w:t>
            </w:r>
          </w:p>
        </w:tc>
        <w:tc>
          <w:tcPr>
            <w:tcW w:w="2460" w:type="dxa"/>
            <w:tcMar>
              <w:top w:w="60" w:type="dxa"/>
              <w:left w:w="120" w:type="dxa"/>
              <w:bottom w:w="30" w:type="dxa"/>
              <w:right w:w="120" w:type="dxa"/>
            </w:tcMar>
          </w:tcPr>
          <w:p w14:paraId="52E75971">
            <w:pPr>
              <w:spacing w:before="120" w:after="120" w:line="288" w:lineRule="auto"/>
              <w:ind w:left="0"/>
              <w:jc w:val="left"/>
            </w:pPr>
            <w:r>
              <w:rPr>
                <w:rFonts w:ascii="Arial" w:hAnsi="Arial" w:eastAsia="等线" w:cs="Arial"/>
                <w:sz w:val="22"/>
              </w:rPr>
              <w:t>Most institutions only buy investment-grade bonds. 多数机构只购买投资级债券。</w:t>
            </w:r>
          </w:p>
        </w:tc>
      </w:tr>
      <w:tr w14:paraId="19F960F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0" w:type="dxa"/>
            <w:tcMar>
              <w:top w:w="60" w:type="dxa"/>
              <w:left w:w="120" w:type="dxa"/>
              <w:bottom w:w="30" w:type="dxa"/>
              <w:right w:w="120" w:type="dxa"/>
            </w:tcMar>
          </w:tcPr>
          <w:p w14:paraId="0CBB4B8E">
            <w:pPr>
              <w:spacing w:before="120" w:after="120" w:line="288" w:lineRule="auto"/>
              <w:ind w:left="0"/>
              <w:jc w:val="left"/>
            </w:pPr>
            <w:r>
              <w:rPr>
                <w:rFonts w:ascii="Arial" w:hAnsi="Arial" w:eastAsia="等线" w:cs="Arial"/>
                <w:sz w:val="22"/>
              </w:rPr>
              <w:t>13</w:t>
            </w:r>
          </w:p>
        </w:tc>
        <w:tc>
          <w:tcPr>
            <w:tcW w:w="1755" w:type="dxa"/>
            <w:tcMar>
              <w:top w:w="60" w:type="dxa"/>
              <w:left w:w="120" w:type="dxa"/>
              <w:bottom w:w="30" w:type="dxa"/>
              <w:right w:w="120" w:type="dxa"/>
            </w:tcMar>
          </w:tcPr>
          <w:p w14:paraId="2015E28C">
            <w:pPr>
              <w:spacing w:before="120" w:after="120" w:line="288" w:lineRule="auto"/>
              <w:ind w:left="0"/>
              <w:jc w:val="left"/>
            </w:pPr>
            <w:r>
              <w:rPr>
                <w:rFonts w:ascii="Arial" w:hAnsi="Arial" w:eastAsia="等线" w:cs="Arial"/>
                <w:sz w:val="22"/>
              </w:rPr>
              <w:t>Junk Bond</w:t>
            </w:r>
          </w:p>
        </w:tc>
        <w:tc>
          <w:tcPr>
            <w:tcW w:w="1005" w:type="dxa"/>
            <w:tcMar>
              <w:top w:w="60" w:type="dxa"/>
              <w:left w:w="120" w:type="dxa"/>
              <w:bottom w:w="30" w:type="dxa"/>
              <w:right w:w="120" w:type="dxa"/>
            </w:tcMar>
          </w:tcPr>
          <w:p w14:paraId="1F8B0303">
            <w:pPr>
              <w:spacing w:before="120" w:after="120" w:line="288" w:lineRule="auto"/>
              <w:ind w:left="0"/>
              <w:jc w:val="left"/>
            </w:pPr>
            <w:r>
              <w:rPr>
                <w:rFonts w:ascii="Arial" w:hAnsi="Arial" w:eastAsia="等线" w:cs="Arial"/>
                <w:sz w:val="22"/>
              </w:rPr>
              <w:t>垃圾债券</w:t>
            </w:r>
          </w:p>
        </w:tc>
        <w:tc>
          <w:tcPr>
            <w:tcW w:w="2640" w:type="dxa"/>
            <w:tcMar>
              <w:top w:w="60" w:type="dxa"/>
              <w:left w:w="120" w:type="dxa"/>
              <w:bottom w:w="30" w:type="dxa"/>
              <w:right w:w="120" w:type="dxa"/>
            </w:tcMar>
          </w:tcPr>
          <w:p w14:paraId="4F289187">
            <w:pPr>
              <w:spacing w:before="120" w:after="120" w:line="288" w:lineRule="auto"/>
              <w:ind w:left="0"/>
              <w:jc w:val="left"/>
            </w:pPr>
            <w:r>
              <w:rPr>
                <w:rFonts w:ascii="Arial" w:hAnsi="Arial" w:eastAsia="等线" w:cs="Arial"/>
                <w:sz w:val="22"/>
              </w:rPr>
              <w:t>信用评级低于投资级，风险高但收益高</w:t>
            </w:r>
          </w:p>
        </w:tc>
        <w:tc>
          <w:tcPr>
            <w:tcW w:w="2460" w:type="dxa"/>
            <w:tcMar>
              <w:top w:w="60" w:type="dxa"/>
              <w:left w:w="120" w:type="dxa"/>
              <w:bottom w:w="30" w:type="dxa"/>
              <w:right w:w="120" w:type="dxa"/>
            </w:tcMar>
          </w:tcPr>
          <w:p w14:paraId="0828EDBA">
            <w:pPr>
              <w:spacing w:before="120" w:after="120" w:line="288" w:lineRule="auto"/>
              <w:ind w:left="0"/>
              <w:jc w:val="left"/>
            </w:pPr>
            <w:r>
              <w:rPr>
                <w:rFonts w:ascii="Arial" w:hAnsi="Arial" w:eastAsia="等线" w:cs="Arial"/>
                <w:sz w:val="22"/>
              </w:rPr>
              <w:t>Junk bonds offer higher yields but higher risk. 垃圾债收益高但风险大。</w:t>
            </w:r>
          </w:p>
        </w:tc>
      </w:tr>
      <w:tr w14:paraId="041B5B1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0" w:type="dxa"/>
            <w:tcMar>
              <w:top w:w="60" w:type="dxa"/>
              <w:left w:w="120" w:type="dxa"/>
              <w:bottom w:w="30" w:type="dxa"/>
              <w:right w:w="120" w:type="dxa"/>
            </w:tcMar>
          </w:tcPr>
          <w:p w14:paraId="48C13A24">
            <w:pPr>
              <w:spacing w:before="120" w:after="120" w:line="288" w:lineRule="auto"/>
              <w:ind w:left="0"/>
              <w:jc w:val="left"/>
            </w:pPr>
            <w:r>
              <w:rPr>
                <w:rFonts w:ascii="Arial" w:hAnsi="Arial" w:eastAsia="等线" w:cs="Arial"/>
                <w:sz w:val="22"/>
              </w:rPr>
              <w:t>14</w:t>
            </w:r>
          </w:p>
        </w:tc>
        <w:tc>
          <w:tcPr>
            <w:tcW w:w="1755" w:type="dxa"/>
            <w:tcMar>
              <w:top w:w="60" w:type="dxa"/>
              <w:left w:w="120" w:type="dxa"/>
              <w:bottom w:w="30" w:type="dxa"/>
              <w:right w:w="120" w:type="dxa"/>
            </w:tcMar>
          </w:tcPr>
          <w:p w14:paraId="218524EC">
            <w:pPr>
              <w:spacing w:before="120" w:after="120" w:line="288" w:lineRule="auto"/>
              <w:ind w:left="0"/>
              <w:jc w:val="left"/>
            </w:pPr>
            <w:r>
              <w:rPr>
                <w:rFonts w:ascii="Arial" w:hAnsi="Arial" w:eastAsia="等线" w:cs="Arial"/>
                <w:sz w:val="22"/>
              </w:rPr>
              <w:t>Full Faith and Credit</w:t>
            </w:r>
          </w:p>
        </w:tc>
        <w:tc>
          <w:tcPr>
            <w:tcW w:w="1005" w:type="dxa"/>
            <w:tcMar>
              <w:top w:w="60" w:type="dxa"/>
              <w:left w:w="120" w:type="dxa"/>
              <w:bottom w:w="30" w:type="dxa"/>
              <w:right w:w="120" w:type="dxa"/>
            </w:tcMar>
          </w:tcPr>
          <w:p w14:paraId="54EF3B9F">
            <w:pPr>
              <w:spacing w:before="120" w:after="120" w:line="288" w:lineRule="auto"/>
              <w:ind w:left="0"/>
              <w:jc w:val="left"/>
            </w:pPr>
            <w:r>
              <w:rPr>
                <w:rFonts w:ascii="Arial" w:hAnsi="Arial" w:eastAsia="等线" w:cs="Arial"/>
                <w:sz w:val="22"/>
              </w:rPr>
              <w:t>完全信用担保</w:t>
            </w:r>
          </w:p>
        </w:tc>
        <w:tc>
          <w:tcPr>
            <w:tcW w:w="2640" w:type="dxa"/>
            <w:tcMar>
              <w:top w:w="60" w:type="dxa"/>
              <w:left w:w="120" w:type="dxa"/>
              <w:bottom w:w="30" w:type="dxa"/>
              <w:right w:w="120" w:type="dxa"/>
            </w:tcMar>
          </w:tcPr>
          <w:p w14:paraId="18368916">
            <w:pPr>
              <w:spacing w:before="120" w:after="120" w:line="288" w:lineRule="auto"/>
              <w:ind w:left="0"/>
              <w:jc w:val="left"/>
            </w:pPr>
            <w:r>
              <w:rPr>
                <w:rFonts w:ascii="Arial" w:hAnsi="Arial" w:eastAsia="等线" w:cs="Arial"/>
                <w:sz w:val="22"/>
              </w:rPr>
              <w:t>政府承诺动用一切资源偿还债务，描述 GO Bond 的担保方式</w:t>
            </w:r>
          </w:p>
        </w:tc>
        <w:tc>
          <w:tcPr>
            <w:tcW w:w="2460" w:type="dxa"/>
            <w:tcMar>
              <w:top w:w="60" w:type="dxa"/>
              <w:left w:w="120" w:type="dxa"/>
              <w:bottom w:w="30" w:type="dxa"/>
              <w:right w:w="120" w:type="dxa"/>
            </w:tcMar>
          </w:tcPr>
          <w:p w14:paraId="4680207F">
            <w:pPr>
              <w:spacing w:before="120" w:after="120" w:line="288" w:lineRule="auto"/>
              <w:ind w:left="0"/>
              <w:jc w:val="left"/>
            </w:pPr>
            <w:r>
              <w:rPr>
                <w:rFonts w:ascii="Arial" w:hAnsi="Arial" w:eastAsia="等线" w:cs="Arial"/>
                <w:sz w:val="22"/>
              </w:rPr>
              <w:t>GO bonds are backed by full faith and credit. GO 债券由完全信用担保。</w:t>
            </w:r>
          </w:p>
        </w:tc>
      </w:tr>
      <w:tr w14:paraId="07AA565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0" w:type="dxa"/>
            <w:tcMar>
              <w:top w:w="60" w:type="dxa"/>
              <w:left w:w="120" w:type="dxa"/>
              <w:bottom w:w="30" w:type="dxa"/>
              <w:right w:w="120" w:type="dxa"/>
            </w:tcMar>
          </w:tcPr>
          <w:p w14:paraId="21D2FBCD">
            <w:pPr>
              <w:spacing w:before="120" w:after="120" w:line="288" w:lineRule="auto"/>
              <w:ind w:left="0"/>
              <w:jc w:val="left"/>
            </w:pPr>
            <w:r>
              <w:rPr>
                <w:rFonts w:ascii="Arial" w:hAnsi="Arial" w:eastAsia="等线" w:cs="Arial"/>
                <w:sz w:val="22"/>
              </w:rPr>
              <w:t>15</w:t>
            </w:r>
          </w:p>
        </w:tc>
        <w:tc>
          <w:tcPr>
            <w:tcW w:w="1755" w:type="dxa"/>
            <w:tcMar>
              <w:top w:w="60" w:type="dxa"/>
              <w:left w:w="120" w:type="dxa"/>
              <w:bottom w:w="30" w:type="dxa"/>
              <w:right w:w="120" w:type="dxa"/>
            </w:tcMar>
          </w:tcPr>
          <w:p w14:paraId="31DD1363">
            <w:pPr>
              <w:spacing w:before="120" w:after="120" w:line="288" w:lineRule="auto"/>
              <w:ind w:left="0"/>
              <w:jc w:val="left"/>
            </w:pPr>
            <w:r>
              <w:rPr>
                <w:rFonts w:ascii="Arial" w:hAnsi="Arial" w:eastAsia="等线" w:cs="Arial"/>
                <w:sz w:val="22"/>
              </w:rPr>
              <w:t>Qualified Education Expenses</w:t>
            </w:r>
          </w:p>
        </w:tc>
        <w:tc>
          <w:tcPr>
            <w:tcW w:w="1005" w:type="dxa"/>
            <w:tcMar>
              <w:top w:w="60" w:type="dxa"/>
              <w:left w:w="120" w:type="dxa"/>
              <w:bottom w:w="30" w:type="dxa"/>
              <w:right w:w="120" w:type="dxa"/>
            </w:tcMar>
          </w:tcPr>
          <w:p w14:paraId="38D43661">
            <w:pPr>
              <w:spacing w:before="120" w:after="120" w:line="288" w:lineRule="auto"/>
              <w:ind w:left="0"/>
              <w:jc w:val="left"/>
            </w:pPr>
            <w:r>
              <w:rPr>
                <w:rFonts w:ascii="Arial" w:hAnsi="Arial" w:eastAsia="等线" w:cs="Arial"/>
                <w:sz w:val="22"/>
              </w:rPr>
              <w:t>合格教育支出</w:t>
            </w:r>
          </w:p>
        </w:tc>
        <w:tc>
          <w:tcPr>
            <w:tcW w:w="2640" w:type="dxa"/>
            <w:tcMar>
              <w:top w:w="60" w:type="dxa"/>
              <w:left w:w="120" w:type="dxa"/>
              <w:bottom w:w="30" w:type="dxa"/>
              <w:right w:w="120" w:type="dxa"/>
            </w:tcMar>
          </w:tcPr>
          <w:p w14:paraId="559E9808">
            <w:pPr>
              <w:spacing w:before="120" w:after="120" w:line="288" w:lineRule="auto"/>
              <w:ind w:left="0"/>
              <w:jc w:val="left"/>
            </w:pPr>
            <w:r>
              <w:rPr>
                <w:rFonts w:ascii="Arial" w:hAnsi="Arial" w:eastAsia="等线" w:cs="Arial"/>
                <w:sz w:val="22"/>
              </w:rPr>
              <w:t>包括学费、住宿、教材等，529 计划提款用于这些项目可免税</w:t>
            </w:r>
          </w:p>
        </w:tc>
        <w:tc>
          <w:tcPr>
            <w:tcW w:w="2460" w:type="dxa"/>
            <w:tcMar>
              <w:top w:w="60" w:type="dxa"/>
              <w:left w:w="120" w:type="dxa"/>
              <w:bottom w:w="30" w:type="dxa"/>
              <w:right w:w="120" w:type="dxa"/>
            </w:tcMar>
          </w:tcPr>
          <w:p w14:paraId="72CD3985">
            <w:pPr>
              <w:spacing w:before="120" w:after="120" w:line="288" w:lineRule="auto"/>
              <w:ind w:left="0"/>
              <w:jc w:val="left"/>
            </w:pPr>
            <w:r>
              <w:rPr>
                <w:rFonts w:ascii="Arial" w:hAnsi="Arial" w:eastAsia="等线" w:cs="Arial"/>
                <w:sz w:val="22"/>
              </w:rPr>
              <w:t>Tuition and books are qualified education expenses. 学费和教材属于合格支出。</w:t>
            </w:r>
          </w:p>
        </w:tc>
      </w:tr>
      <w:tr w14:paraId="0FF4C99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0" w:type="dxa"/>
            <w:tcMar>
              <w:top w:w="60" w:type="dxa"/>
              <w:left w:w="120" w:type="dxa"/>
              <w:bottom w:w="30" w:type="dxa"/>
              <w:right w:w="120" w:type="dxa"/>
            </w:tcMar>
          </w:tcPr>
          <w:p w14:paraId="6563E955">
            <w:pPr>
              <w:spacing w:before="120" w:after="120" w:line="288" w:lineRule="auto"/>
              <w:ind w:left="0"/>
              <w:jc w:val="left"/>
            </w:pPr>
            <w:r>
              <w:rPr>
                <w:rFonts w:ascii="Arial" w:hAnsi="Arial" w:eastAsia="等线" w:cs="Arial"/>
                <w:sz w:val="22"/>
              </w:rPr>
              <w:t>16</w:t>
            </w:r>
          </w:p>
        </w:tc>
        <w:tc>
          <w:tcPr>
            <w:tcW w:w="1755" w:type="dxa"/>
            <w:tcMar>
              <w:top w:w="60" w:type="dxa"/>
              <w:left w:w="120" w:type="dxa"/>
              <w:bottom w:w="30" w:type="dxa"/>
              <w:right w:w="120" w:type="dxa"/>
            </w:tcMar>
          </w:tcPr>
          <w:p w14:paraId="653CAD36">
            <w:pPr>
              <w:spacing w:before="120" w:after="120" w:line="288" w:lineRule="auto"/>
              <w:ind w:left="0"/>
              <w:jc w:val="left"/>
            </w:pPr>
            <w:r>
              <w:rPr>
                <w:rFonts w:ascii="Arial" w:hAnsi="Arial" w:eastAsia="等线" w:cs="Arial"/>
                <w:sz w:val="22"/>
              </w:rPr>
              <w:t>Tax-Equivalent Yield</w:t>
            </w:r>
          </w:p>
        </w:tc>
        <w:tc>
          <w:tcPr>
            <w:tcW w:w="1005" w:type="dxa"/>
            <w:tcMar>
              <w:top w:w="60" w:type="dxa"/>
              <w:left w:w="120" w:type="dxa"/>
              <w:bottom w:w="30" w:type="dxa"/>
              <w:right w:w="120" w:type="dxa"/>
            </w:tcMar>
          </w:tcPr>
          <w:p w14:paraId="4C8C043D">
            <w:pPr>
              <w:spacing w:before="120" w:after="120" w:line="288" w:lineRule="auto"/>
              <w:ind w:left="0"/>
              <w:jc w:val="left"/>
            </w:pPr>
            <w:r>
              <w:rPr>
                <w:rFonts w:ascii="Arial" w:hAnsi="Arial" w:eastAsia="等线" w:cs="Arial"/>
                <w:sz w:val="22"/>
              </w:rPr>
              <w:t>税后等效收益率</w:t>
            </w:r>
          </w:p>
        </w:tc>
        <w:tc>
          <w:tcPr>
            <w:tcW w:w="2640" w:type="dxa"/>
            <w:tcMar>
              <w:top w:w="60" w:type="dxa"/>
              <w:left w:w="120" w:type="dxa"/>
              <w:bottom w:w="30" w:type="dxa"/>
              <w:right w:w="120" w:type="dxa"/>
            </w:tcMar>
          </w:tcPr>
          <w:p w14:paraId="555B1999">
            <w:pPr>
              <w:spacing w:before="120" w:after="120" w:line="288" w:lineRule="auto"/>
              <w:ind w:left="0"/>
              <w:jc w:val="left"/>
            </w:pPr>
            <w:r>
              <w:rPr>
                <w:rFonts w:ascii="Arial" w:hAnsi="Arial" w:eastAsia="等线" w:cs="Arial"/>
                <w:sz w:val="22"/>
              </w:rPr>
              <w:t>比较市政债与应税债收益率的工具，常考公式</w:t>
            </w:r>
          </w:p>
        </w:tc>
        <w:tc>
          <w:tcPr>
            <w:tcW w:w="2460" w:type="dxa"/>
            <w:tcMar>
              <w:top w:w="60" w:type="dxa"/>
              <w:left w:w="120" w:type="dxa"/>
              <w:bottom w:w="30" w:type="dxa"/>
              <w:right w:w="120" w:type="dxa"/>
            </w:tcMar>
          </w:tcPr>
          <w:p w14:paraId="55337DC7">
            <w:pPr>
              <w:spacing w:before="120" w:after="120" w:line="288" w:lineRule="auto"/>
              <w:ind w:left="0"/>
              <w:jc w:val="left"/>
            </w:pPr>
            <w:r>
              <w:rPr>
                <w:rFonts w:ascii="Arial" w:hAnsi="Arial" w:eastAsia="等线" w:cs="Arial"/>
                <w:sz w:val="22"/>
              </w:rPr>
              <w:t>Tax-equivalent yield = muni yield ÷ (1 – tax rate). 税后等效收益率=市政债收益率/(1-税率)。</w:t>
            </w:r>
          </w:p>
        </w:tc>
      </w:tr>
      <w:tr w14:paraId="6237DC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0" w:type="dxa"/>
            <w:tcMar>
              <w:top w:w="60" w:type="dxa"/>
              <w:left w:w="120" w:type="dxa"/>
              <w:bottom w:w="30" w:type="dxa"/>
              <w:right w:w="120" w:type="dxa"/>
            </w:tcMar>
          </w:tcPr>
          <w:p w14:paraId="06440F30">
            <w:pPr>
              <w:spacing w:before="120" w:after="120" w:line="288" w:lineRule="auto"/>
              <w:ind w:left="0"/>
              <w:jc w:val="left"/>
            </w:pPr>
            <w:r>
              <w:rPr>
                <w:rFonts w:ascii="Arial" w:hAnsi="Arial" w:eastAsia="等线" w:cs="Arial"/>
                <w:sz w:val="22"/>
              </w:rPr>
              <w:t>17</w:t>
            </w:r>
          </w:p>
        </w:tc>
        <w:tc>
          <w:tcPr>
            <w:tcW w:w="1755" w:type="dxa"/>
            <w:tcMar>
              <w:top w:w="60" w:type="dxa"/>
              <w:left w:w="120" w:type="dxa"/>
              <w:bottom w:w="30" w:type="dxa"/>
              <w:right w:w="120" w:type="dxa"/>
            </w:tcMar>
          </w:tcPr>
          <w:p w14:paraId="2BC60C2A">
            <w:pPr>
              <w:spacing w:before="120" w:after="120" w:line="288" w:lineRule="auto"/>
              <w:ind w:left="0"/>
              <w:jc w:val="left"/>
            </w:pPr>
            <w:r>
              <w:rPr>
                <w:rFonts w:ascii="Arial" w:hAnsi="Arial" w:eastAsia="等线" w:cs="Arial"/>
                <w:sz w:val="22"/>
              </w:rPr>
              <w:t>Suitability</w:t>
            </w:r>
          </w:p>
        </w:tc>
        <w:tc>
          <w:tcPr>
            <w:tcW w:w="1005" w:type="dxa"/>
            <w:tcMar>
              <w:top w:w="60" w:type="dxa"/>
              <w:left w:w="120" w:type="dxa"/>
              <w:bottom w:w="30" w:type="dxa"/>
              <w:right w:w="120" w:type="dxa"/>
            </w:tcMar>
          </w:tcPr>
          <w:p w14:paraId="1AB7D852">
            <w:pPr>
              <w:spacing w:before="120" w:after="120" w:line="288" w:lineRule="auto"/>
              <w:ind w:left="0"/>
              <w:jc w:val="left"/>
            </w:pPr>
            <w:r>
              <w:rPr>
                <w:rFonts w:ascii="Arial" w:hAnsi="Arial" w:eastAsia="等线" w:cs="Arial"/>
                <w:sz w:val="22"/>
              </w:rPr>
              <w:t>适当性</w:t>
            </w:r>
          </w:p>
        </w:tc>
        <w:tc>
          <w:tcPr>
            <w:tcW w:w="2640" w:type="dxa"/>
            <w:tcMar>
              <w:top w:w="60" w:type="dxa"/>
              <w:left w:w="120" w:type="dxa"/>
              <w:bottom w:w="30" w:type="dxa"/>
              <w:right w:w="120" w:type="dxa"/>
            </w:tcMar>
          </w:tcPr>
          <w:p w14:paraId="329F6A7A">
            <w:pPr>
              <w:spacing w:before="120" w:after="120" w:line="288" w:lineRule="auto"/>
              <w:ind w:left="0"/>
              <w:jc w:val="left"/>
            </w:pPr>
            <w:r>
              <w:rPr>
                <w:rFonts w:ascii="Arial" w:hAnsi="Arial" w:eastAsia="等线" w:cs="Arial"/>
                <w:sz w:val="22"/>
              </w:rPr>
              <w:t>销售人员必须判断产品是否适合客户，重要合规原则</w:t>
            </w:r>
          </w:p>
        </w:tc>
        <w:tc>
          <w:tcPr>
            <w:tcW w:w="2460" w:type="dxa"/>
            <w:tcMar>
              <w:top w:w="60" w:type="dxa"/>
              <w:left w:w="120" w:type="dxa"/>
              <w:bottom w:w="30" w:type="dxa"/>
              <w:right w:w="120" w:type="dxa"/>
            </w:tcMar>
          </w:tcPr>
          <w:p w14:paraId="5C81CD75">
            <w:pPr>
              <w:spacing w:before="120" w:after="120" w:line="288" w:lineRule="auto"/>
              <w:ind w:left="0"/>
              <w:jc w:val="left"/>
            </w:pPr>
            <w:r>
              <w:rPr>
                <w:rFonts w:ascii="Arial" w:hAnsi="Arial" w:eastAsia="等线" w:cs="Arial"/>
                <w:sz w:val="22"/>
              </w:rPr>
              <w:t>Suitability rules apply to 529 plan sales. 529 销售须遵守适当性规则。</w:t>
            </w:r>
          </w:p>
        </w:tc>
      </w:tr>
      <w:tr w14:paraId="38E3DE1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0" w:type="dxa"/>
            <w:tcMar>
              <w:top w:w="60" w:type="dxa"/>
              <w:left w:w="120" w:type="dxa"/>
              <w:bottom w:w="30" w:type="dxa"/>
              <w:right w:w="120" w:type="dxa"/>
            </w:tcMar>
          </w:tcPr>
          <w:p w14:paraId="0724F65B">
            <w:pPr>
              <w:spacing w:before="120" w:after="120" w:line="288" w:lineRule="auto"/>
              <w:ind w:left="0"/>
              <w:jc w:val="left"/>
            </w:pPr>
            <w:r>
              <w:rPr>
                <w:rFonts w:ascii="Arial" w:hAnsi="Arial" w:eastAsia="等线" w:cs="Arial"/>
                <w:sz w:val="22"/>
              </w:rPr>
              <w:t>18</w:t>
            </w:r>
          </w:p>
        </w:tc>
        <w:tc>
          <w:tcPr>
            <w:tcW w:w="1755" w:type="dxa"/>
            <w:tcMar>
              <w:top w:w="60" w:type="dxa"/>
              <w:left w:w="120" w:type="dxa"/>
              <w:bottom w:w="30" w:type="dxa"/>
              <w:right w:w="120" w:type="dxa"/>
            </w:tcMar>
          </w:tcPr>
          <w:p w14:paraId="67C56E6C">
            <w:pPr>
              <w:spacing w:before="120" w:after="120" w:line="288" w:lineRule="auto"/>
              <w:ind w:left="0"/>
              <w:jc w:val="left"/>
            </w:pPr>
            <w:r>
              <w:rPr>
                <w:rFonts w:ascii="Arial" w:hAnsi="Arial" w:eastAsia="等线" w:cs="Arial"/>
                <w:sz w:val="22"/>
              </w:rPr>
              <w:t>Underwriter</w:t>
            </w:r>
          </w:p>
        </w:tc>
        <w:tc>
          <w:tcPr>
            <w:tcW w:w="1005" w:type="dxa"/>
            <w:tcMar>
              <w:top w:w="60" w:type="dxa"/>
              <w:left w:w="120" w:type="dxa"/>
              <w:bottom w:w="30" w:type="dxa"/>
              <w:right w:w="120" w:type="dxa"/>
            </w:tcMar>
          </w:tcPr>
          <w:p w14:paraId="46A8EF16">
            <w:pPr>
              <w:spacing w:before="120" w:after="120" w:line="288" w:lineRule="auto"/>
              <w:ind w:left="0"/>
              <w:jc w:val="left"/>
            </w:pPr>
            <w:r>
              <w:rPr>
                <w:rFonts w:ascii="Arial" w:hAnsi="Arial" w:eastAsia="等线" w:cs="Arial"/>
                <w:sz w:val="22"/>
              </w:rPr>
              <w:t>承销商</w:t>
            </w:r>
          </w:p>
        </w:tc>
        <w:tc>
          <w:tcPr>
            <w:tcW w:w="2640" w:type="dxa"/>
            <w:tcMar>
              <w:top w:w="60" w:type="dxa"/>
              <w:left w:w="120" w:type="dxa"/>
              <w:bottom w:w="30" w:type="dxa"/>
              <w:right w:w="120" w:type="dxa"/>
            </w:tcMar>
          </w:tcPr>
          <w:p w14:paraId="4B5E4A98">
            <w:pPr>
              <w:spacing w:before="120" w:after="120" w:line="288" w:lineRule="auto"/>
              <w:ind w:left="0"/>
              <w:jc w:val="left"/>
            </w:pPr>
            <w:r>
              <w:rPr>
                <w:rFonts w:ascii="Arial" w:hAnsi="Arial" w:eastAsia="等线" w:cs="Arial"/>
                <w:sz w:val="22"/>
              </w:rPr>
              <w:t>协助政府发行市政债的券商</w:t>
            </w:r>
          </w:p>
        </w:tc>
        <w:tc>
          <w:tcPr>
            <w:tcW w:w="2460" w:type="dxa"/>
            <w:tcMar>
              <w:top w:w="60" w:type="dxa"/>
              <w:left w:w="120" w:type="dxa"/>
              <w:bottom w:w="30" w:type="dxa"/>
              <w:right w:w="120" w:type="dxa"/>
            </w:tcMar>
          </w:tcPr>
          <w:p w14:paraId="15F9B3F8">
            <w:pPr>
              <w:spacing w:before="120" w:after="120" w:line="288" w:lineRule="auto"/>
              <w:ind w:left="0"/>
              <w:jc w:val="left"/>
            </w:pPr>
            <w:r>
              <w:rPr>
                <w:rFonts w:ascii="Arial" w:hAnsi="Arial" w:eastAsia="等线" w:cs="Arial"/>
                <w:sz w:val="22"/>
              </w:rPr>
              <w:t>An underwriter helps municipalities raise capital. 承销商帮助市政府融资。</w:t>
            </w:r>
          </w:p>
        </w:tc>
      </w:tr>
      <w:tr w14:paraId="1B2DB5F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0" w:type="dxa"/>
            <w:tcMar>
              <w:top w:w="60" w:type="dxa"/>
              <w:left w:w="120" w:type="dxa"/>
              <w:bottom w:w="30" w:type="dxa"/>
              <w:right w:w="120" w:type="dxa"/>
            </w:tcMar>
          </w:tcPr>
          <w:p w14:paraId="341A7B45">
            <w:pPr>
              <w:spacing w:before="120" w:after="120" w:line="288" w:lineRule="auto"/>
              <w:ind w:left="0"/>
              <w:jc w:val="left"/>
            </w:pPr>
            <w:r>
              <w:rPr>
                <w:rFonts w:ascii="Arial" w:hAnsi="Arial" w:eastAsia="等线" w:cs="Arial"/>
                <w:sz w:val="22"/>
              </w:rPr>
              <w:t>19</w:t>
            </w:r>
          </w:p>
        </w:tc>
        <w:tc>
          <w:tcPr>
            <w:tcW w:w="1755" w:type="dxa"/>
            <w:tcMar>
              <w:top w:w="60" w:type="dxa"/>
              <w:left w:w="120" w:type="dxa"/>
              <w:bottom w:w="30" w:type="dxa"/>
              <w:right w:w="120" w:type="dxa"/>
            </w:tcMar>
          </w:tcPr>
          <w:p w14:paraId="06D821AF">
            <w:pPr>
              <w:spacing w:before="120" w:after="120" w:line="288" w:lineRule="auto"/>
              <w:ind w:left="0"/>
              <w:jc w:val="left"/>
            </w:pPr>
            <w:r>
              <w:rPr>
                <w:rFonts w:ascii="Arial" w:hAnsi="Arial" w:eastAsia="等线" w:cs="Arial"/>
                <w:sz w:val="22"/>
              </w:rPr>
              <w:t>Official Statement</w:t>
            </w:r>
          </w:p>
        </w:tc>
        <w:tc>
          <w:tcPr>
            <w:tcW w:w="1005" w:type="dxa"/>
            <w:tcMar>
              <w:top w:w="60" w:type="dxa"/>
              <w:left w:w="120" w:type="dxa"/>
              <w:bottom w:w="30" w:type="dxa"/>
              <w:right w:w="120" w:type="dxa"/>
            </w:tcMar>
          </w:tcPr>
          <w:p w14:paraId="21C6E674">
            <w:pPr>
              <w:spacing w:before="120" w:after="120" w:line="288" w:lineRule="auto"/>
              <w:ind w:left="0"/>
              <w:jc w:val="left"/>
            </w:pPr>
            <w:r>
              <w:rPr>
                <w:rFonts w:ascii="Arial" w:hAnsi="Arial" w:eastAsia="等线" w:cs="Arial"/>
                <w:sz w:val="22"/>
              </w:rPr>
              <w:t>官方说明书</w:t>
            </w:r>
          </w:p>
        </w:tc>
        <w:tc>
          <w:tcPr>
            <w:tcW w:w="2640" w:type="dxa"/>
            <w:tcMar>
              <w:top w:w="60" w:type="dxa"/>
              <w:left w:w="120" w:type="dxa"/>
              <w:bottom w:w="30" w:type="dxa"/>
              <w:right w:w="120" w:type="dxa"/>
            </w:tcMar>
          </w:tcPr>
          <w:p w14:paraId="7F4F7DD3">
            <w:pPr>
              <w:spacing w:before="120" w:after="120" w:line="288" w:lineRule="auto"/>
              <w:ind w:left="0"/>
              <w:jc w:val="left"/>
            </w:pPr>
            <w:r>
              <w:rPr>
                <w:rFonts w:ascii="Arial" w:hAnsi="Arial" w:eastAsia="等线" w:cs="Arial"/>
                <w:sz w:val="22"/>
              </w:rPr>
              <w:t>债券发行时提供的法律信息文件，类似招股说明书</w:t>
            </w:r>
          </w:p>
        </w:tc>
        <w:tc>
          <w:tcPr>
            <w:tcW w:w="2460" w:type="dxa"/>
            <w:tcMar>
              <w:top w:w="60" w:type="dxa"/>
              <w:left w:w="120" w:type="dxa"/>
              <w:bottom w:w="30" w:type="dxa"/>
              <w:right w:w="120" w:type="dxa"/>
            </w:tcMar>
          </w:tcPr>
          <w:p w14:paraId="36F9EAED">
            <w:pPr>
              <w:spacing w:before="120" w:after="120" w:line="288" w:lineRule="auto"/>
              <w:ind w:left="0"/>
              <w:jc w:val="left"/>
            </w:pPr>
            <w:r>
              <w:rPr>
                <w:rFonts w:ascii="Arial" w:hAnsi="Arial" w:eastAsia="等线" w:cs="Arial"/>
                <w:sz w:val="22"/>
              </w:rPr>
              <w:t>Investors should review the official statement. 投资者应阅读官方说明书。</w:t>
            </w:r>
          </w:p>
        </w:tc>
      </w:tr>
      <w:tr w14:paraId="7B8BBEB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0" w:type="dxa"/>
            <w:tcMar>
              <w:top w:w="60" w:type="dxa"/>
              <w:left w:w="120" w:type="dxa"/>
              <w:bottom w:w="30" w:type="dxa"/>
              <w:right w:w="120" w:type="dxa"/>
            </w:tcMar>
          </w:tcPr>
          <w:p w14:paraId="618863FA">
            <w:pPr>
              <w:spacing w:before="120" w:after="120" w:line="288" w:lineRule="auto"/>
              <w:ind w:left="0"/>
              <w:jc w:val="left"/>
            </w:pPr>
            <w:r>
              <w:rPr>
                <w:rFonts w:ascii="Arial" w:hAnsi="Arial" w:eastAsia="等线" w:cs="Arial"/>
                <w:sz w:val="22"/>
              </w:rPr>
              <w:t>20</w:t>
            </w:r>
          </w:p>
        </w:tc>
        <w:tc>
          <w:tcPr>
            <w:tcW w:w="1755" w:type="dxa"/>
            <w:tcMar>
              <w:top w:w="60" w:type="dxa"/>
              <w:left w:w="120" w:type="dxa"/>
              <w:bottom w:w="30" w:type="dxa"/>
              <w:right w:w="120" w:type="dxa"/>
            </w:tcMar>
          </w:tcPr>
          <w:p w14:paraId="05D7CABB">
            <w:pPr>
              <w:spacing w:before="120" w:after="120" w:line="288" w:lineRule="auto"/>
              <w:ind w:left="0"/>
              <w:jc w:val="left"/>
            </w:pPr>
            <w:r>
              <w:rPr>
                <w:rFonts w:ascii="Arial" w:hAnsi="Arial" w:eastAsia="等线" w:cs="Arial"/>
                <w:sz w:val="22"/>
              </w:rPr>
              <w:t>Callable Bond</w:t>
            </w:r>
          </w:p>
        </w:tc>
        <w:tc>
          <w:tcPr>
            <w:tcW w:w="1005" w:type="dxa"/>
            <w:tcMar>
              <w:top w:w="60" w:type="dxa"/>
              <w:left w:w="120" w:type="dxa"/>
              <w:bottom w:w="30" w:type="dxa"/>
              <w:right w:w="120" w:type="dxa"/>
            </w:tcMar>
          </w:tcPr>
          <w:p w14:paraId="54E42531">
            <w:pPr>
              <w:spacing w:before="120" w:after="120" w:line="288" w:lineRule="auto"/>
              <w:ind w:left="0"/>
              <w:jc w:val="left"/>
            </w:pPr>
            <w:r>
              <w:rPr>
                <w:rFonts w:ascii="Arial" w:hAnsi="Arial" w:eastAsia="等线" w:cs="Arial"/>
                <w:sz w:val="22"/>
              </w:rPr>
              <w:t>可赎回债券</w:t>
            </w:r>
          </w:p>
        </w:tc>
        <w:tc>
          <w:tcPr>
            <w:tcW w:w="2640" w:type="dxa"/>
            <w:tcMar>
              <w:top w:w="60" w:type="dxa"/>
              <w:left w:w="120" w:type="dxa"/>
              <w:bottom w:w="30" w:type="dxa"/>
              <w:right w:w="120" w:type="dxa"/>
            </w:tcMar>
          </w:tcPr>
          <w:p w14:paraId="6F80C29C">
            <w:pPr>
              <w:spacing w:before="120" w:after="120" w:line="288" w:lineRule="auto"/>
              <w:ind w:left="0"/>
              <w:jc w:val="left"/>
            </w:pPr>
            <w:r>
              <w:rPr>
                <w:rFonts w:ascii="Arial" w:hAnsi="Arial" w:eastAsia="等线" w:cs="Arial"/>
                <w:sz w:val="22"/>
              </w:rPr>
              <w:t>发行人可提前赎回的债券，常见于市政债中</w:t>
            </w:r>
          </w:p>
        </w:tc>
        <w:tc>
          <w:tcPr>
            <w:tcW w:w="2460" w:type="dxa"/>
            <w:tcMar>
              <w:top w:w="60" w:type="dxa"/>
              <w:left w:w="120" w:type="dxa"/>
              <w:bottom w:w="30" w:type="dxa"/>
              <w:right w:w="120" w:type="dxa"/>
            </w:tcMar>
          </w:tcPr>
          <w:p w14:paraId="1B513BC8">
            <w:pPr>
              <w:spacing w:before="120" w:after="120" w:line="288" w:lineRule="auto"/>
              <w:ind w:left="0"/>
              <w:jc w:val="left"/>
            </w:pPr>
            <w:r>
              <w:rPr>
                <w:rFonts w:ascii="Arial" w:hAnsi="Arial" w:eastAsia="等线" w:cs="Arial"/>
                <w:sz w:val="22"/>
              </w:rPr>
              <w:t>Callable bonds may be redeemed before maturity. 可赎回债券可提前偿还。</w:t>
            </w:r>
          </w:p>
        </w:tc>
      </w:tr>
      <w:tr w14:paraId="6DDF2EB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0" w:type="dxa"/>
            <w:tcMar>
              <w:top w:w="60" w:type="dxa"/>
              <w:left w:w="120" w:type="dxa"/>
              <w:bottom w:w="30" w:type="dxa"/>
              <w:right w:w="120" w:type="dxa"/>
            </w:tcMar>
          </w:tcPr>
          <w:p w14:paraId="47B05581">
            <w:pPr>
              <w:spacing w:before="120" w:after="120" w:line="288" w:lineRule="auto"/>
              <w:ind w:left="0"/>
              <w:jc w:val="left"/>
            </w:pPr>
            <w:r>
              <w:rPr>
                <w:rFonts w:ascii="Arial" w:hAnsi="Arial" w:eastAsia="等线" w:cs="Arial"/>
                <w:sz w:val="22"/>
              </w:rPr>
              <w:t>21</w:t>
            </w:r>
          </w:p>
        </w:tc>
        <w:tc>
          <w:tcPr>
            <w:tcW w:w="1755" w:type="dxa"/>
            <w:tcMar>
              <w:top w:w="60" w:type="dxa"/>
              <w:left w:w="120" w:type="dxa"/>
              <w:bottom w:w="30" w:type="dxa"/>
              <w:right w:w="120" w:type="dxa"/>
            </w:tcMar>
          </w:tcPr>
          <w:p w14:paraId="75868FF1">
            <w:pPr>
              <w:spacing w:before="120" w:after="120" w:line="288" w:lineRule="auto"/>
              <w:ind w:left="0"/>
              <w:jc w:val="left"/>
            </w:pPr>
            <w:r>
              <w:rPr>
                <w:rFonts w:ascii="Arial" w:hAnsi="Arial" w:eastAsia="等线" w:cs="Arial"/>
                <w:sz w:val="22"/>
              </w:rPr>
              <w:t>Par Value</w:t>
            </w:r>
          </w:p>
          <w:p w14:paraId="0083730B">
            <w:pPr>
              <w:spacing w:before="120" w:after="120" w:line="288" w:lineRule="auto"/>
              <w:ind w:left="0"/>
              <w:jc w:val="left"/>
            </w:pPr>
          </w:p>
        </w:tc>
        <w:tc>
          <w:tcPr>
            <w:tcW w:w="1005" w:type="dxa"/>
            <w:tcMar>
              <w:top w:w="60" w:type="dxa"/>
              <w:left w:w="120" w:type="dxa"/>
              <w:bottom w:w="30" w:type="dxa"/>
              <w:right w:w="120" w:type="dxa"/>
            </w:tcMar>
          </w:tcPr>
          <w:p w14:paraId="039233A0">
            <w:pPr>
              <w:spacing w:before="120" w:after="120" w:line="288" w:lineRule="auto"/>
              <w:ind w:left="0"/>
              <w:jc w:val="left"/>
            </w:pPr>
            <w:r>
              <w:rPr>
                <w:rFonts w:ascii="Arial" w:hAnsi="Arial" w:eastAsia="等线" w:cs="Arial"/>
                <w:sz w:val="22"/>
              </w:rPr>
              <w:t>面值</w:t>
            </w:r>
          </w:p>
        </w:tc>
        <w:tc>
          <w:tcPr>
            <w:tcW w:w="2640" w:type="dxa"/>
            <w:tcMar>
              <w:top w:w="60" w:type="dxa"/>
              <w:left w:w="120" w:type="dxa"/>
              <w:bottom w:w="30" w:type="dxa"/>
              <w:right w:w="120" w:type="dxa"/>
            </w:tcMar>
          </w:tcPr>
          <w:p w14:paraId="47F6190A">
            <w:pPr>
              <w:spacing w:before="120" w:after="120" w:line="288" w:lineRule="auto"/>
              <w:ind w:left="0"/>
              <w:jc w:val="left"/>
            </w:pPr>
            <w:r>
              <w:rPr>
                <w:rFonts w:ascii="Arial" w:hAnsi="Arial" w:eastAsia="等线" w:cs="Arial"/>
                <w:sz w:val="22"/>
              </w:rPr>
              <w:t>债券的名义价值，通常为$1,000</w:t>
            </w:r>
          </w:p>
        </w:tc>
        <w:tc>
          <w:tcPr>
            <w:tcW w:w="2460" w:type="dxa"/>
            <w:tcMar>
              <w:top w:w="60" w:type="dxa"/>
              <w:left w:w="120" w:type="dxa"/>
              <w:bottom w:w="30" w:type="dxa"/>
              <w:right w:w="120" w:type="dxa"/>
            </w:tcMar>
          </w:tcPr>
          <w:p w14:paraId="42CE9195">
            <w:pPr>
              <w:spacing w:before="120" w:after="120" w:line="288" w:lineRule="auto"/>
              <w:ind w:left="0"/>
              <w:jc w:val="left"/>
            </w:pPr>
            <w:r>
              <w:rPr>
                <w:rFonts w:ascii="Arial" w:hAnsi="Arial" w:eastAsia="等线" w:cs="Arial"/>
                <w:sz w:val="22"/>
              </w:rPr>
              <w:t>Municipal bonds are usually issued at par. 市政债通常按面值发行。</w:t>
            </w:r>
          </w:p>
        </w:tc>
      </w:tr>
      <w:tr w14:paraId="66DAAAC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0" w:type="dxa"/>
            <w:tcMar>
              <w:top w:w="60" w:type="dxa"/>
              <w:left w:w="120" w:type="dxa"/>
              <w:bottom w:w="30" w:type="dxa"/>
              <w:right w:w="120" w:type="dxa"/>
            </w:tcMar>
          </w:tcPr>
          <w:p w14:paraId="63DE8ECF">
            <w:pPr>
              <w:spacing w:before="120" w:after="120" w:line="288" w:lineRule="auto"/>
              <w:ind w:left="0"/>
              <w:jc w:val="left"/>
            </w:pPr>
            <w:r>
              <w:rPr>
                <w:rFonts w:ascii="Arial" w:hAnsi="Arial" w:eastAsia="等线" w:cs="Arial"/>
                <w:sz w:val="22"/>
              </w:rPr>
              <w:t>22</w:t>
            </w:r>
          </w:p>
        </w:tc>
        <w:tc>
          <w:tcPr>
            <w:tcW w:w="1755" w:type="dxa"/>
            <w:tcMar>
              <w:top w:w="60" w:type="dxa"/>
              <w:left w:w="120" w:type="dxa"/>
              <w:bottom w:w="30" w:type="dxa"/>
              <w:right w:w="120" w:type="dxa"/>
            </w:tcMar>
          </w:tcPr>
          <w:p w14:paraId="7B4E6BA7">
            <w:pPr>
              <w:spacing w:before="120" w:after="120" w:line="288" w:lineRule="auto"/>
              <w:ind w:left="0"/>
              <w:jc w:val="left"/>
            </w:pPr>
            <w:r>
              <w:rPr>
                <w:rFonts w:ascii="Arial" w:hAnsi="Arial" w:eastAsia="等线" w:cs="Arial"/>
                <w:sz w:val="22"/>
              </w:rPr>
              <w:t>Maturity</w:t>
            </w:r>
          </w:p>
        </w:tc>
        <w:tc>
          <w:tcPr>
            <w:tcW w:w="1005" w:type="dxa"/>
            <w:tcMar>
              <w:top w:w="60" w:type="dxa"/>
              <w:left w:w="120" w:type="dxa"/>
              <w:bottom w:w="30" w:type="dxa"/>
              <w:right w:w="120" w:type="dxa"/>
            </w:tcMar>
          </w:tcPr>
          <w:p w14:paraId="712AD0DE">
            <w:pPr>
              <w:spacing w:before="120" w:after="120" w:line="288" w:lineRule="auto"/>
              <w:ind w:left="0"/>
              <w:jc w:val="left"/>
            </w:pPr>
            <w:r>
              <w:rPr>
                <w:rFonts w:ascii="Arial" w:hAnsi="Arial" w:eastAsia="等线" w:cs="Arial"/>
                <w:sz w:val="22"/>
              </w:rPr>
              <w:t>到期日</w:t>
            </w:r>
          </w:p>
        </w:tc>
        <w:tc>
          <w:tcPr>
            <w:tcW w:w="2640" w:type="dxa"/>
            <w:tcMar>
              <w:top w:w="60" w:type="dxa"/>
              <w:left w:w="120" w:type="dxa"/>
              <w:bottom w:w="30" w:type="dxa"/>
              <w:right w:w="120" w:type="dxa"/>
            </w:tcMar>
          </w:tcPr>
          <w:p w14:paraId="5950755C">
            <w:pPr>
              <w:spacing w:before="120" w:after="120" w:line="288" w:lineRule="auto"/>
              <w:ind w:left="0"/>
              <w:jc w:val="left"/>
            </w:pPr>
            <w:r>
              <w:rPr>
                <w:rFonts w:ascii="Arial" w:hAnsi="Arial" w:eastAsia="等线" w:cs="Arial"/>
                <w:sz w:val="22"/>
              </w:rPr>
              <w:t>债券偿还本金的日期</w:t>
            </w:r>
          </w:p>
        </w:tc>
        <w:tc>
          <w:tcPr>
            <w:tcW w:w="2460" w:type="dxa"/>
            <w:tcMar>
              <w:top w:w="60" w:type="dxa"/>
              <w:left w:w="120" w:type="dxa"/>
              <w:bottom w:w="30" w:type="dxa"/>
              <w:right w:w="120" w:type="dxa"/>
            </w:tcMar>
          </w:tcPr>
          <w:p w14:paraId="7783ED45">
            <w:pPr>
              <w:spacing w:before="120" w:after="120" w:line="288" w:lineRule="auto"/>
              <w:ind w:left="0"/>
              <w:jc w:val="left"/>
            </w:pPr>
            <w:r>
              <w:rPr>
                <w:rFonts w:ascii="Arial" w:hAnsi="Arial" w:eastAsia="等线" w:cs="Arial"/>
                <w:sz w:val="22"/>
              </w:rPr>
              <w:t>The bond matures in 10 years. 这只债券10年后到期。</w:t>
            </w:r>
          </w:p>
        </w:tc>
      </w:tr>
      <w:tr w14:paraId="7B1F3CD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0" w:type="dxa"/>
            <w:tcMar>
              <w:top w:w="60" w:type="dxa"/>
              <w:left w:w="120" w:type="dxa"/>
              <w:bottom w:w="30" w:type="dxa"/>
              <w:right w:w="120" w:type="dxa"/>
            </w:tcMar>
          </w:tcPr>
          <w:p w14:paraId="5E422FAD">
            <w:pPr>
              <w:spacing w:before="120" w:after="120" w:line="288" w:lineRule="auto"/>
              <w:ind w:left="0"/>
              <w:jc w:val="left"/>
            </w:pPr>
            <w:r>
              <w:rPr>
                <w:rFonts w:ascii="Arial" w:hAnsi="Arial" w:eastAsia="等线" w:cs="Arial"/>
                <w:sz w:val="22"/>
              </w:rPr>
              <w:t>23</w:t>
            </w:r>
          </w:p>
        </w:tc>
        <w:tc>
          <w:tcPr>
            <w:tcW w:w="1755" w:type="dxa"/>
            <w:tcMar>
              <w:top w:w="60" w:type="dxa"/>
              <w:left w:w="120" w:type="dxa"/>
              <w:bottom w:w="30" w:type="dxa"/>
              <w:right w:w="120" w:type="dxa"/>
            </w:tcMar>
          </w:tcPr>
          <w:p w14:paraId="7A4BE0FD">
            <w:pPr>
              <w:spacing w:before="120" w:after="120" w:line="288" w:lineRule="auto"/>
              <w:ind w:left="0"/>
              <w:jc w:val="left"/>
            </w:pPr>
            <w:r>
              <w:rPr>
                <w:rFonts w:ascii="Arial" w:hAnsi="Arial" w:eastAsia="等线" w:cs="Arial"/>
                <w:sz w:val="22"/>
              </w:rPr>
              <w:t>Yield</w:t>
            </w:r>
          </w:p>
        </w:tc>
        <w:tc>
          <w:tcPr>
            <w:tcW w:w="1005" w:type="dxa"/>
            <w:tcMar>
              <w:top w:w="60" w:type="dxa"/>
              <w:left w:w="120" w:type="dxa"/>
              <w:bottom w:w="30" w:type="dxa"/>
              <w:right w:w="120" w:type="dxa"/>
            </w:tcMar>
          </w:tcPr>
          <w:p w14:paraId="7C133D23">
            <w:pPr>
              <w:spacing w:before="120" w:after="120" w:line="288" w:lineRule="auto"/>
              <w:ind w:left="0"/>
              <w:jc w:val="left"/>
            </w:pPr>
            <w:r>
              <w:rPr>
                <w:rFonts w:ascii="Arial" w:hAnsi="Arial" w:eastAsia="等线" w:cs="Arial"/>
                <w:sz w:val="22"/>
              </w:rPr>
              <w:t>收益率</w:t>
            </w:r>
          </w:p>
        </w:tc>
        <w:tc>
          <w:tcPr>
            <w:tcW w:w="2640" w:type="dxa"/>
            <w:tcMar>
              <w:top w:w="60" w:type="dxa"/>
              <w:left w:w="120" w:type="dxa"/>
              <w:bottom w:w="30" w:type="dxa"/>
              <w:right w:w="120" w:type="dxa"/>
            </w:tcMar>
          </w:tcPr>
          <w:p w14:paraId="6911C2D7">
            <w:pPr>
              <w:spacing w:before="120" w:after="120" w:line="288" w:lineRule="auto"/>
              <w:ind w:left="0"/>
              <w:jc w:val="left"/>
            </w:pPr>
            <w:r>
              <w:rPr>
                <w:rFonts w:ascii="Arial" w:hAnsi="Arial" w:eastAsia="等线" w:cs="Arial"/>
                <w:sz w:val="22"/>
              </w:rPr>
              <w:t>债券的实际回报率，与利率、市场价格有关</w:t>
            </w:r>
          </w:p>
        </w:tc>
        <w:tc>
          <w:tcPr>
            <w:tcW w:w="2460" w:type="dxa"/>
            <w:tcMar>
              <w:top w:w="60" w:type="dxa"/>
              <w:left w:w="120" w:type="dxa"/>
              <w:bottom w:w="30" w:type="dxa"/>
              <w:right w:w="120" w:type="dxa"/>
            </w:tcMar>
          </w:tcPr>
          <w:p w14:paraId="2ADB3139">
            <w:pPr>
              <w:spacing w:before="120" w:after="120" w:line="288" w:lineRule="auto"/>
              <w:ind w:left="0"/>
              <w:jc w:val="left"/>
            </w:pPr>
            <w:r>
              <w:rPr>
                <w:rFonts w:ascii="Arial" w:hAnsi="Arial" w:eastAsia="等线" w:cs="Arial"/>
                <w:sz w:val="22"/>
              </w:rPr>
              <w:t>Munis often offer lower yields due to tax benefits. 市政债因税优而收益较低。</w:t>
            </w:r>
          </w:p>
        </w:tc>
      </w:tr>
      <w:tr w14:paraId="1F6440D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0" w:type="dxa"/>
            <w:tcMar>
              <w:top w:w="60" w:type="dxa"/>
              <w:left w:w="120" w:type="dxa"/>
              <w:bottom w:w="30" w:type="dxa"/>
              <w:right w:w="120" w:type="dxa"/>
            </w:tcMar>
          </w:tcPr>
          <w:p w14:paraId="00501556">
            <w:pPr>
              <w:spacing w:before="120" w:after="120" w:line="288" w:lineRule="auto"/>
              <w:ind w:left="0"/>
              <w:jc w:val="left"/>
            </w:pPr>
            <w:r>
              <w:rPr>
                <w:rFonts w:ascii="Arial" w:hAnsi="Arial" w:eastAsia="等线" w:cs="Arial"/>
                <w:sz w:val="22"/>
              </w:rPr>
              <w:t>24</w:t>
            </w:r>
          </w:p>
        </w:tc>
        <w:tc>
          <w:tcPr>
            <w:tcW w:w="1755" w:type="dxa"/>
            <w:tcMar>
              <w:top w:w="60" w:type="dxa"/>
              <w:left w:w="120" w:type="dxa"/>
              <w:bottom w:w="30" w:type="dxa"/>
              <w:right w:w="120" w:type="dxa"/>
            </w:tcMar>
          </w:tcPr>
          <w:p w14:paraId="5D92A779">
            <w:pPr>
              <w:spacing w:before="120" w:after="120" w:line="288" w:lineRule="auto"/>
              <w:ind w:left="0"/>
              <w:jc w:val="left"/>
            </w:pPr>
            <w:r>
              <w:rPr>
                <w:rFonts w:ascii="Arial" w:hAnsi="Arial" w:eastAsia="等线" w:cs="Arial"/>
                <w:sz w:val="22"/>
              </w:rPr>
              <w:t>Liquidity</w:t>
            </w:r>
          </w:p>
        </w:tc>
        <w:tc>
          <w:tcPr>
            <w:tcW w:w="1005" w:type="dxa"/>
            <w:tcMar>
              <w:top w:w="60" w:type="dxa"/>
              <w:left w:w="120" w:type="dxa"/>
              <w:bottom w:w="30" w:type="dxa"/>
              <w:right w:w="120" w:type="dxa"/>
            </w:tcMar>
          </w:tcPr>
          <w:p w14:paraId="243DA4B2">
            <w:pPr>
              <w:spacing w:before="120" w:after="120" w:line="288" w:lineRule="auto"/>
              <w:ind w:left="0"/>
              <w:jc w:val="left"/>
            </w:pPr>
            <w:r>
              <w:rPr>
                <w:rFonts w:ascii="Arial" w:hAnsi="Arial" w:eastAsia="等线" w:cs="Arial"/>
                <w:sz w:val="22"/>
              </w:rPr>
              <w:t>流动性</w:t>
            </w:r>
          </w:p>
        </w:tc>
        <w:tc>
          <w:tcPr>
            <w:tcW w:w="2640" w:type="dxa"/>
            <w:tcMar>
              <w:top w:w="60" w:type="dxa"/>
              <w:left w:w="120" w:type="dxa"/>
              <w:bottom w:w="30" w:type="dxa"/>
              <w:right w:w="120" w:type="dxa"/>
            </w:tcMar>
          </w:tcPr>
          <w:p w14:paraId="7F28E9E4">
            <w:pPr>
              <w:spacing w:before="120" w:after="120" w:line="288" w:lineRule="auto"/>
              <w:ind w:left="0"/>
              <w:jc w:val="left"/>
            </w:pPr>
            <w:r>
              <w:rPr>
                <w:rFonts w:ascii="Arial" w:hAnsi="Arial" w:eastAsia="等线" w:cs="Arial"/>
                <w:sz w:val="22"/>
              </w:rPr>
              <w:t>投资能否快速变现，LGIP 强调流动性</w:t>
            </w:r>
          </w:p>
        </w:tc>
        <w:tc>
          <w:tcPr>
            <w:tcW w:w="2460" w:type="dxa"/>
            <w:tcMar>
              <w:top w:w="60" w:type="dxa"/>
              <w:left w:w="120" w:type="dxa"/>
              <w:bottom w:w="30" w:type="dxa"/>
              <w:right w:w="120" w:type="dxa"/>
            </w:tcMar>
          </w:tcPr>
          <w:p w14:paraId="44D042A5">
            <w:pPr>
              <w:spacing w:before="120" w:after="120" w:line="288" w:lineRule="auto"/>
              <w:ind w:left="0"/>
              <w:jc w:val="left"/>
            </w:pPr>
            <w:r>
              <w:rPr>
                <w:rFonts w:ascii="Arial" w:hAnsi="Arial" w:eastAsia="等线" w:cs="Arial"/>
                <w:sz w:val="22"/>
              </w:rPr>
              <w:t>LGIPs provide daily liquidity for governments. LGIP 为政府提供每日流动性。</w:t>
            </w:r>
          </w:p>
        </w:tc>
      </w:tr>
      <w:tr w14:paraId="564FFC1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0" w:type="dxa"/>
            <w:tcMar>
              <w:top w:w="60" w:type="dxa"/>
              <w:left w:w="120" w:type="dxa"/>
              <w:bottom w:w="30" w:type="dxa"/>
              <w:right w:w="120" w:type="dxa"/>
            </w:tcMar>
          </w:tcPr>
          <w:p w14:paraId="09A8DC2B">
            <w:pPr>
              <w:spacing w:before="120" w:after="120" w:line="288" w:lineRule="auto"/>
              <w:ind w:left="0"/>
              <w:jc w:val="left"/>
            </w:pPr>
            <w:r>
              <w:rPr>
                <w:rFonts w:ascii="Arial" w:hAnsi="Arial" w:eastAsia="等线" w:cs="Arial"/>
                <w:sz w:val="22"/>
              </w:rPr>
              <w:t>25</w:t>
            </w:r>
          </w:p>
        </w:tc>
        <w:tc>
          <w:tcPr>
            <w:tcW w:w="1755" w:type="dxa"/>
            <w:tcMar>
              <w:top w:w="60" w:type="dxa"/>
              <w:left w:w="120" w:type="dxa"/>
              <w:bottom w:w="30" w:type="dxa"/>
              <w:right w:w="120" w:type="dxa"/>
            </w:tcMar>
          </w:tcPr>
          <w:p w14:paraId="6D56A180">
            <w:pPr>
              <w:spacing w:before="120" w:after="120" w:line="288" w:lineRule="auto"/>
              <w:ind w:left="0"/>
              <w:jc w:val="left"/>
            </w:pPr>
            <w:r>
              <w:rPr>
                <w:rFonts w:ascii="Arial" w:hAnsi="Arial" w:eastAsia="等线" w:cs="Arial"/>
                <w:sz w:val="22"/>
              </w:rPr>
              <w:t>Bond Proceeds</w:t>
            </w:r>
          </w:p>
        </w:tc>
        <w:tc>
          <w:tcPr>
            <w:tcW w:w="1005" w:type="dxa"/>
            <w:tcMar>
              <w:top w:w="60" w:type="dxa"/>
              <w:left w:w="120" w:type="dxa"/>
              <w:bottom w:w="30" w:type="dxa"/>
              <w:right w:w="120" w:type="dxa"/>
            </w:tcMar>
          </w:tcPr>
          <w:p w14:paraId="00193BE2">
            <w:pPr>
              <w:spacing w:before="120" w:after="120" w:line="288" w:lineRule="auto"/>
              <w:ind w:left="0"/>
              <w:jc w:val="left"/>
            </w:pPr>
            <w:r>
              <w:rPr>
                <w:rFonts w:ascii="Arial" w:hAnsi="Arial" w:eastAsia="等线" w:cs="Arial"/>
                <w:sz w:val="22"/>
              </w:rPr>
              <w:t>债券筹资所得</w:t>
            </w:r>
          </w:p>
        </w:tc>
        <w:tc>
          <w:tcPr>
            <w:tcW w:w="2640" w:type="dxa"/>
            <w:tcMar>
              <w:top w:w="60" w:type="dxa"/>
              <w:left w:w="120" w:type="dxa"/>
              <w:bottom w:w="30" w:type="dxa"/>
              <w:right w:w="120" w:type="dxa"/>
            </w:tcMar>
          </w:tcPr>
          <w:p w14:paraId="7520C3B2">
            <w:pPr>
              <w:spacing w:before="120" w:after="120" w:line="288" w:lineRule="auto"/>
              <w:ind w:left="0"/>
              <w:jc w:val="left"/>
            </w:pPr>
            <w:r>
              <w:rPr>
                <w:rFonts w:ascii="Arial" w:hAnsi="Arial" w:eastAsia="等线" w:cs="Arial"/>
                <w:sz w:val="22"/>
              </w:rPr>
              <w:t>政府通过发行债券获得的资金</w:t>
            </w:r>
          </w:p>
        </w:tc>
        <w:tc>
          <w:tcPr>
            <w:tcW w:w="2460" w:type="dxa"/>
            <w:tcMar>
              <w:top w:w="60" w:type="dxa"/>
              <w:left w:w="120" w:type="dxa"/>
              <w:bottom w:w="30" w:type="dxa"/>
              <w:right w:w="120" w:type="dxa"/>
            </w:tcMar>
          </w:tcPr>
          <w:p w14:paraId="0D2DA1A0">
            <w:pPr>
              <w:spacing w:before="120" w:after="120" w:line="288" w:lineRule="auto"/>
              <w:ind w:left="0"/>
              <w:jc w:val="left"/>
            </w:pPr>
            <w:r>
              <w:rPr>
                <w:rFonts w:ascii="Arial" w:hAnsi="Arial" w:eastAsia="等线" w:cs="Arial"/>
                <w:sz w:val="22"/>
              </w:rPr>
              <w:t>Bond proceeds will fund the new school building. 债券所得将用于建新学校。</w:t>
            </w:r>
          </w:p>
        </w:tc>
      </w:tr>
      <w:tr w14:paraId="7E5BAE7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0" w:type="dxa"/>
            <w:tcMar>
              <w:top w:w="60" w:type="dxa"/>
              <w:left w:w="120" w:type="dxa"/>
              <w:bottom w:w="30" w:type="dxa"/>
              <w:right w:w="120" w:type="dxa"/>
            </w:tcMar>
          </w:tcPr>
          <w:p w14:paraId="32655E66">
            <w:pPr>
              <w:spacing w:before="120" w:after="120" w:line="288" w:lineRule="auto"/>
              <w:ind w:left="0"/>
              <w:jc w:val="left"/>
            </w:pPr>
            <w:r>
              <w:rPr>
                <w:rFonts w:ascii="Arial" w:hAnsi="Arial" w:eastAsia="等线" w:cs="Arial"/>
                <w:sz w:val="22"/>
              </w:rPr>
              <w:t>26</w:t>
            </w:r>
          </w:p>
        </w:tc>
        <w:tc>
          <w:tcPr>
            <w:tcW w:w="1755" w:type="dxa"/>
            <w:tcMar>
              <w:top w:w="60" w:type="dxa"/>
              <w:left w:w="120" w:type="dxa"/>
              <w:bottom w:w="30" w:type="dxa"/>
              <w:right w:w="120" w:type="dxa"/>
            </w:tcMar>
          </w:tcPr>
          <w:p w14:paraId="6A273123">
            <w:pPr>
              <w:spacing w:before="120" w:after="120" w:line="288" w:lineRule="auto"/>
              <w:ind w:left="0"/>
              <w:jc w:val="left"/>
            </w:pPr>
            <w:r>
              <w:rPr>
                <w:rFonts w:ascii="Arial" w:hAnsi="Arial" w:eastAsia="等线" w:cs="Arial"/>
                <w:sz w:val="22"/>
              </w:rPr>
              <w:t>Debt Service</w:t>
            </w:r>
          </w:p>
        </w:tc>
        <w:tc>
          <w:tcPr>
            <w:tcW w:w="1005" w:type="dxa"/>
            <w:tcMar>
              <w:top w:w="60" w:type="dxa"/>
              <w:left w:w="120" w:type="dxa"/>
              <w:bottom w:w="30" w:type="dxa"/>
              <w:right w:w="120" w:type="dxa"/>
            </w:tcMar>
          </w:tcPr>
          <w:p w14:paraId="4E6AE14F">
            <w:pPr>
              <w:spacing w:before="120" w:after="120" w:line="288" w:lineRule="auto"/>
              <w:ind w:left="0"/>
              <w:jc w:val="left"/>
            </w:pPr>
            <w:r>
              <w:rPr>
                <w:rFonts w:ascii="Arial" w:hAnsi="Arial" w:eastAsia="等线" w:cs="Arial"/>
                <w:sz w:val="22"/>
              </w:rPr>
              <w:t>债务服务</w:t>
            </w:r>
          </w:p>
        </w:tc>
        <w:tc>
          <w:tcPr>
            <w:tcW w:w="2640" w:type="dxa"/>
            <w:tcMar>
              <w:top w:w="60" w:type="dxa"/>
              <w:left w:w="120" w:type="dxa"/>
              <w:bottom w:w="30" w:type="dxa"/>
              <w:right w:w="120" w:type="dxa"/>
            </w:tcMar>
          </w:tcPr>
          <w:p w14:paraId="6F9C4630">
            <w:pPr>
              <w:spacing w:before="120" w:after="120" w:line="288" w:lineRule="auto"/>
              <w:ind w:left="0"/>
              <w:jc w:val="left"/>
            </w:pPr>
            <w:r>
              <w:rPr>
                <w:rFonts w:ascii="Arial" w:hAnsi="Arial" w:eastAsia="等线" w:cs="Arial"/>
                <w:sz w:val="22"/>
              </w:rPr>
              <w:t>指还本付息的资金安排</w:t>
            </w:r>
          </w:p>
        </w:tc>
        <w:tc>
          <w:tcPr>
            <w:tcW w:w="2460" w:type="dxa"/>
            <w:tcMar>
              <w:top w:w="60" w:type="dxa"/>
              <w:left w:w="120" w:type="dxa"/>
              <w:bottom w:w="30" w:type="dxa"/>
              <w:right w:w="120" w:type="dxa"/>
            </w:tcMar>
          </w:tcPr>
          <w:p w14:paraId="4BD5BFD3">
            <w:pPr>
              <w:spacing w:before="120" w:after="120" w:line="288" w:lineRule="auto"/>
              <w:ind w:left="0"/>
              <w:jc w:val="left"/>
            </w:pPr>
            <w:r>
              <w:rPr>
                <w:rFonts w:ascii="Arial" w:hAnsi="Arial" w:eastAsia="等线" w:cs="Arial"/>
                <w:sz w:val="22"/>
              </w:rPr>
              <w:t>The city budgeted for annual debt service. 市政府已为每年的债务偿还做好预算。</w:t>
            </w:r>
          </w:p>
        </w:tc>
      </w:tr>
      <w:tr w14:paraId="0E80C45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0" w:type="dxa"/>
            <w:tcMar>
              <w:top w:w="60" w:type="dxa"/>
              <w:left w:w="120" w:type="dxa"/>
              <w:bottom w:w="30" w:type="dxa"/>
              <w:right w:w="120" w:type="dxa"/>
            </w:tcMar>
          </w:tcPr>
          <w:p w14:paraId="70EFF725">
            <w:pPr>
              <w:spacing w:before="120" w:after="120" w:line="288" w:lineRule="auto"/>
              <w:ind w:left="0"/>
              <w:jc w:val="left"/>
            </w:pPr>
            <w:r>
              <w:rPr>
                <w:rFonts w:ascii="Arial" w:hAnsi="Arial" w:eastAsia="等线" w:cs="Arial"/>
                <w:sz w:val="22"/>
              </w:rPr>
              <w:t>27</w:t>
            </w:r>
          </w:p>
        </w:tc>
        <w:tc>
          <w:tcPr>
            <w:tcW w:w="1755" w:type="dxa"/>
            <w:tcMar>
              <w:top w:w="60" w:type="dxa"/>
              <w:left w:w="120" w:type="dxa"/>
              <w:bottom w:w="30" w:type="dxa"/>
              <w:right w:w="120" w:type="dxa"/>
            </w:tcMar>
          </w:tcPr>
          <w:p w14:paraId="4E655B35">
            <w:pPr>
              <w:spacing w:before="120" w:after="120" w:line="288" w:lineRule="auto"/>
              <w:ind w:left="0"/>
              <w:jc w:val="left"/>
            </w:pPr>
            <w:r>
              <w:rPr>
                <w:rFonts w:ascii="Arial" w:hAnsi="Arial" w:eastAsia="等线" w:cs="Arial"/>
                <w:sz w:val="22"/>
              </w:rPr>
              <w:t>Moral Obligation Bond</w:t>
            </w:r>
          </w:p>
        </w:tc>
        <w:tc>
          <w:tcPr>
            <w:tcW w:w="1005" w:type="dxa"/>
            <w:tcMar>
              <w:top w:w="60" w:type="dxa"/>
              <w:left w:w="120" w:type="dxa"/>
              <w:bottom w:w="30" w:type="dxa"/>
              <w:right w:w="120" w:type="dxa"/>
            </w:tcMar>
          </w:tcPr>
          <w:p w14:paraId="280C804A">
            <w:pPr>
              <w:spacing w:before="120" w:after="120" w:line="288" w:lineRule="auto"/>
              <w:ind w:left="0"/>
              <w:jc w:val="left"/>
            </w:pPr>
            <w:r>
              <w:rPr>
                <w:rFonts w:ascii="Arial" w:hAnsi="Arial" w:eastAsia="等线" w:cs="Arial"/>
                <w:sz w:val="22"/>
              </w:rPr>
              <w:t>道义担保债</w:t>
            </w:r>
          </w:p>
          <w:p w14:paraId="2B872573">
            <w:pPr>
              <w:spacing w:before="120" w:after="120" w:line="288" w:lineRule="auto"/>
              <w:ind w:left="0"/>
              <w:jc w:val="left"/>
            </w:pPr>
          </w:p>
        </w:tc>
        <w:tc>
          <w:tcPr>
            <w:tcW w:w="2640" w:type="dxa"/>
            <w:tcMar>
              <w:top w:w="60" w:type="dxa"/>
              <w:left w:w="120" w:type="dxa"/>
              <w:bottom w:w="30" w:type="dxa"/>
              <w:right w:w="120" w:type="dxa"/>
            </w:tcMar>
          </w:tcPr>
          <w:p w14:paraId="39962083">
            <w:pPr>
              <w:spacing w:before="120" w:after="120" w:line="288" w:lineRule="auto"/>
              <w:ind w:left="0"/>
              <w:jc w:val="left"/>
            </w:pPr>
            <w:r>
              <w:rPr>
                <w:rFonts w:ascii="Arial" w:hAnsi="Arial" w:eastAsia="等线" w:cs="Arial"/>
                <w:sz w:val="22"/>
              </w:rPr>
              <w:t>无法律强制偿还义务，但政府或机构承诺“道义上”承担责任</w:t>
            </w:r>
          </w:p>
        </w:tc>
        <w:tc>
          <w:tcPr>
            <w:tcW w:w="2460" w:type="dxa"/>
            <w:tcMar>
              <w:top w:w="60" w:type="dxa"/>
              <w:left w:w="120" w:type="dxa"/>
              <w:bottom w:w="30" w:type="dxa"/>
              <w:right w:w="120" w:type="dxa"/>
            </w:tcMar>
          </w:tcPr>
          <w:p w14:paraId="1E61ABAC">
            <w:pPr>
              <w:spacing w:before="120" w:after="120" w:line="288" w:lineRule="auto"/>
              <w:ind w:left="0"/>
              <w:jc w:val="left"/>
            </w:pPr>
            <w:r>
              <w:rPr>
                <w:rFonts w:ascii="Arial" w:hAnsi="Arial" w:eastAsia="等线" w:cs="Arial"/>
                <w:sz w:val="22"/>
              </w:rPr>
              <w:t>Moral obligation bonds carry higher risk.</w:t>
            </w:r>
          </w:p>
          <w:p w14:paraId="0BD7876E">
            <w:pPr>
              <w:spacing w:before="120" w:after="120" w:line="288" w:lineRule="auto"/>
              <w:ind w:left="0"/>
              <w:jc w:val="left"/>
            </w:pPr>
            <w:r>
              <w:rPr>
                <w:rFonts w:ascii="Arial" w:hAnsi="Arial" w:eastAsia="等线" w:cs="Arial"/>
                <w:sz w:val="22"/>
              </w:rPr>
              <w:t>道义担保债风险较高。</w:t>
            </w:r>
          </w:p>
        </w:tc>
      </w:tr>
      <w:tr w14:paraId="47C9C7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0" w:type="dxa"/>
            <w:tcMar>
              <w:top w:w="60" w:type="dxa"/>
              <w:left w:w="120" w:type="dxa"/>
              <w:bottom w:w="30" w:type="dxa"/>
              <w:right w:w="120" w:type="dxa"/>
            </w:tcMar>
          </w:tcPr>
          <w:p w14:paraId="01201B10">
            <w:pPr>
              <w:spacing w:before="120" w:after="120" w:line="288" w:lineRule="auto"/>
              <w:ind w:left="0"/>
              <w:jc w:val="left"/>
            </w:pPr>
            <w:r>
              <w:rPr>
                <w:rFonts w:ascii="Arial" w:hAnsi="Arial" w:eastAsia="等线" w:cs="Arial"/>
                <w:sz w:val="22"/>
              </w:rPr>
              <w:t>28</w:t>
            </w:r>
          </w:p>
        </w:tc>
        <w:tc>
          <w:tcPr>
            <w:tcW w:w="1755" w:type="dxa"/>
            <w:tcMar>
              <w:top w:w="60" w:type="dxa"/>
              <w:left w:w="120" w:type="dxa"/>
              <w:bottom w:w="30" w:type="dxa"/>
              <w:right w:w="120" w:type="dxa"/>
            </w:tcMar>
          </w:tcPr>
          <w:p w14:paraId="580B13B2">
            <w:pPr>
              <w:spacing w:before="120" w:after="120" w:line="288" w:lineRule="auto"/>
              <w:ind w:left="0"/>
              <w:jc w:val="left"/>
            </w:pPr>
            <w:r>
              <w:rPr>
                <w:rFonts w:ascii="Arial" w:hAnsi="Arial" w:eastAsia="等线" w:cs="Arial"/>
                <w:sz w:val="22"/>
              </w:rPr>
              <w:t>Industrial Development Bond (IDB)</w:t>
            </w:r>
          </w:p>
        </w:tc>
        <w:tc>
          <w:tcPr>
            <w:tcW w:w="1005" w:type="dxa"/>
            <w:tcMar>
              <w:top w:w="60" w:type="dxa"/>
              <w:left w:w="120" w:type="dxa"/>
              <w:bottom w:w="30" w:type="dxa"/>
              <w:right w:w="120" w:type="dxa"/>
            </w:tcMar>
          </w:tcPr>
          <w:p w14:paraId="16747E95">
            <w:pPr>
              <w:spacing w:before="120" w:after="120" w:line="288" w:lineRule="auto"/>
              <w:ind w:left="0"/>
              <w:jc w:val="left"/>
            </w:pPr>
            <w:r>
              <w:rPr>
                <w:rFonts w:ascii="Arial" w:hAnsi="Arial" w:eastAsia="等线" w:cs="Arial"/>
                <w:sz w:val="22"/>
              </w:rPr>
              <w:t>工业发展债券</w:t>
            </w:r>
          </w:p>
        </w:tc>
        <w:tc>
          <w:tcPr>
            <w:tcW w:w="2640" w:type="dxa"/>
            <w:tcMar>
              <w:top w:w="60" w:type="dxa"/>
              <w:left w:w="120" w:type="dxa"/>
              <w:bottom w:w="30" w:type="dxa"/>
              <w:right w:w="120" w:type="dxa"/>
            </w:tcMar>
          </w:tcPr>
          <w:p w14:paraId="5F6EB466">
            <w:pPr>
              <w:spacing w:before="120" w:after="120" w:line="288" w:lineRule="auto"/>
              <w:ind w:left="0"/>
              <w:jc w:val="left"/>
            </w:pPr>
            <w:r>
              <w:rPr>
                <w:rFonts w:ascii="Arial" w:hAnsi="Arial" w:eastAsia="等线" w:cs="Arial"/>
                <w:sz w:val="22"/>
              </w:rPr>
              <w:t>为私人公司项目融资而发行，通常不免税</w:t>
            </w:r>
          </w:p>
        </w:tc>
        <w:tc>
          <w:tcPr>
            <w:tcW w:w="2460" w:type="dxa"/>
            <w:tcMar>
              <w:top w:w="60" w:type="dxa"/>
              <w:left w:w="120" w:type="dxa"/>
              <w:bottom w:w="30" w:type="dxa"/>
              <w:right w:w="120" w:type="dxa"/>
            </w:tcMar>
          </w:tcPr>
          <w:p w14:paraId="2D1E8DD6">
            <w:pPr>
              <w:spacing w:before="120" w:after="120" w:line="288" w:lineRule="auto"/>
              <w:ind w:left="0"/>
              <w:jc w:val="left"/>
            </w:pPr>
            <w:r>
              <w:rPr>
                <w:rFonts w:ascii="Arial" w:hAnsi="Arial" w:eastAsia="等线" w:cs="Arial"/>
                <w:sz w:val="22"/>
              </w:rPr>
              <w:t>IDBs may be taxable if used for private benefit. 若用于私人用途，IDB 可能应税。</w:t>
            </w:r>
          </w:p>
        </w:tc>
      </w:tr>
      <w:tr w14:paraId="69D5C85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0" w:type="dxa"/>
            <w:tcMar>
              <w:top w:w="60" w:type="dxa"/>
              <w:left w:w="120" w:type="dxa"/>
              <w:bottom w:w="30" w:type="dxa"/>
              <w:right w:w="120" w:type="dxa"/>
            </w:tcMar>
          </w:tcPr>
          <w:p w14:paraId="49711BCE">
            <w:pPr>
              <w:spacing w:before="120" w:after="120" w:line="288" w:lineRule="auto"/>
              <w:ind w:left="0"/>
              <w:jc w:val="left"/>
            </w:pPr>
            <w:r>
              <w:rPr>
                <w:rFonts w:ascii="Arial" w:hAnsi="Arial" w:eastAsia="等线" w:cs="Arial"/>
                <w:sz w:val="22"/>
              </w:rPr>
              <w:t>29</w:t>
            </w:r>
          </w:p>
        </w:tc>
        <w:tc>
          <w:tcPr>
            <w:tcW w:w="1755" w:type="dxa"/>
            <w:tcMar>
              <w:top w:w="60" w:type="dxa"/>
              <w:left w:w="120" w:type="dxa"/>
              <w:bottom w:w="30" w:type="dxa"/>
              <w:right w:w="120" w:type="dxa"/>
            </w:tcMar>
          </w:tcPr>
          <w:p w14:paraId="3F13D22B">
            <w:pPr>
              <w:spacing w:before="120" w:after="120" w:line="288" w:lineRule="auto"/>
              <w:ind w:left="0"/>
              <w:jc w:val="left"/>
            </w:pPr>
            <w:r>
              <w:rPr>
                <w:rFonts w:ascii="Arial" w:hAnsi="Arial" w:eastAsia="等线" w:cs="Arial"/>
                <w:sz w:val="22"/>
              </w:rPr>
              <w:t>Arbitrage</w:t>
            </w:r>
          </w:p>
        </w:tc>
        <w:tc>
          <w:tcPr>
            <w:tcW w:w="1005" w:type="dxa"/>
            <w:tcMar>
              <w:top w:w="60" w:type="dxa"/>
              <w:left w:w="120" w:type="dxa"/>
              <w:bottom w:w="30" w:type="dxa"/>
              <w:right w:w="120" w:type="dxa"/>
            </w:tcMar>
          </w:tcPr>
          <w:p w14:paraId="51F9FD29">
            <w:pPr>
              <w:spacing w:before="120" w:after="120" w:line="288" w:lineRule="auto"/>
              <w:ind w:left="0"/>
              <w:jc w:val="left"/>
            </w:pPr>
            <w:r>
              <w:rPr>
                <w:rFonts w:ascii="Arial" w:hAnsi="Arial" w:eastAsia="等线" w:cs="Arial"/>
                <w:sz w:val="22"/>
              </w:rPr>
              <w:t>套利</w:t>
            </w:r>
          </w:p>
        </w:tc>
        <w:tc>
          <w:tcPr>
            <w:tcW w:w="2640" w:type="dxa"/>
            <w:tcMar>
              <w:top w:w="60" w:type="dxa"/>
              <w:left w:w="120" w:type="dxa"/>
              <w:bottom w:w="30" w:type="dxa"/>
              <w:right w:w="120" w:type="dxa"/>
            </w:tcMar>
          </w:tcPr>
          <w:p w14:paraId="3528E264">
            <w:pPr>
              <w:spacing w:before="120" w:after="120" w:line="288" w:lineRule="auto"/>
              <w:ind w:left="0"/>
              <w:jc w:val="left"/>
            </w:pPr>
            <w:r>
              <w:rPr>
                <w:rFonts w:ascii="Arial" w:hAnsi="Arial" w:eastAsia="等线" w:cs="Arial"/>
                <w:sz w:val="22"/>
              </w:rPr>
              <w:t>指利用税差或价格差异获利；市政债套利行为受 IRS 限制</w:t>
            </w:r>
          </w:p>
        </w:tc>
        <w:tc>
          <w:tcPr>
            <w:tcW w:w="2460" w:type="dxa"/>
            <w:tcMar>
              <w:top w:w="60" w:type="dxa"/>
              <w:left w:w="120" w:type="dxa"/>
              <w:bottom w:w="30" w:type="dxa"/>
              <w:right w:w="120" w:type="dxa"/>
            </w:tcMar>
          </w:tcPr>
          <w:p w14:paraId="1758179A">
            <w:pPr>
              <w:spacing w:before="120" w:after="120" w:line="288" w:lineRule="auto"/>
              <w:ind w:left="0"/>
              <w:jc w:val="left"/>
            </w:pPr>
            <w:r>
              <w:rPr>
                <w:rFonts w:ascii="Arial" w:hAnsi="Arial" w:eastAsia="等线" w:cs="Arial"/>
                <w:sz w:val="22"/>
              </w:rPr>
              <w:t>Municipal bond arbitrage is subject to IRS rules. 市政债套利受 IRS 规则限制。</w:t>
            </w:r>
          </w:p>
        </w:tc>
      </w:tr>
      <w:tr w14:paraId="5C08316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0" w:type="dxa"/>
            <w:tcMar>
              <w:top w:w="60" w:type="dxa"/>
              <w:left w:w="120" w:type="dxa"/>
              <w:bottom w:w="30" w:type="dxa"/>
              <w:right w:w="120" w:type="dxa"/>
            </w:tcMar>
          </w:tcPr>
          <w:p w14:paraId="6AEDBE7A">
            <w:pPr>
              <w:spacing w:before="120" w:after="120" w:line="288" w:lineRule="auto"/>
              <w:ind w:left="0"/>
              <w:jc w:val="left"/>
            </w:pPr>
            <w:r>
              <w:rPr>
                <w:rFonts w:ascii="Arial" w:hAnsi="Arial" w:eastAsia="等线" w:cs="Arial"/>
                <w:sz w:val="22"/>
              </w:rPr>
              <w:t>30</w:t>
            </w:r>
          </w:p>
        </w:tc>
        <w:tc>
          <w:tcPr>
            <w:tcW w:w="1755" w:type="dxa"/>
            <w:tcMar>
              <w:top w:w="60" w:type="dxa"/>
              <w:left w:w="120" w:type="dxa"/>
              <w:bottom w:w="30" w:type="dxa"/>
              <w:right w:w="120" w:type="dxa"/>
            </w:tcMar>
          </w:tcPr>
          <w:p w14:paraId="45299B0E">
            <w:pPr>
              <w:spacing w:before="120" w:after="120" w:line="288" w:lineRule="auto"/>
              <w:ind w:left="0"/>
              <w:jc w:val="left"/>
            </w:pPr>
            <w:r>
              <w:rPr>
                <w:rFonts w:ascii="Arial" w:hAnsi="Arial" w:eastAsia="等线" w:cs="Arial"/>
                <w:sz w:val="22"/>
              </w:rPr>
              <w:t>Official Notice of Sale</w:t>
            </w:r>
          </w:p>
        </w:tc>
        <w:tc>
          <w:tcPr>
            <w:tcW w:w="1005" w:type="dxa"/>
            <w:tcMar>
              <w:top w:w="60" w:type="dxa"/>
              <w:left w:w="120" w:type="dxa"/>
              <w:bottom w:w="30" w:type="dxa"/>
              <w:right w:w="120" w:type="dxa"/>
            </w:tcMar>
          </w:tcPr>
          <w:p w14:paraId="43100A77">
            <w:pPr>
              <w:spacing w:before="120" w:after="120" w:line="288" w:lineRule="auto"/>
              <w:ind w:left="0"/>
              <w:jc w:val="left"/>
            </w:pPr>
            <w:r>
              <w:rPr>
                <w:rFonts w:ascii="Arial" w:hAnsi="Arial" w:eastAsia="等线" w:cs="Arial"/>
                <w:sz w:val="22"/>
              </w:rPr>
              <w:t>招标公告</w:t>
            </w:r>
          </w:p>
        </w:tc>
        <w:tc>
          <w:tcPr>
            <w:tcW w:w="2640" w:type="dxa"/>
            <w:tcMar>
              <w:top w:w="60" w:type="dxa"/>
              <w:left w:w="120" w:type="dxa"/>
              <w:bottom w:w="30" w:type="dxa"/>
              <w:right w:w="120" w:type="dxa"/>
            </w:tcMar>
          </w:tcPr>
          <w:p w14:paraId="168E68BD">
            <w:pPr>
              <w:spacing w:before="120" w:after="120" w:line="288" w:lineRule="auto"/>
              <w:ind w:left="0"/>
              <w:jc w:val="left"/>
            </w:pPr>
            <w:r>
              <w:rPr>
                <w:rFonts w:ascii="Arial" w:hAnsi="Arial" w:eastAsia="等线" w:cs="Arial"/>
                <w:sz w:val="22"/>
              </w:rPr>
              <w:t>政府公开发布的发债招标通知，说明发债条件</w:t>
            </w:r>
          </w:p>
        </w:tc>
        <w:tc>
          <w:tcPr>
            <w:tcW w:w="2460" w:type="dxa"/>
            <w:tcMar>
              <w:top w:w="60" w:type="dxa"/>
              <w:left w:w="120" w:type="dxa"/>
              <w:bottom w:w="30" w:type="dxa"/>
              <w:right w:w="120" w:type="dxa"/>
            </w:tcMar>
          </w:tcPr>
          <w:p w14:paraId="0AE130AC">
            <w:pPr>
              <w:spacing w:before="120" w:after="120" w:line="288" w:lineRule="auto"/>
              <w:ind w:left="0"/>
              <w:jc w:val="left"/>
            </w:pPr>
            <w:r>
              <w:rPr>
                <w:rFonts w:ascii="Arial" w:hAnsi="Arial" w:eastAsia="等线" w:cs="Arial"/>
                <w:sz w:val="22"/>
              </w:rPr>
              <w:t>Underwriters review the notice of sale before bidding. 承销商在投标前会阅读招标通知。</w:t>
            </w:r>
          </w:p>
        </w:tc>
      </w:tr>
    </w:tbl>
    <w:p w14:paraId="69259BC7">
      <w:pPr>
        <w:spacing w:before="380" w:after="140" w:line="288" w:lineRule="auto"/>
        <w:ind w:left="0"/>
        <w:jc w:val="left"/>
        <w:outlineLvl w:val="0"/>
      </w:pPr>
      <w:bookmarkStart w:id="42" w:name="heading_42"/>
      <w:r>
        <w:rPr>
          <w:rFonts w:ascii="Arial" w:hAnsi="Arial" w:eastAsia="等线" w:cs="Arial"/>
          <w:color w:val="3370FF"/>
          <w:sz w:val="36"/>
        </w:rPr>
        <w:t xml:space="preserve">4. </w:t>
      </w:r>
      <w:r>
        <w:rPr>
          <w:rFonts w:ascii="Arial" w:hAnsi="Arial" w:eastAsia="等线" w:cs="Arial"/>
          <w:b/>
          <w:sz w:val="36"/>
        </w:rPr>
        <w:t>例题答案</w:t>
      </w:r>
      <w:bookmarkEnd w:id="42"/>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0B2F37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E1EAFF"/>
            <w:tcMar>
              <w:top w:w="60" w:type="dxa"/>
              <w:left w:w="120" w:type="dxa"/>
              <w:bottom w:w="30" w:type="dxa"/>
              <w:right w:w="120" w:type="dxa"/>
            </w:tcMar>
          </w:tcPr>
          <w:p w14:paraId="21AD5A58">
            <w:pPr>
              <w:numPr>
                <w:ilvl w:val="0"/>
                <w:numId w:val="187"/>
              </w:numPr>
              <w:spacing w:before="120" w:after="120" w:line="288" w:lineRule="auto"/>
              <w:ind w:left="0"/>
              <w:jc w:val="left"/>
            </w:pPr>
            <w:r>
              <w:rPr>
                <w:rFonts w:ascii="Arial" w:hAnsi="Arial" w:eastAsia="等线" w:cs="Arial"/>
                <w:sz w:val="22"/>
              </w:rPr>
              <w:t>Which of the following is NOT TRUE about general obligation bonds?</w:t>
            </w:r>
          </w:p>
          <w:p w14:paraId="4B0EEC77">
            <w:pPr>
              <w:spacing w:before="120" w:after="120" w:line="288" w:lineRule="auto"/>
              <w:ind w:left="0"/>
              <w:jc w:val="left"/>
            </w:pPr>
            <w:r>
              <w:rPr>
                <w:rFonts w:ascii="Arial" w:hAnsi="Arial" w:eastAsia="等线" w:cs="Arial"/>
                <w:sz w:val="22"/>
              </w:rPr>
              <w:t>(A)They are backed by the taxing power of the municipality.</w:t>
            </w:r>
          </w:p>
          <w:p w14:paraId="75D7327B">
            <w:pPr>
              <w:spacing w:before="120" w:after="120" w:line="288" w:lineRule="auto"/>
              <w:ind w:left="0"/>
              <w:jc w:val="left"/>
            </w:pPr>
            <w:r>
              <w:rPr>
                <w:rFonts w:ascii="Arial" w:hAnsi="Arial" w:eastAsia="等线" w:cs="Arial"/>
                <w:sz w:val="22"/>
              </w:rPr>
              <w:t>(B)They are issued to fund revenue-producing facilities.</w:t>
            </w:r>
          </w:p>
          <w:p w14:paraId="744D809B">
            <w:pPr>
              <w:spacing w:before="120" w:after="120" w:line="288" w:lineRule="auto"/>
              <w:ind w:left="0"/>
              <w:jc w:val="left"/>
            </w:pPr>
            <w:r>
              <w:rPr>
                <w:rFonts w:ascii="Arial" w:hAnsi="Arial" w:eastAsia="等线" w:cs="Arial"/>
                <w:sz w:val="22"/>
              </w:rPr>
              <w:t>(C)They are subject to a debt ceiling.</w:t>
            </w:r>
          </w:p>
          <w:p w14:paraId="0BEDB2F0">
            <w:pPr>
              <w:spacing w:before="120" w:after="120" w:line="288" w:lineRule="auto"/>
              <w:ind w:left="0"/>
              <w:jc w:val="left"/>
            </w:pPr>
            <w:r>
              <w:rPr>
                <w:rFonts w:ascii="Arial" w:hAnsi="Arial" w:eastAsia="等线" w:cs="Arial"/>
                <w:sz w:val="22"/>
              </w:rPr>
              <w:t>(D)They need voter approval to be issued.</w:t>
            </w:r>
          </w:p>
          <w:p w14:paraId="7DD1D865">
            <w:pPr>
              <w:spacing w:before="120" w:after="120" w:line="288" w:lineRule="auto"/>
              <w:ind w:left="0"/>
              <w:jc w:val="left"/>
            </w:pPr>
          </w:p>
          <w:p w14:paraId="4F90CC7A">
            <w:pPr>
              <w:numPr>
                <w:ilvl w:val="0"/>
                <w:numId w:val="188"/>
              </w:numPr>
              <w:spacing w:before="120" w:after="120" w:line="288" w:lineRule="auto"/>
              <w:ind w:left="0"/>
              <w:jc w:val="left"/>
            </w:pPr>
            <w:r>
              <w:rPr>
                <w:rFonts w:ascii="Arial" w:hAnsi="Arial" w:eastAsia="等线" w:cs="Arial"/>
                <w:sz w:val="22"/>
              </w:rPr>
              <w:t>Which of the following projects are MORE likely to be financed by general obligation bonds than</w:t>
            </w:r>
          </w:p>
          <w:p w14:paraId="07B3D1B9">
            <w:pPr>
              <w:spacing w:before="120" w:after="120" w:line="288" w:lineRule="auto"/>
              <w:ind w:left="0"/>
              <w:jc w:val="left"/>
            </w:pPr>
            <w:r>
              <w:rPr>
                <w:rFonts w:ascii="Arial" w:hAnsi="Arial" w:eastAsia="等线" w:cs="Arial"/>
                <w:sz w:val="22"/>
              </w:rPr>
              <w:t>revenue bonds?</w:t>
            </w:r>
          </w:p>
          <w:p w14:paraId="138CFF56">
            <w:pPr>
              <w:spacing w:before="120" w:after="120" w:line="288" w:lineRule="auto"/>
              <w:ind w:left="0"/>
              <w:jc w:val="left"/>
            </w:pPr>
            <w:r>
              <w:rPr>
                <w:rFonts w:ascii="Arial" w:hAnsi="Arial" w:eastAsia="等线" w:cs="Arial"/>
                <w:sz w:val="22"/>
              </w:rPr>
              <w:t>I. New municipal hospital</w:t>
            </w:r>
          </w:p>
          <w:p w14:paraId="117C244F">
            <w:pPr>
              <w:spacing w:before="120" w:after="120" w:line="288" w:lineRule="auto"/>
              <w:ind w:left="0"/>
              <w:jc w:val="left"/>
            </w:pPr>
            <w:r>
              <w:rPr>
                <w:rFonts w:ascii="Arial" w:hAnsi="Arial" w:eastAsia="等线" w:cs="Arial"/>
                <w:sz w:val="22"/>
              </w:rPr>
              <w:t>II. Public sports arena</w:t>
            </w:r>
          </w:p>
          <w:p w14:paraId="2BB85FE5">
            <w:pPr>
              <w:spacing w:before="120" w:after="120" w:line="288" w:lineRule="auto"/>
              <w:ind w:left="0"/>
              <w:jc w:val="left"/>
            </w:pPr>
            <w:r>
              <w:rPr>
                <w:rFonts w:ascii="Arial" w:hAnsi="Arial" w:eastAsia="等线" w:cs="Arial"/>
                <w:sz w:val="22"/>
              </w:rPr>
              <w:t>III. New junior high school</w:t>
            </w:r>
          </w:p>
          <w:p w14:paraId="20BD34BA">
            <w:pPr>
              <w:spacing w:before="120" w:after="120" w:line="288" w:lineRule="auto"/>
              <w:ind w:left="0"/>
              <w:jc w:val="left"/>
            </w:pPr>
            <w:r>
              <w:rPr>
                <w:rFonts w:ascii="Arial" w:hAnsi="Arial" w:eastAsia="等线" w:cs="Arial"/>
                <w:sz w:val="22"/>
              </w:rPr>
              <w:t>IV. New library</w:t>
            </w:r>
          </w:p>
          <w:p w14:paraId="0F2236DC">
            <w:pPr>
              <w:spacing w:before="120" w:after="120" w:line="288" w:lineRule="auto"/>
              <w:ind w:left="0"/>
              <w:jc w:val="left"/>
            </w:pPr>
          </w:p>
          <w:p w14:paraId="7DE6DD86">
            <w:pPr>
              <w:spacing w:before="120" w:after="120" w:line="288" w:lineRule="auto"/>
              <w:ind w:left="0"/>
              <w:jc w:val="left"/>
            </w:pPr>
            <w:r>
              <w:rPr>
                <w:rFonts w:ascii="Arial" w:hAnsi="Arial" w:eastAsia="等线" w:cs="Arial"/>
                <w:sz w:val="22"/>
              </w:rPr>
              <w:t>(A) I and II only</w:t>
            </w:r>
          </w:p>
          <w:p w14:paraId="16A81B93">
            <w:pPr>
              <w:spacing w:before="120" w:after="120" w:line="288" w:lineRule="auto"/>
              <w:ind w:left="0"/>
              <w:jc w:val="left"/>
            </w:pPr>
            <w:r>
              <w:rPr>
                <w:rFonts w:ascii="Arial" w:hAnsi="Arial" w:eastAsia="等线" w:cs="Arial"/>
                <w:sz w:val="22"/>
              </w:rPr>
              <w:t>(B) III and IV only</w:t>
            </w:r>
          </w:p>
          <w:p w14:paraId="7D626ACA">
            <w:pPr>
              <w:spacing w:before="120" w:after="120" w:line="288" w:lineRule="auto"/>
              <w:ind w:left="0"/>
              <w:jc w:val="left"/>
            </w:pPr>
            <w:r>
              <w:rPr>
                <w:rFonts w:ascii="Arial" w:hAnsi="Arial" w:eastAsia="等线" w:cs="Arial"/>
                <w:sz w:val="22"/>
              </w:rPr>
              <w:t>(C) I and III only</w:t>
            </w:r>
          </w:p>
          <w:p w14:paraId="32105F19">
            <w:pPr>
              <w:spacing w:before="120" w:after="120" w:line="288" w:lineRule="auto"/>
              <w:ind w:left="0"/>
              <w:jc w:val="left"/>
            </w:pPr>
            <w:r>
              <w:rPr>
                <w:rFonts w:ascii="Arial" w:hAnsi="Arial" w:eastAsia="等线" w:cs="Arial"/>
                <w:sz w:val="22"/>
              </w:rPr>
              <w:t>(D) I, III, and IV only</w:t>
            </w:r>
          </w:p>
          <w:p w14:paraId="2662E5B8">
            <w:pPr>
              <w:spacing w:before="120" w:after="120" w:line="288" w:lineRule="auto"/>
              <w:ind w:left="0"/>
              <w:jc w:val="left"/>
            </w:pPr>
          </w:p>
          <w:p w14:paraId="443C423A">
            <w:pPr>
              <w:numPr>
                <w:ilvl w:val="0"/>
                <w:numId w:val="189"/>
              </w:numPr>
              <w:spacing w:before="120" w:after="120" w:line="288" w:lineRule="auto"/>
              <w:ind w:left="0"/>
              <w:jc w:val="left"/>
            </w:pPr>
            <w:r>
              <w:rPr>
                <w:rFonts w:ascii="Arial" w:hAnsi="Arial" w:eastAsia="等线" w:cs="Arial"/>
                <w:sz w:val="22"/>
              </w:rPr>
              <w:t>A municipal securities broker-dealer sells 100 Go bonds to a customer on a principal basis. How</w:t>
            </w:r>
          </w:p>
          <w:p w14:paraId="363507B1">
            <w:pPr>
              <w:spacing w:before="120" w:after="120" w:line="288" w:lineRule="auto"/>
              <w:ind w:left="0"/>
              <w:jc w:val="left"/>
            </w:pPr>
            <w:r>
              <w:rPr>
                <w:rFonts w:ascii="Arial" w:hAnsi="Arial" w:eastAsia="等线" w:cs="Arial"/>
                <w:sz w:val="22"/>
              </w:rPr>
              <w:t>much of a markup may the broker-dealer charge?</w:t>
            </w:r>
          </w:p>
          <w:p w14:paraId="082D0F53">
            <w:pPr>
              <w:spacing w:before="120" w:after="120" w:line="288" w:lineRule="auto"/>
              <w:ind w:left="0"/>
              <w:jc w:val="left"/>
            </w:pPr>
            <w:r>
              <w:rPr>
                <w:rFonts w:ascii="Arial" w:hAnsi="Arial" w:eastAsia="等线" w:cs="Arial"/>
                <w:sz w:val="22"/>
              </w:rPr>
              <w:t>(A) 5% of the selling price</w:t>
            </w:r>
          </w:p>
          <w:p w14:paraId="6A8D4D00">
            <w:pPr>
              <w:spacing w:before="120" w:after="120" w:line="288" w:lineRule="auto"/>
              <w:ind w:left="0"/>
              <w:jc w:val="left"/>
            </w:pPr>
            <w:r>
              <w:rPr>
                <w:rFonts w:ascii="Arial" w:hAnsi="Arial" w:eastAsia="等线" w:cs="Arial"/>
                <w:sz w:val="22"/>
              </w:rPr>
              <w:t>(B) 8% of the selling price</w:t>
            </w:r>
          </w:p>
          <w:p w14:paraId="3B70E005">
            <w:pPr>
              <w:spacing w:before="120" w:after="120" w:line="288" w:lineRule="auto"/>
              <w:ind w:left="0"/>
              <w:jc w:val="left"/>
            </w:pPr>
            <w:r>
              <w:rPr>
                <w:rFonts w:ascii="Arial" w:hAnsi="Arial" w:eastAsia="等线" w:cs="Arial"/>
                <w:sz w:val="22"/>
              </w:rPr>
              <w:t>(C) 81/2% of the selling price</w:t>
            </w:r>
          </w:p>
          <w:p w14:paraId="5270C4D0">
            <w:pPr>
              <w:spacing w:before="120" w:after="120" w:line="288" w:lineRule="auto"/>
              <w:ind w:left="0"/>
              <w:jc w:val="left"/>
            </w:pPr>
            <w:r>
              <w:rPr>
                <w:rFonts w:ascii="Arial" w:hAnsi="Arial" w:eastAsia="等线" w:cs="Arial"/>
                <w:sz w:val="22"/>
              </w:rPr>
              <w:t>(D) Whatever is fair and reasonable</w:t>
            </w:r>
          </w:p>
          <w:p w14:paraId="044C7AC2">
            <w:pPr>
              <w:spacing w:before="120" w:after="120" w:line="288" w:lineRule="auto"/>
              <w:ind w:left="0"/>
              <w:jc w:val="left"/>
            </w:pPr>
          </w:p>
          <w:p w14:paraId="5A24346D">
            <w:pPr>
              <w:numPr>
                <w:ilvl w:val="0"/>
                <w:numId w:val="190"/>
              </w:numPr>
              <w:spacing w:before="120" w:after="120" w:line="288" w:lineRule="auto"/>
              <w:ind w:left="0"/>
              <w:jc w:val="left"/>
            </w:pPr>
            <w:r>
              <w:rPr>
                <w:rFonts w:ascii="Arial" w:hAnsi="Arial" w:eastAsia="等线" w:cs="Arial"/>
                <w:sz w:val="22"/>
              </w:rPr>
              <w:t>Rank the following municipal bonds in order from safest to riskiest.</w:t>
            </w:r>
          </w:p>
          <w:p w14:paraId="0D62081F">
            <w:pPr>
              <w:spacing w:before="120" w:after="120" w:line="288" w:lineRule="auto"/>
              <w:ind w:left="0"/>
              <w:jc w:val="left"/>
            </w:pPr>
            <w:r>
              <w:rPr>
                <w:rFonts w:ascii="Arial" w:hAnsi="Arial" w:eastAsia="等线" w:cs="Arial"/>
                <w:sz w:val="22"/>
              </w:rPr>
              <w:t>I. Revenue bonds</w:t>
            </w:r>
          </w:p>
          <w:p w14:paraId="3179F457">
            <w:pPr>
              <w:spacing w:before="120" w:after="120" w:line="288" w:lineRule="auto"/>
              <w:ind w:left="0"/>
              <w:jc w:val="left"/>
            </w:pPr>
            <w:r>
              <w:rPr>
                <w:rFonts w:ascii="Arial" w:hAnsi="Arial" w:eastAsia="等线" w:cs="Arial"/>
                <w:sz w:val="22"/>
              </w:rPr>
              <w:t>II. Moral obligation bonds</w:t>
            </w:r>
          </w:p>
          <w:p w14:paraId="2A659902">
            <w:pPr>
              <w:spacing w:before="120" w:after="120" w:line="288" w:lineRule="auto"/>
              <w:ind w:left="0"/>
              <w:jc w:val="left"/>
            </w:pPr>
            <w:r>
              <w:rPr>
                <w:rFonts w:ascii="Arial" w:hAnsi="Arial" w:eastAsia="等线" w:cs="Arial"/>
                <w:sz w:val="22"/>
              </w:rPr>
              <w:t>III. Public housing authority bonds</w:t>
            </w:r>
          </w:p>
          <w:p w14:paraId="6EFA34C7">
            <w:pPr>
              <w:spacing w:before="120" w:after="120" w:line="288" w:lineRule="auto"/>
              <w:ind w:left="0"/>
              <w:jc w:val="left"/>
            </w:pPr>
            <w:r>
              <w:rPr>
                <w:rFonts w:ascii="Arial" w:hAnsi="Arial" w:eastAsia="等线" w:cs="Arial"/>
                <w:sz w:val="22"/>
              </w:rPr>
              <w:t>IV. Industrial development revenue bonds</w:t>
            </w:r>
          </w:p>
          <w:p w14:paraId="4680711A">
            <w:pPr>
              <w:spacing w:before="120" w:after="120" w:line="288" w:lineRule="auto"/>
              <w:ind w:left="0"/>
              <w:jc w:val="left"/>
            </w:pPr>
            <w:r>
              <w:rPr>
                <w:rFonts w:ascii="Arial" w:hAnsi="Arial" w:eastAsia="等线" w:cs="Arial"/>
                <w:sz w:val="22"/>
              </w:rPr>
              <w:t>(A) I, II, III, IV</w:t>
            </w:r>
          </w:p>
          <w:p w14:paraId="4845CAD2">
            <w:pPr>
              <w:spacing w:before="120" w:after="120" w:line="288" w:lineRule="auto"/>
              <w:ind w:left="0"/>
              <w:jc w:val="left"/>
            </w:pPr>
            <w:r>
              <w:rPr>
                <w:rFonts w:ascii="Arial" w:hAnsi="Arial" w:eastAsia="等线" w:cs="Arial"/>
                <w:sz w:val="22"/>
              </w:rPr>
              <w:t>(B) III, II, I, IV</w:t>
            </w:r>
          </w:p>
          <w:p w14:paraId="58FB04CC">
            <w:pPr>
              <w:spacing w:before="120" w:after="120" w:line="288" w:lineRule="auto"/>
              <w:ind w:left="0"/>
              <w:jc w:val="left"/>
            </w:pPr>
            <w:r>
              <w:rPr>
                <w:rFonts w:ascii="Arial" w:hAnsi="Arial" w:eastAsia="等线" w:cs="Arial"/>
                <w:sz w:val="22"/>
              </w:rPr>
              <w:t>(C) II, III, IV, I</w:t>
            </w:r>
          </w:p>
          <w:p w14:paraId="579F3C54">
            <w:pPr>
              <w:spacing w:before="120" w:after="120" w:line="288" w:lineRule="auto"/>
              <w:ind w:left="0"/>
              <w:jc w:val="left"/>
            </w:pPr>
            <w:r>
              <w:rPr>
                <w:rFonts w:ascii="Arial" w:hAnsi="Arial" w:eastAsia="等线" w:cs="Arial"/>
                <w:sz w:val="22"/>
              </w:rPr>
              <w:t>(D) II, IV, III, I</w:t>
            </w:r>
          </w:p>
          <w:p w14:paraId="3B6592F0">
            <w:pPr>
              <w:spacing w:before="120" w:after="120" w:line="288" w:lineRule="auto"/>
              <w:ind w:left="0"/>
              <w:jc w:val="left"/>
            </w:pPr>
          </w:p>
          <w:p w14:paraId="33F1A462">
            <w:pPr>
              <w:numPr>
                <w:ilvl w:val="0"/>
                <w:numId w:val="191"/>
              </w:numPr>
              <w:spacing w:before="120" w:after="120" w:line="288" w:lineRule="auto"/>
              <w:ind w:left="0"/>
              <w:jc w:val="left"/>
            </w:pPr>
            <w:r>
              <w:rPr>
                <w:rFonts w:ascii="Arial" w:hAnsi="Arial" w:eastAsia="等线" w:cs="Arial"/>
                <w:sz w:val="22"/>
              </w:rPr>
              <w:t>Which of the following municipal securities could have a rating of MIG 2?</w:t>
            </w:r>
          </w:p>
          <w:p w14:paraId="7F382DD8">
            <w:pPr>
              <w:spacing w:before="120" w:after="120" w:line="288" w:lineRule="auto"/>
              <w:ind w:left="0"/>
              <w:jc w:val="left"/>
            </w:pPr>
            <w:r>
              <w:rPr>
                <w:rFonts w:ascii="Arial" w:hAnsi="Arial" w:eastAsia="等线" w:cs="Arial"/>
                <w:sz w:val="22"/>
              </w:rPr>
              <w:t>I.PN</w:t>
            </w:r>
          </w:p>
          <w:p w14:paraId="1703E07C">
            <w:pPr>
              <w:spacing w:before="120" w:after="120" w:line="288" w:lineRule="auto"/>
              <w:ind w:left="0"/>
              <w:jc w:val="left"/>
            </w:pPr>
            <w:r>
              <w:rPr>
                <w:rFonts w:ascii="Arial" w:hAnsi="Arial" w:eastAsia="等线" w:cs="Arial"/>
                <w:sz w:val="22"/>
              </w:rPr>
              <w:t>ll.Tax-exempt commercial paper</w:t>
            </w:r>
          </w:p>
          <w:p w14:paraId="5DD96136">
            <w:pPr>
              <w:spacing w:before="120" w:after="120" w:line="288" w:lineRule="auto"/>
              <w:ind w:left="0"/>
              <w:jc w:val="left"/>
            </w:pPr>
            <w:r>
              <w:rPr>
                <w:rFonts w:ascii="Arial" w:hAnsi="Arial" w:eastAsia="等线" w:cs="Arial"/>
                <w:sz w:val="22"/>
              </w:rPr>
              <w:t>III.TRAN</w:t>
            </w:r>
          </w:p>
          <w:p w14:paraId="147AD0BC">
            <w:pPr>
              <w:spacing w:before="120" w:after="120" w:line="288" w:lineRule="auto"/>
              <w:ind w:left="0"/>
              <w:jc w:val="left"/>
            </w:pPr>
            <w:r>
              <w:rPr>
                <w:rFonts w:ascii="Arial" w:hAnsi="Arial" w:eastAsia="等线" w:cs="Arial"/>
                <w:sz w:val="22"/>
              </w:rPr>
              <w:t>IV.IDR</w:t>
            </w:r>
          </w:p>
          <w:p w14:paraId="06FE13FD">
            <w:pPr>
              <w:spacing w:before="120" w:after="120" w:line="288" w:lineRule="auto"/>
              <w:ind w:left="0"/>
              <w:jc w:val="left"/>
            </w:pPr>
            <w:r>
              <w:rPr>
                <w:rFonts w:ascii="Arial" w:hAnsi="Arial" w:eastAsia="等线" w:cs="Arial"/>
                <w:sz w:val="22"/>
              </w:rPr>
              <w:t>(A) I and III</w:t>
            </w:r>
          </w:p>
          <w:p w14:paraId="2E0546AF">
            <w:pPr>
              <w:spacing w:before="120" w:after="120" w:line="288" w:lineRule="auto"/>
              <w:ind w:left="0"/>
              <w:jc w:val="left"/>
            </w:pPr>
            <w:r>
              <w:rPr>
                <w:rFonts w:ascii="Arial" w:hAnsi="Arial" w:eastAsia="等线" w:cs="Arial"/>
                <w:sz w:val="22"/>
              </w:rPr>
              <w:t>(B) I,II,and III</w:t>
            </w:r>
          </w:p>
          <w:p w14:paraId="50D93406">
            <w:pPr>
              <w:spacing w:before="120" w:after="120" w:line="288" w:lineRule="auto"/>
              <w:ind w:left="0"/>
              <w:jc w:val="left"/>
            </w:pPr>
            <w:r>
              <w:rPr>
                <w:rFonts w:ascii="Arial" w:hAnsi="Arial" w:eastAsia="等线" w:cs="Arial"/>
                <w:sz w:val="22"/>
              </w:rPr>
              <w:t>(C) I,III,and IV</w:t>
            </w:r>
          </w:p>
          <w:p w14:paraId="118585BD">
            <w:pPr>
              <w:spacing w:before="120" w:after="120" w:line="288" w:lineRule="auto"/>
              <w:ind w:left="0"/>
              <w:jc w:val="left"/>
            </w:pPr>
            <w:r>
              <w:rPr>
                <w:rFonts w:ascii="Arial" w:hAnsi="Arial" w:eastAsia="等线" w:cs="Arial"/>
                <w:sz w:val="22"/>
              </w:rPr>
              <w:t>(D) II,III,and IV</w:t>
            </w:r>
          </w:p>
          <w:p w14:paraId="785DAD85">
            <w:pPr>
              <w:spacing w:before="120" w:after="120" w:line="288" w:lineRule="auto"/>
              <w:ind w:left="0"/>
              <w:jc w:val="left"/>
            </w:pPr>
          </w:p>
          <w:p w14:paraId="5959DF6D">
            <w:pPr>
              <w:numPr>
                <w:ilvl w:val="0"/>
                <w:numId w:val="192"/>
              </w:numPr>
              <w:spacing w:before="120" w:after="120" w:line="288" w:lineRule="auto"/>
              <w:ind w:left="0"/>
              <w:jc w:val="left"/>
            </w:pPr>
            <w:r>
              <w:rPr>
                <w:rFonts w:ascii="Arial" w:hAnsi="Arial" w:eastAsia="等线" w:cs="Arial"/>
                <w:sz w:val="22"/>
              </w:rPr>
              <w:t>Which of the following is considered a municipal fund security?</w:t>
            </w:r>
          </w:p>
          <w:p w14:paraId="4876F2A4">
            <w:pPr>
              <w:spacing w:before="120" w:after="120" w:line="288" w:lineRule="auto"/>
              <w:ind w:left="0"/>
              <w:jc w:val="left"/>
            </w:pPr>
            <w:r>
              <w:rPr>
                <w:rFonts w:ascii="Arial" w:hAnsi="Arial" w:eastAsia="等线" w:cs="Arial"/>
                <w:sz w:val="22"/>
              </w:rPr>
              <w:t>A. Treasury bond</w:t>
            </w:r>
          </w:p>
          <w:p w14:paraId="5808D5E1">
            <w:pPr>
              <w:spacing w:before="120" w:after="120" w:line="288" w:lineRule="auto"/>
              <w:ind w:left="0"/>
              <w:jc w:val="left"/>
            </w:pPr>
            <w:r>
              <w:rPr>
                <w:rFonts w:ascii="Arial" w:hAnsi="Arial" w:eastAsia="等线" w:cs="Arial"/>
                <w:sz w:val="22"/>
              </w:rPr>
              <w:t>B. General obligation bond</w:t>
            </w:r>
          </w:p>
          <w:p w14:paraId="736F8FD3">
            <w:pPr>
              <w:spacing w:before="120" w:after="120" w:line="288" w:lineRule="auto"/>
              <w:ind w:left="0"/>
              <w:jc w:val="left"/>
            </w:pPr>
            <w:r>
              <w:rPr>
                <w:rFonts w:ascii="Arial" w:hAnsi="Arial" w:eastAsia="等线" w:cs="Arial"/>
                <w:sz w:val="22"/>
              </w:rPr>
              <w:t>C. 529 college savings plan</w:t>
            </w:r>
          </w:p>
          <w:p w14:paraId="483755C2">
            <w:pPr>
              <w:spacing w:before="120" w:after="120" w:line="288" w:lineRule="auto"/>
              <w:ind w:left="0"/>
              <w:jc w:val="left"/>
            </w:pPr>
            <w:r>
              <w:rPr>
                <w:rFonts w:ascii="Arial" w:hAnsi="Arial" w:eastAsia="等线" w:cs="Arial"/>
                <w:sz w:val="22"/>
              </w:rPr>
              <w:t>D. Preferred stock</w:t>
            </w:r>
          </w:p>
          <w:p w14:paraId="62846CDB">
            <w:pPr>
              <w:spacing w:before="120" w:after="120" w:line="288" w:lineRule="auto"/>
              <w:ind w:left="0"/>
              <w:jc w:val="left"/>
            </w:pPr>
          </w:p>
          <w:p w14:paraId="026EE6D3">
            <w:pPr>
              <w:numPr>
                <w:ilvl w:val="0"/>
                <w:numId w:val="193"/>
              </w:numPr>
              <w:spacing w:before="120" w:after="120" w:line="288" w:lineRule="auto"/>
              <w:ind w:left="0"/>
              <w:jc w:val="left"/>
            </w:pPr>
            <w:r>
              <w:rPr>
                <w:rFonts w:ascii="Arial" w:hAnsi="Arial" w:eastAsia="等线" w:cs="Arial"/>
                <w:sz w:val="22"/>
              </w:rPr>
              <w:t>Who is eligible to open an ABLE account?</w:t>
            </w:r>
          </w:p>
          <w:p w14:paraId="280063F1">
            <w:pPr>
              <w:spacing w:before="120" w:after="120" w:line="288" w:lineRule="auto"/>
              <w:ind w:left="0"/>
              <w:jc w:val="left"/>
            </w:pPr>
            <w:r>
              <w:rPr>
                <w:rFonts w:ascii="Arial" w:hAnsi="Arial" w:eastAsia="等线" w:cs="Arial"/>
                <w:sz w:val="22"/>
              </w:rPr>
              <w:t>A. Any person over age 65</w:t>
            </w:r>
          </w:p>
          <w:p w14:paraId="5AD3DA44">
            <w:pPr>
              <w:spacing w:before="120" w:after="120" w:line="288" w:lineRule="auto"/>
              <w:ind w:left="0"/>
              <w:jc w:val="left"/>
            </w:pPr>
            <w:r>
              <w:rPr>
                <w:rFonts w:ascii="Arial" w:hAnsi="Arial" w:eastAsia="等线" w:cs="Arial"/>
                <w:sz w:val="22"/>
              </w:rPr>
              <w:t>B. Only individuals who are blind</w:t>
            </w:r>
          </w:p>
          <w:p w14:paraId="382F1D13">
            <w:pPr>
              <w:spacing w:before="120" w:after="120" w:line="288" w:lineRule="auto"/>
              <w:ind w:left="0"/>
              <w:jc w:val="left"/>
            </w:pPr>
            <w:r>
              <w:rPr>
                <w:rFonts w:ascii="Arial" w:hAnsi="Arial" w:eastAsia="等线" w:cs="Arial"/>
                <w:sz w:val="22"/>
              </w:rPr>
              <w:t>C. Individuals whose disability was diagnosed before age 26</w:t>
            </w:r>
          </w:p>
          <w:p w14:paraId="5649A0F6">
            <w:pPr>
              <w:spacing w:before="120" w:after="120" w:line="288" w:lineRule="auto"/>
              <w:ind w:left="0"/>
              <w:jc w:val="left"/>
            </w:pPr>
            <w:r>
              <w:rPr>
                <w:rFonts w:ascii="Arial" w:hAnsi="Arial" w:eastAsia="等线" w:cs="Arial"/>
                <w:sz w:val="22"/>
              </w:rPr>
              <w:t>D. Parents saving for a child’s college education</w:t>
            </w:r>
          </w:p>
          <w:p w14:paraId="30028887">
            <w:pPr>
              <w:spacing w:before="120" w:after="120" w:line="288" w:lineRule="auto"/>
              <w:ind w:left="0"/>
              <w:jc w:val="left"/>
            </w:pPr>
          </w:p>
          <w:p w14:paraId="47D2D4E7">
            <w:pPr>
              <w:numPr>
                <w:ilvl w:val="0"/>
                <w:numId w:val="194"/>
              </w:numPr>
              <w:spacing w:before="120" w:after="120" w:line="288" w:lineRule="auto"/>
              <w:ind w:left="0"/>
              <w:jc w:val="left"/>
            </w:pPr>
            <w:r>
              <w:rPr>
                <w:rFonts w:ascii="Arial" w:hAnsi="Arial" w:eastAsia="等线" w:cs="Arial"/>
                <w:sz w:val="22"/>
              </w:rPr>
              <w:t>Which of the following is TRUE regarding Local Government Investment Pools (LGIPs)?</w:t>
            </w:r>
          </w:p>
          <w:p w14:paraId="12EFDC75">
            <w:pPr>
              <w:spacing w:before="120" w:after="120" w:line="288" w:lineRule="auto"/>
              <w:ind w:left="0"/>
              <w:jc w:val="left"/>
            </w:pPr>
            <w:r>
              <w:rPr>
                <w:rFonts w:ascii="Arial" w:hAnsi="Arial" w:eastAsia="等线" w:cs="Arial"/>
                <w:sz w:val="22"/>
              </w:rPr>
              <w:t>A. They are available to retail investors</w:t>
            </w:r>
          </w:p>
          <w:p w14:paraId="45C44B09">
            <w:pPr>
              <w:spacing w:before="120" w:after="120" w:line="288" w:lineRule="auto"/>
              <w:ind w:left="0"/>
              <w:jc w:val="left"/>
            </w:pPr>
            <w:r>
              <w:rPr>
                <w:rFonts w:ascii="Arial" w:hAnsi="Arial" w:eastAsia="等线" w:cs="Arial"/>
                <w:sz w:val="22"/>
              </w:rPr>
              <w:t>B. They are regulated under the Investment Company Act of 1940</w:t>
            </w:r>
          </w:p>
          <w:p w14:paraId="7C692981">
            <w:pPr>
              <w:spacing w:before="120" w:after="120" w:line="288" w:lineRule="auto"/>
              <w:ind w:left="0"/>
              <w:jc w:val="left"/>
            </w:pPr>
            <w:r>
              <w:rPr>
                <w:rFonts w:ascii="Arial" w:hAnsi="Arial" w:eastAsia="等线" w:cs="Arial"/>
                <w:sz w:val="22"/>
              </w:rPr>
              <w:t>C. They are used by local governments to invest surplus funds</w:t>
            </w:r>
          </w:p>
          <w:p w14:paraId="189FC1C5">
            <w:pPr>
              <w:spacing w:before="120" w:after="120" w:line="288" w:lineRule="auto"/>
              <w:ind w:left="0"/>
              <w:jc w:val="left"/>
            </w:pPr>
            <w:r>
              <w:rPr>
                <w:rFonts w:ascii="Arial" w:hAnsi="Arial" w:eastAsia="等线" w:cs="Arial"/>
                <w:sz w:val="22"/>
              </w:rPr>
              <w:t>D. They are privately managed hedge funds</w:t>
            </w:r>
          </w:p>
          <w:p w14:paraId="10830FDD">
            <w:pPr>
              <w:spacing w:before="120" w:after="120" w:line="288" w:lineRule="auto"/>
              <w:ind w:left="0"/>
              <w:jc w:val="left"/>
            </w:pPr>
          </w:p>
          <w:p w14:paraId="1A05DBAB">
            <w:pPr>
              <w:numPr>
                <w:ilvl w:val="0"/>
                <w:numId w:val="195"/>
              </w:numPr>
              <w:spacing w:before="120" w:after="120" w:line="288" w:lineRule="auto"/>
              <w:ind w:left="0"/>
              <w:jc w:val="left"/>
            </w:pPr>
            <w:r>
              <w:rPr>
                <w:rFonts w:ascii="Arial" w:hAnsi="Arial" w:eastAsia="等线" w:cs="Arial"/>
                <w:sz w:val="22"/>
              </w:rPr>
              <w:t>Municipal bonds issued by each of the following would be triple tax-free EXCEPT</w:t>
            </w:r>
          </w:p>
          <w:p w14:paraId="029BD40B">
            <w:pPr>
              <w:spacing w:before="120" w:after="120" w:line="288" w:lineRule="auto"/>
              <w:ind w:left="0"/>
              <w:jc w:val="left"/>
            </w:pPr>
            <w:r>
              <w:rPr>
                <w:rFonts w:ascii="Arial" w:hAnsi="Arial" w:eastAsia="等线" w:cs="Arial"/>
                <w:sz w:val="22"/>
              </w:rPr>
              <w:t>(A) Hawaii</w:t>
            </w:r>
          </w:p>
          <w:p w14:paraId="5FAE0FE2">
            <w:pPr>
              <w:spacing w:before="120" w:after="120" w:line="288" w:lineRule="auto"/>
              <w:ind w:left="0"/>
              <w:jc w:val="left"/>
            </w:pPr>
            <w:r>
              <w:rPr>
                <w:rFonts w:ascii="Arial" w:hAnsi="Arial" w:eastAsia="等线" w:cs="Arial"/>
                <w:sz w:val="22"/>
              </w:rPr>
              <w:t>(B) Guam</w:t>
            </w:r>
          </w:p>
          <w:p w14:paraId="3296FC94">
            <w:pPr>
              <w:spacing w:before="120" w:after="120" w:line="288" w:lineRule="auto"/>
              <w:ind w:left="0"/>
              <w:jc w:val="left"/>
            </w:pPr>
            <w:r>
              <w:rPr>
                <w:rFonts w:ascii="Arial" w:hAnsi="Arial" w:eastAsia="等线" w:cs="Arial"/>
                <w:sz w:val="22"/>
              </w:rPr>
              <w:t>(C) Washington,D.C.</w:t>
            </w:r>
          </w:p>
          <w:p w14:paraId="2F1F15AE">
            <w:pPr>
              <w:spacing w:before="120" w:after="120" w:line="288" w:lineRule="auto"/>
              <w:ind w:left="0"/>
              <w:jc w:val="left"/>
            </w:pPr>
            <w:r>
              <w:rPr>
                <w:rFonts w:ascii="Arial" w:hAnsi="Arial" w:eastAsia="等线" w:cs="Arial"/>
                <w:sz w:val="22"/>
              </w:rPr>
              <w:t>(D) Puerto Rico</w:t>
            </w:r>
          </w:p>
          <w:p w14:paraId="33CD390B">
            <w:pPr>
              <w:spacing w:before="120" w:after="120" w:line="288" w:lineRule="auto"/>
              <w:ind w:left="0"/>
              <w:jc w:val="left"/>
            </w:pPr>
          </w:p>
          <w:p w14:paraId="198AA922">
            <w:pPr>
              <w:numPr>
                <w:ilvl w:val="0"/>
                <w:numId w:val="196"/>
              </w:numPr>
              <w:spacing w:before="120" w:after="120" w:line="288" w:lineRule="auto"/>
              <w:ind w:left="0"/>
              <w:jc w:val="left"/>
            </w:pPr>
            <w:r>
              <w:rPr>
                <w:rFonts w:ascii="Arial" w:hAnsi="Arial" w:eastAsia="等线" w:cs="Arial"/>
                <w:sz w:val="22"/>
              </w:rPr>
              <w:t>What is the taxable equivalent yield for an investor purchasing a 5 percent municipal bond if</w:t>
            </w:r>
          </w:p>
          <w:p w14:paraId="4C7651AD">
            <w:pPr>
              <w:spacing w:before="120" w:after="120" w:line="288" w:lineRule="auto"/>
              <w:ind w:left="0"/>
              <w:jc w:val="left"/>
            </w:pPr>
            <w:r>
              <w:rPr>
                <w:rFonts w:ascii="Arial" w:hAnsi="Arial" w:eastAsia="等线" w:cs="Arial"/>
                <w:sz w:val="22"/>
              </w:rPr>
              <w:t>they're in the 24 percent tax bracket?</w:t>
            </w:r>
          </w:p>
          <w:p w14:paraId="445479A9">
            <w:pPr>
              <w:spacing w:before="120" w:after="120" w:line="288" w:lineRule="auto"/>
              <w:ind w:left="0"/>
              <w:jc w:val="left"/>
            </w:pPr>
            <w:r>
              <w:rPr>
                <w:rFonts w:ascii="Arial" w:hAnsi="Arial" w:eastAsia="等线" w:cs="Arial"/>
                <w:sz w:val="22"/>
              </w:rPr>
              <w:t>(A) 5%</w:t>
            </w:r>
          </w:p>
          <w:p w14:paraId="6330A581">
            <w:pPr>
              <w:spacing w:before="120" w:after="120" w:line="288" w:lineRule="auto"/>
              <w:ind w:left="0"/>
              <w:jc w:val="left"/>
            </w:pPr>
            <w:r>
              <w:rPr>
                <w:rFonts w:ascii="Arial" w:hAnsi="Arial" w:eastAsia="等线" w:cs="Arial"/>
                <w:sz w:val="22"/>
              </w:rPr>
              <w:t>(B) 5.88%</w:t>
            </w:r>
          </w:p>
          <w:p w14:paraId="3E4A7E3F">
            <w:pPr>
              <w:spacing w:before="120" w:after="120" w:line="288" w:lineRule="auto"/>
              <w:ind w:left="0"/>
              <w:jc w:val="left"/>
            </w:pPr>
            <w:r>
              <w:rPr>
                <w:rFonts w:ascii="Arial" w:hAnsi="Arial" w:eastAsia="等线" w:cs="Arial"/>
                <w:sz w:val="22"/>
              </w:rPr>
              <w:t>(C) 6.14%</w:t>
            </w:r>
          </w:p>
          <w:p w14:paraId="09BBA67B">
            <w:pPr>
              <w:spacing w:before="120" w:after="120" w:line="288" w:lineRule="auto"/>
              <w:ind w:left="0"/>
              <w:jc w:val="left"/>
            </w:pPr>
            <w:r>
              <w:rPr>
                <w:rFonts w:ascii="Arial" w:hAnsi="Arial" w:eastAsia="等线" w:cs="Arial"/>
                <w:sz w:val="22"/>
              </w:rPr>
              <w:t>(D) 6.58%</w:t>
            </w:r>
          </w:p>
          <w:p w14:paraId="4161B06C">
            <w:pPr>
              <w:spacing w:before="120" w:after="120" w:line="288" w:lineRule="auto"/>
              <w:ind w:left="0"/>
              <w:jc w:val="left"/>
            </w:pPr>
          </w:p>
          <w:p w14:paraId="0BA26AA4">
            <w:pPr>
              <w:numPr>
                <w:ilvl w:val="0"/>
                <w:numId w:val="197"/>
              </w:numPr>
              <w:spacing w:before="120" w:after="120" w:line="288" w:lineRule="auto"/>
              <w:ind w:left="0"/>
              <w:jc w:val="left"/>
            </w:pPr>
            <w:r>
              <w:rPr>
                <w:rFonts w:ascii="Arial" w:hAnsi="Arial" w:eastAsia="等线" w:cs="Arial"/>
                <w:sz w:val="22"/>
              </w:rPr>
              <w:t>Which of the following documents include all relevant information about a municipal issuer?</w:t>
            </w:r>
          </w:p>
          <w:p w14:paraId="4D8451F9">
            <w:pPr>
              <w:spacing w:before="120" w:after="120" w:line="288" w:lineRule="auto"/>
              <w:ind w:left="0"/>
              <w:jc w:val="left"/>
            </w:pPr>
            <w:r>
              <w:rPr>
                <w:rFonts w:ascii="Arial" w:hAnsi="Arial" w:eastAsia="等线" w:cs="Arial"/>
                <w:sz w:val="22"/>
              </w:rPr>
              <w:t>(A) Official statement</w:t>
            </w:r>
          </w:p>
          <w:p w14:paraId="593B9012">
            <w:pPr>
              <w:spacing w:before="120" w:after="120" w:line="288" w:lineRule="auto"/>
              <w:ind w:left="0"/>
              <w:jc w:val="left"/>
            </w:pPr>
            <w:r>
              <w:rPr>
                <w:rFonts w:ascii="Arial" w:hAnsi="Arial" w:eastAsia="等线" w:cs="Arial"/>
                <w:sz w:val="22"/>
              </w:rPr>
              <w:t>(B) Notice of sale</w:t>
            </w:r>
          </w:p>
          <w:p w14:paraId="4468AE5D">
            <w:pPr>
              <w:spacing w:before="120" w:after="120" w:line="288" w:lineRule="auto"/>
              <w:ind w:left="0"/>
              <w:jc w:val="left"/>
            </w:pPr>
            <w:r>
              <w:rPr>
                <w:rFonts w:ascii="Arial" w:hAnsi="Arial" w:eastAsia="等线" w:cs="Arial"/>
                <w:sz w:val="22"/>
              </w:rPr>
              <w:t>(C) Prospectus</w:t>
            </w:r>
          </w:p>
          <w:p w14:paraId="1A650D20">
            <w:pPr>
              <w:spacing w:before="120" w:after="120" w:line="288" w:lineRule="auto"/>
              <w:ind w:left="0"/>
              <w:jc w:val="left"/>
            </w:pPr>
            <w:r>
              <w:rPr>
                <w:rFonts w:ascii="Arial" w:hAnsi="Arial" w:eastAsia="等线" w:cs="Arial"/>
                <w:sz w:val="22"/>
              </w:rPr>
              <w:t>(D) Indenture</w:t>
            </w:r>
          </w:p>
          <w:p w14:paraId="4606525F">
            <w:pPr>
              <w:spacing w:before="120" w:after="120" w:line="288" w:lineRule="auto"/>
              <w:ind w:left="0"/>
              <w:jc w:val="left"/>
            </w:pPr>
          </w:p>
          <w:p w14:paraId="658F799D">
            <w:pPr>
              <w:numPr>
                <w:ilvl w:val="0"/>
                <w:numId w:val="198"/>
              </w:numPr>
              <w:spacing w:before="120" w:after="120" w:line="288" w:lineRule="auto"/>
              <w:ind w:left="0"/>
              <w:jc w:val="left"/>
            </w:pPr>
            <w:r>
              <w:rPr>
                <w:rFonts w:ascii="Arial" w:hAnsi="Arial" w:eastAsia="等线" w:cs="Arial"/>
                <w:sz w:val="22"/>
              </w:rPr>
              <w:t>According to MSRB rules, which of the following are considered to be forms of advertising?</w:t>
            </w:r>
          </w:p>
          <w:p w14:paraId="1AECE4D1">
            <w:pPr>
              <w:spacing w:before="120" w:after="120" w:line="288" w:lineRule="auto"/>
              <w:ind w:left="0"/>
              <w:jc w:val="left"/>
            </w:pPr>
            <w:r>
              <w:rPr>
                <w:rFonts w:ascii="Arial" w:hAnsi="Arial" w:eastAsia="等线" w:cs="Arial"/>
                <w:sz w:val="22"/>
              </w:rPr>
              <w:t>I.Market letters</w:t>
            </w:r>
          </w:p>
          <w:p w14:paraId="3857EAA0">
            <w:pPr>
              <w:spacing w:before="120" w:after="120" w:line="288" w:lineRule="auto"/>
              <w:ind w:left="0"/>
              <w:jc w:val="left"/>
            </w:pPr>
            <w:r>
              <w:rPr>
                <w:rFonts w:ascii="Arial" w:hAnsi="Arial" w:eastAsia="等线" w:cs="Arial"/>
                <w:sz w:val="22"/>
              </w:rPr>
              <w:t>II.Seminar text</w:t>
            </w:r>
          </w:p>
          <w:p w14:paraId="6DB896F5">
            <w:pPr>
              <w:spacing w:before="120" w:after="120" w:line="288" w:lineRule="auto"/>
              <w:ind w:left="0"/>
              <w:jc w:val="left"/>
            </w:pPr>
            <w:r>
              <w:rPr>
                <w:rFonts w:ascii="Arial" w:hAnsi="Arial" w:eastAsia="等线" w:cs="Arial"/>
                <w:sz w:val="22"/>
              </w:rPr>
              <w:t>lll.Official statements</w:t>
            </w:r>
          </w:p>
          <w:p w14:paraId="5BA89FDD">
            <w:pPr>
              <w:spacing w:before="120" w:after="120" w:line="288" w:lineRule="auto"/>
              <w:ind w:left="0"/>
              <w:jc w:val="left"/>
            </w:pPr>
            <w:r>
              <w:rPr>
                <w:rFonts w:ascii="Arial" w:hAnsi="Arial" w:eastAsia="等线" w:cs="Arial"/>
                <w:sz w:val="22"/>
              </w:rPr>
              <w:t>IV.Offering circulars</w:t>
            </w:r>
          </w:p>
          <w:p w14:paraId="4FE59789">
            <w:pPr>
              <w:spacing w:before="120" w:after="120" w:line="288" w:lineRule="auto"/>
              <w:ind w:left="0"/>
              <w:jc w:val="left"/>
            </w:pPr>
            <w:r>
              <w:rPr>
                <w:rFonts w:ascii="Arial" w:hAnsi="Arial" w:eastAsia="等线" w:cs="Arial"/>
                <w:sz w:val="22"/>
              </w:rPr>
              <w:t>(A) I only</w:t>
            </w:r>
          </w:p>
          <w:p w14:paraId="2C283A2A">
            <w:pPr>
              <w:spacing w:before="120" w:after="120" w:line="288" w:lineRule="auto"/>
              <w:ind w:left="0"/>
              <w:jc w:val="left"/>
            </w:pPr>
            <w:r>
              <w:rPr>
                <w:rFonts w:ascii="Arial" w:hAnsi="Arial" w:eastAsia="等线" w:cs="Arial"/>
                <w:sz w:val="22"/>
              </w:rPr>
              <w:t>(B) I and II</w:t>
            </w:r>
          </w:p>
          <w:p w14:paraId="2CC1A9C2">
            <w:pPr>
              <w:spacing w:before="120" w:after="120" w:line="288" w:lineRule="auto"/>
              <w:ind w:left="0"/>
              <w:jc w:val="left"/>
            </w:pPr>
            <w:r>
              <w:rPr>
                <w:rFonts w:ascii="Arial" w:hAnsi="Arial" w:eastAsia="等线" w:cs="Arial"/>
                <w:sz w:val="22"/>
              </w:rPr>
              <w:t>(C) I,II,and III</w:t>
            </w:r>
          </w:p>
          <w:p w14:paraId="073A7588">
            <w:pPr>
              <w:spacing w:before="120" w:after="120" w:line="288" w:lineRule="auto"/>
              <w:ind w:left="0"/>
              <w:jc w:val="left"/>
            </w:pPr>
            <w:r>
              <w:rPr>
                <w:rFonts w:ascii="Arial" w:hAnsi="Arial" w:eastAsia="等线" w:cs="Arial"/>
                <w:sz w:val="22"/>
              </w:rPr>
              <w:t>(D) I,II,III,and IV</w:t>
            </w:r>
          </w:p>
          <w:p w14:paraId="45E2755A">
            <w:pPr>
              <w:spacing w:before="120" w:after="120" w:line="288" w:lineRule="auto"/>
              <w:ind w:left="0"/>
              <w:jc w:val="left"/>
            </w:pPr>
          </w:p>
          <w:p w14:paraId="07364FA1">
            <w:pPr>
              <w:numPr>
                <w:ilvl w:val="0"/>
                <w:numId w:val="199"/>
              </w:numPr>
              <w:spacing w:before="120" w:after="120" w:line="288" w:lineRule="auto"/>
              <w:ind w:left="0"/>
              <w:jc w:val="left"/>
            </w:pPr>
            <w:r>
              <w:rPr>
                <w:rFonts w:ascii="Arial" w:hAnsi="Arial" w:eastAsia="等线" w:cs="Arial"/>
                <w:sz w:val="22"/>
              </w:rPr>
              <w:t>According to MSRB rules, brokerage firms must keep all municipal securities advertising</w:t>
            </w:r>
          </w:p>
          <w:p w14:paraId="3551EC38">
            <w:pPr>
              <w:spacing w:before="120" w:after="120" w:line="288" w:lineRule="auto"/>
              <w:ind w:left="0"/>
              <w:jc w:val="left"/>
            </w:pPr>
            <w:r>
              <w:rPr>
                <w:rFonts w:ascii="Arial" w:hAnsi="Arial" w:eastAsia="等线" w:cs="Arial"/>
                <w:sz w:val="22"/>
              </w:rPr>
              <w:t>I.for a minimum of 3 years</w:t>
            </w:r>
          </w:p>
          <w:p w14:paraId="09EE77C2">
            <w:pPr>
              <w:spacing w:before="120" w:after="120" w:line="288" w:lineRule="auto"/>
              <w:ind w:left="0"/>
              <w:jc w:val="left"/>
            </w:pPr>
            <w:r>
              <w:rPr>
                <w:rFonts w:ascii="Arial" w:hAnsi="Arial" w:eastAsia="等线" w:cs="Arial"/>
                <w:sz w:val="22"/>
              </w:rPr>
              <w:t>ll.for a minimum of 6 years</w:t>
            </w:r>
          </w:p>
          <w:p w14:paraId="326FC053">
            <w:pPr>
              <w:spacing w:before="120" w:after="120" w:line="288" w:lineRule="auto"/>
              <w:ind w:left="0"/>
              <w:jc w:val="left"/>
            </w:pPr>
            <w:r>
              <w:rPr>
                <w:rFonts w:ascii="Arial" w:hAnsi="Arial" w:eastAsia="等线" w:cs="Arial"/>
                <w:sz w:val="22"/>
              </w:rPr>
              <w:t>lll.easily accessible for a minimum of 1 year</w:t>
            </w:r>
          </w:p>
          <w:p w14:paraId="69C36EDD">
            <w:pPr>
              <w:spacing w:before="120" w:after="120" w:line="288" w:lineRule="auto"/>
              <w:ind w:left="0"/>
              <w:jc w:val="left"/>
            </w:pPr>
            <w:r>
              <w:rPr>
                <w:rFonts w:ascii="Arial" w:hAnsi="Arial" w:eastAsia="等线" w:cs="Arial"/>
                <w:sz w:val="22"/>
              </w:rPr>
              <w:t>IV.easily accessible for a minimum of 2 years</w:t>
            </w:r>
          </w:p>
          <w:p w14:paraId="0B83D36D">
            <w:pPr>
              <w:spacing w:before="120" w:after="120" w:line="288" w:lineRule="auto"/>
              <w:ind w:left="0"/>
              <w:jc w:val="left"/>
            </w:pPr>
            <w:r>
              <w:rPr>
                <w:rFonts w:ascii="Arial" w:hAnsi="Arial" w:eastAsia="等线" w:cs="Arial"/>
                <w:sz w:val="22"/>
              </w:rPr>
              <w:t>(A)I and III</w:t>
            </w:r>
          </w:p>
          <w:p w14:paraId="1EF86C4B">
            <w:pPr>
              <w:spacing w:before="120" w:after="120" w:line="288" w:lineRule="auto"/>
              <w:ind w:left="0"/>
              <w:jc w:val="left"/>
            </w:pPr>
            <w:r>
              <w:rPr>
                <w:rFonts w:ascii="Arial" w:hAnsi="Arial" w:eastAsia="等线" w:cs="Arial"/>
                <w:sz w:val="22"/>
              </w:rPr>
              <w:t>(B)I and IV</w:t>
            </w:r>
          </w:p>
          <w:p w14:paraId="5BE099EA">
            <w:pPr>
              <w:spacing w:before="120" w:after="120" w:line="288" w:lineRule="auto"/>
              <w:ind w:left="0"/>
              <w:jc w:val="left"/>
            </w:pPr>
            <w:r>
              <w:rPr>
                <w:rFonts w:ascii="Arial" w:hAnsi="Arial" w:eastAsia="等线" w:cs="Arial"/>
                <w:sz w:val="22"/>
              </w:rPr>
              <w:t>(C)II and III</w:t>
            </w:r>
          </w:p>
          <w:p w14:paraId="4AD97F3D">
            <w:pPr>
              <w:spacing w:before="120" w:after="120" w:line="288" w:lineRule="auto"/>
              <w:ind w:left="0"/>
              <w:jc w:val="left"/>
            </w:pPr>
            <w:r>
              <w:rPr>
                <w:rFonts w:ascii="Arial" w:hAnsi="Arial" w:eastAsia="等线" w:cs="Arial"/>
                <w:sz w:val="22"/>
              </w:rPr>
              <w:t>(D)II and Iv</w:t>
            </w:r>
          </w:p>
        </w:tc>
      </w:tr>
    </w:tbl>
    <w:p w14:paraId="5F4B92B3">
      <w:pPr>
        <w:spacing w:before="120" w:after="120" w:line="288" w:lineRule="auto"/>
        <w:ind w:left="0"/>
        <w:jc w:val="left"/>
      </w:pP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E6C2FC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0FBEF"/>
            <w:tcMar>
              <w:top w:w="60" w:type="dxa"/>
              <w:left w:w="120" w:type="dxa"/>
              <w:bottom w:w="30" w:type="dxa"/>
              <w:right w:w="120" w:type="dxa"/>
            </w:tcMar>
          </w:tcPr>
          <w:p w14:paraId="4ECF4116">
            <w:pPr>
              <w:numPr>
                <w:ilvl w:val="0"/>
                <w:numId w:val="200"/>
              </w:numPr>
              <w:spacing w:before="120" w:after="120" w:line="288" w:lineRule="auto"/>
              <w:ind w:left="0"/>
              <w:jc w:val="left"/>
            </w:pPr>
            <w:r>
              <w:rPr>
                <w:rFonts w:ascii="Arial" w:hAnsi="Arial" w:eastAsia="等线" w:cs="Arial"/>
                <w:b/>
                <w:sz w:val="22"/>
              </w:rPr>
              <w:t>B</w:t>
            </w:r>
          </w:p>
          <w:p w14:paraId="69034240">
            <w:pPr>
              <w:spacing w:before="120" w:after="120" w:line="288" w:lineRule="auto"/>
              <w:ind w:left="0"/>
              <w:jc w:val="left"/>
            </w:pPr>
            <w:r>
              <w:rPr>
                <w:rFonts w:ascii="Arial" w:hAnsi="Arial" w:eastAsia="等线" w:cs="Arial"/>
                <w:sz w:val="22"/>
              </w:rPr>
              <w:t>If you look at (A) and (B), they more or less contradict each other, so it makes sense that one of them is the answer. General obligation (GO) bonds are backed by the municipality’s taxing power while revenue bonds are backed by money collected from revenue-producing facilities. Therefore, (B) is the correct answer for this question.</w:t>
            </w:r>
          </w:p>
          <w:p w14:paraId="714AB223">
            <w:pPr>
              <w:spacing w:before="120" w:after="120" w:line="288" w:lineRule="auto"/>
              <w:ind w:left="0"/>
              <w:jc w:val="left"/>
            </w:pPr>
            <w:r>
              <w:rPr>
                <w:rFonts w:ascii="Arial" w:hAnsi="Arial" w:eastAsia="等线" w:cs="Arial"/>
                <w:sz w:val="22"/>
              </w:rPr>
              <w:t>如果你看（A）和（B），它们或多或少相互矛盾，所以其中一个是答案是合理的。一般责任（GO）债券由市政当局的征税权支持，而收益债券则由从创收设施收取的资金支持。因此，（B）是这个问题的正确答案。</w:t>
            </w:r>
          </w:p>
          <w:p w14:paraId="2E701DD6">
            <w:pPr>
              <w:spacing w:before="120" w:after="120" w:line="288" w:lineRule="auto"/>
              <w:ind w:left="0"/>
              <w:jc w:val="left"/>
            </w:pPr>
          </w:p>
          <w:p w14:paraId="45725F9D">
            <w:pPr>
              <w:numPr>
                <w:ilvl w:val="0"/>
                <w:numId w:val="201"/>
              </w:numPr>
              <w:spacing w:before="120" w:after="120" w:line="288" w:lineRule="auto"/>
              <w:ind w:left="0"/>
              <w:jc w:val="left"/>
            </w:pPr>
            <w:r>
              <w:rPr>
                <w:rFonts w:ascii="Arial" w:hAnsi="Arial" w:eastAsia="等线" w:cs="Arial"/>
                <w:b/>
                <w:sz w:val="22"/>
              </w:rPr>
              <w:t>B</w:t>
            </w:r>
          </w:p>
          <w:p w14:paraId="1E042DEB">
            <w:pPr>
              <w:spacing w:before="120" w:after="120" w:line="288" w:lineRule="auto"/>
              <w:ind w:left="0"/>
              <w:jc w:val="left"/>
            </w:pPr>
            <w:r>
              <w:rPr>
                <w:rFonts w:ascii="Arial" w:hAnsi="Arial" w:eastAsia="等线" w:cs="Arial"/>
                <w:sz w:val="22"/>
              </w:rPr>
              <w:t>The correct answer is (B). Remember that GO bonds are issued to fund nonrevenue-producing projects. A new municipal hospital and a public sports arena will produce income that can back revenue bonds. But a new junior high school and a new library need the support of taxes to pay off the bonds and, therefore, are more likely to be financed by GO bonds.</w:t>
            </w:r>
          </w:p>
          <w:p w14:paraId="16EDC2E1">
            <w:pPr>
              <w:spacing w:before="120" w:after="120" w:line="288" w:lineRule="auto"/>
              <w:ind w:left="0"/>
              <w:jc w:val="left"/>
            </w:pPr>
            <w:r>
              <w:rPr>
                <w:rFonts w:ascii="Arial" w:hAnsi="Arial" w:eastAsia="等线" w:cs="Arial"/>
                <w:sz w:val="22"/>
              </w:rPr>
              <w:t>正确答案是 (B)。请记住，GO bonds 的发行是为了给非创收项目提供资金。新建的市政医院和公共体育场馆会产生收入，这些收入可以为收益债券提供支持。但新建的初中和图书馆需要依靠税收来偿还债券，因此，它们更有可能通过普通责任债券来融资。</w:t>
            </w:r>
          </w:p>
          <w:p w14:paraId="26E2F183">
            <w:pPr>
              <w:spacing w:before="120" w:after="120" w:line="288" w:lineRule="auto"/>
              <w:ind w:left="0"/>
              <w:jc w:val="left"/>
            </w:pPr>
          </w:p>
          <w:p w14:paraId="4D80ADD5">
            <w:pPr>
              <w:numPr>
                <w:ilvl w:val="0"/>
                <w:numId w:val="202"/>
              </w:numPr>
              <w:spacing w:before="120" w:after="120" w:line="288" w:lineRule="auto"/>
              <w:ind w:left="0"/>
              <w:jc w:val="left"/>
            </w:pPr>
            <w:r>
              <w:rPr>
                <w:rFonts w:ascii="Arial" w:hAnsi="Arial" w:eastAsia="等线" w:cs="Arial"/>
                <w:b/>
                <w:sz w:val="22"/>
              </w:rPr>
              <w:t>D</w:t>
            </w:r>
          </w:p>
          <w:p w14:paraId="68B2B163">
            <w:pPr>
              <w:spacing w:before="120" w:after="120" w:line="288" w:lineRule="auto"/>
              <w:ind w:left="0"/>
              <w:jc w:val="left"/>
            </w:pPr>
            <w:r>
              <w:rPr>
                <w:rFonts w:ascii="Arial" w:hAnsi="Arial" w:eastAsia="等线" w:cs="Arial"/>
                <w:sz w:val="22"/>
              </w:rPr>
              <w:t>There is no set rule as far as the percentage that a municipal broker–dealer may charge when buying or selling municipal securities. Because this trade was executed out of the broker–dealer’s inventory, you would expect that the amount that the broker–dealer would charge would be relatively low. The rule is “whatever is fair and reasonable,” meaning that if the broker–dealer expended a lot of effort getting the securities, they would not be in violation if charging extra.</w:t>
            </w:r>
          </w:p>
          <w:p w14:paraId="17920FAA">
            <w:pPr>
              <w:spacing w:before="120" w:after="120" w:line="288" w:lineRule="auto"/>
              <w:ind w:left="0"/>
              <w:jc w:val="left"/>
            </w:pPr>
            <w:r>
              <w:rPr>
                <w:rFonts w:ascii="Arial" w:hAnsi="Arial" w:eastAsia="等线" w:cs="Arial"/>
                <w:sz w:val="22"/>
              </w:rPr>
              <w:t>就市政经纪交易商在买卖市政证券时可收取的百分比而言，并没有固定的规定。由于这笔交易是通过经纪交易商的库存执行的，因此可以预期经纪交易商收取的费用会相对较低。相关规定是“合理且公道”，这意味着如果经纪交易商为获取证券付出了大量努力，那么收取额外费用并不违规。</w:t>
            </w:r>
          </w:p>
          <w:p w14:paraId="55DB2525">
            <w:pPr>
              <w:spacing w:before="120" w:after="120" w:line="288" w:lineRule="auto"/>
              <w:ind w:left="0"/>
              <w:jc w:val="left"/>
            </w:pPr>
          </w:p>
          <w:p w14:paraId="53AEF04F">
            <w:pPr>
              <w:numPr>
                <w:ilvl w:val="0"/>
                <w:numId w:val="203"/>
              </w:numPr>
              <w:spacing w:before="120" w:after="120" w:line="288" w:lineRule="auto"/>
              <w:ind w:left="0"/>
              <w:jc w:val="left"/>
            </w:pPr>
            <w:r>
              <w:rPr>
                <w:rFonts w:ascii="Arial" w:hAnsi="Arial" w:eastAsia="等线" w:cs="Arial"/>
                <w:b/>
                <w:sz w:val="22"/>
              </w:rPr>
              <w:t>B</w:t>
            </w:r>
          </w:p>
          <w:p w14:paraId="564C5D7E">
            <w:pPr>
              <w:spacing w:before="120" w:after="120" w:line="288" w:lineRule="auto"/>
              <w:ind w:left="0"/>
              <w:jc w:val="left"/>
            </w:pPr>
            <w:r>
              <w:rPr>
                <w:rFonts w:ascii="Arial" w:hAnsi="Arial" w:eastAsia="等线" w:cs="Arial"/>
                <w:sz w:val="22"/>
              </w:rPr>
              <w:t>PHA bonds are considered to be the safest municipal bonds because they’re backed by U.S. government subsidies. (This question’s easy, because only one answer starts with III.) Next-safest are moral obligation bonds, which are also considered to be very safe because the state government has a moral obligation to help pay off the debt if necessary. Next come revenue bonds, which are backed by a revenue-producing facility. IDRs are considered to be the riskiest municipal bonds because although they’re technically municipal bonds, they’re backed only by lease payments made by a corporation.</w:t>
            </w:r>
          </w:p>
          <w:p w14:paraId="63676141">
            <w:pPr>
              <w:spacing w:before="120" w:after="120" w:line="288" w:lineRule="auto"/>
              <w:ind w:left="0"/>
              <w:jc w:val="left"/>
            </w:pPr>
            <w:r>
              <w:rPr>
                <w:rFonts w:ascii="Arial" w:hAnsi="Arial" w:eastAsia="等线" w:cs="Arial"/>
                <w:sz w:val="22"/>
              </w:rPr>
              <w:t>PHA 债券被认为是最安全的市政债券，因为它们有美国政府补贴作为支持。（这个问题很简单，因为只有一个答案以III开头。）次安全的是道义责任债券，这类债券也被认为非常安全，因为州政府在必要时有道义责任帮助偿还债务。接下来是收益债券，它们由能产生收益的设施提供支持。IDR被认为是风险最高的市政债券，因为尽管从技术上讲它们属于市政债券，但仅由某家公司支付的租金提供支持。</w:t>
            </w:r>
          </w:p>
          <w:p w14:paraId="4EA07B1D">
            <w:pPr>
              <w:spacing w:before="120" w:after="120" w:line="288" w:lineRule="auto"/>
              <w:ind w:left="0"/>
              <w:jc w:val="left"/>
            </w:pPr>
          </w:p>
          <w:p w14:paraId="2976818E">
            <w:pPr>
              <w:numPr>
                <w:ilvl w:val="0"/>
                <w:numId w:val="204"/>
              </w:numPr>
              <w:spacing w:before="120" w:after="120" w:line="288" w:lineRule="auto"/>
              <w:ind w:left="0"/>
              <w:jc w:val="left"/>
            </w:pPr>
            <w:r>
              <w:rPr>
                <w:rFonts w:ascii="Arial" w:hAnsi="Arial" w:eastAsia="等线" w:cs="Arial"/>
                <w:b/>
                <w:sz w:val="22"/>
              </w:rPr>
              <w:t>B</w:t>
            </w:r>
          </w:p>
          <w:p w14:paraId="70D779DD">
            <w:pPr>
              <w:spacing w:before="120" w:after="120" w:line="288" w:lineRule="auto"/>
              <w:ind w:left="0"/>
              <w:jc w:val="left"/>
            </w:pPr>
            <w:r>
              <w:rPr>
                <w:rFonts w:ascii="Arial" w:hAnsi="Arial" w:eastAsia="等线" w:cs="Arial"/>
                <w:sz w:val="22"/>
              </w:rPr>
              <w:t>MIG (Moody’s Investment Grade) ratings are for municipal notes (short-term municipal securities). Municipal notes include TANs, RANs, TRANs, GANs, BANs, CLNs, PNs, and tax-exempt commercial paper. IDRs (Industrial Development Revenue bonds) are long- term debt securities issued by a municipality backed by a private user.</w:t>
            </w:r>
          </w:p>
          <w:p w14:paraId="19DFA0A6">
            <w:pPr>
              <w:spacing w:before="120" w:after="120" w:line="288" w:lineRule="auto"/>
              <w:ind w:left="0"/>
              <w:jc w:val="left"/>
            </w:pPr>
            <w:r>
              <w:rPr>
                <w:rFonts w:ascii="Arial" w:hAnsi="Arial" w:eastAsia="等线" w:cs="Arial"/>
                <w:sz w:val="22"/>
              </w:rPr>
              <w:t>MIG（穆迪投资级）评级适用于市政票据（短期市政证券）。市政票据包括税收预期票据（TANs）、收入预期票据（RANs）、税收和收入预期票据（TRANs）、政府预期票据（GANs）、债券预期票据（BANs）、建设贷款票据（CLNs）、项目票据（PNs）以及免税商业票据。工业发展收入债券（IDRs）是由 municipality 发行的长期债务证券，由私人用户提供担保。</w:t>
            </w:r>
          </w:p>
          <w:p w14:paraId="12CA741B">
            <w:pPr>
              <w:spacing w:before="120" w:after="120" w:line="288" w:lineRule="auto"/>
              <w:ind w:left="0"/>
              <w:jc w:val="left"/>
            </w:pPr>
          </w:p>
          <w:p w14:paraId="4FC59EF8">
            <w:pPr>
              <w:numPr>
                <w:ilvl w:val="0"/>
                <w:numId w:val="205"/>
              </w:numPr>
              <w:spacing w:before="120" w:after="120" w:line="288" w:lineRule="auto"/>
              <w:ind w:left="0"/>
              <w:jc w:val="left"/>
            </w:pPr>
            <w:r>
              <w:rPr>
                <w:rFonts w:ascii="Arial" w:hAnsi="Arial" w:eastAsia="等线" w:cs="Arial"/>
                <w:b/>
                <w:sz w:val="22"/>
              </w:rPr>
              <w:t>C</w:t>
            </w:r>
          </w:p>
          <w:p w14:paraId="3A412B83">
            <w:pPr>
              <w:spacing w:before="120" w:after="120" w:line="288" w:lineRule="auto"/>
              <w:ind w:left="0"/>
              <w:jc w:val="left"/>
            </w:pPr>
            <w:r>
              <w:rPr>
                <w:rFonts w:ascii="Arial" w:hAnsi="Arial" w:eastAsia="等线" w:cs="Arial"/>
                <w:sz w:val="22"/>
              </w:rPr>
              <w:t>Explanation: A 529 college savings plan is a municipal fund security offered by state governments to help families save for education expenses. Treasury bonds and preferred stock are not municipal securities.</w:t>
            </w:r>
          </w:p>
          <w:p w14:paraId="0F132807">
            <w:pPr>
              <w:spacing w:before="120" w:after="120" w:line="288" w:lineRule="auto"/>
              <w:ind w:left="0"/>
              <w:jc w:val="left"/>
            </w:pPr>
            <w:r>
              <w:rPr>
                <w:rFonts w:ascii="Arial" w:hAnsi="Arial" w:eastAsia="等线" w:cs="Arial"/>
                <w:sz w:val="22"/>
              </w:rPr>
              <w:t>529大学储蓄计划是由州政府提供的市政基金证券，旨在帮助家庭储蓄教育费用。国债和优先股不属于市政证券。</w:t>
            </w:r>
          </w:p>
          <w:p w14:paraId="543C2825">
            <w:pPr>
              <w:spacing w:before="120" w:after="120" w:line="288" w:lineRule="auto"/>
              <w:ind w:left="0"/>
              <w:jc w:val="left"/>
            </w:pPr>
          </w:p>
          <w:p w14:paraId="5B4ED372">
            <w:pPr>
              <w:numPr>
                <w:ilvl w:val="0"/>
                <w:numId w:val="206"/>
              </w:numPr>
              <w:spacing w:before="120" w:after="120" w:line="288" w:lineRule="auto"/>
              <w:ind w:left="0"/>
              <w:jc w:val="left"/>
            </w:pPr>
            <w:r>
              <w:rPr>
                <w:rFonts w:ascii="Arial" w:hAnsi="Arial" w:eastAsia="等线" w:cs="Arial"/>
                <w:b/>
                <w:sz w:val="22"/>
              </w:rPr>
              <w:t>C</w:t>
            </w:r>
          </w:p>
          <w:p w14:paraId="4EE0DA92">
            <w:pPr>
              <w:spacing w:before="120" w:after="120" w:line="288" w:lineRule="auto"/>
              <w:ind w:left="0"/>
              <w:jc w:val="left"/>
            </w:pPr>
            <w:r>
              <w:rPr>
                <w:rFonts w:ascii="Arial" w:hAnsi="Arial" w:eastAsia="等线" w:cs="Arial"/>
                <w:sz w:val="22"/>
              </w:rPr>
              <w:t>Explanation: ABLE accounts are available to individuals with disabilities that began before age 26. These accounts offer tax advantages for qualified expenses related to their disability.</w:t>
            </w:r>
          </w:p>
          <w:p w14:paraId="311CDEFF">
            <w:pPr>
              <w:spacing w:before="120" w:after="120" w:line="288" w:lineRule="auto"/>
              <w:ind w:left="0"/>
              <w:jc w:val="left"/>
            </w:pPr>
            <w:r>
              <w:rPr>
                <w:rFonts w:ascii="Arial" w:hAnsi="Arial" w:eastAsia="等线" w:cs="Arial"/>
                <w:sz w:val="22"/>
              </w:rPr>
              <w:t>ABLE 账户适用于 26 岁之前开始残疾的个人。</w:t>
            </w:r>
          </w:p>
          <w:p w14:paraId="3751AE9B">
            <w:pPr>
              <w:spacing w:before="120" w:after="120" w:line="288" w:lineRule="auto"/>
              <w:ind w:left="0"/>
              <w:jc w:val="left"/>
            </w:pPr>
            <w:r>
              <w:rPr>
                <w:rFonts w:ascii="Arial" w:hAnsi="Arial" w:eastAsia="等线" w:cs="Arial"/>
                <w:sz w:val="22"/>
              </w:rPr>
              <w:t>这些账户为与其残疾相关的合格费用提供税收优惠。</w:t>
            </w:r>
          </w:p>
          <w:p w14:paraId="68F50F3D">
            <w:pPr>
              <w:spacing w:before="120" w:after="120" w:line="288" w:lineRule="auto"/>
              <w:ind w:left="0"/>
              <w:jc w:val="left"/>
            </w:pPr>
          </w:p>
          <w:p w14:paraId="51CC79B0">
            <w:pPr>
              <w:numPr>
                <w:ilvl w:val="0"/>
                <w:numId w:val="207"/>
              </w:numPr>
              <w:spacing w:before="120" w:after="120" w:line="288" w:lineRule="auto"/>
              <w:ind w:left="0"/>
              <w:jc w:val="left"/>
            </w:pPr>
            <w:r>
              <w:rPr>
                <w:rFonts w:ascii="Arial" w:hAnsi="Arial" w:eastAsia="等线" w:cs="Arial"/>
                <w:sz w:val="22"/>
              </w:rPr>
              <w:t>C</w:t>
            </w:r>
          </w:p>
          <w:p w14:paraId="4CD04B9D">
            <w:pPr>
              <w:spacing w:before="120" w:after="120" w:line="288" w:lineRule="auto"/>
              <w:ind w:left="0"/>
              <w:jc w:val="left"/>
            </w:pPr>
            <w:r>
              <w:rPr>
                <w:rFonts w:ascii="Arial" w:hAnsi="Arial" w:eastAsia="等线" w:cs="Arial"/>
                <w:sz w:val="22"/>
              </w:rPr>
              <w:t>Explanation: LGIPs are investment vehicles created by states or municipalities that allow local governments to pool and invest surplus cash, typically in short-term instruments. LGIPs are not open to individuals and are not regulated as mutual funds.</w:t>
            </w:r>
          </w:p>
          <w:p w14:paraId="64088A32">
            <w:pPr>
              <w:spacing w:before="120" w:after="120" w:line="288" w:lineRule="auto"/>
              <w:ind w:left="0"/>
              <w:jc w:val="left"/>
            </w:pPr>
            <w:r>
              <w:rPr>
                <w:rFonts w:ascii="Arial" w:hAnsi="Arial" w:eastAsia="等线" w:cs="Arial"/>
                <w:sz w:val="22"/>
              </w:rPr>
              <w:t>地方政府投资项目 (LGIP) 是由州或市政当局创建的投资工具，允许地方政府汇集并投资剩余资金，通常用于短期工具。LGIP 不向个人开放，也不受共同基金监管。</w:t>
            </w:r>
          </w:p>
          <w:p w14:paraId="35F41C75">
            <w:pPr>
              <w:spacing w:before="120" w:after="120" w:line="288" w:lineRule="auto"/>
              <w:ind w:left="0"/>
              <w:jc w:val="left"/>
            </w:pPr>
          </w:p>
          <w:p w14:paraId="40BA2FF4">
            <w:pPr>
              <w:numPr>
                <w:ilvl w:val="0"/>
                <w:numId w:val="208"/>
              </w:numPr>
              <w:spacing w:before="120" w:after="120" w:line="288" w:lineRule="auto"/>
              <w:ind w:left="0"/>
              <w:jc w:val="left"/>
            </w:pPr>
            <w:r>
              <w:rPr>
                <w:rFonts w:ascii="Arial" w:hAnsi="Arial" w:eastAsia="等线" w:cs="Arial"/>
                <w:b/>
                <w:sz w:val="22"/>
              </w:rPr>
              <w:t>A</w:t>
            </w:r>
          </w:p>
          <w:p w14:paraId="1AAD867B">
            <w:pPr>
              <w:spacing w:before="120" w:after="120" w:line="288" w:lineRule="auto"/>
              <w:ind w:left="0"/>
              <w:jc w:val="left"/>
            </w:pPr>
            <w:r>
              <w:rPr>
                <w:rFonts w:ascii="Arial" w:hAnsi="Arial" w:eastAsia="等线" w:cs="Arial"/>
                <w:sz w:val="22"/>
              </w:rPr>
              <w:t>U.S. territory bonds and bonds issued by federal districts are triple tax-free (exempt from federal, state, and local tax). Bonds issued by the state of Hawaii are not, however. The triple tax-free bonds you should be aware of are the ones issued by Puerto Rico, Guam, U.S. Virgin Islands, American Samoa, and Washington, D.C.</w:t>
            </w:r>
          </w:p>
          <w:p w14:paraId="767C6F5A">
            <w:pPr>
              <w:spacing w:before="120" w:after="120" w:line="288" w:lineRule="auto"/>
              <w:ind w:left="0"/>
              <w:jc w:val="left"/>
            </w:pPr>
            <w:r>
              <w:rPr>
                <w:rFonts w:ascii="Arial" w:hAnsi="Arial" w:eastAsia="等线" w:cs="Arial"/>
                <w:sz w:val="22"/>
              </w:rPr>
              <w:t>美国领地债券和联邦直辖区发行的债券是三重免税的（豁免联邦、州和地方税）。然而，夏威夷州发行的债券则并非如此。你需要注意的三重免税债券是由波多黎各、关岛、美属维尔京群岛、美属萨摩亚和华盛顿特区发行的那些。</w:t>
            </w:r>
          </w:p>
          <w:p w14:paraId="5F41F36B">
            <w:pPr>
              <w:spacing w:before="120" w:after="120" w:line="288" w:lineRule="auto"/>
              <w:ind w:left="0"/>
              <w:jc w:val="left"/>
            </w:pPr>
          </w:p>
          <w:p w14:paraId="4F22D605">
            <w:pPr>
              <w:numPr>
                <w:ilvl w:val="0"/>
                <w:numId w:val="209"/>
              </w:numPr>
              <w:spacing w:before="120" w:after="120" w:line="288" w:lineRule="auto"/>
              <w:ind w:left="0"/>
              <w:jc w:val="left"/>
            </w:pPr>
            <w:r>
              <w:rPr>
                <w:rFonts w:ascii="Arial" w:hAnsi="Arial" w:eastAsia="等线" w:cs="Arial"/>
                <w:b/>
                <w:sz w:val="22"/>
              </w:rPr>
              <w:t>D</w:t>
            </w:r>
          </w:p>
          <w:p w14:paraId="738A5F00">
            <w:pPr>
              <w:spacing w:before="120" w:after="120" w:line="288" w:lineRule="auto"/>
              <w:ind w:left="0"/>
              <w:jc w:val="left"/>
            </w:pPr>
            <w:r>
              <w:rPr>
                <w:rFonts w:ascii="Arial" w:hAnsi="Arial" w:eastAsia="等线" w:cs="Arial"/>
                <w:sz w:val="22"/>
              </w:rPr>
              <w:t xml:space="preserve">Because the interest received on municipal bonds is federally tax-free, you have to determine the taxable equivalent yield to be able to compare municipal bonds and corporate bonds equally. So, when you’re using the taxable equivalent yield (TEY) formula, you’re looking at what a corporate bond would have to yield to be equal to this municipal bond after taxes. See the following formula: </w:t>
            </w:r>
          </w:p>
          <w:p w14:paraId="59B2D6AE">
            <w:pPr>
              <w:spacing w:before="120" w:after="120" w:line="288" w:lineRule="auto"/>
              <w:ind w:left="0"/>
              <w:jc w:val="left"/>
            </w:pPr>
            <w:r>
              <w:rPr>
                <w:rFonts w:ascii="Arial" w:hAnsi="Arial" w:eastAsia="等线" w:cs="Arial"/>
                <w:sz w:val="22"/>
              </w:rPr>
              <w:t>由于市政债券的利息收入免征联邦税，因此你必须计算应税等值收益率，才能公平比较市政债券和公司债券。因此，当你使用应税等值收益率（TEY）公式时，你要计算的是公司债券需要达到多少收益率，才能在税后与该市政债券的收益率相等</w:t>
            </w:r>
          </w:p>
          <w:p w14:paraId="2DDAB009">
            <w:pPr>
              <w:spacing w:before="120" w:after="120" w:line="288" w:lineRule="auto"/>
              <w:ind w:left="0"/>
              <w:jc w:val="left"/>
            </w:pPr>
            <w:r>
              <w:rPr>
                <w:rFonts w:ascii="Arial" w:hAnsi="Arial" w:eastAsia="等线" w:cs="Arial"/>
                <w:sz w:val="22"/>
              </w:rPr>
              <w:t>5%/76% = 6.58%</w:t>
            </w:r>
          </w:p>
          <w:p w14:paraId="00F1FF1E">
            <w:pPr>
              <w:spacing w:before="120" w:after="120" w:line="288" w:lineRule="auto"/>
              <w:ind w:left="0"/>
              <w:jc w:val="left"/>
            </w:pPr>
          </w:p>
          <w:p w14:paraId="47FA3226">
            <w:pPr>
              <w:numPr>
                <w:ilvl w:val="0"/>
                <w:numId w:val="210"/>
              </w:numPr>
              <w:spacing w:before="120" w:after="120" w:line="288" w:lineRule="auto"/>
              <w:ind w:left="0"/>
              <w:jc w:val="left"/>
            </w:pPr>
            <w:r>
              <w:rPr>
                <w:rFonts w:ascii="Arial" w:hAnsi="Arial" w:eastAsia="等线" w:cs="Arial"/>
                <w:b/>
                <w:sz w:val="22"/>
              </w:rPr>
              <w:t>A</w:t>
            </w:r>
          </w:p>
          <w:p w14:paraId="0D866E2D">
            <w:pPr>
              <w:spacing w:before="120" w:after="120" w:line="288" w:lineRule="auto"/>
              <w:ind w:left="0"/>
              <w:jc w:val="left"/>
            </w:pPr>
            <w:r>
              <w:rPr>
                <w:rFonts w:ascii="Arial" w:hAnsi="Arial" w:eastAsia="等线" w:cs="Arial"/>
                <w:sz w:val="22"/>
              </w:rPr>
              <w:t>Municipal bonds don’t have a prospectus. Instead, they have an official statement. Official statements, like prospectuses, come in preliminary and final versions. If prepared, an official statement would contain things like the offering terms, a description of the bonds being offered, a description of the issuer, the bond offering price, the coupon rate, and the maturity.</w:t>
            </w:r>
          </w:p>
          <w:p w14:paraId="34BBD21A">
            <w:pPr>
              <w:spacing w:before="120" w:after="120" w:line="288" w:lineRule="auto"/>
              <w:ind w:left="0"/>
              <w:jc w:val="left"/>
            </w:pPr>
            <w:r>
              <w:rPr>
                <w:rFonts w:ascii="Arial" w:hAnsi="Arial" w:eastAsia="等线" w:cs="Arial"/>
                <w:sz w:val="22"/>
              </w:rPr>
              <w:t>市政债券没有招股说明书，而是有官方声明。与招股说明书类似，官方声明也有初步版本和最终版本。若编制完成，官方声明将包含发行条款、所发行债券的描述、发行人的描述、债券发行价格、票面利率以及到期日等内容。</w:t>
            </w:r>
          </w:p>
          <w:p w14:paraId="6AC9856A">
            <w:pPr>
              <w:spacing w:before="120" w:after="120" w:line="288" w:lineRule="auto"/>
              <w:ind w:left="0"/>
              <w:jc w:val="left"/>
            </w:pPr>
          </w:p>
          <w:p w14:paraId="275E2BB6">
            <w:pPr>
              <w:numPr>
                <w:ilvl w:val="0"/>
                <w:numId w:val="211"/>
              </w:numPr>
              <w:spacing w:before="120" w:after="120" w:line="288" w:lineRule="auto"/>
              <w:ind w:left="0"/>
              <w:jc w:val="left"/>
            </w:pPr>
            <w:r>
              <w:rPr>
                <w:rFonts w:ascii="Arial" w:hAnsi="Arial" w:eastAsia="等线" w:cs="Arial"/>
                <w:b/>
                <w:sz w:val="22"/>
              </w:rPr>
              <w:t>B</w:t>
            </w:r>
          </w:p>
          <w:p w14:paraId="1F30143F">
            <w:pPr>
              <w:spacing w:before="120" w:after="120" w:line="288" w:lineRule="auto"/>
              <w:ind w:left="0"/>
              <w:jc w:val="left"/>
            </w:pPr>
            <w:r>
              <w:rPr>
                <w:rFonts w:ascii="Arial" w:hAnsi="Arial" w:eastAsia="等线" w:cs="Arial"/>
                <w:sz w:val="22"/>
              </w:rPr>
              <w:t>Advertisements include promotional literature (written and electronic), circulars, market letters, seminar text, press releases, and so on. Preliminary official statements, official statements, offering circulars, and so on are not considered to be advertisements.</w:t>
            </w:r>
          </w:p>
          <w:p w14:paraId="3070322E">
            <w:pPr>
              <w:spacing w:before="120" w:after="120" w:line="288" w:lineRule="auto"/>
              <w:ind w:left="0"/>
              <w:jc w:val="left"/>
            </w:pPr>
            <w:r>
              <w:rPr>
                <w:rFonts w:ascii="Arial" w:hAnsi="Arial" w:eastAsia="等线" w:cs="Arial"/>
                <w:sz w:val="22"/>
              </w:rPr>
              <w:t>广告包括宣传资料（书面和电子形式）、传单、市场通讯、研讨会文本、新闻稿等。初步官方声明、官方声明、发售通函等不被视为广告。</w:t>
            </w:r>
          </w:p>
          <w:p w14:paraId="1FB00371">
            <w:pPr>
              <w:spacing w:before="120" w:after="120" w:line="288" w:lineRule="auto"/>
              <w:ind w:left="0"/>
              <w:jc w:val="left"/>
            </w:pPr>
          </w:p>
          <w:p w14:paraId="3A05DF1B">
            <w:pPr>
              <w:numPr>
                <w:ilvl w:val="0"/>
                <w:numId w:val="212"/>
              </w:numPr>
              <w:spacing w:before="120" w:after="120" w:line="288" w:lineRule="auto"/>
              <w:ind w:left="0"/>
              <w:jc w:val="left"/>
            </w:pPr>
            <w:r>
              <w:rPr>
                <w:rFonts w:ascii="Arial" w:hAnsi="Arial" w:eastAsia="等线" w:cs="Arial"/>
                <w:sz w:val="22"/>
              </w:rPr>
              <w:t>B</w:t>
            </w:r>
          </w:p>
          <w:p w14:paraId="3737BB32">
            <w:pPr>
              <w:spacing w:before="120" w:after="120" w:line="288" w:lineRule="auto"/>
              <w:ind w:left="0"/>
              <w:jc w:val="left"/>
            </w:pPr>
            <w:r>
              <w:rPr>
                <w:rFonts w:ascii="Arial" w:hAnsi="Arial" w:eastAsia="等线" w:cs="Arial"/>
                <w:sz w:val="22"/>
              </w:rPr>
              <w:t>Under MSRB rules, all municipal securities advertising must be kept on file for a minimum of three years and kept easily accessible for at least two years.</w:t>
            </w:r>
          </w:p>
          <w:p w14:paraId="1DCEF008">
            <w:pPr>
              <w:spacing w:before="120" w:after="120" w:line="288" w:lineRule="auto"/>
              <w:ind w:left="0"/>
              <w:jc w:val="left"/>
            </w:pPr>
            <w:r>
              <w:rPr>
                <w:rFonts w:ascii="Arial" w:hAnsi="Arial" w:eastAsia="等线" w:cs="Arial"/>
                <w:sz w:val="22"/>
              </w:rPr>
              <w:t>根据MSRB的规定，所有市政证券广告必须存档至少三年，并至少两年便于查阅。</w:t>
            </w:r>
          </w:p>
        </w:tc>
      </w:tr>
    </w:tbl>
    <w:p w14:paraId="6A541275">
      <w:pPr>
        <w:spacing w:before="120" w:after="120" w:line="288" w:lineRule="auto"/>
        <w:ind w:left="0"/>
        <w:jc w:val="left"/>
      </w:pPr>
      <w:bookmarkStart w:id="43" w:name="_GoBack"/>
      <w:bookmarkEnd w:id="43"/>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4034F"/>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E59B9D">
    <w:r>
      <w:pict>
        <v:shape id="WordPictureWatermark1" o:spid="_x0000_s2049" o:spt="75" type="#_x0000_t75" style="position:absolute;left:0pt;height:697.5pt;width:414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o:title="image899"/>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0"/>
      <w:numFmt w:val="bullet"/>
      <w:lvlText w:val="•"/>
      <w:lvlJc w:val="left"/>
      <w:rPr>
        <w:color w:val="3370FF"/>
      </w:rPr>
    </w:lvl>
  </w:abstractNum>
  <w:abstractNum w:abstractNumId="1">
    <w:nsid w:val="813A4B87"/>
    <w:multiLevelType w:val="singleLevel"/>
    <w:tmpl w:val="813A4B87"/>
    <w:lvl w:ilvl="0" w:tentative="0">
      <w:start w:val="0"/>
      <w:numFmt w:val="bullet"/>
      <w:lvlText w:val="•"/>
      <w:lvlJc w:val="left"/>
      <w:rPr>
        <w:color w:val="3370FF"/>
      </w:rPr>
    </w:lvl>
  </w:abstractNum>
  <w:abstractNum w:abstractNumId="2">
    <w:nsid w:val="825EC3C5"/>
    <w:multiLevelType w:val="singleLevel"/>
    <w:tmpl w:val="825EC3C5"/>
    <w:lvl w:ilvl="0" w:tentative="0">
      <w:start w:val="0"/>
      <w:numFmt w:val="bullet"/>
      <w:lvlText w:val="￮"/>
      <w:lvlJc w:val="left"/>
      <w:rPr>
        <w:color w:val="3370FF"/>
      </w:rPr>
    </w:lvl>
  </w:abstractNum>
  <w:abstractNum w:abstractNumId="3">
    <w:nsid w:val="845B5372"/>
    <w:multiLevelType w:val="singleLevel"/>
    <w:tmpl w:val="845B5372"/>
    <w:lvl w:ilvl="0" w:tentative="0">
      <w:start w:val="0"/>
      <w:numFmt w:val="bullet"/>
      <w:lvlText w:val="•"/>
      <w:lvlJc w:val="left"/>
      <w:rPr>
        <w:color w:val="3370FF"/>
      </w:rPr>
    </w:lvl>
  </w:abstractNum>
  <w:abstractNum w:abstractNumId="4">
    <w:nsid w:val="8461FADE"/>
    <w:multiLevelType w:val="singleLevel"/>
    <w:tmpl w:val="8461FADE"/>
    <w:lvl w:ilvl="0" w:tentative="0">
      <w:start w:val="1"/>
      <w:numFmt w:val="decimal"/>
      <w:lvlText w:val="%1."/>
      <w:lvlJc w:val="left"/>
      <w:rPr>
        <w:color w:val="3370FF"/>
      </w:rPr>
    </w:lvl>
  </w:abstractNum>
  <w:abstractNum w:abstractNumId="5">
    <w:nsid w:val="84994F45"/>
    <w:multiLevelType w:val="singleLevel"/>
    <w:tmpl w:val="84994F45"/>
    <w:lvl w:ilvl="0" w:tentative="0">
      <w:start w:val="10"/>
      <w:numFmt w:val="decimal"/>
      <w:lvlText w:val="%1."/>
      <w:lvlJc w:val="left"/>
      <w:rPr>
        <w:color w:val="3370FF"/>
      </w:rPr>
    </w:lvl>
  </w:abstractNum>
  <w:abstractNum w:abstractNumId="6">
    <w:nsid w:val="87B75F0A"/>
    <w:multiLevelType w:val="singleLevel"/>
    <w:tmpl w:val="87B75F0A"/>
    <w:lvl w:ilvl="0" w:tentative="0">
      <w:start w:val="0"/>
      <w:numFmt w:val="bullet"/>
      <w:lvlText w:val="￮"/>
      <w:lvlJc w:val="left"/>
      <w:rPr>
        <w:color w:val="3370FF"/>
      </w:rPr>
    </w:lvl>
  </w:abstractNum>
  <w:abstractNum w:abstractNumId="7">
    <w:nsid w:val="883B3669"/>
    <w:multiLevelType w:val="singleLevel"/>
    <w:tmpl w:val="883B3669"/>
    <w:lvl w:ilvl="0" w:tentative="0">
      <w:start w:val="0"/>
      <w:numFmt w:val="bullet"/>
      <w:lvlText w:val="￮"/>
      <w:lvlJc w:val="left"/>
      <w:rPr>
        <w:color w:val="3370FF"/>
      </w:rPr>
    </w:lvl>
  </w:abstractNum>
  <w:abstractNum w:abstractNumId="8">
    <w:nsid w:val="8CAEB125"/>
    <w:multiLevelType w:val="singleLevel"/>
    <w:tmpl w:val="8CAEB125"/>
    <w:lvl w:ilvl="0" w:tentative="0">
      <w:start w:val="0"/>
      <w:numFmt w:val="bullet"/>
      <w:lvlText w:val="•"/>
      <w:lvlJc w:val="left"/>
      <w:rPr>
        <w:color w:val="3370FF"/>
      </w:rPr>
    </w:lvl>
  </w:abstractNum>
  <w:abstractNum w:abstractNumId="9">
    <w:nsid w:val="91995D4F"/>
    <w:multiLevelType w:val="singleLevel"/>
    <w:tmpl w:val="91995D4F"/>
    <w:lvl w:ilvl="0" w:tentative="0">
      <w:start w:val="0"/>
      <w:numFmt w:val="bullet"/>
      <w:lvlText w:val="•"/>
      <w:lvlJc w:val="left"/>
      <w:rPr>
        <w:color w:val="3370FF"/>
      </w:rPr>
    </w:lvl>
  </w:abstractNum>
  <w:abstractNum w:abstractNumId="10">
    <w:nsid w:val="91B69C97"/>
    <w:multiLevelType w:val="singleLevel"/>
    <w:tmpl w:val="91B69C97"/>
    <w:lvl w:ilvl="0" w:tentative="0">
      <w:start w:val="0"/>
      <w:numFmt w:val="bullet"/>
      <w:lvlText w:val="￮"/>
      <w:lvlJc w:val="left"/>
      <w:rPr>
        <w:color w:val="3370FF"/>
      </w:rPr>
    </w:lvl>
  </w:abstractNum>
  <w:abstractNum w:abstractNumId="11">
    <w:nsid w:val="9239341B"/>
    <w:multiLevelType w:val="singleLevel"/>
    <w:tmpl w:val="9239341B"/>
    <w:lvl w:ilvl="0" w:tentative="0">
      <w:start w:val="0"/>
      <w:numFmt w:val="bullet"/>
      <w:lvlText w:val="•"/>
      <w:lvlJc w:val="left"/>
      <w:rPr>
        <w:color w:val="3370FF"/>
      </w:rPr>
    </w:lvl>
  </w:abstractNum>
  <w:abstractNum w:abstractNumId="12">
    <w:nsid w:val="9288B902"/>
    <w:multiLevelType w:val="singleLevel"/>
    <w:tmpl w:val="9288B902"/>
    <w:lvl w:ilvl="0" w:tentative="0">
      <w:start w:val="0"/>
      <w:numFmt w:val="bullet"/>
      <w:lvlText w:val="•"/>
      <w:lvlJc w:val="left"/>
      <w:rPr>
        <w:color w:val="3370FF"/>
      </w:rPr>
    </w:lvl>
  </w:abstractNum>
  <w:abstractNum w:abstractNumId="13">
    <w:nsid w:val="930EE254"/>
    <w:multiLevelType w:val="singleLevel"/>
    <w:tmpl w:val="930EE254"/>
    <w:lvl w:ilvl="0" w:tentative="0">
      <w:start w:val="0"/>
      <w:numFmt w:val="bullet"/>
      <w:lvlText w:val="•"/>
      <w:lvlJc w:val="left"/>
      <w:rPr>
        <w:color w:val="3370FF"/>
      </w:rPr>
    </w:lvl>
  </w:abstractNum>
  <w:abstractNum w:abstractNumId="14">
    <w:nsid w:val="9377BC45"/>
    <w:multiLevelType w:val="singleLevel"/>
    <w:tmpl w:val="9377BC45"/>
    <w:lvl w:ilvl="0" w:tentative="0">
      <w:start w:val="0"/>
      <w:numFmt w:val="bullet"/>
      <w:lvlText w:val="•"/>
      <w:lvlJc w:val="left"/>
      <w:rPr>
        <w:color w:val="3370FF"/>
      </w:rPr>
    </w:lvl>
  </w:abstractNum>
  <w:abstractNum w:abstractNumId="15">
    <w:nsid w:val="941D12A9"/>
    <w:multiLevelType w:val="singleLevel"/>
    <w:tmpl w:val="941D12A9"/>
    <w:lvl w:ilvl="0" w:tentative="0">
      <w:start w:val="0"/>
      <w:numFmt w:val="bullet"/>
      <w:lvlText w:val="￮"/>
      <w:lvlJc w:val="left"/>
      <w:rPr>
        <w:color w:val="3370FF"/>
      </w:rPr>
    </w:lvl>
  </w:abstractNum>
  <w:abstractNum w:abstractNumId="16">
    <w:nsid w:val="95E682A1"/>
    <w:multiLevelType w:val="singleLevel"/>
    <w:tmpl w:val="95E682A1"/>
    <w:lvl w:ilvl="0" w:tentative="0">
      <w:start w:val="0"/>
      <w:numFmt w:val="bullet"/>
      <w:lvlText w:val="•"/>
      <w:lvlJc w:val="left"/>
      <w:rPr>
        <w:color w:val="3370FF"/>
      </w:rPr>
    </w:lvl>
  </w:abstractNum>
  <w:abstractNum w:abstractNumId="17">
    <w:nsid w:val="98CD717A"/>
    <w:multiLevelType w:val="singleLevel"/>
    <w:tmpl w:val="98CD717A"/>
    <w:lvl w:ilvl="0" w:tentative="0">
      <w:start w:val="0"/>
      <w:numFmt w:val="bullet"/>
      <w:lvlText w:val="•"/>
      <w:lvlJc w:val="left"/>
      <w:rPr>
        <w:color w:val="3370FF"/>
      </w:rPr>
    </w:lvl>
  </w:abstractNum>
  <w:abstractNum w:abstractNumId="18">
    <w:nsid w:val="9ACF65A0"/>
    <w:multiLevelType w:val="singleLevel"/>
    <w:tmpl w:val="9ACF65A0"/>
    <w:lvl w:ilvl="0" w:tentative="0">
      <w:start w:val="0"/>
      <w:numFmt w:val="bullet"/>
      <w:lvlText w:val="￮"/>
      <w:lvlJc w:val="left"/>
      <w:rPr>
        <w:color w:val="3370FF"/>
      </w:rPr>
    </w:lvl>
  </w:abstractNum>
  <w:abstractNum w:abstractNumId="19">
    <w:nsid w:val="9B1F845E"/>
    <w:multiLevelType w:val="singleLevel"/>
    <w:tmpl w:val="9B1F845E"/>
    <w:lvl w:ilvl="0" w:tentative="0">
      <w:start w:val="12"/>
      <w:numFmt w:val="decimal"/>
      <w:lvlText w:val="%1."/>
      <w:lvlJc w:val="left"/>
      <w:rPr>
        <w:color w:val="3370FF"/>
      </w:rPr>
    </w:lvl>
  </w:abstractNum>
  <w:abstractNum w:abstractNumId="20">
    <w:nsid w:val="9C11E984"/>
    <w:multiLevelType w:val="singleLevel"/>
    <w:tmpl w:val="9C11E984"/>
    <w:lvl w:ilvl="0" w:tentative="0">
      <w:start w:val="0"/>
      <w:numFmt w:val="bullet"/>
      <w:lvlText w:val="￮"/>
      <w:lvlJc w:val="left"/>
      <w:rPr>
        <w:color w:val="3370FF"/>
      </w:rPr>
    </w:lvl>
  </w:abstractNum>
  <w:abstractNum w:abstractNumId="21">
    <w:nsid w:val="9C7198AA"/>
    <w:multiLevelType w:val="singleLevel"/>
    <w:tmpl w:val="9C7198AA"/>
    <w:lvl w:ilvl="0" w:tentative="0">
      <w:start w:val="0"/>
      <w:numFmt w:val="bullet"/>
      <w:lvlText w:val="￮"/>
      <w:lvlJc w:val="left"/>
      <w:rPr>
        <w:color w:val="3370FF"/>
      </w:rPr>
    </w:lvl>
  </w:abstractNum>
  <w:abstractNum w:abstractNumId="22">
    <w:nsid w:val="9C8AC8EF"/>
    <w:multiLevelType w:val="singleLevel"/>
    <w:tmpl w:val="9C8AC8EF"/>
    <w:lvl w:ilvl="0" w:tentative="0">
      <w:start w:val="0"/>
      <w:numFmt w:val="bullet"/>
      <w:lvlText w:val="•"/>
      <w:lvlJc w:val="left"/>
      <w:rPr>
        <w:color w:val="3370FF"/>
      </w:rPr>
    </w:lvl>
  </w:abstractNum>
  <w:abstractNum w:abstractNumId="23">
    <w:nsid w:val="9D5D7490"/>
    <w:multiLevelType w:val="singleLevel"/>
    <w:tmpl w:val="9D5D7490"/>
    <w:lvl w:ilvl="0" w:tentative="0">
      <w:start w:val="1"/>
      <w:numFmt w:val="decimal"/>
      <w:lvlText w:val="%1."/>
      <w:lvlJc w:val="left"/>
      <w:rPr>
        <w:color w:val="3370FF"/>
      </w:rPr>
    </w:lvl>
  </w:abstractNum>
  <w:abstractNum w:abstractNumId="24">
    <w:nsid w:val="9D7EB8E6"/>
    <w:multiLevelType w:val="singleLevel"/>
    <w:tmpl w:val="9D7EB8E6"/>
    <w:lvl w:ilvl="0" w:tentative="0">
      <w:start w:val="0"/>
      <w:numFmt w:val="bullet"/>
      <w:lvlText w:val="•"/>
      <w:lvlJc w:val="left"/>
      <w:rPr>
        <w:color w:val="3370FF"/>
      </w:rPr>
    </w:lvl>
  </w:abstractNum>
  <w:abstractNum w:abstractNumId="25">
    <w:nsid w:val="9D9F4F4D"/>
    <w:multiLevelType w:val="singleLevel"/>
    <w:tmpl w:val="9D9F4F4D"/>
    <w:lvl w:ilvl="0" w:tentative="0">
      <w:start w:val="3"/>
      <w:numFmt w:val="decimal"/>
      <w:lvlText w:val="%1."/>
      <w:lvlJc w:val="left"/>
      <w:rPr>
        <w:color w:val="3370FF"/>
      </w:rPr>
    </w:lvl>
  </w:abstractNum>
  <w:abstractNum w:abstractNumId="26">
    <w:nsid w:val="9DFC6F65"/>
    <w:multiLevelType w:val="singleLevel"/>
    <w:tmpl w:val="9DFC6F65"/>
    <w:lvl w:ilvl="0" w:tentative="0">
      <w:start w:val="0"/>
      <w:numFmt w:val="bullet"/>
      <w:lvlText w:val="•"/>
      <w:lvlJc w:val="left"/>
      <w:rPr>
        <w:color w:val="3370FF"/>
      </w:rPr>
    </w:lvl>
  </w:abstractNum>
  <w:abstractNum w:abstractNumId="27">
    <w:nsid w:val="9F81B9F9"/>
    <w:multiLevelType w:val="singleLevel"/>
    <w:tmpl w:val="9F81B9F9"/>
    <w:lvl w:ilvl="0" w:tentative="0">
      <w:start w:val="0"/>
      <w:numFmt w:val="bullet"/>
      <w:lvlText w:val="•"/>
      <w:lvlJc w:val="left"/>
      <w:rPr>
        <w:color w:val="3370FF"/>
      </w:rPr>
    </w:lvl>
  </w:abstractNum>
  <w:abstractNum w:abstractNumId="28">
    <w:nsid w:val="A0C93552"/>
    <w:multiLevelType w:val="singleLevel"/>
    <w:tmpl w:val="A0C93552"/>
    <w:lvl w:ilvl="0" w:tentative="0">
      <w:start w:val="0"/>
      <w:numFmt w:val="bullet"/>
      <w:lvlText w:val="•"/>
      <w:lvlJc w:val="left"/>
      <w:rPr>
        <w:color w:val="3370FF"/>
      </w:rPr>
    </w:lvl>
  </w:abstractNum>
  <w:abstractNum w:abstractNumId="29">
    <w:nsid w:val="A0F05207"/>
    <w:multiLevelType w:val="singleLevel"/>
    <w:tmpl w:val="A0F05207"/>
    <w:lvl w:ilvl="0" w:tentative="0">
      <w:start w:val="0"/>
      <w:numFmt w:val="bullet"/>
      <w:lvlText w:val="•"/>
      <w:lvlJc w:val="left"/>
      <w:rPr>
        <w:color w:val="3370FF"/>
      </w:rPr>
    </w:lvl>
  </w:abstractNum>
  <w:abstractNum w:abstractNumId="30">
    <w:nsid w:val="A5435042"/>
    <w:multiLevelType w:val="singleLevel"/>
    <w:tmpl w:val="A5435042"/>
    <w:lvl w:ilvl="0" w:tentative="0">
      <w:start w:val="0"/>
      <w:numFmt w:val="bullet"/>
      <w:lvlText w:val="￮"/>
      <w:lvlJc w:val="left"/>
      <w:rPr>
        <w:color w:val="3370FF"/>
      </w:rPr>
    </w:lvl>
  </w:abstractNum>
  <w:abstractNum w:abstractNumId="31">
    <w:nsid w:val="A97D620A"/>
    <w:multiLevelType w:val="singleLevel"/>
    <w:tmpl w:val="A97D620A"/>
    <w:lvl w:ilvl="0" w:tentative="0">
      <w:start w:val="0"/>
      <w:numFmt w:val="bullet"/>
      <w:lvlText w:val="￮"/>
      <w:lvlJc w:val="left"/>
      <w:rPr>
        <w:color w:val="3370FF"/>
      </w:rPr>
    </w:lvl>
  </w:abstractNum>
  <w:abstractNum w:abstractNumId="32">
    <w:nsid w:val="A9AC3AA7"/>
    <w:multiLevelType w:val="singleLevel"/>
    <w:tmpl w:val="A9AC3AA7"/>
    <w:lvl w:ilvl="0" w:tentative="0">
      <w:start w:val="0"/>
      <w:numFmt w:val="bullet"/>
      <w:lvlText w:val="￮"/>
      <w:lvlJc w:val="left"/>
      <w:rPr>
        <w:color w:val="3370FF"/>
      </w:rPr>
    </w:lvl>
  </w:abstractNum>
  <w:abstractNum w:abstractNumId="33">
    <w:nsid w:val="AAF3F3FA"/>
    <w:multiLevelType w:val="singleLevel"/>
    <w:tmpl w:val="AAF3F3FA"/>
    <w:lvl w:ilvl="0" w:tentative="0">
      <w:start w:val="0"/>
      <w:numFmt w:val="bullet"/>
      <w:lvlText w:val="￮"/>
      <w:lvlJc w:val="left"/>
      <w:rPr>
        <w:color w:val="3370FF"/>
      </w:rPr>
    </w:lvl>
  </w:abstractNum>
  <w:abstractNum w:abstractNumId="34">
    <w:nsid w:val="B0082E4F"/>
    <w:multiLevelType w:val="singleLevel"/>
    <w:tmpl w:val="B0082E4F"/>
    <w:lvl w:ilvl="0" w:tentative="0">
      <w:start w:val="11"/>
      <w:numFmt w:val="decimal"/>
      <w:lvlText w:val="%1."/>
      <w:lvlJc w:val="left"/>
      <w:rPr>
        <w:color w:val="3370FF"/>
      </w:rPr>
    </w:lvl>
  </w:abstractNum>
  <w:abstractNum w:abstractNumId="35">
    <w:nsid w:val="B08374AC"/>
    <w:multiLevelType w:val="singleLevel"/>
    <w:tmpl w:val="B08374AC"/>
    <w:lvl w:ilvl="0" w:tentative="0">
      <w:start w:val="0"/>
      <w:numFmt w:val="bullet"/>
      <w:lvlText w:val="￮"/>
      <w:lvlJc w:val="left"/>
      <w:rPr>
        <w:color w:val="3370FF"/>
      </w:rPr>
    </w:lvl>
  </w:abstractNum>
  <w:abstractNum w:abstractNumId="36">
    <w:nsid w:val="B0ED9BEA"/>
    <w:multiLevelType w:val="singleLevel"/>
    <w:tmpl w:val="B0ED9BEA"/>
    <w:lvl w:ilvl="0" w:tentative="0">
      <w:start w:val="0"/>
      <w:numFmt w:val="bullet"/>
      <w:lvlText w:val="•"/>
      <w:lvlJc w:val="left"/>
      <w:rPr>
        <w:color w:val="3370FF"/>
      </w:rPr>
    </w:lvl>
  </w:abstractNum>
  <w:abstractNum w:abstractNumId="37">
    <w:nsid w:val="B0F1ACD9"/>
    <w:multiLevelType w:val="singleLevel"/>
    <w:tmpl w:val="B0F1ACD9"/>
    <w:lvl w:ilvl="0" w:tentative="0">
      <w:start w:val="0"/>
      <w:numFmt w:val="bullet"/>
      <w:lvlText w:val="•"/>
      <w:lvlJc w:val="left"/>
      <w:rPr>
        <w:color w:val="3370FF"/>
      </w:rPr>
    </w:lvl>
  </w:abstractNum>
  <w:abstractNum w:abstractNumId="38">
    <w:nsid w:val="B15ABE86"/>
    <w:multiLevelType w:val="singleLevel"/>
    <w:tmpl w:val="B15ABE86"/>
    <w:lvl w:ilvl="0" w:tentative="0">
      <w:start w:val="7"/>
      <w:numFmt w:val="decimal"/>
      <w:lvlText w:val="%1."/>
      <w:lvlJc w:val="left"/>
      <w:rPr>
        <w:color w:val="3370FF"/>
      </w:rPr>
    </w:lvl>
  </w:abstractNum>
  <w:abstractNum w:abstractNumId="39">
    <w:nsid w:val="B1CC6FF1"/>
    <w:multiLevelType w:val="singleLevel"/>
    <w:tmpl w:val="B1CC6FF1"/>
    <w:lvl w:ilvl="0" w:tentative="0">
      <w:start w:val="0"/>
      <w:numFmt w:val="bullet"/>
      <w:lvlText w:val="•"/>
      <w:lvlJc w:val="left"/>
      <w:rPr>
        <w:color w:val="3370FF"/>
      </w:rPr>
    </w:lvl>
  </w:abstractNum>
  <w:abstractNum w:abstractNumId="40">
    <w:nsid w:val="B23A94A9"/>
    <w:multiLevelType w:val="singleLevel"/>
    <w:tmpl w:val="B23A94A9"/>
    <w:lvl w:ilvl="0" w:tentative="0">
      <w:start w:val="0"/>
      <w:numFmt w:val="bullet"/>
      <w:lvlText w:val="•"/>
      <w:lvlJc w:val="left"/>
      <w:rPr>
        <w:color w:val="3370FF"/>
      </w:rPr>
    </w:lvl>
  </w:abstractNum>
  <w:abstractNum w:abstractNumId="41">
    <w:nsid w:val="B4E02BC3"/>
    <w:multiLevelType w:val="singleLevel"/>
    <w:tmpl w:val="B4E02BC3"/>
    <w:lvl w:ilvl="0" w:tentative="0">
      <w:start w:val="0"/>
      <w:numFmt w:val="bullet"/>
      <w:lvlText w:val="•"/>
      <w:lvlJc w:val="left"/>
      <w:rPr>
        <w:color w:val="3370FF"/>
      </w:rPr>
    </w:lvl>
  </w:abstractNum>
  <w:abstractNum w:abstractNumId="42">
    <w:nsid w:val="B53F3350"/>
    <w:multiLevelType w:val="singleLevel"/>
    <w:tmpl w:val="B53F3350"/>
    <w:lvl w:ilvl="0" w:tentative="0">
      <w:start w:val="0"/>
      <w:numFmt w:val="bullet"/>
      <w:lvlText w:val="•"/>
      <w:lvlJc w:val="left"/>
      <w:rPr>
        <w:color w:val="3370FF"/>
      </w:rPr>
    </w:lvl>
  </w:abstractNum>
  <w:abstractNum w:abstractNumId="43">
    <w:nsid w:val="B5601969"/>
    <w:multiLevelType w:val="singleLevel"/>
    <w:tmpl w:val="B5601969"/>
    <w:lvl w:ilvl="0" w:tentative="0">
      <w:start w:val="0"/>
      <w:numFmt w:val="bullet"/>
      <w:lvlText w:val="•"/>
      <w:lvlJc w:val="left"/>
      <w:rPr>
        <w:color w:val="3370FF"/>
      </w:rPr>
    </w:lvl>
  </w:abstractNum>
  <w:abstractNum w:abstractNumId="44">
    <w:nsid w:val="B5CF74F5"/>
    <w:multiLevelType w:val="singleLevel"/>
    <w:tmpl w:val="B5CF74F5"/>
    <w:lvl w:ilvl="0" w:tentative="0">
      <w:start w:val="2"/>
      <w:numFmt w:val="decimal"/>
      <w:lvlText w:val="%1."/>
      <w:lvlJc w:val="left"/>
      <w:rPr>
        <w:color w:val="3370FF"/>
      </w:rPr>
    </w:lvl>
  </w:abstractNum>
  <w:abstractNum w:abstractNumId="45">
    <w:nsid w:val="B5E306ED"/>
    <w:multiLevelType w:val="singleLevel"/>
    <w:tmpl w:val="B5E306ED"/>
    <w:lvl w:ilvl="0" w:tentative="0">
      <w:start w:val="0"/>
      <w:numFmt w:val="bullet"/>
      <w:lvlText w:val="•"/>
      <w:lvlJc w:val="left"/>
      <w:rPr>
        <w:color w:val="3370FF"/>
      </w:rPr>
    </w:lvl>
  </w:abstractNum>
  <w:abstractNum w:abstractNumId="46">
    <w:nsid w:val="B88D21A8"/>
    <w:multiLevelType w:val="singleLevel"/>
    <w:tmpl w:val="B88D21A8"/>
    <w:lvl w:ilvl="0" w:tentative="0">
      <w:start w:val="0"/>
      <w:numFmt w:val="bullet"/>
      <w:lvlText w:val="•"/>
      <w:lvlJc w:val="left"/>
      <w:rPr>
        <w:color w:val="3370FF"/>
      </w:rPr>
    </w:lvl>
  </w:abstractNum>
  <w:abstractNum w:abstractNumId="47">
    <w:nsid w:val="B8CEF35B"/>
    <w:multiLevelType w:val="singleLevel"/>
    <w:tmpl w:val="B8CEF35B"/>
    <w:lvl w:ilvl="0" w:tentative="0">
      <w:start w:val="0"/>
      <w:numFmt w:val="bullet"/>
      <w:lvlText w:val="•"/>
      <w:lvlJc w:val="left"/>
      <w:rPr>
        <w:color w:val="3370FF"/>
      </w:rPr>
    </w:lvl>
  </w:abstractNum>
  <w:abstractNum w:abstractNumId="48">
    <w:nsid w:val="B99465BD"/>
    <w:multiLevelType w:val="singleLevel"/>
    <w:tmpl w:val="B99465BD"/>
    <w:lvl w:ilvl="0" w:tentative="0">
      <w:start w:val="2"/>
      <w:numFmt w:val="decimal"/>
      <w:lvlText w:val="%1."/>
      <w:lvlJc w:val="left"/>
      <w:rPr>
        <w:color w:val="3370FF"/>
      </w:rPr>
    </w:lvl>
  </w:abstractNum>
  <w:abstractNum w:abstractNumId="49">
    <w:nsid w:val="BA550FDB"/>
    <w:multiLevelType w:val="singleLevel"/>
    <w:tmpl w:val="BA550FDB"/>
    <w:lvl w:ilvl="0" w:tentative="0">
      <w:start w:val="6"/>
      <w:numFmt w:val="decimal"/>
      <w:lvlText w:val="%1."/>
      <w:lvlJc w:val="left"/>
      <w:rPr>
        <w:color w:val="3370FF"/>
      </w:rPr>
    </w:lvl>
  </w:abstractNum>
  <w:abstractNum w:abstractNumId="50">
    <w:nsid w:val="BB64CFA9"/>
    <w:multiLevelType w:val="singleLevel"/>
    <w:tmpl w:val="BB64CFA9"/>
    <w:lvl w:ilvl="0" w:tentative="0">
      <w:start w:val="0"/>
      <w:numFmt w:val="bullet"/>
      <w:lvlText w:val="•"/>
      <w:lvlJc w:val="left"/>
      <w:rPr>
        <w:color w:val="3370FF"/>
      </w:rPr>
    </w:lvl>
  </w:abstractNum>
  <w:abstractNum w:abstractNumId="51">
    <w:nsid w:val="BC837A95"/>
    <w:multiLevelType w:val="singleLevel"/>
    <w:tmpl w:val="BC837A95"/>
    <w:lvl w:ilvl="0" w:tentative="0">
      <w:start w:val="6"/>
      <w:numFmt w:val="decimal"/>
      <w:lvlText w:val="%1."/>
      <w:lvlJc w:val="left"/>
      <w:rPr>
        <w:color w:val="3370FF"/>
      </w:rPr>
    </w:lvl>
  </w:abstractNum>
  <w:abstractNum w:abstractNumId="52">
    <w:nsid w:val="BCECA0B4"/>
    <w:multiLevelType w:val="singleLevel"/>
    <w:tmpl w:val="BCECA0B4"/>
    <w:lvl w:ilvl="0" w:tentative="0">
      <w:start w:val="0"/>
      <w:numFmt w:val="bullet"/>
      <w:lvlText w:val="•"/>
      <w:lvlJc w:val="left"/>
      <w:rPr>
        <w:color w:val="3370FF"/>
      </w:rPr>
    </w:lvl>
  </w:abstractNum>
  <w:abstractNum w:abstractNumId="53">
    <w:nsid w:val="BDA1395C"/>
    <w:multiLevelType w:val="singleLevel"/>
    <w:tmpl w:val="BDA1395C"/>
    <w:lvl w:ilvl="0" w:tentative="0">
      <w:start w:val="0"/>
      <w:numFmt w:val="bullet"/>
      <w:lvlText w:val="•"/>
      <w:lvlJc w:val="left"/>
      <w:rPr>
        <w:color w:val="3370FF"/>
      </w:rPr>
    </w:lvl>
  </w:abstractNum>
  <w:abstractNum w:abstractNumId="54">
    <w:nsid w:val="BE8A4F4C"/>
    <w:multiLevelType w:val="singleLevel"/>
    <w:tmpl w:val="BE8A4F4C"/>
    <w:lvl w:ilvl="0" w:tentative="0">
      <w:start w:val="2"/>
      <w:numFmt w:val="decimal"/>
      <w:lvlText w:val="%1."/>
      <w:lvlJc w:val="left"/>
      <w:rPr>
        <w:color w:val="3370FF"/>
      </w:rPr>
    </w:lvl>
  </w:abstractNum>
  <w:abstractNum w:abstractNumId="55">
    <w:nsid w:val="BE923771"/>
    <w:multiLevelType w:val="singleLevel"/>
    <w:tmpl w:val="BE923771"/>
    <w:lvl w:ilvl="0" w:tentative="0">
      <w:start w:val="0"/>
      <w:numFmt w:val="bullet"/>
      <w:lvlText w:val="•"/>
      <w:lvlJc w:val="left"/>
      <w:rPr>
        <w:color w:val="3370FF"/>
      </w:rPr>
    </w:lvl>
  </w:abstractNum>
  <w:abstractNum w:abstractNumId="56">
    <w:nsid w:val="BF205925"/>
    <w:multiLevelType w:val="singleLevel"/>
    <w:tmpl w:val="BF205925"/>
    <w:lvl w:ilvl="0" w:tentative="0">
      <w:start w:val="0"/>
      <w:numFmt w:val="bullet"/>
      <w:lvlText w:val="•"/>
      <w:lvlJc w:val="left"/>
      <w:rPr>
        <w:color w:val="3370FF"/>
      </w:rPr>
    </w:lvl>
  </w:abstractNum>
  <w:abstractNum w:abstractNumId="57">
    <w:nsid w:val="BF50FE6B"/>
    <w:multiLevelType w:val="singleLevel"/>
    <w:tmpl w:val="BF50FE6B"/>
    <w:lvl w:ilvl="0" w:tentative="0">
      <w:start w:val="0"/>
      <w:numFmt w:val="bullet"/>
      <w:lvlText w:val="•"/>
      <w:lvlJc w:val="left"/>
      <w:rPr>
        <w:color w:val="3370FF"/>
      </w:rPr>
    </w:lvl>
  </w:abstractNum>
  <w:abstractNum w:abstractNumId="58">
    <w:nsid w:val="C0283A65"/>
    <w:multiLevelType w:val="singleLevel"/>
    <w:tmpl w:val="C0283A65"/>
    <w:lvl w:ilvl="0" w:tentative="0">
      <w:start w:val="0"/>
      <w:numFmt w:val="bullet"/>
      <w:lvlText w:val="￮"/>
      <w:lvlJc w:val="left"/>
      <w:rPr>
        <w:color w:val="3370FF"/>
      </w:rPr>
    </w:lvl>
  </w:abstractNum>
  <w:abstractNum w:abstractNumId="59">
    <w:nsid w:val="C0915F4F"/>
    <w:multiLevelType w:val="singleLevel"/>
    <w:tmpl w:val="C0915F4F"/>
    <w:lvl w:ilvl="0" w:tentative="0">
      <w:start w:val="1"/>
      <w:numFmt w:val="lowerLetter"/>
      <w:lvlText w:val="%1."/>
      <w:lvlJc w:val="left"/>
      <w:rPr>
        <w:color w:val="3370FF"/>
      </w:rPr>
    </w:lvl>
  </w:abstractNum>
  <w:abstractNum w:abstractNumId="60">
    <w:nsid w:val="C4E0D24A"/>
    <w:multiLevelType w:val="singleLevel"/>
    <w:tmpl w:val="C4E0D24A"/>
    <w:lvl w:ilvl="0" w:tentative="0">
      <w:start w:val="0"/>
      <w:numFmt w:val="bullet"/>
      <w:lvlText w:val="•"/>
      <w:lvlJc w:val="left"/>
      <w:rPr>
        <w:color w:val="3370FF"/>
      </w:rPr>
    </w:lvl>
  </w:abstractNum>
  <w:abstractNum w:abstractNumId="61">
    <w:nsid w:val="C8879AEF"/>
    <w:multiLevelType w:val="singleLevel"/>
    <w:tmpl w:val="C8879AEF"/>
    <w:lvl w:ilvl="0" w:tentative="0">
      <w:start w:val="0"/>
      <w:numFmt w:val="bullet"/>
      <w:lvlText w:val="•"/>
      <w:lvlJc w:val="left"/>
      <w:rPr>
        <w:color w:val="3370FF"/>
      </w:rPr>
    </w:lvl>
  </w:abstractNum>
  <w:abstractNum w:abstractNumId="62">
    <w:nsid w:val="C90D1B09"/>
    <w:multiLevelType w:val="singleLevel"/>
    <w:tmpl w:val="C90D1B09"/>
    <w:lvl w:ilvl="0" w:tentative="0">
      <w:start w:val="0"/>
      <w:numFmt w:val="bullet"/>
      <w:lvlText w:val="•"/>
      <w:lvlJc w:val="left"/>
      <w:rPr>
        <w:color w:val="3370FF"/>
      </w:rPr>
    </w:lvl>
  </w:abstractNum>
  <w:abstractNum w:abstractNumId="63">
    <w:nsid w:val="C9412743"/>
    <w:multiLevelType w:val="singleLevel"/>
    <w:tmpl w:val="C9412743"/>
    <w:lvl w:ilvl="0" w:tentative="0">
      <w:start w:val="0"/>
      <w:numFmt w:val="bullet"/>
      <w:lvlText w:val="•"/>
      <w:lvlJc w:val="left"/>
      <w:rPr>
        <w:color w:val="3370FF"/>
      </w:rPr>
    </w:lvl>
  </w:abstractNum>
  <w:abstractNum w:abstractNumId="64">
    <w:nsid w:val="CB94649F"/>
    <w:multiLevelType w:val="singleLevel"/>
    <w:tmpl w:val="CB94649F"/>
    <w:lvl w:ilvl="0" w:tentative="0">
      <w:start w:val="0"/>
      <w:numFmt w:val="bullet"/>
      <w:lvlText w:val="•"/>
      <w:lvlJc w:val="left"/>
      <w:rPr>
        <w:color w:val="3370FF"/>
      </w:rPr>
    </w:lvl>
  </w:abstractNum>
  <w:abstractNum w:abstractNumId="65">
    <w:nsid w:val="CD699D1D"/>
    <w:multiLevelType w:val="singleLevel"/>
    <w:tmpl w:val="CD699D1D"/>
    <w:lvl w:ilvl="0" w:tentative="0">
      <w:start w:val="0"/>
      <w:numFmt w:val="bullet"/>
      <w:lvlText w:val="•"/>
      <w:lvlJc w:val="left"/>
      <w:rPr>
        <w:color w:val="3370FF"/>
      </w:rPr>
    </w:lvl>
  </w:abstractNum>
  <w:abstractNum w:abstractNumId="66">
    <w:nsid w:val="CF092B84"/>
    <w:multiLevelType w:val="singleLevel"/>
    <w:tmpl w:val="CF092B84"/>
    <w:lvl w:ilvl="0" w:tentative="0">
      <w:start w:val="0"/>
      <w:numFmt w:val="bullet"/>
      <w:lvlText w:val="•"/>
      <w:lvlJc w:val="left"/>
      <w:rPr>
        <w:color w:val="3370FF"/>
      </w:rPr>
    </w:lvl>
  </w:abstractNum>
  <w:abstractNum w:abstractNumId="67">
    <w:nsid w:val="D1EB1714"/>
    <w:multiLevelType w:val="singleLevel"/>
    <w:tmpl w:val="D1EB1714"/>
    <w:lvl w:ilvl="0" w:tentative="0">
      <w:start w:val="0"/>
      <w:numFmt w:val="bullet"/>
      <w:lvlText w:val="￮"/>
      <w:lvlJc w:val="left"/>
      <w:rPr>
        <w:color w:val="3370FF"/>
      </w:rPr>
    </w:lvl>
  </w:abstractNum>
  <w:abstractNum w:abstractNumId="68">
    <w:nsid w:val="D5F12F34"/>
    <w:multiLevelType w:val="singleLevel"/>
    <w:tmpl w:val="D5F12F34"/>
    <w:lvl w:ilvl="0" w:tentative="0">
      <w:start w:val="0"/>
      <w:numFmt w:val="bullet"/>
      <w:lvlText w:val="•"/>
      <w:lvlJc w:val="left"/>
      <w:rPr>
        <w:color w:val="3370FF"/>
      </w:rPr>
    </w:lvl>
  </w:abstractNum>
  <w:abstractNum w:abstractNumId="69">
    <w:nsid w:val="D7936317"/>
    <w:multiLevelType w:val="singleLevel"/>
    <w:tmpl w:val="D7936317"/>
    <w:lvl w:ilvl="0" w:tentative="0">
      <w:start w:val="0"/>
      <w:numFmt w:val="bullet"/>
      <w:lvlText w:val="•"/>
      <w:lvlJc w:val="left"/>
      <w:rPr>
        <w:color w:val="3370FF"/>
      </w:rPr>
    </w:lvl>
  </w:abstractNum>
  <w:abstractNum w:abstractNumId="70">
    <w:nsid w:val="D7D140E4"/>
    <w:multiLevelType w:val="singleLevel"/>
    <w:tmpl w:val="D7D140E4"/>
    <w:lvl w:ilvl="0" w:tentative="0">
      <w:start w:val="4"/>
      <w:numFmt w:val="decimal"/>
      <w:lvlText w:val="%1."/>
      <w:lvlJc w:val="left"/>
      <w:rPr>
        <w:color w:val="3370FF"/>
      </w:rPr>
    </w:lvl>
  </w:abstractNum>
  <w:abstractNum w:abstractNumId="71">
    <w:nsid w:val="D7F9FE59"/>
    <w:multiLevelType w:val="singleLevel"/>
    <w:tmpl w:val="D7F9FE59"/>
    <w:lvl w:ilvl="0" w:tentative="0">
      <w:start w:val="0"/>
      <w:numFmt w:val="bullet"/>
      <w:lvlText w:val="•"/>
      <w:lvlJc w:val="left"/>
      <w:rPr>
        <w:color w:val="3370FF"/>
      </w:rPr>
    </w:lvl>
  </w:abstractNum>
  <w:abstractNum w:abstractNumId="72">
    <w:nsid w:val="DAD3A854"/>
    <w:multiLevelType w:val="singleLevel"/>
    <w:tmpl w:val="DAD3A854"/>
    <w:lvl w:ilvl="0" w:tentative="0">
      <w:start w:val="0"/>
      <w:numFmt w:val="bullet"/>
      <w:lvlText w:val="•"/>
      <w:lvlJc w:val="left"/>
      <w:rPr>
        <w:color w:val="3370FF"/>
      </w:rPr>
    </w:lvl>
  </w:abstractNum>
  <w:abstractNum w:abstractNumId="73">
    <w:nsid w:val="DAE62134"/>
    <w:multiLevelType w:val="singleLevel"/>
    <w:tmpl w:val="DAE62134"/>
    <w:lvl w:ilvl="0" w:tentative="0">
      <w:start w:val="0"/>
      <w:numFmt w:val="bullet"/>
      <w:lvlText w:val="￮"/>
      <w:lvlJc w:val="left"/>
      <w:rPr>
        <w:color w:val="3370FF"/>
      </w:rPr>
    </w:lvl>
  </w:abstractNum>
  <w:abstractNum w:abstractNumId="74">
    <w:nsid w:val="DCBA6B53"/>
    <w:multiLevelType w:val="singleLevel"/>
    <w:tmpl w:val="DCBA6B53"/>
    <w:lvl w:ilvl="0" w:tentative="0">
      <w:start w:val="0"/>
      <w:numFmt w:val="bullet"/>
      <w:lvlText w:val="•"/>
      <w:lvlJc w:val="left"/>
      <w:rPr>
        <w:color w:val="3370FF"/>
      </w:rPr>
    </w:lvl>
  </w:abstractNum>
  <w:abstractNum w:abstractNumId="75">
    <w:nsid w:val="E0294EC7"/>
    <w:multiLevelType w:val="singleLevel"/>
    <w:tmpl w:val="E0294EC7"/>
    <w:lvl w:ilvl="0" w:tentative="0">
      <w:start w:val="0"/>
      <w:numFmt w:val="bullet"/>
      <w:lvlText w:val="￮"/>
      <w:lvlJc w:val="left"/>
      <w:rPr>
        <w:color w:val="3370FF"/>
      </w:rPr>
    </w:lvl>
  </w:abstractNum>
  <w:abstractNum w:abstractNumId="76">
    <w:nsid w:val="E093A4B0"/>
    <w:multiLevelType w:val="singleLevel"/>
    <w:tmpl w:val="E093A4B0"/>
    <w:lvl w:ilvl="0" w:tentative="0">
      <w:start w:val="0"/>
      <w:numFmt w:val="bullet"/>
      <w:lvlText w:val="•"/>
      <w:lvlJc w:val="left"/>
      <w:rPr>
        <w:color w:val="3370FF"/>
      </w:rPr>
    </w:lvl>
  </w:abstractNum>
  <w:abstractNum w:abstractNumId="77">
    <w:nsid w:val="E43A772E"/>
    <w:multiLevelType w:val="singleLevel"/>
    <w:tmpl w:val="E43A772E"/>
    <w:lvl w:ilvl="0" w:tentative="0">
      <w:start w:val="0"/>
      <w:numFmt w:val="bullet"/>
      <w:lvlText w:val="•"/>
      <w:lvlJc w:val="left"/>
      <w:rPr>
        <w:color w:val="3370FF"/>
      </w:rPr>
    </w:lvl>
  </w:abstractNum>
  <w:abstractNum w:abstractNumId="78">
    <w:nsid w:val="E504947C"/>
    <w:multiLevelType w:val="singleLevel"/>
    <w:tmpl w:val="E504947C"/>
    <w:lvl w:ilvl="0" w:tentative="0">
      <w:start w:val="0"/>
      <w:numFmt w:val="bullet"/>
      <w:lvlText w:val="•"/>
      <w:lvlJc w:val="left"/>
      <w:rPr>
        <w:color w:val="3370FF"/>
      </w:rPr>
    </w:lvl>
  </w:abstractNum>
  <w:abstractNum w:abstractNumId="79">
    <w:nsid w:val="E52D9448"/>
    <w:multiLevelType w:val="singleLevel"/>
    <w:tmpl w:val="E52D9448"/>
    <w:lvl w:ilvl="0" w:tentative="0">
      <w:start w:val="0"/>
      <w:numFmt w:val="bullet"/>
      <w:lvlText w:val="•"/>
      <w:lvlJc w:val="left"/>
      <w:rPr>
        <w:color w:val="3370FF"/>
      </w:rPr>
    </w:lvl>
  </w:abstractNum>
  <w:abstractNum w:abstractNumId="80">
    <w:nsid w:val="E7B27C5B"/>
    <w:multiLevelType w:val="singleLevel"/>
    <w:tmpl w:val="E7B27C5B"/>
    <w:lvl w:ilvl="0" w:tentative="0">
      <w:start w:val="0"/>
      <w:numFmt w:val="bullet"/>
      <w:lvlText w:val="￮"/>
      <w:lvlJc w:val="left"/>
      <w:rPr>
        <w:color w:val="3370FF"/>
      </w:rPr>
    </w:lvl>
  </w:abstractNum>
  <w:abstractNum w:abstractNumId="81">
    <w:nsid w:val="E93EBC56"/>
    <w:multiLevelType w:val="singleLevel"/>
    <w:tmpl w:val="E93EBC56"/>
    <w:lvl w:ilvl="0" w:tentative="0">
      <w:start w:val="8"/>
      <w:numFmt w:val="decimal"/>
      <w:lvlText w:val="%1."/>
      <w:lvlJc w:val="left"/>
      <w:rPr>
        <w:color w:val="3370FF"/>
      </w:rPr>
    </w:lvl>
  </w:abstractNum>
  <w:abstractNum w:abstractNumId="82">
    <w:nsid w:val="EA28CC15"/>
    <w:multiLevelType w:val="singleLevel"/>
    <w:tmpl w:val="EA28CC15"/>
    <w:lvl w:ilvl="0" w:tentative="0">
      <w:start w:val="0"/>
      <w:numFmt w:val="bullet"/>
      <w:lvlText w:val="•"/>
      <w:lvlJc w:val="left"/>
      <w:rPr>
        <w:color w:val="3370FF"/>
      </w:rPr>
    </w:lvl>
  </w:abstractNum>
  <w:abstractNum w:abstractNumId="83">
    <w:nsid w:val="F066642F"/>
    <w:multiLevelType w:val="singleLevel"/>
    <w:tmpl w:val="F066642F"/>
    <w:lvl w:ilvl="0" w:tentative="0">
      <w:start w:val="0"/>
      <w:numFmt w:val="bullet"/>
      <w:lvlText w:val="￮"/>
      <w:lvlJc w:val="left"/>
      <w:rPr>
        <w:color w:val="3370FF"/>
      </w:rPr>
    </w:lvl>
  </w:abstractNum>
  <w:abstractNum w:abstractNumId="84">
    <w:nsid w:val="F0E89278"/>
    <w:multiLevelType w:val="singleLevel"/>
    <w:tmpl w:val="F0E89278"/>
    <w:lvl w:ilvl="0" w:tentative="0">
      <w:start w:val="0"/>
      <w:numFmt w:val="bullet"/>
      <w:lvlText w:val="•"/>
      <w:lvlJc w:val="left"/>
      <w:rPr>
        <w:color w:val="3370FF"/>
      </w:rPr>
    </w:lvl>
  </w:abstractNum>
  <w:abstractNum w:abstractNumId="85">
    <w:nsid w:val="F1FCDEFA"/>
    <w:multiLevelType w:val="singleLevel"/>
    <w:tmpl w:val="F1FCDEFA"/>
    <w:lvl w:ilvl="0" w:tentative="0">
      <w:start w:val="0"/>
      <w:numFmt w:val="bullet"/>
      <w:lvlText w:val="•"/>
      <w:lvlJc w:val="left"/>
      <w:rPr>
        <w:color w:val="3370FF"/>
      </w:rPr>
    </w:lvl>
  </w:abstractNum>
  <w:abstractNum w:abstractNumId="86">
    <w:nsid w:val="F237ACA1"/>
    <w:multiLevelType w:val="singleLevel"/>
    <w:tmpl w:val="F237ACA1"/>
    <w:lvl w:ilvl="0" w:tentative="0">
      <w:start w:val="0"/>
      <w:numFmt w:val="bullet"/>
      <w:lvlText w:val="•"/>
      <w:lvlJc w:val="left"/>
      <w:rPr>
        <w:color w:val="3370FF"/>
      </w:rPr>
    </w:lvl>
  </w:abstractNum>
  <w:abstractNum w:abstractNumId="87">
    <w:nsid w:val="F2A81E1A"/>
    <w:multiLevelType w:val="singleLevel"/>
    <w:tmpl w:val="F2A81E1A"/>
    <w:lvl w:ilvl="0" w:tentative="0">
      <w:start w:val="0"/>
      <w:numFmt w:val="bullet"/>
      <w:lvlText w:val="•"/>
      <w:lvlJc w:val="left"/>
      <w:rPr>
        <w:color w:val="3370FF"/>
      </w:rPr>
    </w:lvl>
  </w:abstractNum>
  <w:abstractNum w:abstractNumId="88">
    <w:nsid w:val="F30FC083"/>
    <w:multiLevelType w:val="singleLevel"/>
    <w:tmpl w:val="F30FC083"/>
    <w:lvl w:ilvl="0" w:tentative="0">
      <w:start w:val="0"/>
      <w:numFmt w:val="bullet"/>
      <w:lvlText w:val="•"/>
      <w:lvlJc w:val="left"/>
      <w:rPr>
        <w:color w:val="3370FF"/>
      </w:rPr>
    </w:lvl>
  </w:abstractNum>
  <w:abstractNum w:abstractNumId="89">
    <w:nsid w:val="F3A33954"/>
    <w:multiLevelType w:val="singleLevel"/>
    <w:tmpl w:val="F3A33954"/>
    <w:lvl w:ilvl="0" w:tentative="0">
      <w:start w:val="0"/>
      <w:numFmt w:val="bullet"/>
      <w:lvlText w:val="•"/>
      <w:lvlJc w:val="left"/>
      <w:rPr>
        <w:color w:val="3370FF"/>
      </w:rPr>
    </w:lvl>
  </w:abstractNum>
  <w:abstractNum w:abstractNumId="90">
    <w:nsid w:val="F46CCC20"/>
    <w:multiLevelType w:val="singleLevel"/>
    <w:tmpl w:val="F46CCC20"/>
    <w:lvl w:ilvl="0" w:tentative="0">
      <w:start w:val="0"/>
      <w:numFmt w:val="bullet"/>
      <w:lvlText w:val="•"/>
      <w:lvlJc w:val="left"/>
      <w:rPr>
        <w:color w:val="3370FF"/>
      </w:rPr>
    </w:lvl>
  </w:abstractNum>
  <w:abstractNum w:abstractNumId="91">
    <w:nsid w:val="F4A942FE"/>
    <w:multiLevelType w:val="singleLevel"/>
    <w:tmpl w:val="F4A942FE"/>
    <w:lvl w:ilvl="0" w:tentative="0">
      <w:start w:val="0"/>
      <w:numFmt w:val="bullet"/>
      <w:lvlText w:val="•"/>
      <w:lvlJc w:val="left"/>
      <w:rPr>
        <w:color w:val="3370FF"/>
      </w:rPr>
    </w:lvl>
  </w:abstractNum>
  <w:abstractNum w:abstractNumId="92">
    <w:nsid w:val="F4B5D9F5"/>
    <w:multiLevelType w:val="singleLevel"/>
    <w:tmpl w:val="F4B5D9F5"/>
    <w:lvl w:ilvl="0" w:tentative="0">
      <w:start w:val="0"/>
      <w:numFmt w:val="bullet"/>
      <w:lvlText w:val="•"/>
      <w:lvlJc w:val="left"/>
      <w:rPr>
        <w:color w:val="3370FF"/>
      </w:rPr>
    </w:lvl>
  </w:abstractNum>
  <w:abstractNum w:abstractNumId="93">
    <w:nsid w:val="F585BF25"/>
    <w:multiLevelType w:val="singleLevel"/>
    <w:tmpl w:val="F585BF25"/>
    <w:lvl w:ilvl="0" w:tentative="0">
      <w:start w:val="0"/>
      <w:numFmt w:val="bullet"/>
      <w:lvlText w:val="•"/>
      <w:lvlJc w:val="left"/>
      <w:rPr>
        <w:color w:val="3370FF"/>
      </w:rPr>
    </w:lvl>
  </w:abstractNum>
  <w:abstractNum w:abstractNumId="94">
    <w:nsid w:val="F689643B"/>
    <w:multiLevelType w:val="singleLevel"/>
    <w:tmpl w:val="F689643B"/>
    <w:lvl w:ilvl="0" w:tentative="0">
      <w:start w:val="0"/>
      <w:numFmt w:val="bullet"/>
      <w:lvlText w:val="•"/>
      <w:lvlJc w:val="left"/>
      <w:rPr>
        <w:color w:val="3370FF"/>
      </w:rPr>
    </w:lvl>
  </w:abstractNum>
  <w:abstractNum w:abstractNumId="95">
    <w:nsid w:val="F7735DC9"/>
    <w:multiLevelType w:val="singleLevel"/>
    <w:tmpl w:val="F7735DC9"/>
    <w:lvl w:ilvl="0" w:tentative="0">
      <w:start w:val="0"/>
      <w:numFmt w:val="bullet"/>
      <w:lvlText w:val="•"/>
      <w:lvlJc w:val="left"/>
      <w:rPr>
        <w:color w:val="3370FF"/>
      </w:rPr>
    </w:lvl>
  </w:abstractNum>
  <w:abstractNum w:abstractNumId="96">
    <w:nsid w:val="F9718D3C"/>
    <w:multiLevelType w:val="singleLevel"/>
    <w:tmpl w:val="F9718D3C"/>
    <w:lvl w:ilvl="0" w:tentative="0">
      <w:start w:val="0"/>
      <w:numFmt w:val="bullet"/>
      <w:lvlText w:val="•"/>
      <w:lvlJc w:val="left"/>
      <w:rPr>
        <w:color w:val="3370FF"/>
      </w:rPr>
    </w:lvl>
  </w:abstractNum>
  <w:abstractNum w:abstractNumId="97">
    <w:nsid w:val="F97CED97"/>
    <w:multiLevelType w:val="singleLevel"/>
    <w:tmpl w:val="F97CED97"/>
    <w:lvl w:ilvl="0" w:tentative="0">
      <w:start w:val="5"/>
      <w:numFmt w:val="decimal"/>
      <w:lvlText w:val="%1."/>
      <w:lvlJc w:val="left"/>
      <w:rPr>
        <w:color w:val="3370FF"/>
      </w:rPr>
    </w:lvl>
  </w:abstractNum>
  <w:abstractNum w:abstractNumId="98">
    <w:nsid w:val="FCC85EE2"/>
    <w:multiLevelType w:val="singleLevel"/>
    <w:tmpl w:val="FCC85EE2"/>
    <w:lvl w:ilvl="0" w:tentative="0">
      <w:start w:val="0"/>
      <w:numFmt w:val="bullet"/>
      <w:lvlText w:val="•"/>
      <w:lvlJc w:val="left"/>
      <w:rPr>
        <w:color w:val="3370FF"/>
      </w:rPr>
    </w:lvl>
  </w:abstractNum>
  <w:abstractNum w:abstractNumId="99">
    <w:nsid w:val="FEC2EA36"/>
    <w:multiLevelType w:val="singleLevel"/>
    <w:tmpl w:val="FEC2EA36"/>
    <w:lvl w:ilvl="0" w:tentative="0">
      <w:start w:val="0"/>
      <w:numFmt w:val="bullet"/>
      <w:lvlText w:val="•"/>
      <w:lvlJc w:val="left"/>
      <w:rPr>
        <w:color w:val="3370FF"/>
      </w:rPr>
    </w:lvl>
  </w:abstractNum>
  <w:abstractNum w:abstractNumId="100">
    <w:nsid w:val="0053208E"/>
    <w:multiLevelType w:val="singleLevel"/>
    <w:tmpl w:val="0053208E"/>
    <w:lvl w:ilvl="0" w:tentative="0">
      <w:start w:val="0"/>
      <w:numFmt w:val="bullet"/>
      <w:lvlText w:val="•"/>
      <w:lvlJc w:val="left"/>
      <w:rPr>
        <w:color w:val="3370FF"/>
      </w:rPr>
    </w:lvl>
  </w:abstractNum>
  <w:abstractNum w:abstractNumId="101">
    <w:nsid w:val="01836A6D"/>
    <w:multiLevelType w:val="singleLevel"/>
    <w:tmpl w:val="01836A6D"/>
    <w:lvl w:ilvl="0" w:tentative="0">
      <w:start w:val="0"/>
      <w:numFmt w:val="bullet"/>
      <w:lvlText w:val="￮"/>
      <w:lvlJc w:val="left"/>
      <w:rPr>
        <w:color w:val="3370FF"/>
      </w:rPr>
    </w:lvl>
  </w:abstractNum>
  <w:abstractNum w:abstractNumId="102">
    <w:nsid w:val="01D7E1C7"/>
    <w:multiLevelType w:val="singleLevel"/>
    <w:tmpl w:val="01D7E1C7"/>
    <w:lvl w:ilvl="0" w:tentative="0">
      <w:start w:val="0"/>
      <w:numFmt w:val="bullet"/>
      <w:lvlText w:val="•"/>
      <w:lvlJc w:val="left"/>
      <w:rPr>
        <w:color w:val="3370FF"/>
      </w:rPr>
    </w:lvl>
  </w:abstractNum>
  <w:abstractNum w:abstractNumId="103">
    <w:nsid w:val="0248C179"/>
    <w:multiLevelType w:val="singleLevel"/>
    <w:tmpl w:val="0248C179"/>
    <w:lvl w:ilvl="0" w:tentative="0">
      <w:start w:val="0"/>
      <w:numFmt w:val="bullet"/>
      <w:lvlText w:val="•"/>
      <w:lvlJc w:val="left"/>
      <w:rPr>
        <w:color w:val="3370FF"/>
      </w:rPr>
    </w:lvl>
  </w:abstractNum>
  <w:abstractNum w:abstractNumId="104">
    <w:nsid w:val="0258E135"/>
    <w:multiLevelType w:val="singleLevel"/>
    <w:tmpl w:val="0258E135"/>
    <w:lvl w:ilvl="0" w:tentative="0">
      <w:start w:val="11"/>
      <w:numFmt w:val="decimal"/>
      <w:lvlText w:val="%1."/>
      <w:lvlJc w:val="left"/>
      <w:rPr>
        <w:color w:val="3370FF"/>
      </w:rPr>
    </w:lvl>
  </w:abstractNum>
  <w:abstractNum w:abstractNumId="105">
    <w:nsid w:val="03A63A41"/>
    <w:multiLevelType w:val="singleLevel"/>
    <w:tmpl w:val="03A63A41"/>
    <w:lvl w:ilvl="0" w:tentative="0">
      <w:start w:val="0"/>
      <w:numFmt w:val="bullet"/>
      <w:lvlText w:val="•"/>
      <w:lvlJc w:val="left"/>
      <w:rPr>
        <w:color w:val="3370FF"/>
      </w:rPr>
    </w:lvl>
  </w:abstractNum>
  <w:abstractNum w:abstractNumId="106">
    <w:nsid w:val="03C240C0"/>
    <w:multiLevelType w:val="singleLevel"/>
    <w:tmpl w:val="03C240C0"/>
    <w:lvl w:ilvl="0" w:tentative="0">
      <w:start w:val="0"/>
      <w:numFmt w:val="bullet"/>
      <w:lvlText w:val="•"/>
      <w:lvlJc w:val="left"/>
      <w:rPr>
        <w:color w:val="3370FF"/>
      </w:rPr>
    </w:lvl>
  </w:abstractNum>
  <w:abstractNum w:abstractNumId="107">
    <w:nsid w:val="03D62ECE"/>
    <w:multiLevelType w:val="singleLevel"/>
    <w:tmpl w:val="03D62ECE"/>
    <w:lvl w:ilvl="0" w:tentative="0">
      <w:start w:val="0"/>
      <w:numFmt w:val="bullet"/>
      <w:lvlText w:val="•"/>
      <w:lvlJc w:val="left"/>
      <w:rPr>
        <w:color w:val="3370FF"/>
      </w:rPr>
    </w:lvl>
  </w:abstractNum>
  <w:abstractNum w:abstractNumId="108">
    <w:nsid w:val="0709FD3E"/>
    <w:multiLevelType w:val="singleLevel"/>
    <w:tmpl w:val="0709FD3E"/>
    <w:lvl w:ilvl="0" w:tentative="0">
      <w:start w:val="0"/>
      <w:numFmt w:val="bullet"/>
      <w:lvlText w:val="•"/>
      <w:lvlJc w:val="left"/>
      <w:rPr>
        <w:color w:val="3370FF"/>
      </w:rPr>
    </w:lvl>
  </w:abstractNum>
  <w:abstractNum w:abstractNumId="109">
    <w:nsid w:val="07F5BCC3"/>
    <w:multiLevelType w:val="singleLevel"/>
    <w:tmpl w:val="07F5BCC3"/>
    <w:lvl w:ilvl="0" w:tentative="0">
      <w:start w:val="0"/>
      <w:numFmt w:val="bullet"/>
      <w:lvlText w:val="•"/>
      <w:lvlJc w:val="left"/>
      <w:rPr>
        <w:color w:val="3370FF"/>
      </w:rPr>
    </w:lvl>
  </w:abstractNum>
  <w:abstractNum w:abstractNumId="110">
    <w:nsid w:val="0C0E1E13"/>
    <w:multiLevelType w:val="singleLevel"/>
    <w:tmpl w:val="0C0E1E13"/>
    <w:lvl w:ilvl="0" w:tentative="0">
      <w:start w:val="0"/>
      <w:numFmt w:val="bullet"/>
      <w:lvlText w:val="•"/>
      <w:lvlJc w:val="left"/>
      <w:rPr>
        <w:color w:val="3370FF"/>
      </w:rPr>
    </w:lvl>
  </w:abstractNum>
  <w:abstractNum w:abstractNumId="111">
    <w:nsid w:val="0CCB9E98"/>
    <w:multiLevelType w:val="singleLevel"/>
    <w:tmpl w:val="0CCB9E98"/>
    <w:lvl w:ilvl="0" w:tentative="0">
      <w:start w:val="8"/>
      <w:numFmt w:val="decimal"/>
      <w:lvlText w:val="%1."/>
      <w:lvlJc w:val="left"/>
      <w:rPr>
        <w:color w:val="3370FF"/>
      </w:rPr>
    </w:lvl>
  </w:abstractNum>
  <w:abstractNum w:abstractNumId="112">
    <w:nsid w:val="0CEF100B"/>
    <w:multiLevelType w:val="singleLevel"/>
    <w:tmpl w:val="0CEF100B"/>
    <w:lvl w:ilvl="0" w:tentative="0">
      <w:start w:val="0"/>
      <w:numFmt w:val="bullet"/>
      <w:lvlText w:val="•"/>
      <w:lvlJc w:val="left"/>
      <w:rPr>
        <w:color w:val="3370FF"/>
      </w:rPr>
    </w:lvl>
  </w:abstractNum>
  <w:abstractNum w:abstractNumId="113">
    <w:nsid w:val="0DC629B0"/>
    <w:multiLevelType w:val="singleLevel"/>
    <w:tmpl w:val="0DC629B0"/>
    <w:lvl w:ilvl="0" w:tentative="0">
      <w:start w:val="0"/>
      <w:numFmt w:val="bullet"/>
      <w:lvlText w:val="•"/>
      <w:lvlJc w:val="left"/>
      <w:rPr>
        <w:color w:val="3370FF"/>
      </w:rPr>
    </w:lvl>
  </w:abstractNum>
  <w:abstractNum w:abstractNumId="114">
    <w:nsid w:val="0E640482"/>
    <w:multiLevelType w:val="singleLevel"/>
    <w:tmpl w:val="0E640482"/>
    <w:lvl w:ilvl="0" w:tentative="0">
      <w:start w:val="0"/>
      <w:numFmt w:val="bullet"/>
      <w:lvlText w:val="•"/>
      <w:lvlJc w:val="left"/>
      <w:rPr>
        <w:color w:val="3370FF"/>
      </w:rPr>
    </w:lvl>
  </w:abstractNum>
  <w:abstractNum w:abstractNumId="115">
    <w:nsid w:val="0F929F01"/>
    <w:multiLevelType w:val="singleLevel"/>
    <w:tmpl w:val="0F929F01"/>
    <w:lvl w:ilvl="0" w:tentative="0">
      <w:start w:val="9"/>
      <w:numFmt w:val="decimal"/>
      <w:lvlText w:val="%1."/>
      <w:lvlJc w:val="left"/>
      <w:rPr>
        <w:color w:val="3370FF"/>
      </w:rPr>
    </w:lvl>
  </w:abstractNum>
  <w:abstractNum w:abstractNumId="116">
    <w:nsid w:val="0F9F9CCA"/>
    <w:multiLevelType w:val="singleLevel"/>
    <w:tmpl w:val="0F9F9CCA"/>
    <w:lvl w:ilvl="0" w:tentative="0">
      <w:start w:val="0"/>
      <w:numFmt w:val="bullet"/>
      <w:lvlText w:val="•"/>
      <w:lvlJc w:val="left"/>
      <w:rPr>
        <w:color w:val="3370FF"/>
      </w:rPr>
    </w:lvl>
  </w:abstractNum>
  <w:abstractNum w:abstractNumId="117">
    <w:nsid w:val="10D591E5"/>
    <w:multiLevelType w:val="singleLevel"/>
    <w:tmpl w:val="10D591E5"/>
    <w:lvl w:ilvl="0" w:tentative="0">
      <w:start w:val="0"/>
      <w:numFmt w:val="bullet"/>
      <w:lvlText w:val="￮"/>
      <w:lvlJc w:val="left"/>
      <w:rPr>
        <w:color w:val="3370FF"/>
      </w:rPr>
    </w:lvl>
  </w:abstractNum>
  <w:abstractNum w:abstractNumId="118">
    <w:nsid w:val="10F0DB0B"/>
    <w:multiLevelType w:val="singleLevel"/>
    <w:tmpl w:val="10F0DB0B"/>
    <w:lvl w:ilvl="0" w:tentative="0">
      <w:start w:val="0"/>
      <w:numFmt w:val="bullet"/>
      <w:lvlText w:val="￮"/>
      <w:lvlJc w:val="left"/>
      <w:rPr>
        <w:color w:val="3370FF"/>
      </w:rPr>
    </w:lvl>
  </w:abstractNum>
  <w:abstractNum w:abstractNumId="119">
    <w:nsid w:val="12EADF99"/>
    <w:multiLevelType w:val="singleLevel"/>
    <w:tmpl w:val="12EADF99"/>
    <w:lvl w:ilvl="0" w:tentative="0">
      <w:start w:val="2"/>
      <w:numFmt w:val="lowerLetter"/>
      <w:lvlText w:val="%1."/>
      <w:lvlJc w:val="left"/>
      <w:rPr>
        <w:color w:val="3370FF"/>
      </w:rPr>
    </w:lvl>
  </w:abstractNum>
  <w:abstractNum w:abstractNumId="120">
    <w:nsid w:val="13660E3F"/>
    <w:multiLevelType w:val="singleLevel"/>
    <w:tmpl w:val="13660E3F"/>
    <w:lvl w:ilvl="0" w:tentative="0">
      <w:start w:val="12"/>
      <w:numFmt w:val="decimal"/>
      <w:lvlText w:val="%1."/>
      <w:lvlJc w:val="left"/>
      <w:rPr>
        <w:color w:val="3370FF"/>
      </w:rPr>
    </w:lvl>
  </w:abstractNum>
  <w:abstractNum w:abstractNumId="121">
    <w:nsid w:val="1450273B"/>
    <w:multiLevelType w:val="singleLevel"/>
    <w:tmpl w:val="1450273B"/>
    <w:lvl w:ilvl="0" w:tentative="0">
      <w:start w:val="0"/>
      <w:numFmt w:val="bullet"/>
      <w:lvlText w:val="￮"/>
      <w:lvlJc w:val="left"/>
      <w:rPr>
        <w:color w:val="3370FF"/>
      </w:rPr>
    </w:lvl>
  </w:abstractNum>
  <w:abstractNum w:abstractNumId="122">
    <w:nsid w:val="1483906D"/>
    <w:multiLevelType w:val="singleLevel"/>
    <w:tmpl w:val="1483906D"/>
    <w:lvl w:ilvl="0" w:tentative="0">
      <w:start w:val="0"/>
      <w:numFmt w:val="bullet"/>
      <w:lvlText w:val="•"/>
      <w:lvlJc w:val="left"/>
      <w:rPr>
        <w:color w:val="3370FF"/>
      </w:rPr>
    </w:lvl>
  </w:abstractNum>
  <w:abstractNum w:abstractNumId="123">
    <w:nsid w:val="18F74015"/>
    <w:multiLevelType w:val="singleLevel"/>
    <w:tmpl w:val="18F74015"/>
    <w:lvl w:ilvl="0" w:tentative="0">
      <w:start w:val="0"/>
      <w:numFmt w:val="bullet"/>
      <w:lvlText w:val="•"/>
      <w:lvlJc w:val="left"/>
      <w:rPr>
        <w:color w:val="3370FF"/>
      </w:rPr>
    </w:lvl>
  </w:abstractNum>
  <w:abstractNum w:abstractNumId="124">
    <w:nsid w:val="192B173A"/>
    <w:multiLevelType w:val="singleLevel"/>
    <w:tmpl w:val="192B173A"/>
    <w:lvl w:ilvl="0" w:tentative="0">
      <w:start w:val="4"/>
      <w:numFmt w:val="decimal"/>
      <w:lvlText w:val="%1."/>
      <w:lvlJc w:val="left"/>
      <w:rPr>
        <w:color w:val="3370FF"/>
      </w:rPr>
    </w:lvl>
  </w:abstractNum>
  <w:abstractNum w:abstractNumId="125">
    <w:nsid w:val="1ACDE60F"/>
    <w:multiLevelType w:val="singleLevel"/>
    <w:tmpl w:val="1ACDE60F"/>
    <w:lvl w:ilvl="0" w:tentative="0">
      <w:start w:val="0"/>
      <w:numFmt w:val="bullet"/>
      <w:lvlText w:val="•"/>
      <w:lvlJc w:val="left"/>
      <w:rPr>
        <w:color w:val="3370FF"/>
      </w:rPr>
    </w:lvl>
  </w:abstractNum>
  <w:abstractNum w:abstractNumId="126">
    <w:nsid w:val="1AD50295"/>
    <w:multiLevelType w:val="singleLevel"/>
    <w:tmpl w:val="1AD50295"/>
    <w:lvl w:ilvl="0" w:tentative="0">
      <w:start w:val="0"/>
      <w:numFmt w:val="bullet"/>
      <w:lvlText w:val="￮"/>
      <w:lvlJc w:val="left"/>
      <w:rPr>
        <w:color w:val="3370FF"/>
      </w:rPr>
    </w:lvl>
  </w:abstractNum>
  <w:abstractNum w:abstractNumId="127">
    <w:nsid w:val="1B3FCE26"/>
    <w:multiLevelType w:val="singleLevel"/>
    <w:tmpl w:val="1B3FCE26"/>
    <w:lvl w:ilvl="0" w:tentative="0">
      <w:start w:val="0"/>
      <w:numFmt w:val="bullet"/>
      <w:lvlText w:val="•"/>
      <w:lvlJc w:val="left"/>
      <w:rPr>
        <w:color w:val="3370FF"/>
      </w:rPr>
    </w:lvl>
  </w:abstractNum>
  <w:abstractNum w:abstractNumId="128">
    <w:nsid w:val="1BCBBCF0"/>
    <w:multiLevelType w:val="singleLevel"/>
    <w:tmpl w:val="1BCBBCF0"/>
    <w:lvl w:ilvl="0" w:tentative="0">
      <w:start w:val="0"/>
      <w:numFmt w:val="bullet"/>
      <w:lvlText w:val="￮"/>
      <w:lvlJc w:val="left"/>
      <w:rPr>
        <w:color w:val="3370FF"/>
      </w:rPr>
    </w:lvl>
  </w:abstractNum>
  <w:abstractNum w:abstractNumId="129">
    <w:nsid w:val="1C01D09A"/>
    <w:multiLevelType w:val="singleLevel"/>
    <w:tmpl w:val="1C01D09A"/>
    <w:lvl w:ilvl="0" w:tentative="0">
      <w:start w:val="9"/>
      <w:numFmt w:val="decimal"/>
      <w:lvlText w:val="%1."/>
      <w:lvlJc w:val="left"/>
      <w:rPr>
        <w:color w:val="3370FF"/>
      </w:rPr>
    </w:lvl>
  </w:abstractNum>
  <w:abstractNum w:abstractNumId="130">
    <w:nsid w:val="1C257C7B"/>
    <w:multiLevelType w:val="singleLevel"/>
    <w:tmpl w:val="1C257C7B"/>
    <w:lvl w:ilvl="0" w:tentative="0">
      <w:start w:val="0"/>
      <w:numFmt w:val="bullet"/>
      <w:lvlText w:val="•"/>
      <w:lvlJc w:val="left"/>
      <w:rPr>
        <w:color w:val="3370FF"/>
      </w:rPr>
    </w:lvl>
  </w:abstractNum>
  <w:abstractNum w:abstractNumId="131">
    <w:nsid w:val="2007DCFD"/>
    <w:multiLevelType w:val="singleLevel"/>
    <w:tmpl w:val="2007DCFD"/>
    <w:lvl w:ilvl="0" w:tentative="0">
      <w:start w:val="0"/>
      <w:numFmt w:val="bullet"/>
      <w:lvlText w:val="•"/>
      <w:lvlJc w:val="left"/>
      <w:rPr>
        <w:color w:val="3370FF"/>
      </w:rPr>
    </w:lvl>
  </w:abstractNum>
  <w:abstractNum w:abstractNumId="132">
    <w:nsid w:val="21B3B1B1"/>
    <w:multiLevelType w:val="singleLevel"/>
    <w:tmpl w:val="21B3B1B1"/>
    <w:lvl w:ilvl="0" w:tentative="0">
      <w:start w:val="0"/>
      <w:numFmt w:val="bullet"/>
      <w:lvlText w:val="•"/>
      <w:lvlJc w:val="left"/>
      <w:rPr>
        <w:color w:val="3370FF"/>
      </w:rPr>
    </w:lvl>
  </w:abstractNum>
  <w:abstractNum w:abstractNumId="133">
    <w:nsid w:val="227C9188"/>
    <w:multiLevelType w:val="singleLevel"/>
    <w:tmpl w:val="227C9188"/>
    <w:lvl w:ilvl="0" w:tentative="0">
      <w:start w:val="0"/>
      <w:numFmt w:val="bullet"/>
      <w:lvlText w:val="•"/>
      <w:lvlJc w:val="left"/>
      <w:rPr>
        <w:color w:val="3370FF"/>
      </w:rPr>
    </w:lvl>
  </w:abstractNum>
  <w:abstractNum w:abstractNumId="134">
    <w:nsid w:val="23E97754"/>
    <w:multiLevelType w:val="singleLevel"/>
    <w:tmpl w:val="23E97754"/>
    <w:lvl w:ilvl="0" w:tentative="0">
      <w:start w:val="6"/>
      <w:numFmt w:val="decimal"/>
      <w:lvlText w:val="%1."/>
      <w:lvlJc w:val="left"/>
      <w:rPr>
        <w:color w:val="3370FF"/>
      </w:rPr>
    </w:lvl>
  </w:abstractNum>
  <w:abstractNum w:abstractNumId="135">
    <w:nsid w:val="243FCF68"/>
    <w:multiLevelType w:val="singleLevel"/>
    <w:tmpl w:val="243FCF68"/>
    <w:lvl w:ilvl="0" w:tentative="0">
      <w:start w:val="0"/>
      <w:numFmt w:val="bullet"/>
      <w:lvlText w:val="•"/>
      <w:lvlJc w:val="left"/>
      <w:rPr>
        <w:color w:val="3370FF"/>
      </w:rPr>
    </w:lvl>
  </w:abstractNum>
  <w:abstractNum w:abstractNumId="136">
    <w:nsid w:val="2470EC97"/>
    <w:multiLevelType w:val="singleLevel"/>
    <w:tmpl w:val="2470EC97"/>
    <w:lvl w:ilvl="0" w:tentative="0">
      <w:start w:val="0"/>
      <w:numFmt w:val="bullet"/>
      <w:lvlText w:val="•"/>
      <w:lvlJc w:val="left"/>
      <w:rPr>
        <w:color w:val="3370FF"/>
      </w:rPr>
    </w:lvl>
  </w:abstractNum>
  <w:abstractNum w:abstractNumId="137">
    <w:nsid w:val="251342A6"/>
    <w:multiLevelType w:val="singleLevel"/>
    <w:tmpl w:val="251342A6"/>
    <w:lvl w:ilvl="0" w:tentative="0">
      <w:start w:val="0"/>
      <w:numFmt w:val="bullet"/>
      <w:lvlText w:val="￮"/>
      <w:lvlJc w:val="left"/>
      <w:rPr>
        <w:color w:val="3370FF"/>
      </w:rPr>
    </w:lvl>
  </w:abstractNum>
  <w:abstractNum w:abstractNumId="138">
    <w:nsid w:val="252BF6AB"/>
    <w:multiLevelType w:val="singleLevel"/>
    <w:tmpl w:val="252BF6AB"/>
    <w:lvl w:ilvl="0" w:tentative="0">
      <w:start w:val="0"/>
      <w:numFmt w:val="bullet"/>
      <w:lvlText w:val="•"/>
      <w:lvlJc w:val="left"/>
      <w:rPr>
        <w:color w:val="3370FF"/>
      </w:rPr>
    </w:lvl>
  </w:abstractNum>
  <w:abstractNum w:abstractNumId="139">
    <w:nsid w:val="25B654F3"/>
    <w:multiLevelType w:val="singleLevel"/>
    <w:tmpl w:val="25B654F3"/>
    <w:lvl w:ilvl="0" w:tentative="0">
      <w:start w:val="0"/>
      <w:numFmt w:val="bullet"/>
      <w:lvlText w:val="•"/>
      <w:lvlJc w:val="left"/>
      <w:rPr>
        <w:color w:val="3370FF"/>
      </w:rPr>
    </w:lvl>
  </w:abstractNum>
  <w:abstractNum w:abstractNumId="140">
    <w:nsid w:val="269945CE"/>
    <w:multiLevelType w:val="singleLevel"/>
    <w:tmpl w:val="269945CE"/>
    <w:lvl w:ilvl="0" w:tentative="0">
      <w:start w:val="0"/>
      <w:numFmt w:val="bullet"/>
      <w:lvlText w:val="￮"/>
      <w:lvlJc w:val="left"/>
      <w:rPr>
        <w:color w:val="3370FF"/>
      </w:rPr>
    </w:lvl>
  </w:abstractNum>
  <w:abstractNum w:abstractNumId="141">
    <w:nsid w:val="274D3D9B"/>
    <w:multiLevelType w:val="singleLevel"/>
    <w:tmpl w:val="274D3D9B"/>
    <w:lvl w:ilvl="0" w:tentative="0">
      <w:start w:val="0"/>
      <w:numFmt w:val="bullet"/>
      <w:lvlText w:val="￮"/>
      <w:lvlJc w:val="left"/>
      <w:rPr>
        <w:color w:val="3370FF"/>
      </w:rPr>
    </w:lvl>
  </w:abstractNum>
  <w:abstractNum w:abstractNumId="142">
    <w:nsid w:val="2A8F537B"/>
    <w:multiLevelType w:val="singleLevel"/>
    <w:tmpl w:val="2A8F537B"/>
    <w:lvl w:ilvl="0" w:tentative="0">
      <w:start w:val="0"/>
      <w:numFmt w:val="bullet"/>
      <w:lvlText w:val="•"/>
      <w:lvlJc w:val="left"/>
      <w:rPr>
        <w:color w:val="3370FF"/>
      </w:rPr>
    </w:lvl>
  </w:abstractNum>
  <w:abstractNum w:abstractNumId="143">
    <w:nsid w:val="2B3F3F89"/>
    <w:multiLevelType w:val="singleLevel"/>
    <w:tmpl w:val="2B3F3F89"/>
    <w:lvl w:ilvl="0" w:tentative="0">
      <w:start w:val="0"/>
      <w:numFmt w:val="bullet"/>
      <w:lvlText w:val="•"/>
      <w:lvlJc w:val="left"/>
      <w:rPr>
        <w:color w:val="3370FF"/>
      </w:rPr>
    </w:lvl>
  </w:abstractNum>
  <w:abstractNum w:abstractNumId="144">
    <w:nsid w:val="2F2D79CE"/>
    <w:multiLevelType w:val="singleLevel"/>
    <w:tmpl w:val="2F2D79CE"/>
    <w:lvl w:ilvl="0" w:tentative="0">
      <w:start w:val="0"/>
      <w:numFmt w:val="bullet"/>
      <w:lvlText w:val="•"/>
      <w:lvlJc w:val="left"/>
      <w:rPr>
        <w:color w:val="3370FF"/>
      </w:rPr>
    </w:lvl>
  </w:abstractNum>
  <w:abstractNum w:abstractNumId="145">
    <w:nsid w:val="30A0AC00"/>
    <w:multiLevelType w:val="singleLevel"/>
    <w:tmpl w:val="30A0AC00"/>
    <w:lvl w:ilvl="0" w:tentative="0">
      <w:start w:val="0"/>
      <w:numFmt w:val="bullet"/>
      <w:lvlText w:val="•"/>
      <w:lvlJc w:val="left"/>
      <w:rPr>
        <w:color w:val="3370FF"/>
      </w:rPr>
    </w:lvl>
  </w:abstractNum>
  <w:abstractNum w:abstractNumId="146">
    <w:nsid w:val="30FC5B15"/>
    <w:multiLevelType w:val="singleLevel"/>
    <w:tmpl w:val="30FC5B15"/>
    <w:lvl w:ilvl="0" w:tentative="0">
      <w:start w:val="0"/>
      <w:numFmt w:val="bullet"/>
      <w:lvlText w:val="•"/>
      <w:lvlJc w:val="left"/>
      <w:rPr>
        <w:color w:val="3370FF"/>
      </w:rPr>
    </w:lvl>
  </w:abstractNum>
  <w:abstractNum w:abstractNumId="147">
    <w:nsid w:val="322D85CA"/>
    <w:multiLevelType w:val="singleLevel"/>
    <w:tmpl w:val="322D85CA"/>
    <w:lvl w:ilvl="0" w:tentative="0">
      <w:start w:val="0"/>
      <w:numFmt w:val="bullet"/>
      <w:lvlText w:val="•"/>
      <w:lvlJc w:val="left"/>
      <w:rPr>
        <w:color w:val="3370FF"/>
      </w:rPr>
    </w:lvl>
  </w:abstractNum>
  <w:abstractNum w:abstractNumId="148">
    <w:nsid w:val="329A4FD1"/>
    <w:multiLevelType w:val="singleLevel"/>
    <w:tmpl w:val="329A4FD1"/>
    <w:lvl w:ilvl="0" w:tentative="0">
      <w:start w:val="0"/>
      <w:numFmt w:val="bullet"/>
      <w:lvlText w:val="•"/>
      <w:lvlJc w:val="left"/>
      <w:rPr>
        <w:color w:val="3370FF"/>
      </w:rPr>
    </w:lvl>
  </w:abstractNum>
  <w:abstractNum w:abstractNumId="149">
    <w:nsid w:val="32A7AF2D"/>
    <w:multiLevelType w:val="singleLevel"/>
    <w:tmpl w:val="32A7AF2D"/>
    <w:lvl w:ilvl="0" w:tentative="0">
      <w:start w:val="5"/>
      <w:numFmt w:val="decimal"/>
      <w:lvlText w:val="%1."/>
      <w:lvlJc w:val="left"/>
      <w:rPr>
        <w:color w:val="3370FF"/>
      </w:rPr>
    </w:lvl>
  </w:abstractNum>
  <w:abstractNum w:abstractNumId="150">
    <w:nsid w:val="333E8B90"/>
    <w:multiLevelType w:val="singleLevel"/>
    <w:tmpl w:val="333E8B90"/>
    <w:lvl w:ilvl="0" w:tentative="0">
      <w:start w:val="7"/>
      <w:numFmt w:val="decimal"/>
      <w:lvlText w:val="%1."/>
      <w:lvlJc w:val="left"/>
      <w:rPr>
        <w:color w:val="3370FF"/>
      </w:rPr>
    </w:lvl>
  </w:abstractNum>
  <w:abstractNum w:abstractNumId="151">
    <w:nsid w:val="35E83B33"/>
    <w:multiLevelType w:val="singleLevel"/>
    <w:tmpl w:val="35E83B33"/>
    <w:lvl w:ilvl="0" w:tentative="0">
      <w:start w:val="0"/>
      <w:numFmt w:val="bullet"/>
      <w:lvlText w:val="•"/>
      <w:lvlJc w:val="left"/>
      <w:rPr>
        <w:color w:val="3370FF"/>
      </w:rPr>
    </w:lvl>
  </w:abstractNum>
  <w:abstractNum w:abstractNumId="152">
    <w:nsid w:val="35ECE9CB"/>
    <w:multiLevelType w:val="singleLevel"/>
    <w:tmpl w:val="35ECE9CB"/>
    <w:lvl w:ilvl="0" w:tentative="0">
      <w:start w:val="0"/>
      <w:numFmt w:val="bullet"/>
      <w:lvlText w:val="￮"/>
      <w:lvlJc w:val="left"/>
      <w:rPr>
        <w:color w:val="3370FF"/>
      </w:rPr>
    </w:lvl>
  </w:abstractNum>
  <w:abstractNum w:abstractNumId="153">
    <w:nsid w:val="3664A4D1"/>
    <w:multiLevelType w:val="singleLevel"/>
    <w:tmpl w:val="3664A4D1"/>
    <w:lvl w:ilvl="0" w:tentative="0">
      <w:start w:val="10"/>
      <w:numFmt w:val="decimal"/>
      <w:lvlText w:val="%1."/>
      <w:lvlJc w:val="left"/>
      <w:rPr>
        <w:color w:val="3370FF"/>
      </w:rPr>
    </w:lvl>
  </w:abstractNum>
  <w:abstractNum w:abstractNumId="154">
    <w:nsid w:val="38EAC418"/>
    <w:multiLevelType w:val="singleLevel"/>
    <w:tmpl w:val="38EAC418"/>
    <w:lvl w:ilvl="0" w:tentative="0">
      <w:start w:val="0"/>
      <w:numFmt w:val="bullet"/>
      <w:lvlText w:val="•"/>
      <w:lvlJc w:val="left"/>
      <w:rPr>
        <w:color w:val="3370FF"/>
      </w:rPr>
    </w:lvl>
  </w:abstractNum>
  <w:abstractNum w:abstractNumId="155">
    <w:nsid w:val="39A0D9AC"/>
    <w:multiLevelType w:val="singleLevel"/>
    <w:tmpl w:val="39A0D9AC"/>
    <w:lvl w:ilvl="0" w:tentative="0">
      <w:start w:val="0"/>
      <w:numFmt w:val="bullet"/>
      <w:lvlText w:val="•"/>
      <w:lvlJc w:val="left"/>
      <w:rPr>
        <w:color w:val="3370FF"/>
      </w:rPr>
    </w:lvl>
  </w:abstractNum>
  <w:abstractNum w:abstractNumId="156">
    <w:nsid w:val="3A7FBA26"/>
    <w:multiLevelType w:val="singleLevel"/>
    <w:tmpl w:val="3A7FBA26"/>
    <w:lvl w:ilvl="0" w:tentative="0">
      <w:start w:val="0"/>
      <w:numFmt w:val="bullet"/>
      <w:lvlText w:val="•"/>
      <w:lvlJc w:val="left"/>
      <w:rPr>
        <w:color w:val="3370FF"/>
      </w:rPr>
    </w:lvl>
  </w:abstractNum>
  <w:abstractNum w:abstractNumId="157">
    <w:nsid w:val="3B8127DF"/>
    <w:multiLevelType w:val="singleLevel"/>
    <w:tmpl w:val="3B8127DF"/>
    <w:lvl w:ilvl="0" w:tentative="0">
      <w:start w:val="0"/>
      <w:numFmt w:val="bullet"/>
      <w:lvlText w:val="•"/>
      <w:lvlJc w:val="left"/>
      <w:rPr>
        <w:color w:val="3370FF"/>
      </w:rPr>
    </w:lvl>
  </w:abstractNum>
  <w:abstractNum w:abstractNumId="158">
    <w:nsid w:val="3D950AF9"/>
    <w:multiLevelType w:val="singleLevel"/>
    <w:tmpl w:val="3D950AF9"/>
    <w:lvl w:ilvl="0" w:tentative="0">
      <w:start w:val="0"/>
      <w:numFmt w:val="bullet"/>
      <w:lvlText w:val="•"/>
      <w:lvlJc w:val="left"/>
      <w:rPr>
        <w:color w:val="3370FF"/>
      </w:rPr>
    </w:lvl>
  </w:abstractNum>
  <w:abstractNum w:abstractNumId="159">
    <w:nsid w:val="3FE315B6"/>
    <w:multiLevelType w:val="singleLevel"/>
    <w:tmpl w:val="3FE315B6"/>
    <w:lvl w:ilvl="0" w:tentative="0">
      <w:start w:val="0"/>
      <w:numFmt w:val="bullet"/>
      <w:lvlText w:val="•"/>
      <w:lvlJc w:val="left"/>
      <w:rPr>
        <w:color w:val="3370FF"/>
      </w:rPr>
    </w:lvl>
  </w:abstractNum>
  <w:abstractNum w:abstractNumId="160">
    <w:nsid w:val="408860E8"/>
    <w:multiLevelType w:val="singleLevel"/>
    <w:tmpl w:val="408860E8"/>
    <w:lvl w:ilvl="0" w:tentative="0">
      <w:start w:val="0"/>
      <w:numFmt w:val="bullet"/>
      <w:lvlText w:val="￮"/>
      <w:lvlJc w:val="left"/>
      <w:rPr>
        <w:color w:val="3370FF"/>
      </w:rPr>
    </w:lvl>
  </w:abstractNum>
  <w:abstractNum w:abstractNumId="161">
    <w:nsid w:val="40B249F9"/>
    <w:multiLevelType w:val="singleLevel"/>
    <w:tmpl w:val="40B249F9"/>
    <w:lvl w:ilvl="0" w:tentative="0">
      <w:start w:val="0"/>
      <w:numFmt w:val="bullet"/>
      <w:lvlText w:val="•"/>
      <w:lvlJc w:val="left"/>
      <w:rPr>
        <w:color w:val="3370FF"/>
      </w:rPr>
    </w:lvl>
  </w:abstractNum>
  <w:abstractNum w:abstractNumId="162">
    <w:nsid w:val="40F245EA"/>
    <w:multiLevelType w:val="singleLevel"/>
    <w:tmpl w:val="40F245EA"/>
    <w:lvl w:ilvl="0" w:tentative="0">
      <w:start w:val="0"/>
      <w:numFmt w:val="bullet"/>
      <w:lvlText w:val="￮"/>
      <w:lvlJc w:val="left"/>
      <w:rPr>
        <w:color w:val="3370FF"/>
      </w:rPr>
    </w:lvl>
  </w:abstractNum>
  <w:abstractNum w:abstractNumId="163">
    <w:nsid w:val="4258023A"/>
    <w:multiLevelType w:val="singleLevel"/>
    <w:tmpl w:val="4258023A"/>
    <w:lvl w:ilvl="0" w:tentative="0">
      <w:start w:val="0"/>
      <w:numFmt w:val="bullet"/>
      <w:lvlText w:val="•"/>
      <w:lvlJc w:val="left"/>
      <w:rPr>
        <w:color w:val="3370FF"/>
      </w:rPr>
    </w:lvl>
  </w:abstractNum>
  <w:abstractNum w:abstractNumId="164">
    <w:nsid w:val="429CD0B5"/>
    <w:multiLevelType w:val="singleLevel"/>
    <w:tmpl w:val="429CD0B5"/>
    <w:lvl w:ilvl="0" w:tentative="0">
      <w:start w:val="1"/>
      <w:numFmt w:val="decimal"/>
      <w:lvlText w:val="%1."/>
      <w:lvlJc w:val="left"/>
      <w:rPr>
        <w:color w:val="3370FF"/>
      </w:rPr>
    </w:lvl>
  </w:abstractNum>
  <w:abstractNum w:abstractNumId="165">
    <w:nsid w:val="46A08BB8"/>
    <w:multiLevelType w:val="singleLevel"/>
    <w:tmpl w:val="46A08BB8"/>
    <w:lvl w:ilvl="0" w:tentative="0">
      <w:start w:val="0"/>
      <w:numFmt w:val="bullet"/>
      <w:lvlText w:val="•"/>
      <w:lvlJc w:val="left"/>
      <w:rPr>
        <w:color w:val="3370FF"/>
      </w:rPr>
    </w:lvl>
  </w:abstractNum>
  <w:abstractNum w:abstractNumId="166">
    <w:nsid w:val="4A51D704"/>
    <w:multiLevelType w:val="singleLevel"/>
    <w:tmpl w:val="4A51D704"/>
    <w:lvl w:ilvl="0" w:tentative="0">
      <w:start w:val="0"/>
      <w:numFmt w:val="bullet"/>
      <w:lvlText w:val="￮"/>
      <w:lvlJc w:val="left"/>
      <w:rPr>
        <w:color w:val="3370FF"/>
      </w:rPr>
    </w:lvl>
  </w:abstractNum>
  <w:abstractNum w:abstractNumId="167">
    <w:nsid w:val="4AD1D84F"/>
    <w:multiLevelType w:val="singleLevel"/>
    <w:tmpl w:val="4AD1D84F"/>
    <w:lvl w:ilvl="0" w:tentative="0">
      <w:start w:val="0"/>
      <w:numFmt w:val="bullet"/>
      <w:lvlText w:val="•"/>
      <w:lvlJc w:val="left"/>
      <w:rPr>
        <w:color w:val="3370FF"/>
      </w:rPr>
    </w:lvl>
  </w:abstractNum>
  <w:abstractNum w:abstractNumId="168">
    <w:nsid w:val="4C1BAE26"/>
    <w:multiLevelType w:val="singleLevel"/>
    <w:tmpl w:val="4C1BAE26"/>
    <w:lvl w:ilvl="0" w:tentative="0">
      <w:start w:val="0"/>
      <w:numFmt w:val="bullet"/>
      <w:lvlText w:val="•"/>
      <w:lvlJc w:val="left"/>
      <w:rPr>
        <w:color w:val="3370FF"/>
      </w:rPr>
    </w:lvl>
  </w:abstractNum>
  <w:abstractNum w:abstractNumId="169">
    <w:nsid w:val="4C3D7A74"/>
    <w:multiLevelType w:val="singleLevel"/>
    <w:tmpl w:val="4C3D7A74"/>
    <w:lvl w:ilvl="0" w:tentative="0">
      <w:start w:val="0"/>
      <w:numFmt w:val="bullet"/>
      <w:lvlText w:val="•"/>
      <w:lvlJc w:val="left"/>
      <w:rPr>
        <w:color w:val="3370FF"/>
      </w:rPr>
    </w:lvl>
  </w:abstractNum>
  <w:abstractNum w:abstractNumId="170">
    <w:nsid w:val="4CD1E351"/>
    <w:multiLevelType w:val="singleLevel"/>
    <w:tmpl w:val="4CD1E351"/>
    <w:lvl w:ilvl="0" w:tentative="0">
      <w:start w:val="0"/>
      <w:numFmt w:val="bullet"/>
      <w:lvlText w:val="•"/>
      <w:lvlJc w:val="left"/>
      <w:rPr>
        <w:color w:val="3370FF"/>
      </w:rPr>
    </w:lvl>
  </w:abstractNum>
  <w:abstractNum w:abstractNumId="171">
    <w:nsid w:val="4D4DC07F"/>
    <w:multiLevelType w:val="singleLevel"/>
    <w:tmpl w:val="4D4DC07F"/>
    <w:lvl w:ilvl="0" w:tentative="0">
      <w:start w:val="0"/>
      <w:numFmt w:val="bullet"/>
      <w:lvlText w:val="•"/>
      <w:lvlJc w:val="left"/>
      <w:rPr>
        <w:color w:val="3370FF"/>
      </w:rPr>
    </w:lvl>
  </w:abstractNum>
  <w:abstractNum w:abstractNumId="172">
    <w:nsid w:val="4D63189B"/>
    <w:multiLevelType w:val="singleLevel"/>
    <w:tmpl w:val="4D63189B"/>
    <w:lvl w:ilvl="0" w:tentative="0">
      <w:start w:val="0"/>
      <w:numFmt w:val="bullet"/>
      <w:lvlText w:val="￮"/>
      <w:lvlJc w:val="left"/>
      <w:rPr>
        <w:color w:val="3370FF"/>
      </w:rPr>
    </w:lvl>
  </w:abstractNum>
  <w:abstractNum w:abstractNumId="173">
    <w:nsid w:val="4D94DA66"/>
    <w:multiLevelType w:val="singleLevel"/>
    <w:tmpl w:val="4D94DA66"/>
    <w:lvl w:ilvl="0" w:tentative="0">
      <w:start w:val="0"/>
      <w:numFmt w:val="bullet"/>
      <w:lvlText w:val="•"/>
      <w:lvlJc w:val="left"/>
      <w:rPr>
        <w:color w:val="3370FF"/>
      </w:rPr>
    </w:lvl>
  </w:abstractNum>
  <w:abstractNum w:abstractNumId="174">
    <w:nsid w:val="4EA76503"/>
    <w:multiLevelType w:val="singleLevel"/>
    <w:tmpl w:val="4EA76503"/>
    <w:lvl w:ilvl="0" w:tentative="0">
      <w:start w:val="13"/>
      <w:numFmt w:val="decimal"/>
      <w:lvlText w:val="%1."/>
      <w:lvlJc w:val="left"/>
      <w:rPr>
        <w:color w:val="3370FF"/>
      </w:rPr>
    </w:lvl>
  </w:abstractNum>
  <w:abstractNum w:abstractNumId="175">
    <w:nsid w:val="4F00C6B4"/>
    <w:multiLevelType w:val="singleLevel"/>
    <w:tmpl w:val="4F00C6B4"/>
    <w:lvl w:ilvl="0" w:tentative="0">
      <w:start w:val="4"/>
      <w:numFmt w:val="decimal"/>
      <w:lvlText w:val="%1."/>
      <w:lvlJc w:val="left"/>
      <w:rPr>
        <w:color w:val="3370FF"/>
      </w:rPr>
    </w:lvl>
  </w:abstractNum>
  <w:abstractNum w:abstractNumId="176">
    <w:nsid w:val="4FA7FC34"/>
    <w:multiLevelType w:val="singleLevel"/>
    <w:tmpl w:val="4FA7FC34"/>
    <w:lvl w:ilvl="0" w:tentative="0">
      <w:start w:val="0"/>
      <w:numFmt w:val="bullet"/>
      <w:lvlText w:val="￮"/>
      <w:lvlJc w:val="left"/>
      <w:rPr>
        <w:color w:val="3370FF"/>
      </w:rPr>
    </w:lvl>
  </w:abstractNum>
  <w:abstractNum w:abstractNumId="177">
    <w:nsid w:val="4FB438A5"/>
    <w:multiLevelType w:val="singleLevel"/>
    <w:tmpl w:val="4FB438A5"/>
    <w:lvl w:ilvl="0" w:tentative="0">
      <w:start w:val="0"/>
      <w:numFmt w:val="bullet"/>
      <w:lvlText w:val="•"/>
      <w:lvlJc w:val="left"/>
      <w:rPr>
        <w:color w:val="3370FF"/>
      </w:rPr>
    </w:lvl>
  </w:abstractNum>
  <w:abstractNum w:abstractNumId="178">
    <w:nsid w:val="51C4BC33"/>
    <w:multiLevelType w:val="singleLevel"/>
    <w:tmpl w:val="51C4BC33"/>
    <w:lvl w:ilvl="0" w:tentative="0">
      <w:start w:val="0"/>
      <w:numFmt w:val="bullet"/>
      <w:lvlText w:val="•"/>
      <w:lvlJc w:val="left"/>
      <w:rPr>
        <w:color w:val="3370FF"/>
      </w:rPr>
    </w:lvl>
  </w:abstractNum>
  <w:abstractNum w:abstractNumId="179">
    <w:nsid w:val="54701CA1"/>
    <w:multiLevelType w:val="singleLevel"/>
    <w:tmpl w:val="54701CA1"/>
    <w:lvl w:ilvl="0" w:tentative="0">
      <w:start w:val="0"/>
      <w:numFmt w:val="bullet"/>
      <w:lvlText w:val="•"/>
      <w:lvlJc w:val="left"/>
      <w:rPr>
        <w:color w:val="3370FF"/>
      </w:rPr>
    </w:lvl>
  </w:abstractNum>
  <w:abstractNum w:abstractNumId="180">
    <w:nsid w:val="58765686"/>
    <w:multiLevelType w:val="singleLevel"/>
    <w:tmpl w:val="58765686"/>
    <w:lvl w:ilvl="0" w:tentative="0">
      <w:start w:val="0"/>
      <w:numFmt w:val="bullet"/>
      <w:lvlText w:val="•"/>
      <w:lvlJc w:val="left"/>
      <w:rPr>
        <w:color w:val="3370FF"/>
      </w:rPr>
    </w:lvl>
  </w:abstractNum>
  <w:abstractNum w:abstractNumId="181">
    <w:nsid w:val="598DAF6D"/>
    <w:multiLevelType w:val="singleLevel"/>
    <w:tmpl w:val="598DAF6D"/>
    <w:lvl w:ilvl="0" w:tentative="0">
      <w:start w:val="13"/>
      <w:numFmt w:val="decimal"/>
      <w:lvlText w:val="%1."/>
      <w:lvlJc w:val="left"/>
      <w:rPr>
        <w:color w:val="3370FF"/>
      </w:rPr>
    </w:lvl>
  </w:abstractNum>
  <w:abstractNum w:abstractNumId="182">
    <w:nsid w:val="59ADCABA"/>
    <w:multiLevelType w:val="singleLevel"/>
    <w:tmpl w:val="59ADCABA"/>
    <w:lvl w:ilvl="0" w:tentative="0">
      <w:start w:val="0"/>
      <w:numFmt w:val="bullet"/>
      <w:lvlText w:val="•"/>
      <w:lvlJc w:val="left"/>
      <w:rPr>
        <w:color w:val="3370FF"/>
      </w:rPr>
    </w:lvl>
  </w:abstractNum>
  <w:abstractNum w:abstractNumId="183">
    <w:nsid w:val="59EEFD2A"/>
    <w:multiLevelType w:val="singleLevel"/>
    <w:tmpl w:val="59EEFD2A"/>
    <w:lvl w:ilvl="0" w:tentative="0">
      <w:start w:val="0"/>
      <w:numFmt w:val="bullet"/>
      <w:lvlText w:val="•"/>
      <w:lvlJc w:val="left"/>
      <w:rPr>
        <w:color w:val="3370FF"/>
      </w:rPr>
    </w:lvl>
  </w:abstractNum>
  <w:abstractNum w:abstractNumId="184">
    <w:nsid w:val="5A241D34"/>
    <w:multiLevelType w:val="singleLevel"/>
    <w:tmpl w:val="5A241D34"/>
    <w:lvl w:ilvl="0" w:tentative="0">
      <w:start w:val="0"/>
      <w:numFmt w:val="bullet"/>
      <w:lvlText w:val="•"/>
      <w:lvlJc w:val="left"/>
      <w:rPr>
        <w:color w:val="3370FF"/>
      </w:rPr>
    </w:lvl>
  </w:abstractNum>
  <w:abstractNum w:abstractNumId="185">
    <w:nsid w:val="5A8377A7"/>
    <w:multiLevelType w:val="singleLevel"/>
    <w:tmpl w:val="5A8377A7"/>
    <w:lvl w:ilvl="0" w:tentative="0">
      <w:start w:val="5"/>
      <w:numFmt w:val="decimal"/>
      <w:lvlText w:val="%1."/>
      <w:lvlJc w:val="left"/>
      <w:rPr>
        <w:color w:val="3370FF"/>
      </w:rPr>
    </w:lvl>
  </w:abstractNum>
  <w:abstractNum w:abstractNumId="186">
    <w:nsid w:val="5E29AB5A"/>
    <w:multiLevelType w:val="singleLevel"/>
    <w:tmpl w:val="5E29AB5A"/>
    <w:lvl w:ilvl="0" w:tentative="0">
      <w:start w:val="0"/>
      <w:numFmt w:val="bullet"/>
      <w:lvlText w:val="•"/>
      <w:lvlJc w:val="left"/>
      <w:rPr>
        <w:color w:val="3370FF"/>
      </w:rPr>
    </w:lvl>
  </w:abstractNum>
  <w:abstractNum w:abstractNumId="187">
    <w:nsid w:val="5FCE4367"/>
    <w:multiLevelType w:val="singleLevel"/>
    <w:tmpl w:val="5FCE4367"/>
    <w:lvl w:ilvl="0" w:tentative="0">
      <w:start w:val="0"/>
      <w:numFmt w:val="bullet"/>
      <w:lvlText w:val="•"/>
      <w:lvlJc w:val="left"/>
      <w:rPr>
        <w:color w:val="3370FF"/>
      </w:rPr>
    </w:lvl>
  </w:abstractNum>
  <w:abstractNum w:abstractNumId="188">
    <w:nsid w:val="5FFFB1A7"/>
    <w:multiLevelType w:val="singleLevel"/>
    <w:tmpl w:val="5FFFB1A7"/>
    <w:lvl w:ilvl="0" w:tentative="0">
      <w:start w:val="2"/>
      <w:numFmt w:val="decimal"/>
      <w:lvlText w:val="%1."/>
      <w:lvlJc w:val="left"/>
      <w:rPr>
        <w:color w:val="3370FF"/>
      </w:rPr>
    </w:lvl>
  </w:abstractNum>
  <w:abstractNum w:abstractNumId="189">
    <w:nsid w:val="60382F6E"/>
    <w:multiLevelType w:val="singleLevel"/>
    <w:tmpl w:val="60382F6E"/>
    <w:lvl w:ilvl="0" w:tentative="0">
      <w:start w:val="0"/>
      <w:numFmt w:val="bullet"/>
      <w:lvlText w:val="•"/>
      <w:lvlJc w:val="left"/>
      <w:rPr>
        <w:color w:val="3370FF"/>
      </w:rPr>
    </w:lvl>
  </w:abstractNum>
  <w:abstractNum w:abstractNumId="190">
    <w:nsid w:val="610EFE5C"/>
    <w:multiLevelType w:val="singleLevel"/>
    <w:tmpl w:val="610EFE5C"/>
    <w:lvl w:ilvl="0" w:tentative="0">
      <w:start w:val="0"/>
      <w:numFmt w:val="bullet"/>
      <w:lvlText w:val="￮"/>
      <w:lvlJc w:val="left"/>
      <w:rPr>
        <w:color w:val="3370FF"/>
      </w:rPr>
    </w:lvl>
  </w:abstractNum>
  <w:abstractNum w:abstractNumId="191">
    <w:nsid w:val="629F7852"/>
    <w:multiLevelType w:val="singleLevel"/>
    <w:tmpl w:val="629F7852"/>
    <w:lvl w:ilvl="0" w:tentative="0">
      <w:start w:val="0"/>
      <w:numFmt w:val="bullet"/>
      <w:lvlText w:val="•"/>
      <w:lvlJc w:val="left"/>
      <w:rPr>
        <w:color w:val="3370FF"/>
      </w:rPr>
    </w:lvl>
  </w:abstractNum>
  <w:abstractNum w:abstractNumId="192">
    <w:nsid w:val="63B12E74"/>
    <w:multiLevelType w:val="singleLevel"/>
    <w:tmpl w:val="63B12E74"/>
    <w:lvl w:ilvl="0" w:tentative="0">
      <w:start w:val="0"/>
      <w:numFmt w:val="bullet"/>
      <w:lvlText w:val="•"/>
      <w:lvlJc w:val="left"/>
      <w:rPr>
        <w:color w:val="3370FF"/>
      </w:rPr>
    </w:lvl>
  </w:abstractNum>
  <w:abstractNum w:abstractNumId="193">
    <w:nsid w:val="64C0CB79"/>
    <w:multiLevelType w:val="singleLevel"/>
    <w:tmpl w:val="64C0CB79"/>
    <w:lvl w:ilvl="0" w:tentative="0">
      <w:start w:val="3"/>
      <w:numFmt w:val="decimal"/>
      <w:lvlText w:val="%1."/>
      <w:lvlJc w:val="left"/>
      <w:rPr>
        <w:color w:val="3370FF"/>
      </w:rPr>
    </w:lvl>
  </w:abstractNum>
  <w:abstractNum w:abstractNumId="194">
    <w:nsid w:val="651422BE"/>
    <w:multiLevelType w:val="singleLevel"/>
    <w:tmpl w:val="651422BE"/>
    <w:lvl w:ilvl="0" w:tentative="0">
      <w:start w:val="1"/>
      <w:numFmt w:val="decimal"/>
      <w:lvlText w:val="%1."/>
      <w:lvlJc w:val="left"/>
      <w:rPr>
        <w:color w:val="3370FF"/>
      </w:rPr>
    </w:lvl>
  </w:abstractNum>
  <w:abstractNum w:abstractNumId="195">
    <w:nsid w:val="659EB354"/>
    <w:multiLevelType w:val="singleLevel"/>
    <w:tmpl w:val="659EB354"/>
    <w:lvl w:ilvl="0" w:tentative="0">
      <w:start w:val="0"/>
      <w:numFmt w:val="bullet"/>
      <w:lvlText w:val="•"/>
      <w:lvlJc w:val="left"/>
      <w:rPr>
        <w:color w:val="3370FF"/>
      </w:rPr>
    </w:lvl>
  </w:abstractNum>
  <w:abstractNum w:abstractNumId="196">
    <w:nsid w:val="65CD0074"/>
    <w:multiLevelType w:val="singleLevel"/>
    <w:tmpl w:val="65CD0074"/>
    <w:lvl w:ilvl="0" w:tentative="0">
      <w:start w:val="3"/>
      <w:numFmt w:val="decimal"/>
      <w:lvlText w:val="%1."/>
      <w:lvlJc w:val="left"/>
      <w:rPr>
        <w:color w:val="3370FF"/>
      </w:rPr>
    </w:lvl>
  </w:abstractNum>
  <w:abstractNum w:abstractNumId="197">
    <w:nsid w:val="68B298F7"/>
    <w:multiLevelType w:val="singleLevel"/>
    <w:tmpl w:val="68B298F7"/>
    <w:lvl w:ilvl="0" w:tentative="0">
      <w:start w:val="0"/>
      <w:numFmt w:val="bullet"/>
      <w:lvlText w:val="￮"/>
      <w:lvlJc w:val="left"/>
      <w:rPr>
        <w:color w:val="3370FF"/>
      </w:rPr>
    </w:lvl>
  </w:abstractNum>
  <w:abstractNum w:abstractNumId="198">
    <w:nsid w:val="6AFC2A1C"/>
    <w:multiLevelType w:val="singleLevel"/>
    <w:tmpl w:val="6AFC2A1C"/>
    <w:lvl w:ilvl="0" w:tentative="0">
      <w:start w:val="0"/>
      <w:numFmt w:val="bullet"/>
      <w:lvlText w:val="•"/>
      <w:lvlJc w:val="left"/>
      <w:rPr>
        <w:color w:val="3370FF"/>
      </w:rPr>
    </w:lvl>
  </w:abstractNum>
  <w:abstractNum w:abstractNumId="199">
    <w:nsid w:val="6C0BE2D1"/>
    <w:multiLevelType w:val="singleLevel"/>
    <w:tmpl w:val="6C0BE2D1"/>
    <w:lvl w:ilvl="0" w:tentative="0">
      <w:start w:val="0"/>
      <w:numFmt w:val="bullet"/>
      <w:lvlText w:val="￮"/>
      <w:lvlJc w:val="left"/>
      <w:rPr>
        <w:color w:val="3370FF"/>
      </w:rPr>
    </w:lvl>
  </w:abstractNum>
  <w:abstractNum w:abstractNumId="200">
    <w:nsid w:val="6D423078"/>
    <w:multiLevelType w:val="singleLevel"/>
    <w:tmpl w:val="6D423078"/>
    <w:lvl w:ilvl="0" w:tentative="0">
      <w:start w:val="0"/>
      <w:numFmt w:val="bullet"/>
      <w:lvlText w:val="•"/>
      <w:lvlJc w:val="left"/>
      <w:rPr>
        <w:color w:val="3370FF"/>
      </w:rPr>
    </w:lvl>
  </w:abstractNum>
  <w:abstractNum w:abstractNumId="201">
    <w:nsid w:val="700FDCEF"/>
    <w:multiLevelType w:val="singleLevel"/>
    <w:tmpl w:val="700FDCEF"/>
    <w:lvl w:ilvl="0" w:tentative="0">
      <w:start w:val="0"/>
      <w:numFmt w:val="bullet"/>
      <w:lvlText w:val="•"/>
      <w:lvlJc w:val="left"/>
      <w:rPr>
        <w:color w:val="3370FF"/>
      </w:rPr>
    </w:lvl>
  </w:abstractNum>
  <w:abstractNum w:abstractNumId="202">
    <w:nsid w:val="70F95E71"/>
    <w:multiLevelType w:val="singleLevel"/>
    <w:tmpl w:val="70F95E71"/>
    <w:lvl w:ilvl="0" w:tentative="0">
      <w:start w:val="0"/>
      <w:numFmt w:val="bullet"/>
      <w:lvlText w:val="•"/>
      <w:lvlJc w:val="left"/>
      <w:rPr>
        <w:color w:val="3370FF"/>
      </w:rPr>
    </w:lvl>
  </w:abstractNum>
  <w:abstractNum w:abstractNumId="203">
    <w:nsid w:val="72183CF9"/>
    <w:multiLevelType w:val="singleLevel"/>
    <w:tmpl w:val="72183CF9"/>
    <w:lvl w:ilvl="0" w:tentative="0">
      <w:start w:val="0"/>
      <w:numFmt w:val="bullet"/>
      <w:lvlText w:val="•"/>
      <w:lvlJc w:val="left"/>
      <w:rPr>
        <w:color w:val="3370FF"/>
      </w:rPr>
    </w:lvl>
  </w:abstractNum>
  <w:abstractNum w:abstractNumId="204">
    <w:nsid w:val="744F3566"/>
    <w:multiLevelType w:val="singleLevel"/>
    <w:tmpl w:val="744F3566"/>
    <w:lvl w:ilvl="0" w:tentative="0">
      <w:start w:val="0"/>
      <w:numFmt w:val="bullet"/>
      <w:lvlText w:val="•"/>
      <w:lvlJc w:val="left"/>
      <w:rPr>
        <w:color w:val="3370FF"/>
      </w:rPr>
    </w:lvl>
  </w:abstractNum>
  <w:abstractNum w:abstractNumId="205">
    <w:nsid w:val="7499D7B3"/>
    <w:multiLevelType w:val="singleLevel"/>
    <w:tmpl w:val="7499D7B3"/>
    <w:lvl w:ilvl="0" w:tentative="0">
      <w:start w:val="0"/>
      <w:numFmt w:val="bullet"/>
      <w:lvlText w:val="￮"/>
      <w:lvlJc w:val="left"/>
      <w:rPr>
        <w:color w:val="3370FF"/>
      </w:rPr>
    </w:lvl>
  </w:abstractNum>
  <w:abstractNum w:abstractNumId="206">
    <w:nsid w:val="74C28B35"/>
    <w:multiLevelType w:val="singleLevel"/>
    <w:tmpl w:val="74C28B35"/>
    <w:lvl w:ilvl="0" w:tentative="0">
      <w:start w:val="0"/>
      <w:numFmt w:val="bullet"/>
      <w:lvlText w:val="•"/>
      <w:lvlJc w:val="left"/>
      <w:rPr>
        <w:color w:val="3370FF"/>
      </w:rPr>
    </w:lvl>
  </w:abstractNum>
  <w:abstractNum w:abstractNumId="207">
    <w:nsid w:val="77633216"/>
    <w:multiLevelType w:val="singleLevel"/>
    <w:tmpl w:val="77633216"/>
    <w:lvl w:ilvl="0" w:tentative="0">
      <w:start w:val="0"/>
      <w:numFmt w:val="bullet"/>
      <w:lvlText w:val="•"/>
      <w:lvlJc w:val="left"/>
      <w:rPr>
        <w:color w:val="3370FF"/>
      </w:rPr>
    </w:lvl>
  </w:abstractNum>
  <w:abstractNum w:abstractNumId="208">
    <w:nsid w:val="77ECEA79"/>
    <w:multiLevelType w:val="singleLevel"/>
    <w:tmpl w:val="77ECEA79"/>
    <w:lvl w:ilvl="0" w:tentative="0">
      <w:start w:val="0"/>
      <w:numFmt w:val="bullet"/>
      <w:lvlText w:val="•"/>
      <w:lvlJc w:val="left"/>
      <w:rPr>
        <w:color w:val="3370FF"/>
      </w:rPr>
    </w:lvl>
  </w:abstractNum>
  <w:abstractNum w:abstractNumId="209">
    <w:nsid w:val="79AA4FA4"/>
    <w:multiLevelType w:val="singleLevel"/>
    <w:tmpl w:val="79AA4FA4"/>
    <w:lvl w:ilvl="0" w:tentative="0">
      <w:start w:val="0"/>
      <w:numFmt w:val="bullet"/>
      <w:lvlText w:val="•"/>
      <w:lvlJc w:val="left"/>
      <w:rPr>
        <w:color w:val="3370FF"/>
      </w:rPr>
    </w:lvl>
  </w:abstractNum>
  <w:abstractNum w:abstractNumId="210">
    <w:nsid w:val="7C246926"/>
    <w:multiLevelType w:val="singleLevel"/>
    <w:tmpl w:val="7C246926"/>
    <w:lvl w:ilvl="0" w:tentative="0">
      <w:start w:val="0"/>
      <w:numFmt w:val="bullet"/>
      <w:lvlText w:val="•"/>
      <w:lvlJc w:val="left"/>
      <w:rPr>
        <w:color w:val="3370FF"/>
      </w:rPr>
    </w:lvl>
  </w:abstractNum>
  <w:abstractNum w:abstractNumId="211">
    <w:nsid w:val="7DEC2089"/>
    <w:multiLevelType w:val="singleLevel"/>
    <w:tmpl w:val="7DEC2089"/>
    <w:lvl w:ilvl="0" w:tentative="0">
      <w:start w:val="0"/>
      <w:numFmt w:val="bullet"/>
      <w:lvlText w:val="•"/>
      <w:lvlJc w:val="left"/>
      <w:rPr>
        <w:color w:val="3370FF"/>
      </w:rPr>
    </w:lvl>
  </w:abstractNum>
  <w:num w:numId="1">
    <w:abstractNumId w:val="100"/>
  </w:num>
  <w:num w:numId="2">
    <w:abstractNumId w:val="66"/>
  </w:num>
  <w:num w:numId="3">
    <w:abstractNumId w:val="182"/>
  </w:num>
  <w:num w:numId="4">
    <w:abstractNumId w:val="56"/>
  </w:num>
  <w:num w:numId="5">
    <w:abstractNumId w:val="45"/>
  </w:num>
  <w:num w:numId="6">
    <w:abstractNumId w:val="107"/>
  </w:num>
  <w:num w:numId="7">
    <w:abstractNumId w:val="139"/>
  </w:num>
  <w:num w:numId="8">
    <w:abstractNumId w:val="203"/>
  </w:num>
  <w:num w:numId="9">
    <w:abstractNumId w:val="103"/>
  </w:num>
  <w:num w:numId="10">
    <w:abstractNumId w:val="11"/>
  </w:num>
  <w:num w:numId="11">
    <w:abstractNumId w:val="142"/>
  </w:num>
  <w:num w:numId="12">
    <w:abstractNumId w:val="184"/>
  </w:num>
  <w:num w:numId="13">
    <w:abstractNumId w:val="61"/>
  </w:num>
  <w:num w:numId="14">
    <w:abstractNumId w:val="171"/>
  </w:num>
  <w:num w:numId="15">
    <w:abstractNumId w:val="92"/>
  </w:num>
  <w:num w:numId="16">
    <w:abstractNumId w:val="136"/>
  </w:num>
  <w:num w:numId="17">
    <w:abstractNumId w:val="74"/>
  </w:num>
  <w:num w:numId="18">
    <w:abstractNumId w:val="71"/>
  </w:num>
  <w:num w:numId="19">
    <w:abstractNumId w:val="22"/>
  </w:num>
  <w:num w:numId="20">
    <w:abstractNumId w:val="168"/>
  </w:num>
  <w:num w:numId="21">
    <w:abstractNumId w:val="189"/>
  </w:num>
  <w:num w:numId="22">
    <w:abstractNumId w:val="114"/>
  </w:num>
  <w:num w:numId="23">
    <w:abstractNumId w:val="165"/>
  </w:num>
  <w:num w:numId="24">
    <w:abstractNumId w:val="37"/>
  </w:num>
  <w:num w:numId="25">
    <w:abstractNumId w:val="210"/>
  </w:num>
  <w:num w:numId="26">
    <w:abstractNumId w:val="208"/>
  </w:num>
  <w:num w:numId="27">
    <w:abstractNumId w:val="55"/>
  </w:num>
  <w:num w:numId="28">
    <w:abstractNumId w:val="191"/>
  </w:num>
  <w:num w:numId="29">
    <w:abstractNumId w:val="12"/>
  </w:num>
  <w:num w:numId="30">
    <w:abstractNumId w:val="155"/>
  </w:num>
  <w:num w:numId="31">
    <w:abstractNumId w:val="4"/>
  </w:num>
  <w:num w:numId="32">
    <w:abstractNumId w:val="180"/>
  </w:num>
  <w:num w:numId="33">
    <w:abstractNumId w:val="211"/>
  </w:num>
  <w:num w:numId="34">
    <w:abstractNumId w:val="1"/>
  </w:num>
  <w:num w:numId="35">
    <w:abstractNumId w:val="135"/>
  </w:num>
  <w:num w:numId="36">
    <w:abstractNumId w:val="173"/>
  </w:num>
  <w:num w:numId="37">
    <w:abstractNumId w:val="95"/>
  </w:num>
  <w:num w:numId="38">
    <w:abstractNumId w:val="76"/>
  </w:num>
  <w:num w:numId="39">
    <w:abstractNumId w:val="146"/>
  </w:num>
  <w:num w:numId="40">
    <w:abstractNumId w:val="209"/>
  </w:num>
  <w:num w:numId="41">
    <w:abstractNumId w:val="50"/>
  </w:num>
  <w:num w:numId="42">
    <w:abstractNumId w:val="9"/>
  </w:num>
  <w:num w:numId="43">
    <w:abstractNumId w:val="47"/>
  </w:num>
  <w:num w:numId="44">
    <w:abstractNumId w:val="186"/>
  </w:num>
  <w:num w:numId="45">
    <w:abstractNumId w:val="3"/>
  </w:num>
  <w:num w:numId="46">
    <w:abstractNumId w:val="125"/>
  </w:num>
  <w:num w:numId="47">
    <w:abstractNumId w:val="8"/>
  </w:num>
  <w:num w:numId="48">
    <w:abstractNumId w:val="188"/>
  </w:num>
  <w:num w:numId="49">
    <w:abstractNumId w:val="206"/>
  </w:num>
  <w:num w:numId="50">
    <w:abstractNumId w:val="169"/>
  </w:num>
  <w:num w:numId="51">
    <w:abstractNumId w:val="147"/>
  </w:num>
  <w:num w:numId="52">
    <w:abstractNumId w:val="196"/>
  </w:num>
  <w:num w:numId="53">
    <w:abstractNumId w:val="108"/>
  </w:num>
  <w:num w:numId="54">
    <w:abstractNumId w:val="112"/>
  </w:num>
  <w:num w:numId="55">
    <w:abstractNumId w:val="70"/>
  </w:num>
  <w:num w:numId="56">
    <w:abstractNumId w:val="149"/>
  </w:num>
  <w:num w:numId="57">
    <w:abstractNumId w:val="130"/>
  </w:num>
  <w:num w:numId="58">
    <w:abstractNumId w:val="84"/>
  </w:num>
  <w:num w:numId="59">
    <w:abstractNumId w:val="134"/>
  </w:num>
  <w:num w:numId="60">
    <w:abstractNumId w:val="42"/>
  </w:num>
  <w:num w:numId="61">
    <w:abstractNumId w:val="161"/>
  </w:num>
  <w:num w:numId="62">
    <w:abstractNumId w:val="116"/>
  </w:num>
  <w:num w:numId="63">
    <w:abstractNumId w:val="151"/>
  </w:num>
  <w:num w:numId="64">
    <w:abstractNumId w:val="105"/>
  </w:num>
  <w:num w:numId="65">
    <w:abstractNumId w:val="59"/>
  </w:num>
  <w:num w:numId="66">
    <w:abstractNumId w:val="119"/>
  </w:num>
  <w:num w:numId="67">
    <w:abstractNumId w:val="40"/>
  </w:num>
  <w:num w:numId="68">
    <w:abstractNumId w:val="157"/>
  </w:num>
  <w:num w:numId="69">
    <w:abstractNumId w:val="29"/>
  </w:num>
  <w:num w:numId="70">
    <w:abstractNumId w:val="94"/>
  </w:num>
  <w:num w:numId="71">
    <w:abstractNumId w:val="145"/>
  </w:num>
  <w:num w:numId="72">
    <w:abstractNumId w:val="99"/>
  </w:num>
  <w:num w:numId="73">
    <w:abstractNumId w:val="123"/>
  </w:num>
  <w:num w:numId="74">
    <w:abstractNumId w:val="201"/>
  </w:num>
  <w:num w:numId="75">
    <w:abstractNumId w:val="78"/>
  </w:num>
  <w:num w:numId="76">
    <w:abstractNumId w:val="60"/>
  </w:num>
  <w:num w:numId="77">
    <w:abstractNumId w:val="28"/>
  </w:num>
  <w:num w:numId="78">
    <w:abstractNumId w:val="207"/>
  </w:num>
  <w:num w:numId="79">
    <w:abstractNumId w:val="72"/>
  </w:num>
  <w:num w:numId="80">
    <w:abstractNumId w:val="46"/>
  </w:num>
  <w:num w:numId="81">
    <w:abstractNumId w:val="144"/>
  </w:num>
  <w:num w:numId="82">
    <w:abstractNumId w:val="80"/>
  </w:num>
  <w:num w:numId="83">
    <w:abstractNumId w:val="18"/>
  </w:num>
  <w:num w:numId="84">
    <w:abstractNumId w:val="183"/>
  </w:num>
  <w:num w:numId="85">
    <w:abstractNumId w:val="53"/>
  </w:num>
  <w:num w:numId="86">
    <w:abstractNumId w:val="36"/>
  </w:num>
  <w:num w:numId="87">
    <w:abstractNumId w:val="14"/>
  </w:num>
  <w:num w:numId="88">
    <w:abstractNumId w:val="23"/>
  </w:num>
  <w:num w:numId="89">
    <w:abstractNumId w:val="33"/>
  </w:num>
  <w:num w:numId="90">
    <w:abstractNumId w:val="10"/>
  </w:num>
  <w:num w:numId="91">
    <w:abstractNumId w:val="128"/>
  </w:num>
  <w:num w:numId="92">
    <w:abstractNumId w:val="54"/>
  </w:num>
  <w:num w:numId="93">
    <w:abstractNumId w:val="121"/>
  </w:num>
  <w:num w:numId="94">
    <w:abstractNumId w:val="67"/>
  </w:num>
  <w:num w:numId="95">
    <w:abstractNumId w:val="197"/>
  </w:num>
  <w:num w:numId="96">
    <w:abstractNumId w:val="0"/>
  </w:num>
  <w:num w:numId="97">
    <w:abstractNumId w:val="52"/>
  </w:num>
  <w:num w:numId="98">
    <w:abstractNumId w:val="93"/>
  </w:num>
  <w:num w:numId="99">
    <w:abstractNumId w:val="170"/>
  </w:num>
  <w:num w:numId="100">
    <w:abstractNumId w:val="117"/>
  </w:num>
  <w:num w:numId="101">
    <w:abstractNumId w:val="20"/>
  </w:num>
  <w:num w:numId="102">
    <w:abstractNumId w:val="75"/>
  </w:num>
  <w:num w:numId="103">
    <w:abstractNumId w:val="126"/>
  </w:num>
  <w:num w:numId="104">
    <w:abstractNumId w:val="166"/>
  </w:num>
  <w:num w:numId="105">
    <w:abstractNumId w:val="32"/>
  </w:num>
  <w:num w:numId="106">
    <w:abstractNumId w:val="190"/>
  </w:num>
  <w:num w:numId="107">
    <w:abstractNumId w:val="2"/>
  </w:num>
  <w:num w:numId="108">
    <w:abstractNumId w:val="7"/>
  </w:num>
  <w:num w:numId="109">
    <w:abstractNumId w:val="101"/>
  </w:num>
  <w:num w:numId="110">
    <w:abstractNumId w:val="27"/>
  </w:num>
  <w:num w:numId="111">
    <w:abstractNumId w:val="57"/>
  </w:num>
  <w:num w:numId="112">
    <w:abstractNumId w:val="62"/>
  </w:num>
  <w:num w:numId="113">
    <w:abstractNumId w:val="91"/>
  </w:num>
  <w:num w:numId="114">
    <w:abstractNumId w:val="187"/>
  </w:num>
  <w:num w:numId="115">
    <w:abstractNumId w:val="89"/>
  </w:num>
  <w:num w:numId="116">
    <w:abstractNumId w:val="179"/>
  </w:num>
  <w:num w:numId="117">
    <w:abstractNumId w:val="132"/>
  </w:num>
  <w:num w:numId="118">
    <w:abstractNumId w:val="17"/>
  </w:num>
  <w:num w:numId="119">
    <w:abstractNumId w:val="106"/>
  </w:num>
  <w:num w:numId="120">
    <w:abstractNumId w:val="26"/>
  </w:num>
  <w:num w:numId="121">
    <w:abstractNumId w:val="143"/>
  </w:num>
  <w:num w:numId="122">
    <w:abstractNumId w:val="178"/>
  </w:num>
  <w:num w:numId="123">
    <w:abstractNumId w:val="65"/>
  </w:num>
  <w:num w:numId="124">
    <w:abstractNumId w:val="21"/>
  </w:num>
  <w:num w:numId="125">
    <w:abstractNumId w:val="137"/>
  </w:num>
  <w:num w:numId="126">
    <w:abstractNumId w:val="162"/>
  </w:num>
  <w:num w:numId="127">
    <w:abstractNumId w:val="118"/>
  </w:num>
  <w:num w:numId="128">
    <w:abstractNumId w:val="172"/>
  </w:num>
  <w:num w:numId="129">
    <w:abstractNumId w:val="177"/>
  </w:num>
  <w:num w:numId="130">
    <w:abstractNumId w:val="133"/>
  </w:num>
  <w:num w:numId="131">
    <w:abstractNumId w:val="79"/>
  </w:num>
  <w:num w:numId="132">
    <w:abstractNumId w:val="24"/>
  </w:num>
  <w:num w:numId="133">
    <w:abstractNumId w:val="156"/>
  </w:num>
  <w:num w:numId="134">
    <w:abstractNumId w:val="159"/>
  </w:num>
  <w:num w:numId="135">
    <w:abstractNumId w:val="113"/>
  </w:num>
  <w:num w:numId="136">
    <w:abstractNumId w:val="200"/>
  </w:num>
  <w:num w:numId="137">
    <w:abstractNumId w:val="77"/>
  </w:num>
  <w:num w:numId="138">
    <w:abstractNumId w:val="131"/>
  </w:num>
  <w:num w:numId="139">
    <w:abstractNumId w:val="110"/>
  </w:num>
  <w:num w:numId="140">
    <w:abstractNumId w:val="82"/>
  </w:num>
  <w:num w:numId="141">
    <w:abstractNumId w:val="86"/>
  </w:num>
  <w:num w:numId="142">
    <w:abstractNumId w:val="69"/>
  </w:num>
  <w:num w:numId="143">
    <w:abstractNumId w:val="163"/>
  </w:num>
  <w:num w:numId="144">
    <w:abstractNumId w:val="90"/>
  </w:num>
  <w:num w:numId="145">
    <w:abstractNumId w:val="16"/>
  </w:num>
  <w:num w:numId="146">
    <w:abstractNumId w:val="85"/>
  </w:num>
  <w:num w:numId="147">
    <w:abstractNumId w:val="102"/>
  </w:num>
  <w:num w:numId="148">
    <w:abstractNumId w:val="63"/>
  </w:num>
  <w:num w:numId="149">
    <w:abstractNumId w:val="154"/>
  </w:num>
  <w:num w:numId="150">
    <w:abstractNumId w:val="198"/>
  </w:num>
  <w:num w:numId="151">
    <w:abstractNumId w:val="73"/>
  </w:num>
  <w:num w:numId="152">
    <w:abstractNumId w:val="31"/>
  </w:num>
  <w:num w:numId="153">
    <w:abstractNumId w:val="6"/>
  </w:num>
  <w:num w:numId="154">
    <w:abstractNumId w:val="35"/>
  </w:num>
  <w:num w:numId="155">
    <w:abstractNumId w:val="109"/>
  </w:num>
  <w:num w:numId="156">
    <w:abstractNumId w:val="41"/>
  </w:num>
  <w:num w:numId="157">
    <w:abstractNumId w:val="87"/>
  </w:num>
  <w:num w:numId="158">
    <w:abstractNumId w:val="138"/>
  </w:num>
  <w:num w:numId="159">
    <w:abstractNumId w:val="167"/>
  </w:num>
  <w:num w:numId="160">
    <w:abstractNumId w:val="39"/>
  </w:num>
  <w:num w:numId="161">
    <w:abstractNumId w:val="158"/>
  </w:num>
  <w:num w:numId="162">
    <w:abstractNumId w:val="127"/>
  </w:num>
  <w:num w:numId="163">
    <w:abstractNumId w:val="122"/>
  </w:num>
  <w:num w:numId="164">
    <w:abstractNumId w:val="96"/>
  </w:num>
  <w:num w:numId="165">
    <w:abstractNumId w:val="152"/>
  </w:num>
  <w:num w:numId="166">
    <w:abstractNumId w:val="58"/>
  </w:num>
  <w:num w:numId="167">
    <w:abstractNumId w:val="176"/>
  </w:num>
  <w:num w:numId="168">
    <w:abstractNumId w:val="160"/>
  </w:num>
  <w:num w:numId="169">
    <w:abstractNumId w:val="141"/>
  </w:num>
  <w:num w:numId="170">
    <w:abstractNumId w:val="83"/>
  </w:num>
  <w:num w:numId="171">
    <w:abstractNumId w:val="30"/>
  </w:num>
  <w:num w:numId="172">
    <w:abstractNumId w:val="205"/>
  </w:num>
  <w:num w:numId="173">
    <w:abstractNumId w:val="140"/>
  </w:num>
  <w:num w:numId="174">
    <w:abstractNumId w:val="199"/>
  </w:num>
  <w:num w:numId="175">
    <w:abstractNumId w:val="15"/>
  </w:num>
  <w:num w:numId="176">
    <w:abstractNumId w:val="195"/>
  </w:num>
  <w:num w:numId="177">
    <w:abstractNumId w:val="64"/>
  </w:num>
  <w:num w:numId="178">
    <w:abstractNumId w:val="192"/>
  </w:num>
  <w:num w:numId="179">
    <w:abstractNumId w:val="148"/>
  </w:num>
  <w:num w:numId="180">
    <w:abstractNumId w:val="204"/>
  </w:num>
  <w:num w:numId="181">
    <w:abstractNumId w:val="202"/>
  </w:num>
  <w:num w:numId="182">
    <w:abstractNumId w:val="68"/>
  </w:num>
  <w:num w:numId="183">
    <w:abstractNumId w:val="88"/>
  </w:num>
  <w:num w:numId="184">
    <w:abstractNumId w:val="98"/>
  </w:num>
  <w:num w:numId="185">
    <w:abstractNumId w:val="13"/>
  </w:num>
  <w:num w:numId="186">
    <w:abstractNumId w:val="43"/>
  </w:num>
  <w:num w:numId="187">
    <w:abstractNumId w:val="164"/>
  </w:num>
  <w:num w:numId="188">
    <w:abstractNumId w:val="44"/>
  </w:num>
  <w:num w:numId="189">
    <w:abstractNumId w:val="193"/>
  </w:num>
  <w:num w:numId="190">
    <w:abstractNumId w:val="175"/>
  </w:num>
  <w:num w:numId="191">
    <w:abstractNumId w:val="185"/>
  </w:num>
  <w:num w:numId="192">
    <w:abstractNumId w:val="51"/>
  </w:num>
  <w:num w:numId="193">
    <w:abstractNumId w:val="150"/>
  </w:num>
  <w:num w:numId="194">
    <w:abstractNumId w:val="81"/>
  </w:num>
  <w:num w:numId="195">
    <w:abstractNumId w:val="129"/>
  </w:num>
  <w:num w:numId="196">
    <w:abstractNumId w:val="5"/>
  </w:num>
  <w:num w:numId="197">
    <w:abstractNumId w:val="34"/>
  </w:num>
  <w:num w:numId="198">
    <w:abstractNumId w:val="120"/>
  </w:num>
  <w:num w:numId="199">
    <w:abstractNumId w:val="174"/>
  </w:num>
  <w:num w:numId="200">
    <w:abstractNumId w:val="194"/>
  </w:num>
  <w:num w:numId="201">
    <w:abstractNumId w:val="48"/>
  </w:num>
  <w:num w:numId="202">
    <w:abstractNumId w:val="25"/>
  </w:num>
  <w:num w:numId="203">
    <w:abstractNumId w:val="124"/>
  </w:num>
  <w:num w:numId="204">
    <w:abstractNumId w:val="97"/>
  </w:num>
  <w:num w:numId="205">
    <w:abstractNumId w:val="49"/>
  </w:num>
  <w:num w:numId="206">
    <w:abstractNumId w:val="38"/>
  </w:num>
  <w:num w:numId="207">
    <w:abstractNumId w:val="111"/>
  </w:num>
  <w:num w:numId="208">
    <w:abstractNumId w:val="115"/>
  </w:num>
  <w:num w:numId="209">
    <w:abstractNumId w:val="153"/>
  </w:num>
  <w:num w:numId="210">
    <w:abstractNumId w:val="104"/>
  </w:num>
  <w:num w:numId="211">
    <w:abstractNumId w:val="19"/>
  </w:num>
  <w:num w:numId="212">
    <w:abstractNumId w:val="1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hdrShapeDefaults>
    <o:shapelayout v:ext="edit">
      <o:idmap v:ext="edit" data="2"/>
    </o:shapelayout>
  </w:hdrShapeDefaults>
  <w:compat>
    <w:useFELayout/>
    <w:splitPgBreakAndParaMark/>
    <w:compatSetting w:name="compatibilityMode" w:uri="http://schemas.microsoft.com/office/word" w:val="12"/>
  </w:compat>
  <w:rsids>
    <w:rsidRoot w:val="00000000"/>
    <w:rsid w:val="1FF66F4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package" Target="embeddings/Workbook1.xlsx"/><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37</Pages>
  <Words>8406</Words>
  <Characters>11748</Characters>
  <TotalTime>0</TotalTime>
  <ScaleCrop>false</ScaleCrop>
  <LinksUpToDate>false</LinksUpToDate>
  <CharactersWithSpaces>12396</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2025-12-28T11:54:00Z</dcterms:created>
  <dc:creator>Apache POI</dc:creator>
  <cp:lastModifiedBy>一缕清风</cp:lastModifiedBy>
  <dcterms:modified xsi:type="dcterms:W3CDTF">2025-12-28T12:08:12Z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eyJoZGlkIjoiNjlhODQ4MjBkOGYwOTMwZGRjODFlOTQwYzQ3M2JiOWEiLCJ1c2VySWQiOiI1NzUzNjA1NDEifQ==</vt:lpwstr>
  </property>
  <property fmtid="{D5CDD505-2E9C-101B-9397-08002B2CF9AE}" pid="3" name="KSOProductBuildVer">
    <vt:lpwstr>2052-12.1.0.24034</vt:lpwstr>
  </property>
  <property fmtid="{D5CDD505-2E9C-101B-9397-08002B2CF9AE}" pid="4" name="ICV">
    <vt:lpwstr>EF092610C13B470DA4910C51A008BCDA_12</vt:lpwstr>
  </property>
</Properties>
</file>