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55825">
      <w:pPr>
        <w:spacing w:before="480" w:after="480" w:line="288" w:lineRule="auto"/>
        <w:ind w:left="0"/>
      </w:pPr>
      <w:r>
        <w:rPr>
          <w:rFonts w:ascii="Arial" w:hAnsi="Arial" w:eastAsia="等线" w:cs="Arial"/>
          <w:b/>
          <w:sz w:val="52"/>
        </w:rPr>
        <w:t>Chapter 9 Delivering Diversification with Packaged Securities</w:t>
      </w:r>
    </w:p>
    <w:p w14:paraId="3611E16C">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1A2439DE">
      <w:pPr>
        <w:spacing w:before="120" w:after="120" w:line="288" w:lineRule="auto"/>
        <w:ind w:left="0"/>
        <w:jc w:val="left"/>
      </w:pPr>
      <w:r>
        <w:rPr>
          <w:rFonts w:ascii="Arial" w:hAnsi="Arial" w:eastAsia="等线" w:cs="Arial"/>
          <w:sz w:val="22"/>
        </w:rPr>
        <w:t>通过打包证券实现多元化投资（Delivering Diversification with Packaged Securities）。</w:t>
      </w:r>
    </w:p>
    <w:p w14:paraId="6BD3F89A">
      <w:pPr>
        <w:spacing w:before="120" w:after="120" w:line="288" w:lineRule="auto"/>
        <w:ind w:left="0"/>
        <w:jc w:val="left"/>
      </w:pPr>
    </w:p>
    <w:p w14:paraId="776D6760">
      <w:pPr>
        <w:spacing w:before="120" w:after="120" w:line="288" w:lineRule="auto"/>
        <w:ind w:left="0"/>
        <w:jc w:val="left"/>
      </w:pPr>
      <w:r>
        <w:rPr>
          <w:rFonts w:ascii="Arial" w:hAnsi="Arial" w:eastAsia="等线" w:cs="Arial"/>
          <w:sz w:val="22"/>
        </w:rPr>
        <w:t>本文将系统介绍：</w:t>
      </w:r>
    </w:p>
    <w:p w14:paraId="0104A88E">
      <w:pPr>
        <w:numPr>
          <w:ilvl w:val="0"/>
          <w:numId w:val="1"/>
        </w:numPr>
        <w:spacing w:before="120" w:after="120" w:line="288" w:lineRule="auto"/>
        <w:ind w:left="0"/>
        <w:jc w:val="left"/>
      </w:pPr>
      <w:r>
        <w:rPr>
          <w:rFonts w:ascii="Arial" w:hAnsi="Arial" w:eastAsia="等线" w:cs="Arial"/>
          <w:sz w:val="22"/>
        </w:rPr>
        <w:t>投资公司（Investment Companies）、年金（Annuities）的核心分类、运作机制及关键规则，涵盖从注册要求到产品特性的全维度知识点。</w:t>
      </w:r>
    </w:p>
    <w:p w14:paraId="399085ED">
      <w:pPr>
        <w:numPr>
          <w:ilvl w:val="0"/>
          <w:numId w:val="2"/>
        </w:numPr>
        <w:spacing w:before="120" w:after="120" w:line="288" w:lineRule="auto"/>
        <w:ind w:left="0"/>
        <w:jc w:val="left"/>
      </w:pPr>
      <w:r>
        <w:rPr>
          <w:rFonts w:ascii="Arial" w:hAnsi="Arial" w:eastAsia="等线" w:cs="Arial"/>
          <w:sz w:val="22"/>
        </w:rPr>
        <w:t>各类产品的风险与收益特征、适用场景及考试高频考点。</w:t>
      </w:r>
    </w:p>
    <w:p w14:paraId="6B64CBAD">
      <w:pPr>
        <w:spacing w:before="120" w:after="120" w:line="288" w:lineRule="auto"/>
        <w:ind w:left="0"/>
        <w:jc w:val="left"/>
      </w:pPr>
    </w:p>
    <w:p w14:paraId="698B7F3A">
      <w:pPr>
        <w:spacing w:before="120" w:after="120" w:line="288" w:lineRule="auto"/>
        <w:ind w:left="0"/>
        <w:jc w:val="left"/>
      </w:pPr>
      <w:r>
        <w:rPr>
          <w:rFonts w:ascii="Arial" w:hAnsi="Arial" w:eastAsia="等线" w:cs="Arial"/>
          <w:sz w:val="22"/>
        </w:rPr>
        <w:t>文中穿插典型练习题，文末附参考答案，帮助巩固理解、适配考试题型。建议重点关注题目及解析中的英文表述，日常练习中培养英文题干的阅读与快速抓取关键信息的能力，为正式考试中的长文本阅读做好准备。</w:t>
      </w:r>
    </w:p>
    <w:p w14:paraId="59F490D9">
      <w:pPr>
        <w:spacing w:before="120" w:after="120" w:line="288" w:lineRule="auto"/>
        <w:ind w:left="0"/>
        <w:jc w:val="left"/>
      </w:pPr>
    </w:p>
    <w:p w14:paraId="130D06EA">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3339BA20">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投资公司注册</w:t>
      </w:r>
      <w:bookmarkEnd w:id="2"/>
    </w:p>
    <w:p w14:paraId="56865B74">
      <w:pPr>
        <w:spacing w:before="120" w:after="120" w:line="288" w:lineRule="auto"/>
        <w:ind w:left="0"/>
        <w:jc w:val="left"/>
      </w:pPr>
      <w:r>
        <w:rPr>
          <w:rFonts w:ascii="Arial" w:hAnsi="Arial" w:eastAsia="等线" w:cs="Arial"/>
          <w:sz w:val="22"/>
        </w:rPr>
        <w:t>根据《1940年投资公司法》（Investment Company Act of 1940），非豁免投资公司需向 SEC 注册，注册时需披露以下核心信息：</w:t>
      </w:r>
    </w:p>
    <w:p w14:paraId="487B0562">
      <w:pPr>
        <w:numPr>
          <w:ilvl w:val="0"/>
          <w:numId w:val="3"/>
        </w:numPr>
        <w:spacing w:before="120" w:after="120" w:line="288" w:lineRule="auto"/>
        <w:ind w:left="0"/>
        <w:jc w:val="left"/>
      </w:pPr>
      <w:r>
        <w:rPr>
          <w:rFonts w:ascii="Arial" w:hAnsi="Arial" w:eastAsia="等线" w:cs="Arial"/>
          <w:b/>
          <w:sz w:val="22"/>
        </w:rPr>
        <w:t>产品类型</w:t>
      </w:r>
      <w:r>
        <w:rPr>
          <w:rFonts w:ascii="Arial" w:hAnsi="Arial" w:eastAsia="等线" w:cs="Arial"/>
          <w:sz w:val="22"/>
        </w:rPr>
        <w:t>：明确是开放式基金（Open-end）还是封闭式基金（Closed-end）；</w:t>
      </w:r>
    </w:p>
    <w:p w14:paraId="57AA7072">
      <w:pPr>
        <w:numPr>
          <w:ilvl w:val="0"/>
          <w:numId w:val="4"/>
        </w:numPr>
        <w:spacing w:before="120" w:after="120" w:line="288" w:lineRule="auto"/>
        <w:ind w:left="0"/>
        <w:jc w:val="left"/>
      </w:pPr>
      <w:r>
        <w:rPr>
          <w:rFonts w:ascii="Arial" w:hAnsi="Arial" w:eastAsia="等线" w:cs="Arial"/>
          <w:b/>
          <w:sz w:val="22"/>
        </w:rPr>
        <w:t>关联方信息</w:t>
      </w:r>
      <w:r>
        <w:rPr>
          <w:rFonts w:ascii="Arial" w:hAnsi="Arial" w:eastAsia="等线" w:cs="Arial"/>
          <w:sz w:val="22"/>
        </w:rPr>
        <w:t>：关联人员的姓名与地址；</w:t>
      </w:r>
    </w:p>
    <w:p w14:paraId="73B01876">
      <w:pPr>
        <w:numPr>
          <w:ilvl w:val="0"/>
          <w:numId w:val="5"/>
        </w:numPr>
        <w:spacing w:before="120" w:after="120" w:line="288" w:lineRule="auto"/>
        <w:ind w:left="0"/>
        <w:jc w:val="left"/>
      </w:pPr>
      <w:r>
        <w:rPr>
          <w:rFonts w:ascii="Arial" w:hAnsi="Arial" w:eastAsia="等线" w:cs="Arial"/>
          <w:b/>
          <w:sz w:val="22"/>
        </w:rPr>
        <w:t>融资与投资计划</w:t>
      </w:r>
      <w:r>
        <w:rPr>
          <w:rFonts w:ascii="Arial" w:hAnsi="Arial" w:eastAsia="等线" w:cs="Arial"/>
          <w:sz w:val="22"/>
        </w:rPr>
        <w:t>：是否计划通过借款筹集资金，是否拟投资大宗商品或房地产；</w:t>
      </w:r>
    </w:p>
    <w:p w14:paraId="4A297339">
      <w:pPr>
        <w:numPr>
          <w:ilvl w:val="0"/>
          <w:numId w:val="6"/>
        </w:numPr>
        <w:spacing w:before="120" w:after="120" w:line="288" w:lineRule="auto"/>
        <w:ind w:left="0"/>
        <w:jc w:val="left"/>
      </w:pPr>
      <w:r>
        <w:rPr>
          <w:rFonts w:ascii="Arial" w:hAnsi="Arial" w:eastAsia="等线" w:cs="Arial"/>
          <w:b/>
          <w:sz w:val="22"/>
        </w:rPr>
        <w:t>投资策略</w:t>
      </w:r>
      <w:r>
        <w:rPr>
          <w:rFonts w:ascii="Arial" w:hAnsi="Arial" w:eastAsia="等线" w:cs="Arial"/>
          <w:sz w:val="22"/>
        </w:rPr>
        <w:t>：投资方向（如单一行业、多行业、债券等）及策略变更条件（如需股东投票通过）；</w:t>
      </w:r>
    </w:p>
    <w:p w14:paraId="3EF97399">
      <w:pPr>
        <w:numPr>
          <w:ilvl w:val="0"/>
          <w:numId w:val="7"/>
        </w:numPr>
        <w:spacing w:before="120" w:after="120" w:line="288" w:lineRule="auto"/>
        <w:ind w:left="0"/>
        <w:jc w:val="left"/>
      </w:pPr>
      <w:r>
        <w:rPr>
          <w:rFonts w:ascii="Arial" w:hAnsi="Arial" w:eastAsia="等线" w:cs="Arial"/>
          <w:b/>
          <w:sz w:val="22"/>
        </w:rPr>
        <w:t>管理层背景</w:t>
      </w:r>
      <w:r>
        <w:rPr>
          <w:rFonts w:ascii="Arial" w:hAnsi="Arial" w:eastAsia="等线" w:cs="Arial"/>
          <w:sz w:val="22"/>
        </w:rPr>
        <w:t>：董事及高管的从业经历。</w:t>
      </w:r>
    </w:p>
    <w:p w14:paraId="075A78D9">
      <w:pPr>
        <w:spacing w:before="320" w:after="120" w:line="288" w:lineRule="auto"/>
        <w:ind w:left="0"/>
        <w:jc w:val="left"/>
        <w:outlineLvl w:val="1"/>
      </w:pPr>
      <w:bookmarkStart w:id="3" w:name="heading_3"/>
      <w:r>
        <w:rPr>
          <w:rFonts w:ascii="Arial" w:hAnsi="Arial" w:eastAsia="等线" w:cs="Arial"/>
          <w:color w:val="3370FF"/>
          <w:sz w:val="32"/>
        </w:rPr>
        <w:t xml:space="preserve">2.2 </w:t>
      </w:r>
      <w:r>
        <w:rPr>
          <w:rFonts w:ascii="Arial" w:hAnsi="Arial" w:eastAsia="等线" w:cs="Arial"/>
          <w:b/>
          <w:sz w:val="32"/>
        </w:rPr>
        <w:t>打包证券（Packaged Securities）</w:t>
      </w:r>
      <w:bookmarkEnd w:id="3"/>
    </w:p>
    <w:p w14:paraId="15AB075B">
      <w:pPr>
        <w:spacing w:before="120" w:after="120" w:line="288" w:lineRule="auto"/>
        <w:ind w:left="0"/>
        <w:jc w:val="left"/>
      </w:pPr>
      <w:r>
        <w:rPr>
          <w:rFonts w:ascii="Arial" w:hAnsi="Arial" w:eastAsia="等线" w:cs="Arial"/>
          <w:b/>
          <w:sz w:val="22"/>
        </w:rPr>
        <w:t>打包证券（Packaged Securities）</w:t>
      </w:r>
      <w:r>
        <w:rPr>
          <w:rFonts w:ascii="Arial" w:hAnsi="Arial" w:eastAsia="等线" w:cs="Arial"/>
          <w:sz w:val="22"/>
        </w:rPr>
        <w:t>将“多种基础证券（如股票、债券）”组合成“单一投资产品”，为投资者提供“分散化投资”（尤其适合资金有限、无法单独购买多类证券的投资者），核心类别包括：</w:t>
      </w:r>
    </w:p>
    <w:p w14:paraId="45A56B6B">
      <w:pPr>
        <w:numPr>
          <w:ilvl w:val="0"/>
          <w:numId w:val="8"/>
        </w:numPr>
        <w:spacing w:before="120" w:after="120" w:line="288" w:lineRule="auto"/>
        <w:ind w:left="0"/>
        <w:jc w:val="left"/>
      </w:pPr>
      <w:r>
        <w:rPr>
          <w:rFonts w:ascii="Arial" w:hAnsi="Arial" w:eastAsia="等线" w:cs="Arial"/>
          <w:sz w:val="22"/>
        </w:rPr>
        <w:t>投资公司证券</w:t>
      </w:r>
    </w:p>
    <w:p w14:paraId="15F7E1E1">
      <w:pPr>
        <w:numPr>
          <w:ilvl w:val="0"/>
          <w:numId w:val="9"/>
        </w:numPr>
        <w:spacing w:before="120" w:after="120" w:line="288" w:lineRule="auto"/>
        <w:ind w:left="0"/>
        <w:jc w:val="left"/>
      </w:pPr>
      <w:r>
        <w:rPr>
          <w:rFonts w:ascii="Arial" w:hAnsi="Arial" w:eastAsia="等线" w:cs="Arial"/>
          <w:sz w:val="22"/>
        </w:rPr>
        <w:t>年金</w:t>
      </w:r>
    </w:p>
    <w:p w14:paraId="23C04DC3">
      <w:pPr>
        <w:numPr>
          <w:ilvl w:val="0"/>
          <w:numId w:val="10"/>
        </w:numPr>
        <w:spacing w:before="120" w:after="120" w:line="288" w:lineRule="auto"/>
        <w:ind w:left="0"/>
        <w:jc w:val="left"/>
      </w:pPr>
      <w:r>
        <w:rPr>
          <w:rFonts w:ascii="Arial" w:hAnsi="Arial" w:eastAsia="等线" w:cs="Arial"/>
          <w:sz w:val="22"/>
        </w:rPr>
        <w:t>可变寿险</w:t>
      </w:r>
    </w:p>
    <w:p w14:paraId="257FFCB7">
      <w:pPr>
        <w:spacing w:before="120" w:after="120" w:line="288" w:lineRule="auto"/>
        <w:ind w:left="0"/>
        <w:jc w:val="left"/>
      </w:pPr>
    </w:p>
    <w:p w14:paraId="10C0DA8B">
      <w:pPr>
        <w:spacing w:before="120" w:after="120" w:line="288" w:lineRule="auto"/>
        <w:ind w:left="0"/>
        <w:jc w:val="left"/>
      </w:pPr>
      <w:r>
        <w:rPr>
          <w:rFonts w:ascii="Arial" w:hAnsi="Arial" w:eastAsia="等线" w:cs="Arial"/>
          <w:b/>
          <w:sz w:val="22"/>
        </w:rPr>
        <w:t>监管依据</w:t>
      </w:r>
      <w:r>
        <w:rPr>
          <w:rFonts w:ascii="Arial" w:hAnsi="Arial" w:eastAsia="等线" w:cs="Arial"/>
          <w:sz w:val="22"/>
        </w:rPr>
        <w:t xml:space="preserve">：  </w:t>
      </w:r>
    </w:p>
    <w:p w14:paraId="6E7E00CB">
      <w:pPr>
        <w:numPr>
          <w:ilvl w:val="0"/>
          <w:numId w:val="11"/>
        </w:numPr>
        <w:spacing w:before="120" w:after="120" w:line="288" w:lineRule="auto"/>
        <w:ind w:left="0"/>
        <w:jc w:val="left"/>
      </w:pPr>
      <w:r>
        <w:rPr>
          <w:rFonts w:ascii="Arial" w:hAnsi="Arial" w:eastAsia="等线" w:cs="Arial"/>
          <w:sz w:val="22"/>
        </w:rPr>
        <w:t xml:space="preserve">投资公司受《1940年投资公司法》（Investment Company Act of 1940）监管，需向 SEC 注册，除非豁免（nonexempt）；  </w:t>
      </w:r>
    </w:p>
    <w:p w14:paraId="7A9A93EE">
      <w:pPr>
        <w:numPr>
          <w:ilvl w:val="0"/>
          <w:numId w:val="12"/>
        </w:numPr>
        <w:spacing w:before="120" w:after="120" w:line="288" w:lineRule="auto"/>
        <w:ind w:left="0"/>
        <w:jc w:val="left"/>
      </w:pPr>
      <w:r>
        <w:rPr>
          <w:rFonts w:ascii="Arial" w:hAnsi="Arial" w:eastAsia="等线" w:cs="Arial"/>
          <w:sz w:val="22"/>
        </w:rPr>
        <w:t xml:space="preserve">年金/可变寿险：受 SEC（证券属性）与州保险监管机构（保险属性）双重监管。 </w:t>
      </w:r>
    </w:p>
    <w:p w14:paraId="01644190">
      <w:pPr>
        <w:spacing w:before="120" w:after="120" w:line="288" w:lineRule="auto"/>
        <w:ind w:left="0"/>
        <w:jc w:val="left"/>
      </w:pPr>
    </w:p>
    <w:p w14:paraId="00EF3773">
      <w:pPr>
        <w:spacing w:before="320" w:after="120" w:line="288" w:lineRule="auto"/>
        <w:ind w:left="0"/>
        <w:jc w:val="left"/>
        <w:outlineLvl w:val="1"/>
      </w:pPr>
      <w:bookmarkStart w:id="4" w:name="heading_4"/>
      <w:r>
        <w:rPr>
          <w:rFonts w:ascii="Arial" w:hAnsi="Arial" w:eastAsia="等线" w:cs="Arial"/>
          <w:color w:val="3370FF"/>
          <w:sz w:val="32"/>
        </w:rPr>
        <w:t xml:space="preserve">2.3 </w:t>
      </w:r>
      <w:r>
        <w:rPr>
          <w:rFonts w:ascii="Arial" w:hAnsi="Arial" w:eastAsia="等线" w:cs="Arial"/>
          <w:b/>
          <w:sz w:val="32"/>
        </w:rPr>
        <w:t>管理型投资公司</w:t>
      </w:r>
      <w:bookmarkEnd w:id="4"/>
    </w:p>
    <w:p w14:paraId="3AA88FE7">
      <w:pPr>
        <w:spacing w:before="120" w:after="120" w:line="288" w:lineRule="auto"/>
        <w:ind w:left="0"/>
        <w:jc w:val="left"/>
      </w:pPr>
      <w:r>
        <w:rPr>
          <w:rFonts w:ascii="Arial" w:hAnsi="Arial" w:eastAsia="等线" w:cs="Arial"/>
          <w:sz w:val="22"/>
        </w:rPr>
        <w:t>管理型投资公司（Management Investment Companies）是最常见的投资公司类型，核心特征是由投资经理主动或被动管理证券组合，分为多元化（Diversified）和非多元化（Nondiversified）两类，关键区别在于资产配置的分散程度。</w:t>
      </w:r>
    </w:p>
    <w:p w14:paraId="49034A72">
      <w:pPr>
        <w:spacing w:before="120" w:after="120" w:line="288" w:lineRule="auto"/>
        <w:ind w:left="0"/>
        <w:jc w:val="left"/>
      </w:pPr>
    </w:p>
    <w:p w14:paraId="719CB5ED">
      <w:pPr>
        <w:spacing w:before="300" w:after="120" w:line="288" w:lineRule="auto"/>
        <w:ind w:left="0"/>
        <w:jc w:val="left"/>
        <w:outlineLvl w:val="2"/>
      </w:pPr>
      <w:bookmarkStart w:id="5" w:name="heading_5"/>
      <w:r>
        <w:rPr>
          <w:rFonts w:ascii="Arial" w:hAnsi="Arial" w:eastAsia="等线" w:cs="Arial"/>
          <w:color w:val="3370FF"/>
          <w:sz w:val="30"/>
        </w:rPr>
        <w:t xml:space="preserve">2.3.1 </w:t>
      </w:r>
      <w:r>
        <w:rPr>
          <w:rFonts w:ascii="Arial" w:hAnsi="Arial" w:eastAsia="等线" w:cs="Arial"/>
          <w:b/>
          <w:sz w:val="30"/>
        </w:rPr>
        <w:t>多元化认定标准（Diversification Requirements）</w:t>
      </w:r>
      <w:bookmarkEnd w:id="5"/>
    </w:p>
    <w:p w14:paraId="3F4F8B1F">
      <w:pPr>
        <w:spacing w:before="120" w:after="120" w:line="288" w:lineRule="auto"/>
        <w:ind w:left="0"/>
        <w:jc w:val="left"/>
      </w:pPr>
      <w:r>
        <w:rPr>
          <w:rFonts w:ascii="Arial" w:hAnsi="Arial" w:eastAsia="等线" w:cs="Arial"/>
          <w:sz w:val="22"/>
        </w:rPr>
        <w:t>需将至少 75% 的资产按以下规则分散配置：</w:t>
      </w:r>
    </w:p>
    <w:p w14:paraId="01843A6B">
      <w:pPr>
        <w:numPr>
          <w:ilvl w:val="0"/>
          <w:numId w:val="13"/>
        </w:numPr>
        <w:spacing w:before="120" w:after="120" w:line="288" w:lineRule="auto"/>
        <w:ind w:left="0"/>
        <w:jc w:val="left"/>
      </w:pPr>
      <w:r>
        <w:rPr>
          <w:rFonts w:ascii="Arial" w:hAnsi="Arial" w:eastAsia="等线" w:cs="Arial"/>
          <w:sz w:val="22"/>
        </w:rPr>
        <w:t>单个公司的持股比例不超过其流通股的10%；</w:t>
      </w:r>
    </w:p>
    <w:p w14:paraId="72417062">
      <w:pPr>
        <w:numPr>
          <w:ilvl w:val="0"/>
          <w:numId w:val="14"/>
        </w:numPr>
        <w:spacing w:before="120" w:after="120" w:line="288" w:lineRule="auto"/>
        <w:ind w:left="0"/>
        <w:jc w:val="left"/>
      </w:pPr>
      <w:r>
        <w:rPr>
          <w:rFonts w:ascii="Arial" w:hAnsi="Arial" w:eastAsia="等线" w:cs="Arial"/>
          <w:sz w:val="22"/>
        </w:rPr>
        <w:t>对单个公司的投资金额不超过投资公司“多元化资产部分”的5%（若因资产增值导致比例超过5%，无需减持，但不可新增投资）；</w:t>
      </w:r>
    </w:p>
    <w:p w14:paraId="46E2F01F">
      <w:pPr>
        <w:numPr>
          <w:ilvl w:val="0"/>
          <w:numId w:val="15"/>
        </w:numPr>
        <w:spacing w:before="120" w:after="120" w:line="288" w:lineRule="auto"/>
        <w:ind w:left="0"/>
        <w:jc w:val="left"/>
      </w:pPr>
      <w:r>
        <w:rPr>
          <w:rFonts w:ascii="Arial" w:hAnsi="Arial" w:eastAsia="等线" w:cs="Arial"/>
          <w:sz w:val="22"/>
        </w:rPr>
        <w:t>剩余25%资产可自由配置，无分散限制。</w:t>
      </w:r>
    </w:p>
    <w:p w14:paraId="0BA78753">
      <w:pPr>
        <w:spacing w:before="120" w:after="120" w:line="288" w:lineRule="auto"/>
        <w:ind w:left="0"/>
        <w:jc w:val="left"/>
      </w:pPr>
      <w:r>
        <w:rPr>
          <w:rFonts w:ascii="Arial" w:hAnsi="Arial" w:eastAsia="等线" w:cs="Arial"/>
          <w:b/>
          <w:sz w:val="22"/>
        </w:rPr>
        <w:t>注意</w:t>
      </w:r>
      <w:r>
        <w:rPr>
          <w:rFonts w:ascii="Arial" w:hAnsi="Arial" w:eastAsia="等线" w:cs="Arial"/>
          <w:sz w:val="22"/>
        </w:rPr>
        <w:t>：由于多元化部分仅涉及管理公司75%的资产，其余25%可按任意方式进行投资。管理公司是多元化还是非多元化的，这一点必须在招股说明书中注明。</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4B2DFAA">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3728053C">
            <w:pPr>
              <w:numPr>
                <w:ilvl w:val="0"/>
                <w:numId w:val="16"/>
              </w:numPr>
              <w:spacing w:before="120" w:after="120" w:line="288" w:lineRule="auto"/>
              <w:ind w:left="0"/>
              <w:jc w:val="left"/>
            </w:pPr>
            <w:r>
              <w:rPr>
                <w:rFonts w:ascii="Arial" w:hAnsi="Arial" w:eastAsia="等线" w:cs="Arial"/>
                <w:sz w:val="22"/>
              </w:rPr>
              <w:t>For an investment company to be considered diversified, what is the maximum percentage of</w:t>
            </w:r>
          </w:p>
          <w:p w14:paraId="36BFCA96">
            <w:pPr>
              <w:spacing w:before="120" w:after="120" w:line="288" w:lineRule="auto"/>
              <w:ind w:left="0"/>
              <w:jc w:val="left"/>
            </w:pPr>
            <w:r>
              <w:rPr>
                <w:rFonts w:ascii="Arial" w:hAnsi="Arial" w:eastAsia="等线" w:cs="Arial"/>
                <w:sz w:val="22"/>
              </w:rPr>
              <w:t>outstanding shares that the investment company can own of another company?</w:t>
            </w:r>
          </w:p>
          <w:p w14:paraId="4432E5B8">
            <w:pPr>
              <w:spacing w:before="120" w:after="120" w:line="288" w:lineRule="auto"/>
              <w:ind w:left="0"/>
              <w:jc w:val="left"/>
            </w:pPr>
            <w:r>
              <w:rPr>
                <w:rFonts w:ascii="Arial" w:hAnsi="Arial" w:eastAsia="等线" w:cs="Arial"/>
                <w:sz w:val="22"/>
              </w:rPr>
              <w:t>(A) 1 percent</w:t>
            </w:r>
          </w:p>
          <w:p w14:paraId="415E5407">
            <w:pPr>
              <w:spacing w:before="120" w:after="120" w:line="288" w:lineRule="auto"/>
              <w:ind w:left="0"/>
              <w:jc w:val="left"/>
            </w:pPr>
            <w:r>
              <w:rPr>
                <w:rFonts w:ascii="Arial" w:hAnsi="Arial" w:eastAsia="等线" w:cs="Arial"/>
                <w:sz w:val="22"/>
              </w:rPr>
              <w:t>(B) 5 percent</w:t>
            </w:r>
          </w:p>
          <w:p w14:paraId="37E403D0">
            <w:pPr>
              <w:spacing w:before="120" w:after="120" w:line="288" w:lineRule="auto"/>
              <w:ind w:left="0"/>
              <w:jc w:val="left"/>
            </w:pPr>
            <w:r>
              <w:rPr>
                <w:rFonts w:ascii="Arial" w:hAnsi="Arial" w:eastAsia="等线" w:cs="Arial"/>
                <w:sz w:val="22"/>
              </w:rPr>
              <w:t>(C) 10 percent</w:t>
            </w:r>
          </w:p>
          <w:p w14:paraId="4C0EA9D3">
            <w:pPr>
              <w:spacing w:before="120" w:after="120" w:line="288" w:lineRule="auto"/>
              <w:ind w:left="0"/>
              <w:jc w:val="left"/>
            </w:pPr>
            <w:r>
              <w:rPr>
                <w:rFonts w:ascii="Arial" w:hAnsi="Arial" w:eastAsia="等线" w:cs="Arial"/>
                <w:sz w:val="22"/>
              </w:rPr>
              <w:t>(D) 15 percent</w:t>
            </w:r>
          </w:p>
        </w:tc>
      </w:tr>
    </w:tbl>
    <w:p w14:paraId="7F0943F6">
      <w:pPr>
        <w:spacing w:before="120" w:after="120" w:line="288" w:lineRule="auto"/>
        <w:ind w:left="0"/>
        <w:jc w:val="left"/>
      </w:pPr>
    </w:p>
    <w:p w14:paraId="0FAFD3A1">
      <w:pPr>
        <w:spacing w:before="300" w:after="120" w:line="288" w:lineRule="auto"/>
        <w:ind w:left="0"/>
        <w:jc w:val="left"/>
        <w:outlineLvl w:val="2"/>
      </w:pPr>
      <w:bookmarkStart w:id="6" w:name="heading_6"/>
      <w:r>
        <w:rPr>
          <w:rFonts w:ascii="Arial" w:hAnsi="Arial" w:eastAsia="等线" w:cs="Arial"/>
          <w:color w:val="3370FF"/>
          <w:sz w:val="30"/>
        </w:rPr>
        <w:t xml:space="preserve">2.3.2 </w:t>
      </w:r>
      <w:r>
        <w:rPr>
          <w:rFonts w:ascii="Arial" w:hAnsi="Arial" w:eastAsia="等线" w:cs="Arial"/>
          <w:b/>
          <w:sz w:val="30"/>
        </w:rPr>
        <w:t>开放式基金（Open-end Funds）</w:t>
      </w:r>
      <w:bookmarkEnd w:id="6"/>
    </w:p>
    <w:p w14:paraId="004EF7BE">
      <w:pPr>
        <w:spacing w:before="120" w:after="120" w:line="288" w:lineRule="auto"/>
        <w:ind w:left="0"/>
        <w:jc w:val="left"/>
      </w:pPr>
      <w:r>
        <w:rPr>
          <w:rFonts w:ascii="Arial" w:hAnsi="Arial" w:eastAsia="等线" w:cs="Arial"/>
          <w:sz w:val="22"/>
        </w:rPr>
        <w:t>开放式基金又称共同基金（Mutual Funds）。</w:t>
      </w:r>
    </w:p>
    <w:p w14:paraId="76F87E5B">
      <w:pPr>
        <w:spacing w:before="120" w:after="120" w:line="288" w:lineRule="auto"/>
        <w:ind w:left="0"/>
        <w:jc w:val="left"/>
      </w:pPr>
    </w:p>
    <w:p w14:paraId="66EB1741">
      <w:pPr>
        <w:spacing w:before="120" w:after="120" w:line="288" w:lineRule="auto"/>
        <w:ind w:left="0"/>
        <w:jc w:val="left"/>
      </w:pPr>
      <w:r>
        <w:rPr>
          <w:rFonts w:ascii="Arial" w:hAnsi="Arial" w:eastAsia="等线" w:cs="Arial"/>
          <w:b/>
          <w:sz w:val="22"/>
        </w:rPr>
        <w:t>核心特征</w:t>
      </w:r>
      <w:r>
        <w:rPr>
          <w:rFonts w:ascii="Arial" w:hAnsi="Arial" w:eastAsia="等线" w:cs="Arial"/>
          <w:sz w:val="22"/>
        </w:rPr>
        <w:t>：持续发行与赎回份额，无固定发行规模，故名开放式基金。投资者需通过基金公司（而非二级市场）申购/赎回（purchase/redeem）。</w:t>
      </w:r>
    </w:p>
    <w:p w14:paraId="0FE01167">
      <w:pPr>
        <w:spacing w:before="120" w:after="120" w:line="288" w:lineRule="auto"/>
        <w:ind w:left="0"/>
        <w:jc w:val="left"/>
      </w:pPr>
    </w:p>
    <w:p w14:paraId="27F282D7">
      <w:pPr>
        <w:spacing w:before="120" w:after="120" w:line="288" w:lineRule="auto"/>
        <w:ind w:left="0"/>
        <w:jc w:val="left"/>
      </w:pPr>
      <w:r>
        <w:rPr>
          <w:rFonts w:ascii="Arial" w:hAnsi="Arial" w:eastAsia="等线" w:cs="Arial"/>
          <w:b/>
          <w:sz w:val="22"/>
        </w:rPr>
        <w:t>净值（NAV，Net Asset Value）</w:t>
      </w:r>
      <w:r>
        <w:rPr>
          <w:rFonts w:ascii="Arial" w:hAnsi="Arial" w:eastAsia="等线" w:cs="Arial"/>
          <w:sz w:val="22"/>
        </w:rPr>
        <w:t>为“基金资产总值-负债”。“净值÷流通份额总数”是投资者赎回份额价格（Redemption Price）。</w:t>
      </w:r>
    </w:p>
    <w:p w14:paraId="1C4C7879">
      <w:pPr>
        <w:spacing w:before="120" w:after="120" w:line="288" w:lineRule="auto"/>
        <w:ind w:left="0"/>
        <w:jc w:val="left"/>
      </w:pPr>
    </w:p>
    <w:p w14:paraId="3B53F587">
      <w:pPr>
        <w:spacing w:before="120" w:after="120" w:line="288" w:lineRule="auto"/>
        <w:ind w:left="0"/>
        <w:jc w:val="left"/>
      </w:pPr>
      <w:r>
        <w:rPr>
          <w:rFonts w:ascii="Arial" w:hAnsi="Arial" w:eastAsia="等线" w:cs="Arial"/>
          <w:sz w:val="22"/>
        </w:rPr>
        <w:t>开放式基金份额的赎回遵循远期定价（Forward Pricing）原则，赎回时按下一个计算日的 NAV 执行。</w:t>
      </w:r>
    </w:p>
    <w:p w14:paraId="7D20EAF9">
      <w:pPr>
        <w:spacing w:before="120" w:after="120" w:line="288" w:lineRule="auto"/>
        <w:ind w:left="0"/>
        <w:jc w:val="left"/>
      </w:pPr>
    </w:p>
    <w:p w14:paraId="00E5D5D7">
      <w:pPr>
        <w:spacing w:before="120" w:after="120" w:line="288" w:lineRule="auto"/>
        <w:ind w:left="0"/>
        <w:jc w:val="left"/>
      </w:pPr>
      <w:r>
        <w:rPr>
          <w:rFonts w:ascii="Arial" w:hAnsi="Arial" w:eastAsia="等线" w:cs="Arial"/>
          <w:b/>
          <w:sz w:val="22"/>
        </w:rPr>
        <w:t>公开发行价（POP，Public Offering Price）</w:t>
      </w:r>
      <w:r>
        <w:rPr>
          <w:rFonts w:ascii="Arial" w:hAnsi="Arial" w:eastAsia="等线" w:cs="Arial"/>
          <w:sz w:val="22"/>
        </w:rPr>
        <w:t>：NAV 加上销售费用（Sales Charge），若不收取销售费用则为免佣基金（No-load Fund）。</w:t>
      </w:r>
    </w:p>
    <w:p w14:paraId="162361B4">
      <w:pPr>
        <w:spacing w:before="120" w:after="120" w:line="288" w:lineRule="auto"/>
        <w:ind w:left="0"/>
        <w:jc w:val="left"/>
      </w:pPr>
    </w:p>
    <w:p w14:paraId="585659D3">
      <w:pPr>
        <w:spacing w:before="120" w:after="120" w:line="288" w:lineRule="auto"/>
        <w:ind w:left="0"/>
        <w:jc w:val="left"/>
      </w:pPr>
      <w:r>
        <w:rPr>
          <w:rFonts w:ascii="Arial" w:hAnsi="Arial" w:eastAsia="等线" w:cs="Arial"/>
          <w:b/>
          <w:sz w:val="22"/>
        </w:rPr>
        <w:t>法定招募说明书（Statutory Prospectus）</w:t>
      </w:r>
      <w:r>
        <w:rPr>
          <w:rFonts w:ascii="Arial" w:hAnsi="Arial" w:eastAsia="等线" w:cs="Arial"/>
          <w:sz w:val="22"/>
        </w:rPr>
        <w:t>：因开放式基金是“持续发行的新证券”，招募说明书必须始终可供投资者获取，内容需包含持仓、投资策略、费用、业绩图表等，且需披露“SEC未批准该产品”（免责声明）。</w:t>
      </w:r>
    </w:p>
    <w:p w14:paraId="469BD561">
      <w:pPr>
        <w:spacing w:before="120" w:after="120" w:line="288" w:lineRule="auto"/>
        <w:ind w:left="0"/>
        <w:jc w:val="left"/>
      </w:pPr>
    </w:p>
    <w:p w14:paraId="520C788C">
      <w:pPr>
        <w:spacing w:before="120" w:after="120" w:line="288" w:lineRule="auto"/>
        <w:ind w:left="0"/>
        <w:jc w:val="left"/>
      </w:pPr>
      <w:r>
        <w:rPr>
          <w:rFonts w:ascii="Arial" w:hAnsi="Arial" w:eastAsia="等线" w:cs="Arial"/>
          <w:sz w:val="22"/>
        </w:rPr>
        <w:t>简易招募说明书（Summary Prospectus）：需包含基金名称、代码、投资策略、费用、风险、业绩等核心信息，投资者可凭此申购，但若需详细信息，需提供法定招募说明书。</w:t>
      </w:r>
    </w:p>
    <w:p w14:paraId="5F6234C9">
      <w:pPr>
        <w:spacing w:before="120" w:after="120" w:line="288" w:lineRule="auto"/>
        <w:ind w:left="0"/>
        <w:jc w:val="left"/>
      </w:pPr>
    </w:p>
    <w:p w14:paraId="7DA40112">
      <w:pPr>
        <w:spacing w:before="300" w:after="120" w:line="288" w:lineRule="auto"/>
        <w:ind w:left="0"/>
        <w:jc w:val="left"/>
        <w:outlineLvl w:val="2"/>
      </w:pPr>
      <w:bookmarkStart w:id="7" w:name="heading_7"/>
      <w:r>
        <w:rPr>
          <w:rFonts w:ascii="Arial" w:hAnsi="Arial" w:eastAsia="等线" w:cs="Arial"/>
          <w:color w:val="3370FF"/>
          <w:sz w:val="30"/>
        </w:rPr>
        <w:t xml:space="preserve">2.3.3 </w:t>
      </w:r>
      <w:r>
        <w:rPr>
          <w:rFonts w:ascii="Arial" w:hAnsi="Arial" w:eastAsia="等线" w:cs="Arial"/>
          <w:b/>
          <w:sz w:val="30"/>
        </w:rPr>
        <w:t>封闭式基金（Closed-end Funds）</w:t>
      </w:r>
      <w:bookmarkEnd w:id="7"/>
    </w:p>
    <w:p w14:paraId="471EE103">
      <w:pPr>
        <w:spacing w:before="120" w:after="120" w:line="288" w:lineRule="auto"/>
        <w:ind w:left="0"/>
        <w:jc w:val="left"/>
      </w:pPr>
      <w:r>
        <w:rPr>
          <w:rFonts w:ascii="Arial" w:hAnsi="Arial" w:eastAsia="等线" w:cs="Arial"/>
          <w:b/>
          <w:sz w:val="22"/>
        </w:rPr>
        <w:t>核心特征</w:t>
      </w:r>
      <w:r>
        <w:rPr>
          <w:rFonts w:ascii="Arial" w:hAnsi="Arial" w:eastAsia="等线" w:cs="Arial"/>
          <w:sz w:val="22"/>
        </w:rPr>
        <w:t>：仅一次性发行固定数量的份额，存续期内规模固定，故名封闭式基金。发行后份额在二级市场（交易所或 OTC 市场）交易，不通过基金公司申购赎回，类似普通股。</w:t>
      </w:r>
    </w:p>
    <w:p w14:paraId="66659F1A">
      <w:pPr>
        <w:spacing w:before="120" w:after="120" w:line="288" w:lineRule="auto"/>
        <w:ind w:left="0"/>
        <w:jc w:val="left"/>
      </w:pPr>
    </w:p>
    <w:p w14:paraId="1152A1E7">
      <w:pPr>
        <w:spacing w:before="120" w:after="120" w:line="288" w:lineRule="auto"/>
        <w:ind w:left="0"/>
        <w:jc w:val="left"/>
      </w:pPr>
      <w:r>
        <w:rPr>
          <w:rFonts w:ascii="Arial" w:hAnsi="Arial" w:eastAsia="等线" w:cs="Arial"/>
          <w:b/>
          <w:sz w:val="22"/>
        </w:rPr>
        <w:t>资产净值（NAV）</w:t>
      </w:r>
      <w:r>
        <w:rPr>
          <w:rFonts w:ascii="Arial" w:hAnsi="Arial" w:eastAsia="等线" w:cs="Arial"/>
          <w:sz w:val="22"/>
        </w:rPr>
        <w:t>：计算方式与开放式基金一致，但市场价格受供需关系影响，可能高于 NAV（溢价，Premium）或低于 NAV（折价，Discount）。</w:t>
      </w:r>
    </w:p>
    <w:p w14:paraId="0CDEDEA9">
      <w:pPr>
        <w:spacing w:before="120" w:after="120" w:line="288" w:lineRule="auto"/>
        <w:ind w:left="0"/>
        <w:jc w:val="left"/>
      </w:pPr>
    </w:p>
    <w:p w14:paraId="25784EB1">
      <w:pPr>
        <w:spacing w:before="120" w:after="120" w:line="288" w:lineRule="auto"/>
        <w:ind w:left="0"/>
        <w:jc w:val="left"/>
      </w:pPr>
      <w:r>
        <w:rPr>
          <w:rFonts w:ascii="Arial" w:hAnsi="Arial" w:eastAsia="等线" w:cs="Arial"/>
          <w:b/>
          <w:sz w:val="22"/>
        </w:rPr>
        <w:t>公开发行价（POP，Public offering price）</w:t>
      </w:r>
      <w:r>
        <w:rPr>
          <w:rFonts w:ascii="Arial" w:hAnsi="Arial" w:eastAsia="等线" w:cs="Arial"/>
          <w:sz w:val="22"/>
        </w:rPr>
        <w:t>：对于封闭式基金而言，首次公开募股（IPO）后，公开发行价格（卖价）不仅取决于资产净值（NAV），还取决于供求关系。封闭式基金的投资者在代理交易中需支付公开发行价格（当前市场价格）加上经纪人佣金（broker’s commission）。</w:t>
      </w:r>
    </w:p>
    <w:p w14:paraId="730EF773">
      <w:pPr>
        <w:spacing w:before="120" w:after="120" w:line="288" w:lineRule="auto"/>
        <w:ind w:left="0"/>
        <w:jc w:val="left"/>
      </w:pPr>
    </w:p>
    <w:p w14:paraId="362DF576">
      <w:pPr>
        <w:spacing w:before="120" w:after="120" w:line="288" w:lineRule="auto"/>
        <w:ind w:left="0"/>
        <w:jc w:val="left"/>
      </w:pPr>
      <w:r>
        <w:rPr>
          <w:rFonts w:ascii="Arial" w:hAnsi="Arial" w:eastAsia="等线" w:cs="Arial"/>
          <w:b/>
          <w:sz w:val="22"/>
        </w:rPr>
        <w:t>发行类型</w:t>
      </w:r>
      <w:r>
        <w:rPr>
          <w:rFonts w:ascii="Arial" w:hAnsi="Arial" w:eastAsia="等线" w:cs="Arial"/>
          <w:sz w:val="22"/>
        </w:rPr>
        <w:t>：可发行普通股、优先股及债券，而开放式基金仅能发行普通股。</w:t>
      </w:r>
    </w:p>
    <w:p w14:paraId="61BF522C">
      <w:pPr>
        <w:spacing w:before="120" w:after="120" w:line="288" w:lineRule="auto"/>
        <w:ind w:left="0"/>
        <w:jc w:val="left"/>
      </w:pPr>
    </w:p>
    <w:p w14:paraId="549ACC31">
      <w:pPr>
        <w:spacing w:before="300" w:after="120" w:line="288" w:lineRule="auto"/>
        <w:ind w:left="0"/>
        <w:jc w:val="left"/>
        <w:outlineLvl w:val="2"/>
      </w:pPr>
      <w:bookmarkStart w:id="8" w:name="heading_8"/>
      <w:r>
        <w:rPr>
          <w:rFonts w:ascii="Arial" w:hAnsi="Arial" w:eastAsia="等线" w:cs="Arial"/>
          <w:color w:val="3370FF"/>
          <w:sz w:val="30"/>
        </w:rPr>
        <w:t xml:space="preserve">2.3.4 </w:t>
      </w:r>
      <w:r>
        <w:rPr>
          <w:rFonts w:ascii="Arial" w:hAnsi="Arial" w:eastAsia="等线" w:cs="Arial"/>
          <w:b/>
          <w:sz w:val="30"/>
        </w:rPr>
        <w:t>开放式与封闭式基金对比（高频考点）</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25"/>
        <w:gridCol w:w="3135"/>
        <w:gridCol w:w="3420"/>
      </w:tblGrid>
      <w:tr w14:paraId="792996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6A52ADCD">
            <w:pPr>
              <w:spacing w:before="120" w:after="120" w:line="288" w:lineRule="auto"/>
              <w:ind w:left="0"/>
              <w:jc w:val="left"/>
            </w:pPr>
            <w:r>
              <w:rPr>
                <w:rFonts w:ascii="Arial" w:hAnsi="Arial" w:eastAsia="等线" w:cs="Arial"/>
                <w:b/>
                <w:sz w:val="22"/>
              </w:rPr>
              <w:t>对比维度</w:t>
            </w:r>
          </w:p>
        </w:tc>
        <w:tc>
          <w:tcPr>
            <w:tcW w:w="3135" w:type="dxa"/>
            <w:tcMar>
              <w:top w:w="60" w:type="dxa"/>
              <w:left w:w="120" w:type="dxa"/>
              <w:bottom w:w="30" w:type="dxa"/>
              <w:right w:w="120" w:type="dxa"/>
            </w:tcMar>
          </w:tcPr>
          <w:p w14:paraId="5EE1D2AE">
            <w:pPr>
              <w:spacing w:before="120" w:after="120" w:line="288" w:lineRule="auto"/>
              <w:ind w:left="0"/>
              <w:jc w:val="left"/>
            </w:pPr>
            <w:r>
              <w:rPr>
                <w:rFonts w:ascii="Arial" w:hAnsi="Arial" w:eastAsia="等线" w:cs="Arial"/>
                <w:b/>
                <w:sz w:val="22"/>
              </w:rPr>
              <w:t>封闭式基金（Closed-end）</w:t>
            </w:r>
          </w:p>
        </w:tc>
        <w:tc>
          <w:tcPr>
            <w:tcW w:w="3420" w:type="dxa"/>
            <w:tcMar>
              <w:top w:w="60" w:type="dxa"/>
              <w:left w:w="120" w:type="dxa"/>
              <w:bottom w:w="30" w:type="dxa"/>
              <w:right w:w="120" w:type="dxa"/>
            </w:tcMar>
          </w:tcPr>
          <w:p w14:paraId="697963D3">
            <w:pPr>
              <w:spacing w:before="120" w:after="120" w:line="288" w:lineRule="auto"/>
              <w:ind w:left="0"/>
              <w:jc w:val="left"/>
            </w:pPr>
            <w:r>
              <w:rPr>
                <w:rFonts w:ascii="Arial" w:hAnsi="Arial" w:eastAsia="等线" w:cs="Arial"/>
                <w:b/>
                <w:sz w:val="22"/>
              </w:rPr>
              <w:t>开放式基金（Open-end/Mutual Fund）</w:t>
            </w:r>
          </w:p>
        </w:tc>
      </w:tr>
      <w:tr w14:paraId="2BC4DB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70DFF596">
            <w:pPr>
              <w:spacing w:before="120" w:after="120" w:line="288" w:lineRule="auto"/>
              <w:ind w:left="0"/>
              <w:jc w:val="left"/>
            </w:pPr>
            <w:r>
              <w:rPr>
                <w:rFonts w:ascii="Arial" w:hAnsi="Arial" w:eastAsia="等线" w:cs="Arial"/>
                <w:b/>
                <w:sz w:val="22"/>
              </w:rPr>
              <w:t>融资规模</w:t>
            </w:r>
          </w:p>
        </w:tc>
        <w:tc>
          <w:tcPr>
            <w:tcW w:w="3135" w:type="dxa"/>
            <w:tcMar>
              <w:top w:w="60" w:type="dxa"/>
              <w:left w:w="120" w:type="dxa"/>
              <w:bottom w:w="30" w:type="dxa"/>
              <w:right w:w="120" w:type="dxa"/>
            </w:tcMar>
          </w:tcPr>
          <w:p w14:paraId="719E9123">
            <w:pPr>
              <w:spacing w:before="120" w:after="120" w:line="288" w:lineRule="auto"/>
              <w:ind w:left="0"/>
              <w:jc w:val="left"/>
            </w:pPr>
            <w:r>
              <w:rPr>
                <w:rFonts w:ascii="Arial" w:hAnsi="Arial" w:eastAsia="等线" w:cs="Arial"/>
                <w:sz w:val="22"/>
              </w:rPr>
              <w:t>一次性发行，固定份额总数</w:t>
            </w:r>
          </w:p>
        </w:tc>
        <w:tc>
          <w:tcPr>
            <w:tcW w:w="3420" w:type="dxa"/>
            <w:tcMar>
              <w:top w:w="60" w:type="dxa"/>
              <w:left w:w="120" w:type="dxa"/>
              <w:bottom w:w="30" w:type="dxa"/>
              <w:right w:w="120" w:type="dxa"/>
            </w:tcMar>
          </w:tcPr>
          <w:p w14:paraId="6C5116A9">
            <w:pPr>
              <w:spacing w:before="120" w:after="120" w:line="288" w:lineRule="auto"/>
              <w:ind w:left="0"/>
              <w:jc w:val="left"/>
            </w:pPr>
            <w:r>
              <w:rPr>
                <w:rFonts w:ascii="Arial" w:hAnsi="Arial" w:eastAsia="等线" w:cs="Arial"/>
                <w:sz w:val="22"/>
              </w:rPr>
              <w:t>持续发行，无固定份额上限</w:t>
            </w:r>
          </w:p>
        </w:tc>
      </w:tr>
      <w:tr w14:paraId="05EC0D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52F9C11F">
            <w:pPr>
              <w:spacing w:before="120" w:after="120" w:line="288" w:lineRule="auto"/>
              <w:ind w:left="0"/>
              <w:jc w:val="left"/>
            </w:pPr>
            <w:r>
              <w:rPr>
                <w:rFonts w:ascii="Arial" w:hAnsi="Arial" w:eastAsia="等线" w:cs="Arial"/>
                <w:b/>
                <w:sz w:val="22"/>
              </w:rPr>
              <w:t>定价机制</w:t>
            </w:r>
          </w:p>
        </w:tc>
        <w:tc>
          <w:tcPr>
            <w:tcW w:w="3135" w:type="dxa"/>
            <w:tcMar>
              <w:top w:w="60" w:type="dxa"/>
              <w:left w:w="120" w:type="dxa"/>
              <w:bottom w:w="30" w:type="dxa"/>
              <w:right w:w="120" w:type="dxa"/>
            </w:tcMar>
          </w:tcPr>
          <w:p w14:paraId="619DA116">
            <w:pPr>
              <w:spacing w:before="120" w:after="120" w:line="288" w:lineRule="auto"/>
              <w:ind w:left="0"/>
              <w:jc w:val="left"/>
            </w:pPr>
            <w:r>
              <w:rPr>
                <w:rFonts w:ascii="Arial" w:hAnsi="Arial" w:eastAsia="等线" w:cs="Arial"/>
                <w:sz w:val="22"/>
              </w:rPr>
              <w:t>二级市场供需决定（可能溢价/折价），需支付经纪佣金</w:t>
            </w:r>
          </w:p>
        </w:tc>
        <w:tc>
          <w:tcPr>
            <w:tcW w:w="3420" w:type="dxa"/>
            <w:tcMar>
              <w:top w:w="60" w:type="dxa"/>
              <w:left w:w="120" w:type="dxa"/>
              <w:bottom w:w="30" w:type="dxa"/>
              <w:right w:w="120" w:type="dxa"/>
            </w:tcMar>
          </w:tcPr>
          <w:p w14:paraId="7279025F">
            <w:pPr>
              <w:spacing w:before="120" w:after="120" w:line="288" w:lineRule="auto"/>
              <w:ind w:left="0"/>
              <w:jc w:val="left"/>
            </w:pPr>
            <w:r>
              <w:rPr>
                <w:rFonts w:ascii="Arial" w:hAnsi="Arial" w:eastAsia="等线" w:cs="Arial"/>
                <w:sz w:val="22"/>
              </w:rPr>
              <w:t>按NAV申购（POP=NAV+销售费）、按NAV赎回</w:t>
            </w:r>
          </w:p>
        </w:tc>
      </w:tr>
      <w:tr w14:paraId="718228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29C3C6D1">
            <w:pPr>
              <w:spacing w:before="120" w:after="120" w:line="288" w:lineRule="auto"/>
              <w:ind w:left="0"/>
              <w:jc w:val="left"/>
            </w:pPr>
            <w:r>
              <w:rPr>
                <w:rFonts w:ascii="Arial" w:hAnsi="Arial" w:eastAsia="等线" w:cs="Arial"/>
                <w:b/>
                <w:sz w:val="22"/>
              </w:rPr>
              <w:t>发行证券类型</w:t>
            </w:r>
          </w:p>
        </w:tc>
        <w:tc>
          <w:tcPr>
            <w:tcW w:w="3135" w:type="dxa"/>
            <w:tcMar>
              <w:top w:w="60" w:type="dxa"/>
              <w:left w:w="120" w:type="dxa"/>
              <w:bottom w:w="30" w:type="dxa"/>
              <w:right w:w="120" w:type="dxa"/>
            </w:tcMar>
          </w:tcPr>
          <w:p w14:paraId="4227DF8B">
            <w:pPr>
              <w:spacing w:before="120" w:after="120" w:line="288" w:lineRule="auto"/>
              <w:ind w:left="0"/>
              <w:jc w:val="left"/>
            </w:pPr>
            <w:r>
              <w:rPr>
                <w:rFonts w:ascii="Arial" w:hAnsi="Arial" w:eastAsia="等线" w:cs="Arial"/>
                <w:sz w:val="22"/>
              </w:rPr>
              <w:t>普通股、优先股、债券</w:t>
            </w:r>
          </w:p>
        </w:tc>
        <w:tc>
          <w:tcPr>
            <w:tcW w:w="3420" w:type="dxa"/>
            <w:tcMar>
              <w:top w:w="60" w:type="dxa"/>
              <w:left w:w="120" w:type="dxa"/>
              <w:bottom w:w="30" w:type="dxa"/>
              <w:right w:w="120" w:type="dxa"/>
            </w:tcMar>
          </w:tcPr>
          <w:p w14:paraId="4733BD6B">
            <w:pPr>
              <w:spacing w:before="120" w:after="120" w:line="288" w:lineRule="auto"/>
              <w:ind w:left="0"/>
              <w:jc w:val="left"/>
            </w:pPr>
            <w:r>
              <w:rPr>
                <w:rFonts w:ascii="Arial" w:hAnsi="Arial" w:eastAsia="等线" w:cs="Arial"/>
                <w:sz w:val="22"/>
              </w:rPr>
              <w:t>仅普通股</w:t>
            </w:r>
          </w:p>
        </w:tc>
      </w:tr>
      <w:tr w14:paraId="661C77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7340E0FE">
            <w:pPr>
              <w:spacing w:before="120" w:after="120" w:line="288" w:lineRule="auto"/>
              <w:ind w:left="0"/>
              <w:jc w:val="left"/>
            </w:pPr>
            <w:r>
              <w:rPr>
                <w:rFonts w:ascii="Arial" w:hAnsi="Arial" w:eastAsia="等线" w:cs="Arial"/>
                <w:b/>
                <w:sz w:val="22"/>
              </w:rPr>
              <w:t>份额交易方式</w:t>
            </w:r>
          </w:p>
        </w:tc>
        <w:tc>
          <w:tcPr>
            <w:tcW w:w="3135" w:type="dxa"/>
            <w:tcMar>
              <w:top w:w="60" w:type="dxa"/>
              <w:left w:w="120" w:type="dxa"/>
              <w:bottom w:w="30" w:type="dxa"/>
              <w:right w:w="120" w:type="dxa"/>
            </w:tcMar>
          </w:tcPr>
          <w:p w14:paraId="5B90ABD6">
            <w:pPr>
              <w:spacing w:before="120" w:after="120" w:line="288" w:lineRule="auto"/>
              <w:ind w:left="0"/>
              <w:jc w:val="left"/>
            </w:pPr>
            <w:r>
              <w:rPr>
                <w:rFonts w:ascii="Arial" w:hAnsi="Arial" w:eastAsia="等线" w:cs="Arial"/>
                <w:sz w:val="22"/>
              </w:rPr>
              <w:t>发行后在交易所/OTC交易，不赎回</w:t>
            </w:r>
          </w:p>
        </w:tc>
        <w:tc>
          <w:tcPr>
            <w:tcW w:w="3420" w:type="dxa"/>
            <w:tcMar>
              <w:top w:w="60" w:type="dxa"/>
              <w:left w:w="120" w:type="dxa"/>
              <w:bottom w:w="30" w:type="dxa"/>
              <w:right w:w="120" w:type="dxa"/>
            </w:tcMar>
          </w:tcPr>
          <w:p w14:paraId="49832441">
            <w:pPr>
              <w:spacing w:before="120" w:after="120" w:line="288" w:lineRule="auto"/>
              <w:ind w:left="0"/>
              <w:jc w:val="left"/>
            </w:pPr>
            <w:r>
              <w:rPr>
                <w:rFonts w:ascii="Arial" w:hAnsi="Arial" w:eastAsia="等线" w:cs="Arial"/>
                <w:sz w:val="22"/>
              </w:rPr>
              <w:t>仅通过基金公司申购/赎回</w:t>
            </w:r>
          </w:p>
        </w:tc>
      </w:tr>
      <w:tr w14:paraId="299DDD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tcPr>
          <w:p w14:paraId="7649873A">
            <w:pPr>
              <w:spacing w:before="120" w:after="120" w:line="288" w:lineRule="auto"/>
              <w:ind w:left="0"/>
              <w:jc w:val="left"/>
            </w:pPr>
            <w:r>
              <w:rPr>
                <w:rFonts w:ascii="Arial" w:hAnsi="Arial" w:eastAsia="等线" w:cs="Arial"/>
                <w:b/>
                <w:sz w:val="22"/>
              </w:rPr>
              <w:t>份额单位</w:t>
            </w:r>
          </w:p>
        </w:tc>
        <w:tc>
          <w:tcPr>
            <w:tcW w:w="3135" w:type="dxa"/>
            <w:tcMar>
              <w:top w:w="60" w:type="dxa"/>
              <w:left w:w="120" w:type="dxa"/>
              <w:bottom w:w="30" w:type="dxa"/>
              <w:right w:w="120" w:type="dxa"/>
            </w:tcMar>
          </w:tcPr>
          <w:p w14:paraId="0A7CD177">
            <w:pPr>
              <w:spacing w:before="120" w:after="120" w:line="288" w:lineRule="auto"/>
              <w:ind w:left="0"/>
              <w:jc w:val="left"/>
            </w:pPr>
            <w:r>
              <w:rPr>
                <w:rFonts w:ascii="Arial" w:hAnsi="Arial" w:eastAsia="等线" w:cs="Arial"/>
                <w:sz w:val="22"/>
              </w:rPr>
              <w:t>仅可整份购买</w:t>
            </w:r>
          </w:p>
        </w:tc>
        <w:tc>
          <w:tcPr>
            <w:tcW w:w="3420" w:type="dxa"/>
            <w:tcMar>
              <w:top w:w="60" w:type="dxa"/>
              <w:left w:w="120" w:type="dxa"/>
              <w:bottom w:w="30" w:type="dxa"/>
              <w:right w:w="120" w:type="dxa"/>
            </w:tcMar>
          </w:tcPr>
          <w:p w14:paraId="262C57D5">
            <w:pPr>
              <w:spacing w:before="120" w:after="120" w:line="288" w:lineRule="auto"/>
              <w:ind w:left="0"/>
              <w:jc w:val="left"/>
            </w:pPr>
            <w:r>
              <w:rPr>
                <w:rFonts w:ascii="Arial" w:hAnsi="Arial" w:eastAsia="等线" w:cs="Arial"/>
                <w:sz w:val="22"/>
              </w:rPr>
              <w:t>可整份或零散购买（最多保留3位小数）</w:t>
            </w:r>
          </w:p>
        </w:tc>
      </w:tr>
    </w:tbl>
    <w:p w14:paraId="6CCFADB7"/>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4996A20">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02BC7A5">
            <w:pPr>
              <w:spacing w:before="120" w:after="120" w:line="288" w:lineRule="auto"/>
              <w:ind w:left="0"/>
              <w:jc w:val="left"/>
            </w:pPr>
            <w:r>
              <w:rPr>
                <w:rFonts w:ascii="Arial" w:hAnsi="Arial" w:eastAsia="等线" w:cs="Arial"/>
                <w:sz w:val="22"/>
              </w:rPr>
              <w:t>小贴士：</w:t>
            </w:r>
            <w:r>
              <w:rPr>
                <w:rFonts w:ascii="Arial" w:hAnsi="Arial" w:eastAsia="等线" w:cs="Arial"/>
                <w:b/>
                <w:sz w:val="22"/>
              </w:rPr>
              <w:t>关于赎回的两个关键知识点</w:t>
            </w:r>
          </w:p>
          <w:p w14:paraId="3375B021">
            <w:pPr>
              <w:numPr>
                <w:ilvl w:val="0"/>
                <w:numId w:val="17"/>
              </w:numPr>
              <w:spacing w:before="120" w:after="120" w:line="288" w:lineRule="auto"/>
              <w:ind w:left="0"/>
              <w:jc w:val="left"/>
            </w:pPr>
            <w:r>
              <w:rPr>
                <w:rFonts w:ascii="Arial" w:hAnsi="Arial" w:eastAsia="等线" w:cs="Arial"/>
                <w:sz w:val="22"/>
              </w:rPr>
              <w:t>赎回完成时限 ——7 个自然日（非工作日）</w:t>
            </w:r>
          </w:p>
          <w:p w14:paraId="25821E53">
            <w:pPr>
              <w:spacing w:before="120" w:after="120" w:line="288" w:lineRule="auto"/>
              <w:ind w:left="0"/>
              <w:jc w:val="left"/>
            </w:pPr>
            <w:r>
              <w:rPr>
                <w:rFonts w:ascii="Arial" w:hAnsi="Arial" w:eastAsia="等线" w:cs="Arial"/>
                <w:sz w:val="22"/>
              </w:rPr>
              <w:t>赎回申请提交后，需在7 个自然日（含周末、节假日） 内完成（资金到账 / 份额注销）</w:t>
            </w:r>
          </w:p>
          <w:p w14:paraId="75AF1531">
            <w:pPr>
              <w:numPr>
                <w:ilvl w:val="0"/>
                <w:numId w:val="18"/>
              </w:numPr>
              <w:spacing w:before="120" w:after="120" w:line="288" w:lineRule="auto"/>
              <w:ind w:left="0"/>
              <w:jc w:val="left"/>
            </w:pPr>
            <w:r>
              <w:rPr>
                <w:rFonts w:ascii="Arial" w:hAnsi="Arial" w:eastAsia="等线" w:cs="Arial"/>
                <w:sz w:val="22"/>
              </w:rPr>
              <w:t>赎回价值计算 —— 远期定价（Forward Pricing）</w:t>
            </w:r>
          </w:p>
          <w:p w14:paraId="279B8A05">
            <w:pPr>
              <w:spacing w:before="120" w:after="120" w:line="288" w:lineRule="auto"/>
              <w:ind w:left="0"/>
              <w:jc w:val="left"/>
            </w:pPr>
            <w:r>
              <w:rPr>
                <w:rFonts w:ascii="Arial" w:hAnsi="Arial" w:eastAsia="等线" w:cs="Arial"/>
                <w:sz w:val="22"/>
              </w:rPr>
              <w:t>赎回价值按 “订单接收后计算的 NAV” 确定 —— 当日 NAV 在收盘后核算，同一交易日所有赎回用同一个 NAV，确保公平；该机制即远期定价。</w:t>
            </w:r>
          </w:p>
        </w:tc>
      </w:tr>
    </w:tbl>
    <w:p w14:paraId="3A8E2199">
      <w:pPr>
        <w:spacing w:before="120" w:after="120" w:line="288" w:lineRule="auto"/>
        <w:ind w:left="0"/>
        <w:jc w:val="left"/>
      </w:pPr>
    </w:p>
    <w:tbl>
      <w:tblPr>
        <w:tblStyle w:val="2"/>
        <w:tblW w:w="0" w:type="auto"/>
        <w:tblInd w:w="0" w:type="dxa"/>
        <w:tblBorders>
          <w:top w:val="single" w:color="B7EDB1" w:sz="0" w:space="0"/>
          <w:left w:val="single" w:color="B7EDB1" w:sz="0" w:space="0"/>
          <w:bottom w:val="single" w:color="B7EDB1" w:sz="0" w:space="0"/>
          <w:right w:val="single" w:color="B7EDB1" w:sz="0" w:space="0"/>
          <w:insideH w:val="single" w:color="B7EDB1" w:sz="0" w:space="0"/>
          <w:insideV w:val="single" w:color="B7EDB1" w:sz="0" w:space="0"/>
        </w:tblBorders>
        <w:tblLayout w:type="fixed"/>
        <w:tblCellMar>
          <w:top w:w="0" w:type="dxa"/>
          <w:left w:w="10" w:type="dxa"/>
          <w:bottom w:w="0" w:type="dxa"/>
          <w:right w:w="10" w:type="dxa"/>
        </w:tblCellMar>
      </w:tblPr>
      <w:tblGrid>
        <w:gridCol w:w="8280"/>
      </w:tblGrid>
      <w:tr w14:paraId="0ADC62A8">
        <w:tblPrEx>
          <w:tblBorders>
            <w:top w:val="single" w:color="B7EDB1" w:sz="0" w:space="0"/>
            <w:left w:val="single" w:color="B7EDB1" w:sz="0" w:space="0"/>
            <w:bottom w:val="single" w:color="B7EDB1" w:sz="0" w:space="0"/>
            <w:right w:val="single" w:color="B7EDB1" w:sz="0" w:space="0"/>
            <w:insideH w:val="single" w:color="B7EDB1" w:sz="0" w:space="0"/>
            <w:insideV w:val="single" w:color="B7EDB1"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19E4A17C">
            <w:pPr>
              <w:numPr>
                <w:ilvl w:val="0"/>
                <w:numId w:val="19"/>
              </w:numPr>
              <w:spacing w:before="120" w:after="120" w:line="288" w:lineRule="auto"/>
              <w:ind w:left="0"/>
              <w:jc w:val="left"/>
            </w:pPr>
            <w:r>
              <w:rPr>
                <w:rFonts w:ascii="Arial" w:hAnsi="Arial" w:eastAsia="等线" w:cs="Arial"/>
                <w:sz w:val="22"/>
              </w:rPr>
              <w:t>Which of the following is TRUE of mutual funds?</w:t>
            </w:r>
          </w:p>
          <w:p w14:paraId="3A5DECB7">
            <w:pPr>
              <w:spacing w:before="120" w:after="120" w:line="288" w:lineRule="auto"/>
              <w:ind w:left="0"/>
              <w:jc w:val="left"/>
            </w:pPr>
            <w:r>
              <w:rPr>
                <w:rFonts w:ascii="Arial" w:hAnsi="Arial" w:eastAsia="等线" w:cs="Arial"/>
                <w:sz w:val="22"/>
              </w:rPr>
              <w:t>I. They are a one-time offering of new securities.</w:t>
            </w:r>
          </w:p>
          <w:p w14:paraId="40ACDFD3">
            <w:pPr>
              <w:spacing w:before="120" w:after="120" w:line="288" w:lineRule="auto"/>
              <w:ind w:left="0"/>
              <w:jc w:val="left"/>
            </w:pPr>
            <w:r>
              <w:rPr>
                <w:rFonts w:ascii="Arial" w:hAnsi="Arial" w:eastAsia="等线" w:cs="Arial"/>
                <w:sz w:val="22"/>
              </w:rPr>
              <w:t>II. The issuer continuously offers new shares.</w:t>
            </w:r>
          </w:p>
          <w:p w14:paraId="39137A5F">
            <w:pPr>
              <w:spacing w:before="120" w:after="120" w:line="288" w:lineRule="auto"/>
              <w:ind w:left="0"/>
              <w:jc w:val="left"/>
            </w:pPr>
            <w:r>
              <w:rPr>
                <w:rFonts w:ascii="Arial" w:hAnsi="Arial" w:eastAsia="等线" w:cs="Arial"/>
                <w:sz w:val="22"/>
              </w:rPr>
              <w:t>III. Shares must be sold in the market.</w:t>
            </w:r>
          </w:p>
          <w:p w14:paraId="4B629292">
            <w:pPr>
              <w:spacing w:before="120" w:after="120" w:line="288" w:lineRule="auto"/>
              <w:ind w:left="0"/>
              <w:jc w:val="left"/>
            </w:pPr>
            <w:r>
              <w:rPr>
                <w:rFonts w:ascii="Arial" w:hAnsi="Arial" w:eastAsia="等线" w:cs="Arial"/>
                <w:sz w:val="22"/>
              </w:rPr>
              <w:t>IV. Shares are redeemed by the issuer.</w:t>
            </w:r>
          </w:p>
          <w:p w14:paraId="436898CA">
            <w:pPr>
              <w:spacing w:before="120" w:after="120" w:line="288" w:lineRule="auto"/>
              <w:ind w:left="0"/>
              <w:jc w:val="left"/>
            </w:pPr>
            <w:r>
              <w:rPr>
                <w:rFonts w:ascii="Arial" w:hAnsi="Arial" w:eastAsia="等线" w:cs="Arial"/>
                <w:sz w:val="22"/>
              </w:rPr>
              <w:t>(A) I and III</w:t>
            </w:r>
          </w:p>
          <w:p w14:paraId="68749B85">
            <w:pPr>
              <w:spacing w:before="120" w:after="120" w:line="288" w:lineRule="auto"/>
              <w:ind w:left="0"/>
              <w:jc w:val="left"/>
            </w:pPr>
            <w:r>
              <w:rPr>
                <w:rFonts w:ascii="Arial" w:hAnsi="Arial" w:eastAsia="等线" w:cs="Arial"/>
                <w:sz w:val="22"/>
              </w:rPr>
              <w:t>(B) I and IV</w:t>
            </w:r>
          </w:p>
          <w:p w14:paraId="7CAB0401">
            <w:pPr>
              <w:spacing w:before="120" w:after="120" w:line="288" w:lineRule="auto"/>
              <w:ind w:left="0"/>
              <w:jc w:val="left"/>
            </w:pPr>
            <w:r>
              <w:rPr>
                <w:rFonts w:ascii="Arial" w:hAnsi="Arial" w:eastAsia="等线" w:cs="Arial"/>
                <w:sz w:val="22"/>
              </w:rPr>
              <w:t>(C) II and III</w:t>
            </w:r>
          </w:p>
          <w:p w14:paraId="247A9DB2">
            <w:pPr>
              <w:spacing w:before="120" w:after="120" w:line="288" w:lineRule="auto"/>
              <w:ind w:left="0"/>
              <w:jc w:val="left"/>
            </w:pPr>
            <w:r>
              <w:rPr>
                <w:rFonts w:ascii="Arial" w:hAnsi="Arial" w:eastAsia="等线" w:cs="Arial"/>
                <w:sz w:val="22"/>
              </w:rPr>
              <w:t>(D) II and IV</w:t>
            </w:r>
          </w:p>
        </w:tc>
      </w:tr>
    </w:tbl>
    <w:p w14:paraId="7BD6EA5E">
      <w:pPr>
        <w:spacing w:before="120" w:after="120" w:line="288" w:lineRule="auto"/>
        <w:ind w:left="0"/>
        <w:jc w:val="left"/>
      </w:pPr>
    </w:p>
    <w:p w14:paraId="0A1A9870">
      <w:pPr>
        <w:spacing w:before="300" w:after="120" w:line="288" w:lineRule="auto"/>
        <w:ind w:left="0"/>
        <w:jc w:val="left"/>
        <w:outlineLvl w:val="2"/>
      </w:pPr>
      <w:bookmarkStart w:id="9" w:name="heading_9"/>
      <w:r>
        <w:rPr>
          <w:rFonts w:ascii="Arial" w:hAnsi="Arial" w:eastAsia="等线" w:cs="Arial"/>
          <w:color w:val="3370FF"/>
          <w:sz w:val="30"/>
        </w:rPr>
        <w:t xml:space="preserve">2.3.5 </w:t>
      </w:r>
      <w:r>
        <w:rPr>
          <w:rFonts w:ascii="Arial" w:hAnsi="Arial" w:eastAsia="等线" w:cs="Arial"/>
          <w:b/>
          <w:sz w:val="30"/>
        </w:rPr>
        <w:t>基金分类（按投资目标划分，高频考点）</w:t>
      </w:r>
      <w:bookmarkEnd w:id="9"/>
    </w:p>
    <w:p w14:paraId="1F422CC1">
      <w:pPr>
        <w:spacing w:before="120" w:after="120" w:line="288" w:lineRule="auto"/>
        <w:ind w:left="0"/>
        <w:jc w:val="left"/>
      </w:pPr>
      <w:r>
        <w:rPr>
          <w:rFonts w:ascii="Arial" w:hAnsi="Arial" w:eastAsia="等线" w:cs="Arial"/>
          <w:sz w:val="22"/>
        </w:rPr>
        <w:t>需结合投资者风险偏好与目标匹配产品，考试常考“产品特性与投资者适配性”：</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20"/>
        <w:gridCol w:w="1395"/>
        <w:gridCol w:w="2190"/>
        <w:gridCol w:w="1395"/>
        <w:gridCol w:w="585"/>
        <w:gridCol w:w="1395"/>
      </w:tblGrid>
      <w:tr w14:paraId="3116B4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7654D136">
            <w:pPr>
              <w:spacing w:before="120" w:after="120" w:line="288" w:lineRule="auto"/>
              <w:ind w:left="0"/>
              <w:jc w:val="left"/>
            </w:pPr>
            <w:r>
              <w:rPr>
                <w:rFonts w:ascii="Arial" w:hAnsi="Arial" w:eastAsia="等线" w:cs="Arial"/>
                <w:b/>
                <w:sz w:val="22"/>
              </w:rPr>
              <w:t>基金类型</w:t>
            </w:r>
          </w:p>
        </w:tc>
        <w:tc>
          <w:tcPr>
            <w:tcW w:w="1395" w:type="dxa"/>
            <w:tcMar>
              <w:top w:w="60" w:type="dxa"/>
              <w:left w:w="120" w:type="dxa"/>
              <w:bottom w:w="30" w:type="dxa"/>
              <w:right w:w="120" w:type="dxa"/>
            </w:tcMar>
          </w:tcPr>
          <w:p w14:paraId="3647594B">
            <w:pPr>
              <w:spacing w:before="120" w:after="120" w:line="288" w:lineRule="auto"/>
              <w:ind w:left="0"/>
              <w:jc w:val="left"/>
            </w:pPr>
            <w:r>
              <w:rPr>
                <w:rFonts w:ascii="Arial" w:hAnsi="Arial" w:eastAsia="等线" w:cs="Arial"/>
                <w:b/>
                <w:sz w:val="22"/>
              </w:rPr>
              <w:t>简介</w:t>
            </w:r>
          </w:p>
        </w:tc>
        <w:tc>
          <w:tcPr>
            <w:tcW w:w="2190" w:type="dxa"/>
            <w:tcMar>
              <w:top w:w="60" w:type="dxa"/>
              <w:left w:w="120" w:type="dxa"/>
              <w:bottom w:w="30" w:type="dxa"/>
              <w:right w:w="120" w:type="dxa"/>
            </w:tcMar>
          </w:tcPr>
          <w:p w14:paraId="0DB9D236">
            <w:pPr>
              <w:spacing w:before="120" w:after="120" w:line="288" w:lineRule="auto"/>
              <w:ind w:left="0"/>
              <w:jc w:val="left"/>
            </w:pPr>
            <w:r>
              <w:rPr>
                <w:rFonts w:ascii="Arial" w:hAnsi="Arial" w:eastAsia="等线" w:cs="Arial"/>
                <w:b/>
                <w:sz w:val="22"/>
              </w:rPr>
              <w:t>特点</w:t>
            </w:r>
          </w:p>
        </w:tc>
        <w:tc>
          <w:tcPr>
            <w:tcW w:w="1395" w:type="dxa"/>
            <w:tcMar>
              <w:top w:w="60" w:type="dxa"/>
              <w:left w:w="120" w:type="dxa"/>
              <w:bottom w:w="30" w:type="dxa"/>
              <w:right w:w="120" w:type="dxa"/>
            </w:tcMar>
          </w:tcPr>
          <w:p w14:paraId="638036A6">
            <w:pPr>
              <w:spacing w:before="120" w:after="120" w:line="288" w:lineRule="auto"/>
              <w:ind w:left="0"/>
              <w:jc w:val="left"/>
            </w:pPr>
            <w:r>
              <w:rPr>
                <w:rFonts w:ascii="Arial" w:hAnsi="Arial" w:eastAsia="等线" w:cs="Arial"/>
                <w:b/>
                <w:sz w:val="22"/>
              </w:rPr>
              <w:t>投资标的</w:t>
            </w:r>
          </w:p>
        </w:tc>
        <w:tc>
          <w:tcPr>
            <w:tcW w:w="585" w:type="dxa"/>
            <w:tcMar>
              <w:top w:w="60" w:type="dxa"/>
              <w:left w:w="120" w:type="dxa"/>
              <w:bottom w:w="30" w:type="dxa"/>
              <w:right w:w="120" w:type="dxa"/>
            </w:tcMar>
          </w:tcPr>
          <w:p w14:paraId="55830B85">
            <w:pPr>
              <w:spacing w:before="120" w:after="120" w:line="288" w:lineRule="auto"/>
              <w:ind w:left="0"/>
              <w:jc w:val="left"/>
            </w:pPr>
            <w:r>
              <w:rPr>
                <w:rFonts w:ascii="Arial" w:hAnsi="Arial" w:eastAsia="等线" w:cs="Arial"/>
                <w:b/>
                <w:sz w:val="22"/>
              </w:rPr>
              <w:t>风险等级</w:t>
            </w:r>
          </w:p>
        </w:tc>
        <w:tc>
          <w:tcPr>
            <w:tcW w:w="1395" w:type="dxa"/>
            <w:tcMar>
              <w:top w:w="60" w:type="dxa"/>
              <w:left w:w="120" w:type="dxa"/>
              <w:bottom w:w="30" w:type="dxa"/>
              <w:right w:w="120" w:type="dxa"/>
            </w:tcMar>
          </w:tcPr>
          <w:p w14:paraId="42FB49FE">
            <w:pPr>
              <w:spacing w:before="120" w:after="120" w:line="288" w:lineRule="auto"/>
              <w:ind w:left="0"/>
              <w:jc w:val="left"/>
            </w:pPr>
            <w:r>
              <w:rPr>
                <w:rFonts w:ascii="Arial" w:hAnsi="Arial" w:eastAsia="等线" w:cs="Arial"/>
                <w:b/>
                <w:sz w:val="22"/>
              </w:rPr>
              <w:t>适用投资者</w:t>
            </w:r>
          </w:p>
        </w:tc>
      </w:tr>
      <w:tr w14:paraId="41C7DC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43298D08">
            <w:pPr>
              <w:spacing w:before="120" w:after="120" w:line="288" w:lineRule="auto"/>
              <w:ind w:left="0"/>
              <w:jc w:val="left"/>
            </w:pPr>
            <w:r>
              <w:rPr>
                <w:rFonts w:ascii="Arial" w:hAnsi="Arial" w:eastAsia="等线" w:cs="Arial"/>
                <w:sz w:val="22"/>
              </w:rPr>
              <w:t>货币市场基金（Money Market Fund）</w:t>
            </w:r>
          </w:p>
        </w:tc>
        <w:tc>
          <w:tcPr>
            <w:tcW w:w="1395" w:type="dxa"/>
            <w:tcMar>
              <w:top w:w="60" w:type="dxa"/>
              <w:left w:w="120" w:type="dxa"/>
              <w:bottom w:w="30" w:type="dxa"/>
              <w:right w:w="120" w:type="dxa"/>
            </w:tcMar>
          </w:tcPr>
          <w:p w14:paraId="238E55B7">
            <w:pPr>
              <w:spacing w:before="120" w:after="120" w:line="288" w:lineRule="auto"/>
              <w:ind w:left="0"/>
              <w:jc w:val="left"/>
            </w:pPr>
            <w:r>
              <w:rPr>
                <w:rFonts w:ascii="Arial" w:hAnsi="Arial" w:eastAsia="等线" w:cs="Arial"/>
                <w:sz w:val="22"/>
              </w:rPr>
              <w:t>投资于货币市场工具（短期债务证券）。</w:t>
            </w:r>
          </w:p>
          <w:p w14:paraId="57533A82">
            <w:pPr>
              <w:spacing w:before="120" w:after="120" w:line="288" w:lineRule="auto"/>
              <w:ind w:left="0"/>
              <w:jc w:val="left"/>
            </w:pPr>
          </w:p>
        </w:tc>
        <w:tc>
          <w:tcPr>
            <w:tcW w:w="2190" w:type="dxa"/>
            <w:tcMar>
              <w:top w:w="60" w:type="dxa"/>
              <w:left w:w="120" w:type="dxa"/>
              <w:bottom w:w="30" w:type="dxa"/>
              <w:right w:w="120" w:type="dxa"/>
            </w:tcMar>
          </w:tcPr>
          <w:p w14:paraId="4232B73F">
            <w:pPr>
              <w:numPr>
                <w:ilvl w:val="0"/>
                <w:numId w:val="20"/>
              </w:numPr>
              <w:spacing w:before="120" w:after="120" w:line="288" w:lineRule="auto"/>
              <w:ind w:left="0"/>
              <w:jc w:val="left"/>
            </w:pPr>
            <w:r>
              <w:rPr>
                <w:rFonts w:ascii="Arial" w:hAnsi="Arial" w:eastAsia="等线" w:cs="Arial"/>
                <w:sz w:val="22"/>
              </w:rPr>
              <w:t>通常提供支票书写功能（check-writing feature ）会给你一本支票簿，作为赎回股份的一种方式。</w:t>
            </w:r>
          </w:p>
          <w:p w14:paraId="2D06D4FD">
            <w:pPr>
              <w:numPr>
                <w:ilvl w:val="0"/>
                <w:numId w:val="21"/>
              </w:numPr>
              <w:spacing w:before="120" w:after="120" w:line="288" w:lineRule="auto"/>
              <w:ind w:left="0"/>
              <w:jc w:val="left"/>
            </w:pPr>
            <w:r>
              <w:rPr>
                <w:rFonts w:ascii="Arial" w:hAnsi="Arial" w:eastAsia="等线" w:cs="Arial"/>
                <w:sz w:val="22"/>
              </w:rPr>
              <w:t>始终免佣（no load），没有销售费用。</w:t>
            </w:r>
          </w:p>
          <w:p w14:paraId="61376141">
            <w:pPr>
              <w:numPr>
                <w:ilvl w:val="0"/>
                <w:numId w:val="22"/>
              </w:numPr>
              <w:spacing w:before="120" w:after="120" w:line="288" w:lineRule="auto"/>
              <w:ind w:left="0"/>
              <w:jc w:val="left"/>
            </w:pPr>
            <w:r>
              <w:rPr>
                <w:rFonts w:ascii="Arial" w:hAnsi="Arial" w:eastAsia="等线" w:cs="Arial"/>
                <w:sz w:val="22"/>
              </w:rPr>
              <w:t>它每日计算股息，并按月计入账户（ computes dividends daily and credits them monthly）。</w:t>
            </w:r>
          </w:p>
          <w:p w14:paraId="0A0CFB8D">
            <w:pPr>
              <w:numPr>
                <w:ilvl w:val="0"/>
                <w:numId w:val="23"/>
              </w:numPr>
              <w:spacing w:before="120" w:after="120" w:line="288" w:lineRule="auto"/>
              <w:ind w:left="0"/>
              <w:jc w:val="left"/>
            </w:pPr>
            <w:r>
              <w:rPr>
                <w:rFonts w:ascii="Arial" w:hAnsi="Arial" w:eastAsia="等线" w:cs="Arial"/>
                <w:sz w:val="22"/>
              </w:rPr>
              <w:t>提前赎回不收取罚金（no penalty for early redemption）。</w:t>
            </w:r>
          </w:p>
        </w:tc>
        <w:tc>
          <w:tcPr>
            <w:tcW w:w="1395" w:type="dxa"/>
            <w:tcMar>
              <w:top w:w="60" w:type="dxa"/>
              <w:left w:w="120" w:type="dxa"/>
              <w:bottom w:w="30" w:type="dxa"/>
              <w:right w:w="120" w:type="dxa"/>
            </w:tcMar>
          </w:tcPr>
          <w:p w14:paraId="5C045567">
            <w:pPr>
              <w:spacing w:before="120" w:after="120" w:line="288" w:lineRule="auto"/>
              <w:ind w:left="0"/>
              <w:jc w:val="left"/>
            </w:pPr>
            <w:r>
              <w:rPr>
                <w:rFonts w:ascii="Arial" w:hAnsi="Arial" w:eastAsia="等线" w:cs="Arial"/>
                <w:sz w:val="22"/>
              </w:rPr>
              <w:t>货币市场工具（如T-bills、商业票据等）</w:t>
            </w:r>
          </w:p>
          <w:p w14:paraId="542BB555">
            <w:pPr>
              <w:spacing w:before="120" w:after="120" w:line="288" w:lineRule="auto"/>
              <w:ind w:left="0"/>
              <w:jc w:val="left"/>
            </w:pPr>
          </w:p>
        </w:tc>
        <w:tc>
          <w:tcPr>
            <w:tcW w:w="585" w:type="dxa"/>
            <w:tcMar>
              <w:top w:w="60" w:type="dxa"/>
              <w:left w:w="120" w:type="dxa"/>
              <w:bottom w:w="30" w:type="dxa"/>
              <w:right w:w="120" w:type="dxa"/>
            </w:tcMar>
          </w:tcPr>
          <w:p w14:paraId="5A0A7485">
            <w:pPr>
              <w:spacing w:before="120" w:after="120" w:line="288" w:lineRule="auto"/>
              <w:ind w:left="0"/>
              <w:jc w:val="left"/>
            </w:pPr>
            <w:r>
              <w:rPr>
                <w:rFonts w:ascii="Arial" w:hAnsi="Arial" w:eastAsia="等线" w:cs="Arial"/>
                <w:sz w:val="22"/>
              </w:rPr>
              <w:t>最低</w:t>
            </w:r>
          </w:p>
        </w:tc>
        <w:tc>
          <w:tcPr>
            <w:tcW w:w="1395" w:type="dxa"/>
            <w:tcMar>
              <w:top w:w="60" w:type="dxa"/>
              <w:left w:w="120" w:type="dxa"/>
              <w:bottom w:w="30" w:type="dxa"/>
              <w:right w:w="120" w:type="dxa"/>
            </w:tcMar>
          </w:tcPr>
          <w:p w14:paraId="57A69965">
            <w:pPr>
              <w:spacing w:before="120" w:after="120" w:line="288" w:lineRule="auto"/>
              <w:ind w:left="0"/>
              <w:jc w:val="left"/>
            </w:pPr>
            <w:r>
              <w:rPr>
                <w:rFonts w:ascii="Arial" w:hAnsi="Arial" w:eastAsia="等线" w:cs="Arial"/>
                <w:sz w:val="22"/>
              </w:rPr>
              <w:t>短期闲置资金、追求保本的保守型投资者</w:t>
            </w:r>
          </w:p>
        </w:tc>
      </w:tr>
      <w:tr w14:paraId="743DFF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5E2EA117">
            <w:pPr>
              <w:spacing w:before="120" w:after="120" w:line="288" w:lineRule="auto"/>
              <w:ind w:left="0"/>
              <w:jc w:val="left"/>
            </w:pPr>
            <w:r>
              <w:rPr>
                <w:rFonts w:ascii="Arial" w:hAnsi="Arial" w:eastAsia="等线" w:cs="Arial"/>
                <w:sz w:val="22"/>
              </w:rPr>
              <w:t>收益型基金（Income Fund）</w:t>
            </w:r>
          </w:p>
        </w:tc>
        <w:tc>
          <w:tcPr>
            <w:tcW w:w="1395" w:type="dxa"/>
            <w:tcMar>
              <w:top w:w="60" w:type="dxa"/>
              <w:left w:w="120" w:type="dxa"/>
              <w:bottom w:w="30" w:type="dxa"/>
              <w:right w:w="120" w:type="dxa"/>
            </w:tcMar>
          </w:tcPr>
          <w:p w14:paraId="4765C415">
            <w:pPr>
              <w:spacing w:before="120" w:after="120" w:line="288" w:lineRule="auto"/>
              <w:ind w:left="0"/>
              <w:jc w:val="left"/>
            </w:pPr>
            <w:r>
              <w:rPr>
                <w:rFonts w:ascii="Arial" w:hAnsi="Arial" w:eastAsia="等线" w:cs="Arial"/>
                <w:sz w:val="22"/>
              </w:rPr>
              <w:t>主要目标是为投资者提供当期收入（current income）而非增长（not growth）。这类基金将其大部分资产投资于多元化的投资组合，包括（a）支付利息的债务证券以及（b）已知会持续支付现金股息的公司的优先股和普通股。</w:t>
            </w:r>
          </w:p>
        </w:tc>
        <w:tc>
          <w:tcPr>
            <w:tcW w:w="2190" w:type="dxa"/>
            <w:tcMar>
              <w:top w:w="60" w:type="dxa"/>
              <w:left w:w="120" w:type="dxa"/>
              <w:bottom w:w="30" w:type="dxa"/>
              <w:right w:w="120" w:type="dxa"/>
            </w:tcMar>
          </w:tcPr>
          <w:p w14:paraId="16F7DE3F">
            <w:pPr>
              <w:spacing w:before="120" w:after="120" w:line="288" w:lineRule="auto"/>
              <w:ind w:left="0"/>
              <w:jc w:val="left"/>
            </w:pPr>
            <w:r>
              <w:rPr>
                <w:rFonts w:ascii="Arial" w:hAnsi="Arial" w:eastAsia="等线" w:cs="Arial"/>
                <w:sz w:val="22"/>
              </w:rPr>
              <w:t>稳定现金流（而非增长）</w:t>
            </w:r>
          </w:p>
        </w:tc>
        <w:tc>
          <w:tcPr>
            <w:tcW w:w="1395" w:type="dxa"/>
            <w:tcMar>
              <w:top w:w="60" w:type="dxa"/>
              <w:left w:w="120" w:type="dxa"/>
              <w:bottom w:w="30" w:type="dxa"/>
              <w:right w:w="120" w:type="dxa"/>
            </w:tcMar>
          </w:tcPr>
          <w:p w14:paraId="52453B6E">
            <w:pPr>
              <w:spacing w:before="120" w:after="120" w:line="288" w:lineRule="auto"/>
              <w:ind w:left="0"/>
              <w:jc w:val="left"/>
            </w:pPr>
            <w:r>
              <w:rPr>
                <w:rFonts w:ascii="Arial" w:hAnsi="Arial" w:eastAsia="等线" w:cs="Arial"/>
                <w:sz w:val="22"/>
              </w:rPr>
              <w:t>高股息优先股、高股息债券、高分红普通股</w:t>
            </w:r>
          </w:p>
        </w:tc>
        <w:tc>
          <w:tcPr>
            <w:tcW w:w="585" w:type="dxa"/>
            <w:tcMar>
              <w:top w:w="60" w:type="dxa"/>
              <w:left w:w="120" w:type="dxa"/>
              <w:bottom w:w="30" w:type="dxa"/>
              <w:right w:w="120" w:type="dxa"/>
            </w:tcMar>
          </w:tcPr>
          <w:p w14:paraId="16039C23">
            <w:pPr>
              <w:spacing w:before="120" w:after="120" w:line="288" w:lineRule="auto"/>
              <w:ind w:left="0"/>
              <w:jc w:val="left"/>
            </w:pPr>
            <w:r>
              <w:rPr>
                <w:rFonts w:ascii="Arial" w:hAnsi="Arial" w:eastAsia="等线" w:cs="Arial"/>
                <w:sz w:val="22"/>
              </w:rPr>
              <w:t>较低</w:t>
            </w:r>
          </w:p>
        </w:tc>
        <w:tc>
          <w:tcPr>
            <w:tcW w:w="1395" w:type="dxa"/>
            <w:tcMar>
              <w:top w:w="60" w:type="dxa"/>
              <w:left w:w="120" w:type="dxa"/>
              <w:bottom w:w="30" w:type="dxa"/>
              <w:right w:w="120" w:type="dxa"/>
            </w:tcMar>
          </w:tcPr>
          <w:p w14:paraId="538F87CC">
            <w:pPr>
              <w:spacing w:before="120" w:after="120" w:line="288" w:lineRule="auto"/>
              <w:ind w:left="0"/>
              <w:jc w:val="left"/>
            </w:pPr>
            <w:r>
              <w:rPr>
                <w:rFonts w:ascii="Arial" w:hAnsi="Arial" w:eastAsia="等线" w:cs="Arial"/>
                <w:sz w:val="22"/>
              </w:rPr>
              <w:t>退休人员、需定期现金流的投资者</w:t>
            </w:r>
          </w:p>
        </w:tc>
      </w:tr>
      <w:tr w14:paraId="1717EB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12751AD2">
            <w:pPr>
              <w:spacing w:before="120" w:after="120" w:line="288" w:lineRule="auto"/>
              <w:ind w:left="0"/>
              <w:jc w:val="left"/>
            </w:pPr>
            <w:r>
              <w:rPr>
                <w:rFonts w:ascii="Arial" w:hAnsi="Arial" w:eastAsia="等线" w:cs="Arial"/>
                <w:sz w:val="22"/>
              </w:rPr>
              <w:t>平衡型基金（Balanced Fund）</w:t>
            </w:r>
          </w:p>
        </w:tc>
        <w:tc>
          <w:tcPr>
            <w:tcW w:w="1395" w:type="dxa"/>
            <w:tcMar>
              <w:top w:w="60" w:type="dxa"/>
              <w:left w:w="120" w:type="dxa"/>
              <w:bottom w:w="30" w:type="dxa"/>
              <w:right w:w="120" w:type="dxa"/>
            </w:tcMar>
          </w:tcPr>
          <w:p w14:paraId="5810A6F6">
            <w:pPr>
              <w:spacing w:before="120" w:after="120" w:line="288" w:lineRule="auto"/>
              <w:ind w:left="0"/>
              <w:jc w:val="left"/>
            </w:pPr>
          </w:p>
        </w:tc>
        <w:tc>
          <w:tcPr>
            <w:tcW w:w="2190" w:type="dxa"/>
            <w:tcMar>
              <w:top w:w="60" w:type="dxa"/>
              <w:left w:w="120" w:type="dxa"/>
              <w:bottom w:w="30" w:type="dxa"/>
              <w:right w:w="120" w:type="dxa"/>
            </w:tcMar>
          </w:tcPr>
          <w:p w14:paraId="13E96BC6">
            <w:pPr>
              <w:spacing w:before="120" w:after="120" w:line="288" w:lineRule="auto"/>
              <w:ind w:left="0"/>
              <w:jc w:val="left"/>
            </w:pPr>
            <w:r>
              <w:rPr>
                <w:rFonts w:ascii="Arial" w:hAnsi="Arial" w:eastAsia="等线" w:cs="Arial"/>
                <w:sz w:val="22"/>
              </w:rPr>
              <w:t>兼顾收益与增长</w:t>
            </w:r>
          </w:p>
          <w:p w14:paraId="2218AC88">
            <w:pPr>
              <w:spacing w:before="120" w:after="120" w:line="288" w:lineRule="auto"/>
              <w:ind w:left="0"/>
              <w:jc w:val="left"/>
            </w:pPr>
          </w:p>
        </w:tc>
        <w:tc>
          <w:tcPr>
            <w:tcW w:w="1395" w:type="dxa"/>
            <w:tcMar>
              <w:top w:w="60" w:type="dxa"/>
              <w:left w:w="120" w:type="dxa"/>
              <w:bottom w:w="30" w:type="dxa"/>
              <w:right w:w="120" w:type="dxa"/>
            </w:tcMar>
          </w:tcPr>
          <w:p w14:paraId="3409DBF1">
            <w:pPr>
              <w:spacing w:before="120" w:after="120" w:line="288" w:lineRule="auto"/>
              <w:ind w:left="0"/>
              <w:jc w:val="left"/>
            </w:pPr>
            <w:r>
              <w:rPr>
                <w:rFonts w:ascii="Arial" w:hAnsi="Arial" w:eastAsia="等线" w:cs="Arial"/>
                <w:sz w:val="22"/>
              </w:rPr>
              <w:t>普通股、优先股、长短期债券均衡配置</w:t>
            </w:r>
          </w:p>
        </w:tc>
        <w:tc>
          <w:tcPr>
            <w:tcW w:w="585" w:type="dxa"/>
            <w:tcMar>
              <w:top w:w="60" w:type="dxa"/>
              <w:left w:w="120" w:type="dxa"/>
              <w:bottom w:w="30" w:type="dxa"/>
              <w:right w:w="120" w:type="dxa"/>
            </w:tcMar>
          </w:tcPr>
          <w:p w14:paraId="0A369CFA">
            <w:pPr>
              <w:spacing w:before="120" w:after="120" w:line="288" w:lineRule="auto"/>
              <w:ind w:left="0"/>
              <w:jc w:val="left"/>
            </w:pPr>
            <w:r>
              <w:rPr>
                <w:rFonts w:ascii="Arial" w:hAnsi="Arial" w:eastAsia="等线" w:cs="Arial"/>
                <w:sz w:val="22"/>
              </w:rPr>
              <w:t>中等</w:t>
            </w:r>
          </w:p>
        </w:tc>
        <w:tc>
          <w:tcPr>
            <w:tcW w:w="1395" w:type="dxa"/>
            <w:tcMar>
              <w:top w:w="60" w:type="dxa"/>
              <w:left w:w="120" w:type="dxa"/>
              <w:bottom w:w="30" w:type="dxa"/>
              <w:right w:w="120" w:type="dxa"/>
            </w:tcMar>
          </w:tcPr>
          <w:p w14:paraId="15C62930">
            <w:pPr>
              <w:spacing w:before="120" w:after="120" w:line="288" w:lineRule="auto"/>
              <w:ind w:left="0"/>
              <w:jc w:val="left"/>
            </w:pPr>
            <w:r>
              <w:rPr>
                <w:rFonts w:ascii="Arial" w:hAnsi="Arial" w:eastAsia="等线" w:cs="Arial"/>
                <w:sz w:val="22"/>
              </w:rPr>
              <w:t>风险中性、追求“稳健增长+收益”的投资者</w:t>
            </w:r>
          </w:p>
        </w:tc>
      </w:tr>
      <w:tr w14:paraId="5D0B43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790DB5A3">
            <w:pPr>
              <w:spacing w:before="120" w:after="120" w:line="288" w:lineRule="auto"/>
              <w:ind w:left="0"/>
              <w:jc w:val="left"/>
            </w:pPr>
            <w:r>
              <w:rPr>
                <w:rFonts w:ascii="Arial" w:hAnsi="Arial" w:eastAsia="等线" w:cs="Arial"/>
                <w:sz w:val="22"/>
              </w:rPr>
              <w:t>成长型基金（Growth Fund）</w:t>
            </w:r>
          </w:p>
          <w:p w14:paraId="5B352791">
            <w:pPr>
              <w:spacing w:before="120" w:after="120" w:line="288" w:lineRule="auto"/>
              <w:ind w:left="0"/>
              <w:jc w:val="left"/>
            </w:pPr>
          </w:p>
        </w:tc>
        <w:tc>
          <w:tcPr>
            <w:tcW w:w="1395" w:type="dxa"/>
            <w:tcMar>
              <w:top w:w="60" w:type="dxa"/>
              <w:left w:w="120" w:type="dxa"/>
              <w:bottom w:w="30" w:type="dxa"/>
              <w:right w:w="120" w:type="dxa"/>
            </w:tcMar>
          </w:tcPr>
          <w:p w14:paraId="4233076E">
            <w:pPr>
              <w:spacing w:before="120" w:after="120" w:line="288" w:lineRule="auto"/>
              <w:ind w:left="0"/>
              <w:jc w:val="left"/>
            </w:pPr>
          </w:p>
        </w:tc>
        <w:tc>
          <w:tcPr>
            <w:tcW w:w="2190" w:type="dxa"/>
            <w:tcMar>
              <w:top w:w="60" w:type="dxa"/>
              <w:left w:w="120" w:type="dxa"/>
              <w:bottom w:w="30" w:type="dxa"/>
              <w:right w:w="120" w:type="dxa"/>
            </w:tcMar>
          </w:tcPr>
          <w:p w14:paraId="23FA6F7D">
            <w:pPr>
              <w:spacing w:before="120" w:after="120" w:line="288" w:lineRule="auto"/>
              <w:ind w:left="0"/>
              <w:jc w:val="left"/>
            </w:pPr>
            <w:r>
              <w:rPr>
                <w:rFonts w:ascii="Arial" w:hAnsi="Arial" w:eastAsia="等线" w:cs="Arial"/>
                <w:sz w:val="22"/>
              </w:rPr>
              <w:t>长期资本增值</w:t>
            </w:r>
          </w:p>
          <w:p w14:paraId="44A2D6BD">
            <w:pPr>
              <w:spacing w:before="120" w:after="120" w:line="288" w:lineRule="auto"/>
              <w:ind w:left="0"/>
              <w:jc w:val="left"/>
            </w:pPr>
          </w:p>
        </w:tc>
        <w:tc>
          <w:tcPr>
            <w:tcW w:w="1395" w:type="dxa"/>
            <w:tcMar>
              <w:top w:w="60" w:type="dxa"/>
              <w:left w:w="120" w:type="dxa"/>
              <w:bottom w:w="30" w:type="dxa"/>
              <w:right w:w="120" w:type="dxa"/>
            </w:tcMar>
          </w:tcPr>
          <w:p w14:paraId="4FB0754A">
            <w:pPr>
              <w:spacing w:before="120" w:after="120" w:line="288" w:lineRule="auto"/>
              <w:ind w:left="0"/>
              <w:jc w:val="left"/>
            </w:pPr>
            <w:r>
              <w:rPr>
                <w:rFonts w:ascii="Arial" w:hAnsi="Arial" w:eastAsia="等线" w:cs="Arial"/>
                <w:sz w:val="22"/>
              </w:rPr>
              <w:t>成长型公司普通股（如科技股）</w:t>
            </w:r>
          </w:p>
        </w:tc>
        <w:tc>
          <w:tcPr>
            <w:tcW w:w="585" w:type="dxa"/>
            <w:tcMar>
              <w:top w:w="60" w:type="dxa"/>
              <w:left w:w="120" w:type="dxa"/>
              <w:bottom w:w="30" w:type="dxa"/>
              <w:right w:w="120" w:type="dxa"/>
            </w:tcMar>
          </w:tcPr>
          <w:p w14:paraId="5444CBE4">
            <w:pPr>
              <w:spacing w:before="120" w:after="120" w:line="288" w:lineRule="auto"/>
              <w:ind w:left="0"/>
              <w:jc w:val="left"/>
            </w:pPr>
            <w:r>
              <w:rPr>
                <w:rFonts w:ascii="Arial" w:hAnsi="Arial" w:eastAsia="等线" w:cs="Arial"/>
                <w:sz w:val="22"/>
              </w:rPr>
              <w:t>较高</w:t>
            </w:r>
          </w:p>
        </w:tc>
        <w:tc>
          <w:tcPr>
            <w:tcW w:w="1395" w:type="dxa"/>
            <w:tcMar>
              <w:top w:w="60" w:type="dxa"/>
              <w:left w:w="120" w:type="dxa"/>
              <w:bottom w:w="30" w:type="dxa"/>
              <w:right w:w="120" w:type="dxa"/>
            </w:tcMar>
          </w:tcPr>
          <w:p w14:paraId="32C045F3">
            <w:pPr>
              <w:spacing w:before="120" w:after="120" w:line="288" w:lineRule="auto"/>
              <w:ind w:left="0"/>
              <w:jc w:val="left"/>
            </w:pPr>
            <w:r>
              <w:rPr>
                <w:rFonts w:ascii="Arial" w:hAnsi="Arial" w:eastAsia="等线" w:cs="Arial"/>
                <w:sz w:val="22"/>
              </w:rPr>
              <w:t>年轻投资者、长期投资（如养老规划）</w:t>
            </w:r>
          </w:p>
        </w:tc>
      </w:tr>
      <w:tr w14:paraId="34EE43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7E4CA985">
            <w:pPr>
              <w:spacing w:before="120" w:after="120" w:line="288" w:lineRule="auto"/>
              <w:ind w:left="0"/>
              <w:jc w:val="left"/>
            </w:pPr>
            <w:r>
              <w:rPr>
                <w:rFonts w:ascii="Arial" w:hAnsi="Arial" w:eastAsia="等线" w:cs="Arial"/>
                <w:sz w:val="22"/>
              </w:rPr>
              <w:t>行业基金（Sector Fund）</w:t>
            </w:r>
          </w:p>
          <w:p w14:paraId="7FB4FD5B">
            <w:pPr>
              <w:spacing w:before="120" w:after="120" w:line="288" w:lineRule="auto"/>
              <w:ind w:left="0"/>
              <w:jc w:val="left"/>
            </w:pPr>
          </w:p>
        </w:tc>
        <w:tc>
          <w:tcPr>
            <w:tcW w:w="1395" w:type="dxa"/>
            <w:tcMar>
              <w:top w:w="60" w:type="dxa"/>
              <w:left w:w="120" w:type="dxa"/>
              <w:bottom w:w="30" w:type="dxa"/>
              <w:right w:w="120" w:type="dxa"/>
            </w:tcMar>
          </w:tcPr>
          <w:p w14:paraId="21393035">
            <w:pPr>
              <w:spacing w:before="120" w:after="120" w:line="288" w:lineRule="auto"/>
              <w:ind w:left="0"/>
              <w:jc w:val="left"/>
            </w:pPr>
          </w:p>
        </w:tc>
        <w:tc>
          <w:tcPr>
            <w:tcW w:w="2190" w:type="dxa"/>
            <w:tcMar>
              <w:top w:w="60" w:type="dxa"/>
              <w:left w:w="120" w:type="dxa"/>
              <w:bottom w:w="30" w:type="dxa"/>
              <w:right w:w="120" w:type="dxa"/>
            </w:tcMar>
          </w:tcPr>
          <w:p w14:paraId="66C4286D">
            <w:pPr>
              <w:spacing w:before="120" w:after="120" w:line="288" w:lineRule="auto"/>
              <w:ind w:left="0"/>
              <w:jc w:val="left"/>
            </w:pPr>
            <w:r>
              <w:rPr>
                <w:rFonts w:ascii="Arial" w:hAnsi="Arial" w:eastAsia="等线" w:cs="Arial"/>
                <w:sz w:val="22"/>
              </w:rPr>
              <w:t>聚焦单一行业收益</w:t>
            </w:r>
          </w:p>
          <w:p w14:paraId="73DACBCB">
            <w:pPr>
              <w:spacing w:before="120" w:after="120" w:line="288" w:lineRule="auto"/>
              <w:ind w:left="0"/>
              <w:jc w:val="left"/>
            </w:pPr>
          </w:p>
        </w:tc>
        <w:tc>
          <w:tcPr>
            <w:tcW w:w="1395" w:type="dxa"/>
            <w:tcMar>
              <w:top w:w="60" w:type="dxa"/>
              <w:left w:w="120" w:type="dxa"/>
              <w:bottom w:w="30" w:type="dxa"/>
              <w:right w:w="120" w:type="dxa"/>
            </w:tcMar>
          </w:tcPr>
          <w:p w14:paraId="7ADDA480">
            <w:pPr>
              <w:spacing w:before="120" w:after="120" w:line="288" w:lineRule="auto"/>
              <w:ind w:left="0"/>
              <w:jc w:val="left"/>
            </w:pPr>
            <w:r>
              <w:rPr>
                <w:rFonts w:ascii="Arial" w:hAnsi="Arial" w:eastAsia="等线" w:cs="Arial"/>
                <w:sz w:val="22"/>
              </w:rPr>
              <w:t>特定行业证券（如科技、医疗、能源）</w:t>
            </w:r>
          </w:p>
        </w:tc>
        <w:tc>
          <w:tcPr>
            <w:tcW w:w="585" w:type="dxa"/>
            <w:tcMar>
              <w:top w:w="60" w:type="dxa"/>
              <w:left w:w="120" w:type="dxa"/>
              <w:bottom w:w="30" w:type="dxa"/>
              <w:right w:w="120" w:type="dxa"/>
            </w:tcMar>
          </w:tcPr>
          <w:p w14:paraId="63C215E6">
            <w:pPr>
              <w:spacing w:before="120" w:after="120" w:line="288" w:lineRule="auto"/>
              <w:ind w:left="0"/>
              <w:jc w:val="left"/>
            </w:pPr>
            <w:r>
              <w:rPr>
                <w:rFonts w:ascii="Arial" w:hAnsi="Arial" w:eastAsia="等线" w:cs="Arial"/>
                <w:sz w:val="22"/>
              </w:rPr>
              <w:t>高</w:t>
            </w:r>
          </w:p>
          <w:p w14:paraId="4F0D7170">
            <w:pPr>
              <w:spacing w:before="120" w:after="120" w:line="288" w:lineRule="auto"/>
              <w:ind w:left="0"/>
              <w:jc w:val="left"/>
            </w:pPr>
          </w:p>
        </w:tc>
        <w:tc>
          <w:tcPr>
            <w:tcW w:w="1395" w:type="dxa"/>
            <w:tcMar>
              <w:top w:w="60" w:type="dxa"/>
              <w:left w:w="120" w:type="dxa"/>
              <w:bottom w:w="30" w:type="dxa"/>
              <w:right w:w="120" w:type="dxa"/>
            </w:tcMar>
          </w:tcPr>
          <w:p w14:paraId="6FCCB288">
            <w:pPr>
              <w:spacing w:before="120" w:after="120" w:line="288" w:lineRule="auto"/>
              <w:ind w:left="0"/>
              <w:jc w:val="left"/>
            </w:pPr>
            <w:r>
              <w:rPr>
                <w:rFonts w:ascii="Arial" w:hAnsi="Arial" w:eastAsia="等线" w:cs="Arial"/>
                <w:sz w:val="22"/>
              </w:rPr>
              <w:t>熟悉特定行业、风险承受能力强的投资者</w:t>
            </w:r>
          </w:p>
        </w:tc>
      </w:tr>
      <w:tr w14:paraId="058DB3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21D16F3F">
            <w:pPr>
              <w:spacing w:before="120" w:after="120" w:line="288" w:lineRule="auto"/>
              <w:ind w:left="0"/>
              <w:jc w:val="left"/>
            </w:pPr>
            <w:r>
              <w:rPr>
                <w:rFonts w:ascii="Arial" w:hAnsi="Arial" w:eastAsia="等线" w:cs="Arial"/>
                <w:sz w:val="22"/>
              </w:rPr>
              <w:t>国际/全球基金（International/Global Fund）</w:t>
            </w:r>
          </w:p>
        </w:tc>
        <w:tc>
          <w:tcPr>
            <w:tcW w:w="1395" w:type="dxa"/>
            <w:tcMar>
              <w:top w:w="60" w:type="dxa"/>
              <w:left w:w="120" w:type="dxa"/>
              <w:bottom w:w="30" w:type="dxa"/>
              <w:right w:w="120" w:type="dxa"/>
            </w:tcMar>
          </w:tcPr>
          <w:p w14:paraId="2305C5AC">
            <w:pPr>
              <w:spacing w:before="120" w:after="120" w:line="288" w:lineRule="auto"/>
              <w:ind w:left="0"/>
              <w:jc w:val="left"/>
            </w:pPr>
            <w:r>
              <w:rPr>
                <w:rFonts w:ascii="Arial" w:hAnsi="Arial" w:eastAsia="等线" w:cs="Arial"/>
                <w:sz w:val="22"/>
              </w:rPr>
              <w:t>投资于世界任何地方的证券，包括投资者所在国的证券。</w:t>
            </w:r>
          </w:p>
        </w:tc>
        <w:tc>
          <w:tcPr>
            <w:tcW w:w="2190" w:type="dxa"/>
            <w:tcMar>
              <w:top w:w="60" w:type="dxa"/>
              <w:left w:w="120" w:type="dxa"/>
              <w:bottom w:w="30" w:type="dxa"/>
              <w:right w:w="120" w:type="dxa"/>
            </w:tcMar>
          </w:tcPr>
          <w:p w14:paraId="5D2969A1">
            <w:pPr>
              <w:spacing w:before="120" w:after="120" w:line="288" w:lineRule="auto"/>
              <w:ind w:left="0"/>
              <w:jc w:val="left"/>
            </w:pPr>
            <w:r>
              <w:rPr>
                <w:rFonts w:ascii="Arial" w:hAnsi="Arial" w:eastAsia="等线" w:cs="Arial"/>
                <w:sz w:val="22"/>
              </w:rPr>
              <w:t>分散地域风险，获取全球收益。</w:t>
            </w:r>
          </w:p>
          <w:p w14:paraId="0C1D2D6C">
            <w:pPr>
              <w:spacing w:before="120" w:after="120" w:line="288" w:lineRule="auto"/>
              <w:ind w:left="0"/>
              <w:jc w:val="left"/>
            </w:pPr>
          </w:p>
          <w:p w14:paraId="7D4665A0">
            <w:pPr>
              <w:spacing w:before="120" w:after="120" w:line="288" w:lineRule="auto"/>
              <w:ind w:left="0"/>
              <w:jc w:val="left"/>
            </w:pPr>
            <w:r>
              <w:rPr>
                <w:rFonts w:ascii="Arial" w:hAnsi="Arial" w:eastAsia="等线" w:cs="Arial"/>
                <w:sz w:val="22"/>
              </w:rPr>
              <w:t>存在如下风险：</w:t>
            </w:r>
          </w:p>
          <w:p w14:paraId="15D97EE7">
            <w:pPr>
              <w:numPr>
                <w:ilvl w:val="0"/>
                <w:numId w:val="24"/>
              </w:numPr>
              <w:spacing w:before="120" w:after="120" w:line="288" w:lineRule="auto"/>
              <w:ind w:left="0"/>
              <w:jc w:val="left"/>
            </w:pPr>
            <w:r>
              <w:rPr>
                <w:rFonts w:ascii="Arial" w:hAnsi="Arial" w:eastAsia="等线" w:cs="Arial"/>
                <w:sz w:val="22"/>
              </w:rPr>
              <w:t>货币汇率风险。</w:t>
            </w:r>
          </w:p>
          <w:p w14:paraId="348EA9B5">
            <w:pPr>
              <w:numPr>
                <w:ilvl w:val="0"/>
                <w:numId w:val="25"/>
              </w:numPr>
              <w:spacing w:before="120" w:after="120" w:line="288" w:lineRule="auto"/>
              <w:ind w:left="0"/>
              <w:jc w:val="left"/>
            </w:pPr>
            <w:r>
              <w:rPr>
                <w:rFonts w:ascii="Arial" w:hAnsi="Arial" w:eastAsia="等线" w:cs="Arial"/>
                <w:sz w:val="22"/>
              </w:rPr>
              <w:t>特定国家的政治因素也可能会有额外风险。</w:t>
            </w:r>
          </w:p>
        </w:tc>
        <w:tc>
          <w:tcPr>
            <w:tcW w:w="1395" w:type="dxa"/>
            <w:tcMar>
              <w:top w:w="60" w:type="dxa"/>
              <w:left w:w="120" w:type="dxa"/>
              <w:bottom w:w="30" w:type="dxa"/>
              <w:right w:w="120" w:type="dxa"/>
            </w:tcMar>
          </w:tcPr>
          <w:p w14:paraId="7702C184">
            <w:pPr>
              <w:spacing w:before="120" w:after="120" w:line="288" w:lineRule="auto"/>
              <w:ind w:left="0"/>
              <w:jc w:val="left"/>
            </w:pPr>
            <w:r>
              <w:rPr>
                <w:rFonts w:ascii="Arial" w:hAnsi="Arial" w:eastAsia="等线" w:cs="Arial"/>
                <w:sz w:val="22"/>
              </w:rPr>
              <w:t>国际基金（本土外市场）、全球基金（含本土）</w:t>
            </w:r>
          </w:p>
        </w:tc>
        <w:tc>
          <w:tcPr>
            <w:tcW w:w="585" w:type="dxa"/>
            <w:tcMar>
              <w:top w:w="60" w:type="dxa"/>
              <w:left w:w="120" w:type="dxa"/>
              <w:bottom w:w="30" w:type="dxa"/>
              <w:right w:w="120" w:type="dxa"/>
            </w:tcMar>
          </w:tcPr>
          <w:p w14:paraId="698AAFD4">
            <w:pPr>
              <w:spacing w:before="120" w:after="120" w:line="288" w:lineRule="auto"/>
              <w:ind w:left="0"/>
              <w:jc w:val="left"/>
            </w:pPr>
            <w:r>
              <w:rPr>
                <w:rFonts w:ascii="Arial" w:hAnsi="Arial" w:eastAsia="等线" w:cs="Arial"/>
                <w:sz w:val="22"/>
              </w:rPr>
              <w:t>较高</w:t>
            </w:r>
          </w:p>
        </w:tc>
        <w:tc>
          <w:tcPr>
            <w:tcW w:w="1395" w:type="dxa"/>
            <w:tcMar>
              <w:top w:w="60" w:type="dxa"/>
              <w:left w:w="120" w:type="dxa"/>
              <w:bottom w:w="30" w:type="dxa"/>
              <w:right w:w="120" w:type="dxa"/>
            </w:tcMar>
          </w:tcPr>
          <w:p w14:paraId="09CE4560">
            <w:pPr>
              <w:spacing w:before="120" w:after="120" w:line="288" w:lineRule="auto"/>
              <w:ind w:left="0"/>
              <w:jc w:val="left"/>
            </w:pPr>
            <w:r>
              <w:rPr>
                <w:rFonts w:ascii="Arial" w:hAnsi="Arial" w:eastAsia="等线" w:cs="Arial"/>
                <w:sz w:val="22"/>
              </w:rPr>
              <w:t>追求全球化配置、可承受汇率风险的投资者</w:t>
            </w:r>
          </w:p>
        </w:tc>
      </w:tr>
      <w:tr w14:paraId="414FE0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20" w:type="dxa"/>
            <w:tcMar>
              <w:top w:w="60" w:type="dxa"/>
              <w:left w:w="120" w:type="dxa"/>
              <w:bottom w:w="30" w:type="dxa"/>
              <w:right w:w="120" w:type="dxa"/>
            </w:tcMar>
          </w:tcPr>
          <w:p w14:paraId="14F497E2">
            <w:pPr>
              <w:spacing w:before="120" w:after="120" w:line="288" w:lineRule="auto"/>
              <w:ind w:left="0"/>
              <w:jc w:val="left"/>
            </w:pPr>
            <w:r>
              <w:rPr>
                <w:rFonts w:ascii="Arial" w:hAnsi="Arial" w:eastAsia="等线" w:cs="Arial"/>
                <w:sz w:val="22"/>
              </w:rPr>
              <w:t>指数基金（Index Fund）</w:t>
            </w:r>
          </w:p>
          <w:p w14:paraId="5799C1AB">
            <w:pPr>
              <w:spacing w:before="120" w:after="120" w:line="288" w:lineRule="auto"/>
              <w:ind w:left="0"/>
              <w:jc w:val="left"/>
            </w:pPr>
          </w:p>
        </w:tc>
        <w:tc>
          <w:tcPr>
            <w:tcW w:w="1395" w:type="dxa"/>
            <w:tcMar>
              <w:top w:w="60" w:type="dxa"/>
              <w:left w:w="120" w:type="dxa"/>
              <w:bottom w:w="30" w:type="dxa"/>
              <w:right w:w="120" w:type="dxa"/>
            </w:tcMar>
          </w:tcPr>
          <w:p w14:paraId="692C2110">
            <w:pPr>
              <w:spacing w:before="120" w:after="120" w:line="288" w:lineRule="auto"/>
              <w:ind w:left="0"/>
              <w:jc w:val="left"/>
            </w:pPr>
            <w:r>
              <w:rPr>
                <w:rFonts w:ascii="Arial" w:hAnsi="Arial" w:eastAsia="等线" w:cs="Arial"/>
                <w:sz w:val="22"/>
              </w:rPr>
              <w:t>一种以 “跟踪特定证券指数” 为核心目标的被动型投资基金，通过复制指数的成分股及权重，力求实现与指数一致的收益（扣除少量费用后），而非通过基金经理主动选股获取超额收益。</w:t>
            </w:r>
          </w:p>
        </w:tc>
        <w:tc>
          <w:tcPr>
            <w:tcW w:w="2190" w:type="dxa"/>
            <w:tcMar>
              <w:top w:w="60" w:type="dxa"/>
              <w:left w:w="120" w:type="dxa"/>
              <w:bottom w:w="30" w:type="dxa"/>
              <w:right w:w="120" w:type="dxa"/>
            </w:tcMar>
          </w:tcPr>
          <w:p w14:paraId="271D9AFC">
            <w:pPr>
              <w:numPr>
                <w:ilvl w:val="0"/>
                <w:numId w:val="26"/>
              </w:numPr>
              <w:spacing w:before="120" w:after="120" w:line="288" w:lineRule="auto"/>
              <w:ind w:left="0"/>
              <w:jc w:val="left"/>
            </w:pPr>
            <w:r>
              <w:rPr>
                <w:rFonts w:ascii="Arial" w:hAnsi="Arial" w:eastAsia="等线" w:cs="Arial"/>
                <w:sz w:val="22"/>
              </w:rPr>
              <w:t>投资指数成分股，被动管理；</w:t>
            </w:r>
          </w:p>
          <w:p w14:paraId="0964A158">
            <w:pPr>
              <w:numPr>
                <w:ilvl w:val="0"/>
                <w:numId w:val="27"/>
              </w:numPr>
              <w:spacing w:before="120" w:after="120" w:line="288" w:lineRule="auto"/>
              <w:ind w:left="0"/>
              <w:jc w:val="left"/>
            </w:pPr>
            <w:r>
              <w:rPr>
                <w:rFonts w:ascii="Arial" w:hAnsi="Arial" w:eastAsia="等线" w:cs="Arial"/>
                <w:sz w:val="22"/>
              </w:rPr>
              <w:t>较低或没有管理费（management fees）；</w:t>
            </w:r>
          </w:p>
          <w:p w14:paraId="2B6C9619">
            <w:pPr>
              <w:numPr>
                <w:ilvl w:val="0"/>
                <w:numId w:val="28"/>
              </w:numPr>
              <w:spacing w:before="120" w:after="120" w:line="288" w:lineRule="auto"/>
              <w:ind w:left="0"/>
              <w:jc w:val="left"/>
            </w:pPr>
            <w:r>
              <w:rPr>
                <w:rFonts w:ascii="Arial" w:hAnsi="Arial" w:eastAsia="等线" w:cs="Arial"/>
                <w:sz w:val="22"/>
              </w:rPr>
              <w:t>资产净值与特定指数走势相同，如标普500指数、道琼斯工业平均指数等。</w:t>
            </w:r>
          </w:p>
          <w:p w14:paraId="4820E98D">
            <w:pPr>
              <w:spacing w:before="120" w:after="120" w:line="288" w:lineRule="auto"/>
              <w:ind w:left="0"/>
              <w:jc w:val="left"/>
            </w:pPr>
          </w:p>
        </w:tc>
        <w:tc>
          <w:tcPr>
            <w:tcW w:w="1395" w:type="dxa"/>
            <w:tcMar>
              <w:top w:w="60" w:type="dxa"/>
              <w:left w:w="120" w:type="dxa"/>
              <w:bottom w:w="30" w:type="dxa"/>
              <w:right w:w="120" w:type="dxa"/>
            </w:tcMar>
          </w:tcPr>
          <w:p w14:paraId="06413BE5">
            <w:pPr>
              <w:spacing w:before="120" w:after="120" w:line="288" w:lineRule="auto"/>
              <w:ind w:left="0"/>
              <w:jc w:val="left"/>
            </w:pPr>
            <w:r>
              <w:rPr>
                <w:rFonts w:ascii="Arial" w:hAnsi="Arial" w:eastAsia="等线" w:cs="Arial"/>
                <w:sz w:val="22"/>
              </w:rPr>
              <w:t>复制指数成分股（如S&amp;P 500、纳斯达克指数）</w:t>
            </w:r>
          </w:p>
        </w:tc>
        <w:tc>
          <w:tcPr>
            <w:tcW w:w="585" w:type="dxa"/>
            <w:tcMar>
              <w:top w:w="60" w:type="dxa"/>
              <w:left w:w="120" w:type="dxa"/>
              <w:bottom w:w="30" w:type="dxa"/>
              <w:right w:w="120" w:type="dxa"/>
            </w:tcMar>
          </w:tcPr>
          <w:p w14:paraId="5EC59229">
            <w:pPr>
              <w:spacing w:before="120" w:after="120" w:line="288" w:lineRule="auto"/>
              <w:ind w:left="0"/>
              <w:jc w:val="left"/>
            </w:pPr>
            <w:r>
              <w:rPr>
                <w:rFonts w:ascii="Arial" w:hAnsi="Arial" w:eastAsia="等线" w:cs="Arial"/>
                <w:sz w:val="22"/>
              </w:rPr>
              <w:t>中等</w:t>
            </w:r>
          </w:p>
        </w:tc>
        <w:tc>
          <w:tcPr>
            <w:tcW w:w="1395" w:type="dxa"/>
            <w:tcMar>
              <w:top w:w="60" w:type="dxa"/>
              <w:left w:w="120" w:type="dxa"/>
              <w:bottom w:w="30" w:type="dxa"/>
              <w:right w:w="120" w:type="dxa"/>
            </w:tcMar>
          </w:tcPr>
          <w:p w14:paraId="528E971F">
            <w:pPr>
              <w:spacing w:before="120" w:after="120" w:line="288" w:lineRule="auto"/>
              <w:ind w:left="0"/>
              <w:jc w:val="left"/>
            </w:pPr>
            <w:r>
              <w:rPr>
                <w:rFonts w:ascii="Arial" w:hAnsi="Arial" w:eastAsia="等线" w:cs="Arial"/>
                <w:sz w:val="22"/>
              </w:rPr>
              <w:t>低成本、长期投资、不追求超额收益的投资者</w:t>
            </w:r>
          </w:p>
        </w:tc>
      </w:tr>
    </w:tbl>
    <w:p w14:paraId="56A2B4C0">
      <w:pPr>
        <w:spacing w:before="300" w:after="120" w:line="288" w:lineRule="auto"/>
        <w:ind w:left="0"/>
        <w:jc w:val="left"/>
        <w:outlineLvl w:val="2"/>
      </w:pPr>
      <w:bookmarkStart w:id="10" w:name="heading_10"/>
      <w:r>
        <w:rPr>
          <w:rFonts w:ascii="Arial" w:hAnsi="Arial" w:eastAsia="等线" w:cs="Arial"/>
          <w:color w:val="3370FF"/>
          <w:sz w:val="30"/>
        </w:rPr>
        <w:t xml:space="preserve">2.3.6 </w:t>
      </w:r>
      <w:r>
        <w:rPr>
          <w:rFonts w:ascii="Arial" w:hAnsi="Arial" w:eastAsia="等线" w:cs="Arial"/>
          <w:b/>
          <w:sz w:val="30"/>
        </w:rPr>
        <w:t>对冲基金（Hedge Funds）</w:t>
      </w:r>
      <w:bookmarkEnd w:id="10"/>
    </w:p>
    <w:p w14:paraId="4FAD1048">
      <w:pPr>
        <w:numPr>
          <w:ilvl w:val="0"/>
          <w:numId w:val="29"/>
        </w:numPr>
        <w:spacing w:before="120" w:after="120" w:line="288" w:lineRule="auto"/>
        <w:ind w:left="0"/>
        <w:jc w:val="left"/>
      </w:pPr>
      <w:r>
        <w:rPr>
          <w:rFonts w:ascii="Arial" w:hAnsi="Arial" w:eastAsia="等线" w:cs="Arial"/>
          <w:b/>
          <w:sz w:val="22"/>
        </w:rPr>
        <w:t>特殊属性</w:t>
      </w:r>
      <w:r>
        <w:rPr>
          <w:rFonts w:ascii="Arial" w:hAnsi="Arial" w:eastAsia="等线" w:cs="Arial"/>
          <w:sz w:val="22"/>
        </w:rPr>
        <w:t>：不属于《1940年投资公司法》定义的“投资公司”，豁免SEC注册。</w:t>
      </w:r>
    </w:p>
    <w:p w14:paraId="6263B5FE">
      <w:pPr>
        <w:numPr>
          <w:ilvl w:val="0"/>
          <w:numId w:val="30"/>
        </w:numPr>
        <w:spacing w:before="120" w:after="120" w:line="288" w:lineRule="auto"/>
        <w:ind w:left="0"/>
        <w:jc w:val="left"/>
      </w:pPr>
      <w:r>
        <w:rPr>
          <w:rFonts w:ascii="Arial" w:hAnsi="Arial" w:eastAsia="等线" w:cs="Arial"/>
          <w:b/>
          <w:sz w:val="22"/>
        </w:rPr>
        <w:t>投资者门槛</w:t>
      </w:r>
      <w:r>
        <w:rPr>
          <w:rFonts w:ascii="Arial" w:hAnsi="Arial" w:eastAsia="等线" w:cs="Arial"/>
          <w:sz w:val="22"/>
        </w:rPr>
        <w:t>：仅向合格投资者（Accredited Investors）开放，初始投资门槛高（常为50万美元以上）。</w:t>
      </w:r>
    </w:p>
    <w:p w14:paraId="36F9747C">
      <w:pPr>
        <w:numPr>
          <w:ilvl w:val="0"/>
          <w:numId w:val="31"/>
        </w:numPr>
        <w:spacing w:before="120" w:after="120" w:line="288" w:lineRule="auto"/>
        <w:ind w:left="0"/>
        <w:jc w:val="left"/>
      </w:pPr>
      <w:r>
        <w:rPr>
          <w:rFonts w:ascii="Arial" w:hAnsi="Arial" w:eastAsia="等线" w:cs="Arial"/>
          <w:b/>
          <w:sz w:val="22"/>
        </w:rPr>
        <w:t>投资策略</w:t>
      </w:r>
      <w:r>
        <w:rPr>
          <w:rFonts w:ascii="Arial" w:hAnsi="Arial" w:eastAsia="等线" w:cs="Arial"/>
          <w:sz w:val="22"/>
        </w:rPr>
        <w:t>：可使用杠杆、卖空、期权等复杂工具，追求高收益，风险远高于普通基金。</w:t>
      </w:r>
    </w:p>
    <w:p w14:paraId="59FB59AE">
      <w:pPr>
        <w:spacing w:before="120" w:after="120" w:line="288" w:lineRule="auto"/>
        <w:ind w:left="0"/>
        <w:jc w:val="left"/>
      </w:pPr>
    </w:p>
    <w:p w14:paraId="67E16118">
      <w:pPr>
        <w:spacing w:before="120" w:after="120" w:line="288" w:lineRule="auto"/>
        <w:ind w:left="0"/>
        <w:jc w:val="left"/>
      </w:pPr>
      <w:r>
        <w:rPr>
          <w:rFonts w:ascii="Arial" w:hAnsi="Arial" w:eastAsia="等线" w:cs="Arial"/>
          <w:sz w:val="22"/>
        </w:rPr>
        <w:t>对冲基金持有一篮子投资，像共同（开放式）基金一样由专业人士管理，但具有更大的灵活性。对冲基金通常在本质上更具攻击性，可能会融资买入证券、卖空证券、买入或卖出期权等，以试图实现收益最大化。我想，你几乎可以把它们看作是一种“不惜一切代价赚钱”类型的基金。</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B2F531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170FE85D">
            <w:pPr>
              <w:numPr>
                <w:ilvl w:val="0"/>
                <w:numId w:val="32"/>
              </w:numPr>
              <w:spacing w:before="120" w:after="120" w:line="288" w:lineRule="auto"/>
              <w:ind w:left="0"/>
              <w:jc w:val="left"/>
            </w:pPr>
            <w:r>
              <w:rPr>
                <w:rFonts w:ascii="Arial" w:hAnsi="Arial" w:eastAsia="等线" w:cs="Arial"/>
                <w:sz w:val="22"/>
              </w:rPr>
              <w:t>Which of the following is true of private-equity funds?</w:t>
            </w:r>
          </w:p>
          <w:p w14:paraId="66D3BBC2">
            <w:pPr>
              <w:spacing w:before="120" w:after="120" w:line="288" w:lineRule="auto"/>
              <w:ind w:left="0"/>
              <w:jc w:val="left"/>
            </w:pPr>
            <w:r>
              <w:rPr>
                <w:rFonts w:ascii="Arial" w:hAnsi="Arial" w:eastAsia="等线" w:cs="Arial"/>
                <w:sz w:val="22"/>
              </w:rPr>
              <w:t>I. They are exempt from SEC registration.</w:t>
            </w:r>
          </w:p>
          <w:p w14:paraId="6163A3A0">
            <w:pPr>
              <w:spacing w:before="120" w:after="120" w:line="288" w:lineRule="auto"/>
              <w:ind w:left="0"/>
              <w:jc w:val="left"/>
            </w:pPr>
            <w:r>
              <w:rPr>
                <w:rFonts w:ascii="Arial" w:hAnsi="Arial" w:eastAsia="等线" w:cs="Arial"/>
                <w:sz w:val="22"/>
              </w:rPr>
              <w:t>II. They must be registered with the SEC.</w:t>
            </w:r>
          </w:p>
          <w:p w14:paraId="2901FA7E">
            <w:pPr>
              <w:spacing w:before="120" w:after="120" w:line="288" w:lineRule="auto"/>
              <w:ind w:left="0"/>
              <w:jc w:val="left"/>
            </w:pPr>
            <w:r>
              <w:rPr>
                <w:rFonts w:ascii="Arial" w:hAnsi="Arial" w:eastAsia="等线" w:cs="Arial"/>
                <w:sz w:val="22"/>
              </w:rPr>
              <w:t>III. They may purchase private companies.</w:t>
            </w:r>
          </w:p>
          <w:p w14:paraId="4BE6EA28">
            <w:pPr>
              <w:spacing w:before="120" w:after="120" w:line="288" w:lineRule="auto"/>
              <w:ind w:left="0"/>
              <w:jc w:val="left"/>
            </w:pPr>
            <w:r>
              <w:rPr>
                <w:rFonts w:ascii="Arial" w:hAnsi="Arial" w:eastAsia="等线" w:cs="Arial"/>
                <w:sz w:val="22"/>
              </w:rPr>
              <w:t>IV. They may not purchase private companies.</w:t>
            </w:r>
          </w:p>
          <w:p w14:paraId="0D5355E4">
            <w:pPr>
              <w:spacing w:before="120" w:after="120" w:line="288" w:lineRule="auto"/>
              <w:ind w:left="0"/>
              <w:jc w:val="left"/>
            </w:pPr>
            <w:r>
              <w:rPr>
                <w:rFonts w:ascii="Arial" w:hAnsi="Arial" w:eastAsia="等线" w:cs="Arial"/>
                <w:sz w:val="22"/>
              </w:rPr>
              <w:t>(A) I and III</w:t>
            </w:r>
          </w:p>
          <w:p w14:paraId="310A9681">
            <w:pPr>
              <w:spacing w:before="120" w:after="120" w:line="288" w:lineRule="auto"/>
              <w:ind w:left="0"/>
              <w:jc w:val="left"/>
            </w:pPr>
            <w:r>
              <w:rPr>
                <w:rFonts w:ascii="Arial" w:hAnsi="Arial" w:eastAsia="等线" w:cs="Arial"/>
                <w:sz w:val="22"/>
              </w:rPr>
              <w:t>(B) I and IV</w:t>
            </w:r>
          </w:p>
          <w:p w14:paraId="3BCB274F">
            <w:pPr>
              <w:spacing w:before="120" w:after="120" w:line="288" w:lineRule="auto"/>
              <w:ind w:left="0"/>
              <w:jc w:val="left"/>
            </w:pPr>
            <w:r>
              <w:rPr>
                <w:rFonts w:ascii="Arial" w:hAnsi="Arial" w:eastAsia="等线" w:cs="Arial"/>
                <w:sz w:val="22"/>
              </w:rPr>
              <w:t>(C) II and III</w:t>
            </w:r>
          </w:p>
          <w:p w14:paraId="61D7A663">
            <w:pPr>
              <w:spacing w:before="120" w:after="120" w:line="288" w:lineRule="auto"/>
              <w:ind w:left="0"/>
              <w:jc w:val="left"/>
            </w:pPr>
            <w:r>
              <w:rPr>
                <w:rFonts w:ascii="Arial" w:hAnsi="Arial" w:eastAsia="等线" w:cs="Arial"/>
                <w:sz w:val="22"/>
              </w:rPr>
              <w:t>(D) II and IV</w:t>
            </w:r>
          </w:p>
        </w:tc>
      </w:tr>
    </w:tbl>
    <w:p w14:paraId="28D576FB">
      <w:pPr>
        <w:spacing w:before="300" w:after="120" w:line="288" w:lineRule="auto"/>
        <w:ind w:left="0"/>
        <w:jc w:val="left"/>
        <w:outlineLvl w:val="2"/>
      </w:pPr>
      <w:bookmarkStart w:id="11" w:name="heading_11"/>
      <w:r>
        <w:rPr>
          <w:rFonts w:ascii="Arial" w:hAnsi="Arial" w:eastAsia="等线" w:cs="Arial"/>
          <w:color w:val="3370FF"/>
          <w:sz w:val="30"/>
        </w:rPr>
        <w:t xml:space="preserve">2.3.7 </w:t>
      </w:r>
      <w:r>
        <w:rPr>
          <w:rFonts w:ascii="Arial" w:hAnsi="Arial" w:eastAsia="等线" w:cs="Arial"/>
          <w:b/>
          <w:sz w:val="30"/>
        </w:rPr>
        <w:t>基金中的基金（Fund of a Fund）</w:t>
      </w:r>
      <w:bookmarkEnd w:id="11"/>
    </w:p>
    <w:p w14:paraId="5AEB60F6">
      <w:pPr>
        <w:spacing w:before="120" w:after="120" w:line="288" w:lineRule="auto"/>
        <w:ind w:left="0"/>
        <w:jc w:val="left"/>
      </w:pPr>
      <w:r>
        <w:rPr>
          <w:rFonts w:ascii="Arial" w:hAnsi="Arial" w:eastAsia="等线" w:cs="Arial"/>
          <w:sz w:val="22"/>
        </w:rPr>
        <w:t>基金中的基金是一种投资于其他基金而非单个证券的基金。</w:t>
      </w:r>
    </w:p>
    <w:p w14:paraId="34AF0E0A">
      <w:pPr>
        <w:spacing w:before="120" w:after="120" w:line="288" w:lineRule="auto"/>
        <w:ind w:left="0"/>
        <w:jc w:val="left"/>
      </w:pPr>
    </w:p>
    <w:p w14:paraId="6E67377C">
      <w:pPr>
        <w:spacing w:before="120" w:after="120" w:line="288" w:lineRule="auto"/>
        <w:ind w:left="0"/>
        <w:jc w:val="left"/>
      </w:pPr>
      <w:r>
        <w:rPr>
          <w:rFonts w:ascii="Arial" w:hAnsi="Arial" w:eastAsia="等线" w:cs="Arial"/>
          <w:sz w:val="22"/>
        </w:rPr>
        <w:t>许多基金实际上都是基金中的基金，例如对冲基金中的基金和生命周期基金。</w:t>
      </w:r>
    </w:p>
    <w:p w14:paraId="5CDAAE7E">
      <w:pPr>
        <w:spacing w:before="120" w:after="120" w:line="288" w:lineRule="auto"/>
        <w:ind w:left="0"/>
        <w:jc w:val="left"/>
      </w:pPr>
    </w:p>
    <w:p w14:paraId="4794EA13">
      <w:pPr>
        <w:spacing w:before="120" w:after="120" w:line="288" w:lineRule="auto"/>
        <w:ind w:left="0"/>
        <w:jc w:val="left"/>
      </w:pPr>
      <w:r>
        <w:rPr>
          <w:rFonts w:ascii="Arial" w:hAnsi="Arial" w:eastAsia="等线" w:cs="Arial"/>
          <w:sz w:val="22"/>
        </w:rPr>
        <w:t>生命周期基金（life-cycle funds）也被称为目标日期基金（targeted-date funds）或年龄导向型基金（age-based funds）。生命周期基金的理念是自动调整基金的构成，以便投资者随着年龄增长而承担更少的风险。随着投资者年龄的增长，投资组合中固定收益类证券的占比提高，而权益类证券的占比降低。</w:t>
      </w:r>
    </w:p>
    <w:p w14:paraId="5EC88751">
      <w:pPr>
        <w:spacing w:before="120" w:after="120" w:line="288" w:lineRule="auto"/>
        <w:ind w:left="0"/>
        <w:jc w:val="left"/>
      </w:pPr>
    </w:p>
    <w:p w14:paraId="259B2278">
      <w:pPr>
        <w:spacing w:before="120" w:after="120" w:line="288" w:lineRule="auto"/>
        <w:ind w:left="0"/>
        <w:jc w:val="left"/>
      </w:pPr>
      <w:r>
        <w:rPr>
          <w:rFonts w:ascii="Arial" w:hAnsi="Arial" w:eastAsia="等线" w:cs="Arial"/>
          <w:sz w:val="22"/>
        </w:rPr>
        <w:t>生命周期基金设有目标退休日期。投资者选择与自己退休日期相匹配的生命周期基金，该基金偶尔会调整其持仓，使权益类基金的占比逐渐下降，而投资于固定收益类证券的基金占比逐渐上升。</w:t>
      </w:r>
    </w:p>
    <w:p w14:paraId="40913A4B">
      <w:pPr>
        <w:spacing w:before="300" w:after="120" w:line="288" w:lineRule="auto"/>
        <w:ind w:left="0"/>
        <w:jc w:val="left"/>
        <w:outlineLvl w:val="2"/>
      </w:pPr>
      <w:bookmarkStart w:id="12" w:name="heading_12"/>
      <w:r>
        <w:rPr>
          <w:rFonts w:ascii="Arial" w:hAnsi="Arial" w:eastAsia="等线" w:cs="Arial"/>
          <w:color w:val="3370FF"/>
          <w:sz w:val="30"/>
        </w:rPr>
        <w:t xml:space="preserve">2.3.8 </w:t>
      </w:r>
      <w:r>
        <w:rPr>
          <w:rFonts w:ascii="Arial" w:hAnsi="Arial" w:eastAsia="等线" w:cs="Arial"/>
          <w:b/>
          <w:sz w:val="30"/>
        </w:rPr>
        <w:t>费用与折扣规则（高频考点）</w:t>
      </w:r>
      <w:bookmarkEnd w:id="12"/>
    </w:p>
    <w:p w14:paraId="033B8D89">
      <w:pPr>
        <w:spacing w:before="260" w:after="120" w:line="288" w:lineRule="auto"/>
        <w:ind w:left="0"/>
        <w:jc w:val="left"/>
        <w:outlineLvl w:val="3"/>
      </w:pPr>
      <w:bookmarkStart w:id="13" w:name="heading_13"/>
      <w:r>
        <w:rPr>
          <w:rFonts w:ascii="Arial" w:hAnsi="Arial" w:eastAsia="等线" w:cs="Arial"/>
          <w:color w:val="3370FF"/>
          <w:sz w:val="28"/>
        </w:rPr>
        <w:t xml:space="preserve">2.3.8.1 </w:t>
      </w:r>
      <w:r>
        <w:rPr>
          <w:rFonts w:ascii="Arial" w:hAnsi="Arial" w:eastAsia="等线" w:cs="Arial"/>
          <w:b/>
          <w:sz w:val="28"/>
        </w:rPr>
        <w:t>销售费用折扣</w:t>
      </w:r>
      <w:bookmarkEnd w:id="13"/>
    </w:p>
    <w:p w14:paraId="31F505DE">
      <w:pPr>
        <w:numPr>
          <w:ilvl w:val="0"/>
          <w:numId w:val="33"/>
        </w:numPr>
        <w:spacing w:before="120" w:after="120" w:line="288" w:lineRule="auto"/>
        <w:ind w:left="0"/>
        <w:jc w:val="left"/>
      </w:pPr>
      <w:r>
        <w:rPr>
          <w:rFonts w:ascii="Arial" w:hAnsi="Arial" w:eastAsia="等线" w:cs="Arial"/>
          <w:b/>
          <w:sz w:val="22"/>
        </w:rPr>
        <w:t>临界点（Breakpoints）</w:t>
      </w:r>
    </w:p>
    <w:p w14:paraId="3E9A80B4">
      <w:pPr>
        <w:spacing w:before="120" w:after="120" w:line="288" w:lineRule="auto"/>
        <w:ind w:left="0"/>
        <w:jc w:val="left"/>
      </w:pPr>
      <w:r>
        <w:rPr>
          <w:rFonts w:ascii="Arial" w:hAnsi="Arial" w:eastAsia="等线" w:cs="Arial"/>
          <w:sz w:val="22"/>
        </w:rPr>
        <w:t>基金公司为鼓励大额投资，不同申购金额区间设置不同销售费率。金额越高，销售费率越低（如申购2.5万-4.9万美元费率3%，5万-9.9万美元费率2%）。</w:t>
      </w:r>
    </w:p>
    <w:p w14:paraId="06BE2D4F">
      <w:pPr>
        <w:spacing w:before="120" w:after="120" w:line="288" w:lineRule="auto"/>
        <w:ind w:left="0"/>
        <w:jc w:val="left"/>
      </w:pPr>
    </w:p>
    <w:p w14:paraId="2E116FD2">
      <w:pPr>
        <w:spacing w:before="120" w:after="120" w:line="288" w:lineRule="auto"/>
        <w:ind w:left="0"/>
        <w:jc w:val="left"/>
      </w:pPr>
      <w:r>
        <w:rPr>
          <w:rFonts w:ascii="Arial" w:hAnsi="Arial" w:eastAsia="等线" w:cs="Arial"/>
          <w:sz w:val="22"/>
        </w:rPr>
        <w:t>临界点须知：</w:t>
      </w:r>
    </w:p>
    <w:p w14:paraId="2DAAB3DC">
      <w:pPr>
        <w:numPr>
          <w:ilvl w:val="0"/>
          <w:numId w:val="34"/>
        </w:numPr>
        <w:spacing w:before="120" w:after="120" w:line="288" w:lineRule="auto"/>
        <w:ind w:left="0"/>
        <w:jc w:val="left"/>
      </w:pPr>
      <w:r>
        <w:rPr>
          <w:rFonts w:ascii="Arial" w:hAnsi="Arial" w:eastAsia="等线" w:cs="Arial"/>
          <w:sz w:val="22"/>
        </w:rPr>
        <w:t>折扣规则需在招募说明书中披露。</w:t>
      </w:r>
    </w:p>
    <w:p w14:paraId="44AFEF60">
      <w:pPr>
        <w:numPr>
          <w:ilvl w:val="0"/>
          <w:numId w:val="35"/>
        </w:numPr>
        <w:spacing w:before="120" w:after="120" w:line="288" w:lineRule="auto"/>
        <w:ind w:left="0"/>
        <w:jc w:val="left"/>
      </w:pPr>
      <w:r>
        <w:rPr>
          <w:rFonts w:ascii="Arial" w:hAnsi="Arial" w:eastAsia="等线" w:cs="Arial"/>
          <w:sz w:val="22"/>
        </w:rPr>
        <w:t>断点不适用于合伙企业或投资俱乐部（Investment Clubs）（即几个人凑钱以获得降低的销售费用）。</w:t>
      </w:r>
    </w:p>
    <w:p w14:paraId="53C0F689">
      <w:pPr>
        <w:numPr>
          <w:ilvl w:val="0"/>
          <w:numId w:val="36"/>
        </w:numPr>
        <w:spacing w:before="120" w:after="120" w:line="288" w:lineRule="auto"/>
        <w:ind w:left="0"/>
        <w:jc w:val="left"/>
      </w:pPr>
      <w:r>
        <w:rPr>
          <w:rFonts w:ascii="Arial" w:hAnsi="Arial" w:eastAsia="等线" w:cs="Arial"/>
          <w:sz w:val="22"/>
        </w:rPr>
        <w:t>断点通常对个人投资者、与家庭成员共同持有的账户、UGMA 账户和公司开放。</w:t>
      </w:r>
    </w:p>
    <w:p w14:paraId="39FD7393">
      <w:pPr>
        <w:spacing w:before="120" w:after="120" w:line="288" w:lineRule="auto"/>
        <w:ind w:left="0"/>
        <w:jc w:val="left"/>
      </w:pPr>
    </w:p>
    <w:p w14:paraId="6CFCAAFF">
      <w:pPr>
        <w:spacing w:before="120" w:after="120" w:line="288" w:lineRule="auto"/>
        <w:ind w:left="0"/>
        <w:jc w:val="left"/>
      </w:pPr>
      <w:r>
        <w:rPr>
          <w:rFonts w:ascii="Arial" w:hAnsi="Arial" w:eastAsia="等线" w:cs="Arial"/>
          <w:b/>
          <w:sz w:val="22"/>
        </w:rPr>
        <w:t>禁止临界点销售（Breakpoint Sale），</w:t>
      </w:r>
      <w:r>
        <w:rPr>
          <w:rFonts w:ascii="Arial" w:hAnsi="Arial" w:eastAsia="等线" w:cs="Arial"/>
          <w:sz w:val="22"/>
        </w:rPr>
        <w:t>不得诱导投资者在“临界点下方”申购（如诱导客户申购2.3万美元而非2.5万美元，以规避折扣获取更高佣金）。</w:t>
      </w:r>
    </w:p>
    <w:p w14:paraId="31857498">
      <w:pPr>
        <w:spacing w:before="120" w:after="120" w:line="288" w:lineRule="auto"/>
        <w:ind w:left="0"/>
        <w:jc w:val="left"/>
      </w:pPr>
    </w:p>
    <w:p w14:paraId="688FD44C">
      <w:pPr>
        <w:numPr>
          <w:ilvl w:val="0"/>
          <w:numId w:val="37"/>
        </w:numPr>
        <w:spacing w:before="120" w:after="120" w:line="288" w:lineRule="auto"/>
        <w:ind w:left="0"/>
        <w:jc w:val="left"/>
      </w:pPr>
      <w:r>
        <w:rPr>
          <w:rFonts w:ascii="Arial" w:hAnsi="Arial" w:eastAsia="等线" w:cs="Arial"/>
          <w:b/>
          <w:sz w:val="22"/>
        </w:rPr>
        <w:t>积累权（Rights of Accumulation，ROA）</w:t>
      </w:r>
    </w:p>
    <w:p w14:paraId="437D072E">
      <w:pPr>
        <w:spacing w:before="120" w:after="120" w:line="288" w:lineRule="auto"/>
        <w:ind w:left="0"/>
        <w:jc w:val="left"/>
      </w:pPr>
      <w:r>
        <w:rPr>
          <w:rFonts w:ascii="Arial" w:hAnsi="Arial" w:eastAsia="等线" w:cs="Arial"/>
          <w:sz w:val="22"/>
        </w:rPr>
        <w:t>投资者当前申购金额可与“已持有的基金市值”（按当前价格计算，非申购价）合并计算，满足临界点即可享受折扣，无时间限制。</w:t>
      </w:r>
    </w:p>
    <w:p w14:paraId="0AED0F40">
      <w:pPr>
        <w:spacing w:before="120" w:after="120" w:line="288" w:lineRule="auto"/>
        <w:ind w:left="0"/>
        <w:jc w:val="left"/>
      </w:pPr>
    </w:p>
    <w:p w14:paraId="1479CE2F">
      <w:pPr>
        <w:numPr>
          <w:ilvl w:val="0"/>
          <w:numId w:val="38"/>
        </w:numPr>
        <w:spacing w:before="120" w:after="120" w:line="288" w:lineRule="auto"/>
        <w:ind w:left="0"/>
        <w:jc w:val="left"/>
      </w:pPr>
      <w:r>
        <w:rPr>
          <w:rFonts w:ascii="Arial" w:hAnsi="Arial" w:eastAsia="等线" w:cs="Arial"/>
          <w:b/>
          <w:sz w:val="22"/>
        </w:rPr>
        <w:t>认购意向书（Letter of Intent，LOI）</w:t>
      </w:r>
    </w:p>
    <w:p w14:paraId="402AB7C7">
      <w:pPr>
        <w:spacing w:before="120" w:after="120" w:line="288" w:lineRule="auto"/>
        <w:ind w:left="0"/>
        <w:jc w:val="left"/>
      </w:pPr>
      <w:r>
        <w:rPr>
          <w:rFonts w:ascii="Arial" w:hAnsi="Arial" w:eastAsia="等线" w:cs="Arial"/>
          <w:sz w:val="22"/>
        </w:rPr>
        <w:t>投资者承诺在13个月内累计申购达到临界点，可立即享受对应折扣，无需等待全额到账。</w:t>
      </w:r>
    </w:p>
    <w:p w14:paraId="10862ABF">
      <w:pPr>
        <w:spacing w:before="120" w:after="120" w:line="288" w:lineRule="auto"/>
        <w:ind w:left="0"/>
        <w:jc w:val="left"/>
      </w:pPr>
    </w:p>
    <w:p w14:paraId="4DB00127">
      <w:pPr>
        <w:spacing w:before="120" w:after="120" w:line="288" w:lineRule="auto"/>
        <w:ind w:left="0"/>
        <w:jc w:val="left"/>
      </w:pPr>
      <w:r>
        <w:rPr>
          <w:rFonts w:ascii="Arial" w:hAnsi="Arial" w:eastAsia="等线" w:cs="Arial"/>
          <w:b/>
          <w:sz w:val="22"/>
        </w:rPr>
        <w:t>关键规则</w:t>
      </w:r>
      <w:r>
        <w:rPr>
          <w:rFonts w:ascii="Arial" w:hAnsi="Arial" w:eastAsia="等线" w:cs="Arial"/>
          <w:sz w:val="22"/>
        </w:rPr>
        <w:t>：</w:t>
      </w:r>
    </w:p>
    <w:p w14:paraId="74608C20">
      <w:pPr>
        <w:numPr>
          <w:ilvl w:val="0"/>
          <w:numId w:val="39"/>
        </w:numPr>
        <w:spacing w:before="120" w:after="120" w:line="288" w:lineRule="auto"/>
        <w:ind w:left="0"/>
        <w:jc w:val="left"/>
      </w:pPr>
      <w:r>
        <w:rPr>
          <w:rFonts w:ascii="Arial" w:hAnsi="Arial" w:eastAsia="等线" w:cs="Arial"/>
          <w:sz w:val="22"/>
        </w:rPr>
        <w:t>投资者在首次存款后的13个月内，需满足意向书的条款，以维持降低的销售费用。</w:t>
      </w:r>
    </w:p>
    <w:p w14:paraId="6710C563">
      <w:pPr>
        <w:numPr>
          <w:ilvl w:val="0"/>
          <w:numId w:val="40"/>
        </w:numPr>
        <w:spacing w:before="120" w:after="120" w:line="288" w:lineRule="auto"/>
        <w:ind w:left="0"/>
        <w:jc w:val="left"/>
      </w:pPr>
      <w:r>
        <w:rPr>
          <w:rFonts w:ascii="Arial" w:hAnsi="Arial" w:eastAsia="等线" w:cs="Arial"/>
          <w:sz w:val="22"/>
        </w:rPr>
        <w:t>意向书可追溯至最多90天前，这意味着它可能适用于先前的购买行为。但请记住，如果意向书适用于先前的购买，那么13个月的期限将从该先前交易的日期开始计算。</w:t>
      </w:r>
    </w:p>
    <w:p w14:paraId="2F548A16">
      <w:pPr>
        <w:numPr>
          <w:ilvl w:val="0"/>
          <w:numId w:val="41"/>
        </w:numPr>
        <w:spacing w:before="120" w:after="120" w:line="288" w:lineRule="auto"/>
        <w:ind w:left="0"/>
        <w:jc w:val="left"/>
      </w:pPr>
      <w:r>
        <w:rPr>
          <w:rFonts w:ascii="Arial" w:hAnsi="Arial" w:eastAsia="等线" w:cs="Arial"/>
          <w:sz w:val="22"/>
        </w:rPr>
        <w:t>未达标时，基金公司会通过托管份额（Escrow Shares）抵扣差额销售费。</w:t>
      </w:r>
    </w:p>
    <w:p w14:paraId="01761812">
      <w:pPr>
        <w:numPr>
          <w:ilvl w:val="0"/>
          <w:numId w:val="42"/>
        </w:numPr>
        <w:spacing w:before="120" w:after="120" w:line="288" w:lineRule="auto"/>
        <w:ind w:left="0"/>
        <w:jc w:val="left"/>
      </w:pPr>
      <w:r>
        <w:rPr>
          <w:rFonts w:ascii="Arial" w:hAnsi="Arial" w:eastAsia="等线" w:cs="Arial"/>
          <w:sz w:val="22"/>
        </w:rPr>
        <w:t>投资者可随时赎回份额，不受 LOI 约束。</w:t>
      </w:r>
    </w:p>
    <w:tbl>
      <w:tblPr>
        <w:tblStyle w:val="2"/>
        <w:tblW w:w="0" w:type="auto"/>
        <w:tblInd w:w="0" w:type="dxa"/>
        <w:tblBorders>
          <w:top w:val="single" w:color="B7EDB1" w:sz="0" w:space="0"/>
          <w:left w:val="single" w:color="B7EDB1" w:sz="0" w:space="0"/>
          <w:bottom w:val="single" w:color="B7EDB1" w:sz="0" w:space="0"/>
          <w:right w:val="single" w:color="B7EDB1" w:sz="0" w:space="0"/>
          <w:insideH w:val="single" w:color="B7EDB1" w:sz="0" w:space="0"/>
          <w:insideV w:val="single" w:color="B7EDB1" w:sz="0" w:space="0"/>
        </w:tblBorders>
        <w:tblLayout w:type="fixed"/>
        <w:tblCellMar>
          <w:top w:w="0" w:type="dxa"/>
          <w:left w:w="10" w:type="dxa"/>
          <w:bottom w:w="0" w:type="dxa"/>
          <w:right w:w="10" w:type="dxa"/>
        </w:tblCellMar>
      </w:tblPr>
      <w:tblGrid>
        <w:gridCol w:w="8280"/>
      </w:tblGrid>
      <w:tr w14:paraId="463EF69C">
        <w:tblPrEx>
          <w:tblBorders>
            <w:top w:val="single" w:color="B7EDB1" w:sz="0" w:space="0"/>
            <w:left w:val="single" w:color="B7EDB1" w:sz="0" w:space="0"/>
            <w:bottom w:val="single" w:color="B7EDB1" w:sz="0" w:space="0"/>
            <w:right w:val="single" w:color="B7EDB1" w:sz="0" w:space="0"/>
            <w:insideH w:val="single" w:color="B7EDB1" w:sz="0" w:space="0"/>
            <w:insideV w:val="single" w:color="B7EDB1"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10D2FFBB">
            <w:pPr>
              <w:numPr>
                <w:ilvl w:val="0"/>
                <w:numId w:val="43"/>
              </w:numPr>
              <w:spacing w:before="120" w:after="120" w:line="288" w:lineRule="auto"/>
              <w:ind w:left="0"/>
              <w:jc w:val="left"/>
            </w:pPr>
            <w:r>
              <w:rPr>
                <w:rFonts w:ascii="Arial" w:hAnsi="Arial" w:eastAsia="等线" w:cs="Arial"/>
                <w:sz w:val="22"/>
              </w:rPr>
              <w:t>Which of the following is TRUE about a letter of intent?</w:t>
            </w:r>
          </w:p>
          <w:p w14:paraId="233E0DEF">
            <w:pPr>
              <w:spacing w:before="120" w:after="120" w:line="288" w:lineRule="auto"/>
              <w:ind w:left="0"/>
              <w:jc w:val="left"/>
            </w:pPr>
            <w:r>
              <w:rPr>
                <w:rFonts w:ascii="Arial" w:hAnsi="Arial" w:eastAsia="等线" w:cs="Arial"/>
                <w:sz w:val="22"/>
              </w:rPr>
              <w:t>I. It remains in effect for 13 months.</w:t>
            </w:r>
          </w:p>
          <w:p w14:paraId="7A5E3270">
            <w:pPr>
              <w:spacing w:before="120" w:after="120" w:line="288" w:lineRule="auto"/>
              <w:ind w:left="0"/>
              <w:jc w:val="left"/>
            </w:pPr>
            <w:r>
              <w:rPr>
                <w:rFonts w:ascii="Arial" w:hAnsi="Arial" w:eastAsia="等线" w:cs="Arial"/>
                <w:sz w:val="22"/>
              </w:rPr>
              <w:t>II. It may be backdated for up to 90 days.</w:t>
            </w:r>
          </w:p>
          <w:p w14:paraId="0CB3A799">
            <w:pPr>
              <w:spacing w:before="120" w:after="120" w:line="288" w:lineRule="auto"/>
              <w:ind w:left="0"/>
              <w:jc w:val="left"/>
            </w:pPr>
            <w:r>
              <w:rPr>
                <w:rFonts w:ascii="Arial" w:hAnsi="Arial" w:eastAsia="等线" w:cs="Arial"/>
                <w:sz w:val="22"/>
              </w:rPr>
              <w:t>III. Shares may be held in escrow.</w:t>
            </w:r>
          </w:p>
          <w:p w14:paraId="0F2BCF76">
            <w:pPr>
              <w:spacing w:before="120" w:after="120" w:line="288" w:lineRule="auto"/>
              <w:ind w:left="0"/>
              <w:jc w:val="left"/>
            </w:pPr>
            <w:r>
              <w:rPr>
                <w:rFonts w:ascii="Arial" w:hAnsi="Arial" w:eastAsia="等线" w:cs="Arial"/>
                <w:sz w:val="22"/>
              </w:rPr>
              <w:t>(A) I and II</w:t>
            </w:r>
          </w:p>
          <w:p w14:paraId="52900062">
            <w:pPr>
              <w:spacing w:before="120" w:after="120" w:line="288" w:lineRule="auto"/>
              <w:ind w:left="0"/>
              <w:jc w:val="left"/>
            </w:pPr>
            <w:r>
              <w:rPr>
                <w:rFonts w:ascii="Arial" w:hAnsi="Arial" w:eastAsia="等线" w:cs="Arial"/>
                <w:sz w:val="22"/>
              </w:rPr>
              <w:t>(B) I and III</w:t>
            </w:r>
          </w:p>
          <w:p w14:paraId="3EA30F5E">
            <w:pPr>
              <w:spacing w:before="120" w:after="120" w:line="288" w:lineRule="auto"/>
              <w:ind w:left="0"/>
              <w:jc w:val="left"/>
            </w:pPr>
            <w:r>
              <w:rPr>
                <w:rFonts w:ascii="Arial" w:hAnsi="Arial" w:eastAsia="等线" w:cs="Arial"/>
                <w:sz w:val="22"/>
              </w:rPr>
              <w:t>(C) II and III</w:t>
            </w:r>
          </w:p>
          <w:p w14:paraId="5DD4A7B1">
            <w:pPr>
              <w:spacing w:before="120" w:after="120" w:line="288" w:lineRule="auto"/>
              <w:ind w:left="0"/>
              <w:jc w:val="left"/>
            </w:pPr>
            <w:r>
              <w:rPr>
                <w:rFonts w:ascii="Arial" w:hAnsi="Arial" w:eastAsia="等线" w:cs="Arial"/>
                <w:sz w:val="22"/>
              </w:rPr>
              <w:t>(D) I, II, and III</w:t>
            </w:r>
          </w:p>
        </w:tc>
      </w:tr>
    </w:tbl>
    <w:p w14:paraId="0031C8C6">
      <w:pPr>
        <w:spacing w:before="120" w:after="120" w:line="288" w:lineRule="auto"/>
        <w:ind w:left="0"/>
        <w:jc w:val="left"/>
      </w:pPr>
    </w:p>
    <w:p w14:paraId="68C609D4">
      <w:pPr>
        <w:spacing w:before="240" w:after="120" w:line="288" w:lineRule="auto"/>
        <w:ind w:left="0"/>
        <w:jc w:val="left"/>
        <w:outlineLvl w:val="4"/>
      </w:pPr>
      <w:bookmarkStart w:id="14" w:name="heading_14"/>
      <w:r>
        <w:rPr>
          <w:rFonts w:ascii="Arial" w:hAnsi="Arial" w:eastAsia="等线" w:cs="Arial"/>
          <w:b/>
          <w:sz w:val="24"/>
        </w:rPr>
        <w:t>（3）计算开放式基金的销售费用和公开发行价格（考试必掌握）</w:t>
      </w:r>
      <w:bookmarkEnd w:id="14"/>
    </w:p>
    <w:p w14:paraId="42042934">
      <w:pPr>
        <w:numPr>
          <w:ilvl w:val="0"/>
          <w:numId w:val="44"/>
        </w:numPr>
        <w:spacing w:before="120" w:after="120" w:line="288" w:lineRule="auto"/>
        <w:ind w:left="0"/>
        <w:jc w:val="left"/>
      </w:pPr>
      <w:r>
        <w:rPr>
          <w:rFonts w:ascii="Arial" w:hAnsi="Arial" w:eastAsia="等线" w:cs="Arial"/>
          <w:b/>
          <w:sz w:val="22"/>
        </w:rPr>
        <w:t>销售费率（Sales Charge %）</w:t>
      </w:r>
    </w:p>
    <w:p w14:paraId="1F27FE0D">
      <w:pPr>
        <w:spacing w:before="120" w:after="120" w:line="288" w:lineRule="auto"/>
        <w:ind w:left="0"/>
        <w:jc w:val="left"/>
      </w:pPr>
      <w:r>
        <w:rPr>
          <w:rFonts w:ascii="Arial" w:hAnsi="Arial" w:eastAsia="等线" w:cs="Arial"/>
          <w:sz w:val="22"/>
        </w:rPr>
        <w:t>销售费率最高为8.5%，销售费已包含在申购价（POP）中，公式为:</w:t>
      </w:r>
    </w:p>
    <w:p w14:paraId="443BBE79">
      <w:pPr>
        <w:spacing w:before="120" w:after="120" w:line="288" w:lineRule="auto"/>
        <w:ind w:left="0"/>
        <w:jc w:val="left"/>
      </w:pPr>
      <m:oMathPara>
        <m:oMath>
          <m:r>
            <m:rPr/>
            <w:rPr>
              <w:rFonts w:ascii="Cambria Math" w:hAnsi="Cambria Math"/>
            </w:rPr>
            <m:t>SalesCharge %=</m:t>
          </m:r>
          <m:f>
            <m:fPr/>
            <m:num>
              <m:r>
                <m:rPr/>
                <w:rPr>
                  <w:rFonts w:ascii="Cambria Math" w:hAnsi="Cambria Math"/>
                </w:rPr>
                <m:t>POP−NAV</m:t>
              </m:r>
            </m:num>
            <m:den>
              <m:r>
                <m:rPr/>
                <w:rPr>
                  <w:rFonts w:ascii="Cambria Math" w:hAnsi="Cambria Math"/>
                </w:rPr>
                <m:t>POP</m:t>
              </m:r>
            </m:den>
          </m:f>
        </m:oMath>
      </m:oMathPara>
    </w:p>
    <w:p w14:paraId="3BFD0E8E">
      <w:pPr>
        <w:numPr>
          <w:ilvl w:val="0"/>
          <w:numId w:val="45"/>
        </w:numPr>
        <w:spacing w:before="120" w:after="120" w:line="288" w:lineRule="auto"/>
        <w:ind w:left="0"/>
        <w:jc w:val="left"/>
      </w:pPr>
      <w:r>
        <w:rPr>
          <w:rFonts w:ascii="Arial" w:hAnsi="Arial" w:eastAsia="等线" w:cs="Arial"/>
          <w:b/>
          <w:sz w:val="22"/>
        </w:rPr>
        <w:t>申购价（POP）</w:t>
      </w:r>
      <w:r>
        <w:rPr>
          <w:rFonts w:ascii="Arial" w:hAnsi="Arial" w:eastAsia="等线" w:cs="Arial"/>
          <w:sz w:val="22"/>
        </w:rPr>
        <w:t>：已知 NAV 和销售费率时，公式为：</w:t>
      </w:r>
    </w:p>
    <w:p w14:paraId="602D6C27">
      <w:pPr>
        <w:spacing w:before="120" w:after="120" w:line="288" w:lineRule="auto"/>
        <w:ind w:left="0"/>
        <w:jc w:val="left"/>
      </w:pPr>
      <m:oMathPara>
        <m:oMath>
          <m:r>
            <m:rPr/>
            <w:rPr>
              <w:rFonts w:ascii="Cambria Math" w:hAnsi="Cambria Math"/>
            </w:rPr>
            <m:t>POP=</m:t>
          </m:r>
          <m:f>
            <m:fPr/>
            <m:num>
              <m:r>
                <m:rPr/>
                <w:rPr>
                  <w:rFonts w:ascii="Cambria Math" w:hAnsi="Cambria Math"/>
                </w:rPr>
                <m:t>NAV</m:t>
              </m:r>
            </m:num>
            <m:den>
              <m:r>
                <m:rPr/>
                <w:rPr>
                  <w:rFonts w:ascii="Cambria Math" w:hAnsi="Cambria Math"/>
                </w:rPr>
                <m:t>100%−SalesCharge %</m:t>
              </m:r>
            </m:den>
          </m:f>
        </m:oMath>
      </m:oMathPara>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0581D8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00CA6DA7">
            <w:pPr>
              <w:spacing w:before="120" w:after="120" w:line="288" w:lineRule="auto"/>
              <w:ind w:left="0"/>
              <w:jc w:val="left"/>
            </w:pPr>
            <w:r>
              <w:rPr>
                <w:rFonts w:ascii="Arial" w:hAnsi="Arial" w:eastAsia="等线" w:cs="Arial"/>
                <w:sz w:val="22"/>
              </w:rPr>
              <w:t>习题：（答案在本文最后）</w:t>
            </w:r>
          </w:p>
          <w:p w14:paraId="710BFA55">
            <w:pPr>
              <w:numPr>
                <w:ilvl w:val="0"/>
                <w:numId w:val="46"/>
              </w:numPr>
              <w:spacing w:before="120" w:after="120" w:line="288" w:lineRule="auto"/>
              <w:ind w:left="0"/>
              <w:jc w:val="left"/>
            </w:pPr>
            <w:r>
              <w:rPr>
                <w:rFonts w:ascii="Arial" w:hAnsi="Arial" w:eastAsia="等线" w:cs="Arial"/>
                <w:sz w:val="22"/>
              </w:rPr>
              <w:t>ABC Aggressive Growth Fund has a net asset value of $9.60 and a public offering price of $10.00.</w:t>
            </w:r>
          </w:p>
          <w:p w14:paraId="0D692DAD">
            <w:pPr>
              <w:spacing w:before="120" w:after="120" w:line="288" w:lineRule="auto"/>
              <w:ind w:left="0"/>
              <w:jc w:val="left"/>
            </w:pPr>
            <w:r>
              <w:rPr>
                <w:rFonts w:ascii="Arial" w:hAnsi="Arial" w:eastAsia="等线" w:cs="Arial"/>
                <w:sz w:val="22"/>
              </w:rPr>
              <w:t>What is the sales charge percent?</w:t>
            </w:r>
          </w:p>
          <w:p w14:paraId="5F6419FC">
            <w:pPr>
              <w:spacing w:before="120" w:after="120" w:line="288" w:lineRule="auto"/>
              <w:ind w:left="0"/>
              <w:jc w:val="left"/>
            </w:pPr>
            <w:r>
              <w:rPr>
                <w:rFonts w:ascii="Arial" w:hAnsi="Arial" w:eastAsia="等线" w:cs="Arial"/>
                <w:sz w:val="22"/>
              </w:rPr>
              <w:t>(A) 3.4 percent</w:t>
            </w:r>
          </w:p>
          <w:p w14:paraId="1D1EE738">
            <w:pPr>
              <w:spacing w:before="120" w:after="120" w:line="288" w:lineRule="auto"/>
              <w:ind w:left="0"/>
              <w:jc w:val="left"/>
            </w:pPr>
            <w:r>
              <w:rPr>
                <w:rFonts w:ascii="Arial" w:hAnsi="Arial" w:eastAsia="等线" w:cs="Arial"/>
                <w:sz w:val="22"/>
              </w:rPr>
              <w:t>(B) 3.75 percent</w:t>
            </w:r>
          </w:p>
          <w:p w14:paraId="0CE00F4F">
            <w:pPr>
              <w:spacing w:before="120" w:after="120" w:line="288" w:lineRule="auto"/>
              <w:ind w:left="0"/>
              <w:jc w:val="left"/>
            </w:pPr>
            <w:r>
              <w:rPr>
                <w:rFonts w:ascii="Arial" w:hAnsi="Arial" w:eastAsia="等线" w:cs="Arial"/>
                <w:sz w:val="22"/>
              </w:rPr>
              <w:t>(C) 4 percent</w:t>
            </w:r>
          </w:p>
          <w:p w14:paraId="3F3F203E">
            <w:pPr>
              <w:spacing w:before="120" w:after="120" w:line="288" w:lineRule="auto"/>
              <w:ind w:left="0"/>
              <w:jc w:val="left"/>
            </w:pPr>
            <w:r>
              <w:rPr>
                <w:rFonts w:ascii="Arial" w:hAnsi="Arial" w:eastAsia="等线" w:cs="Arial"/>
                <w:sz w:val="22"/>
              </w:rPr>
              <w:t>(D) 4.35 percent</w:t>
            </w:r>
          </w:p>
          <w:p w14:paraId="1057B54B">
            <w:pPr>
              <w:spacing w:before="120" w:after="120" w:line="288" w:lineRule="auto"/>
              <w:ind w:left="0"/>
              <w:jc w:val="left"/>
            </w:pPr>
          </w:p>
          <w:p w14:paraId="1F1AF885">
            <w:pPr>
              <w:numPr>
                <w:ilvl w:val="0"/>
                <w:numId w:val="47"/>
              </w:numPr>
              <w:spacing w:before="120" w:after="120" w:line="288" w:lineRule="auto"/>
              <w:ind w:left="0"/>
              <w:jc w:val="left"/>
            </w:pPr>
            <w:r>
              <w:rPr>
                <w:rFonts w:ascii="Arial" w:hAnsi="Arial" w:eastAsia="等线" w:cs="Arial"/>
                <w:sz w:val="22"/>
              </w:rPr>
              <w:t>TUV Balanced Fund has a net asset value of $21.40 and a public offering price of $22.60. What is</w:t>
            </w:r>
          </w:p>
          <w:p w14:paraId="2CC5468C">
            <w:pPr>
              <w:spacing w:before="120" w:after="120" w:line="288" w:lineRule="auto"/>
              <w:ind w:left="0"/>
              <w:jc w:val="left"/>
            </w:pPr>
            <w:r>
              <w:rPr>
                <w:rFonts w:ascii="Arial" w:hAnsi="Arial" w:eastAsia="等线" w:cs="Arial"/>
                <w:sz w:val="22"/>
              </w:rPr>
              <w:t>the sales charge percent?</w:t>
            </w:r>
          </w:p>
          <w:p w14:paraId="38C0DA16">
            <w:pPr>
              <w:spacing w:before="120" w:after="120" w:line="288" w:lineRule="auto"/>
              <w:ind w:left="0"/>
              <w:jc w:val="left"/>
            </w:pPr>
            <w:r>
              <w:rPr>
                <w:rFonts w:ascii="Arial" w:hAnsi="Arial" w:eastAsia="等线" w:cs="Arial"/>
                <w:sz w:val="22"/>
              </w:rPr>
              <w:t>(A) 5.15 percent</w:t>
            </w:r>
          </w:p>
          <w:p w14:paraId="655E9F5F">
            <w:pPr>
              <w:spacing w:before="120" w:after="120" w:line="288" w:lineRule="auto"/>
              <w:ind w:left="0"/>
              <w:jc w:val="left"/>
            </w:pPr>
            <w:r>
              <w:rPr>
                <w:rFonts w:ascii="Arial" w:hAnsi="Arial" w:eastAsia="等线" w:cs="Arial"/>
                <w:sz w:val="22"/>
              </w:rPr>
              <w:t>(B) 5.30 percent</w:t>
            </w:r>
          </w:p>
          <w:p w14:paraId="75B9289A">
            <w:pPr>
              <w:spacing w:before="120" w:after="120" w:line="288" w:lineRule="auto"/>
              <w:ind w:left="0"/>
              <w:jc w:val="left"/>
            </w:pPr>
            <w:r>
              <w:rPr>
                <w:rFonts w:ascii="Arial" w:hAnsi="Arial" w:eastAsia="等线" w:cs="Arial"/>
                <w:sz w:val="22"/>
              </w:rPr>
              <w:t>(C) 5.60 percent</w:t>
            </w:r>
          </w:p>
          <w:p w14:paraId="148BBB4D">
            <w:pPr>
              <w:spacing w:before="120" w:after="120" w:line="288" w:lineRule="auto"/>
              <w:ind w:left="0"/>
              <w:jc w:val="left"/>
            </w:pPr>
            <w:r>
              <w:rPr>
                <w:rFonts w:ascii="Arial" w:hAnsi="Arial" w:eastAsia="等线" w:cs="Arial"/>
                <w:sz w:val="22"/>
              </w:rPr>
              <w:t>(D) 5.66 percent</w:t>
            </w:r>
          </w:p>
        </w:tc>
      </w:tr>
    </w:tbl>
    <w:p w14:paraId="2F2162AB">
      <w:pPr>
        <w:spacing w:before="240" w:after="120" w:line="288" w:lineRule="auto"/>
        <w:ind w:left="0"/>
        <w:jc w:val="left"/>
        <w:outlineLvl w:val="4"/>
      </w:pPr>
      <w:bookmarkStart w:id="15" w:name="heading_15"/>
      <w:r>
        <w:rPr>
          <w:rFonts w:ascii="Arial" w:hAnsi="Arial" w:eastAsia="等线" w:cs="Arial"/>
          <w:b/>
          <w:sz w:val="24"/>
        </w:rPr>
        <w:t>（4）基金费用收取方式</w:t>
      </w:r>
      <w:bookmarkEnd w:id="15"/>
    </w:p>
    <w:p w14:paraId="400319FE">
      <w:pPr>
        <w:spacing w:before="120" w:after="120" w:line="288" w:lineRule="auto"/>
        <w:ind w:left="0"/>
        <w:jc w:val="left"/>
      </w:pPr>
      <w:r>
        <w:rPr>
          <w:rFonts w:ascii="Arial" w:hAnsi="Arial" w:eastAsia="等线" w:cs="Arial"/>
          <w:sz w:val="22"/>
        </w:rPr>
        <w:t>大多数基金在购买时预先收取，有些则持续收取，还有些在赎回时收取，而有些则完全不收取佣金。</w:t>
      </w:r>
    </w:p>
    <w:p w14:paraId="118B9231">
      <w:pPr>
        <w:spacing w:before="120" w:after="120" w:line="288" w:lineRule="auto"/>
        <w:ind w:left="0"/>
        <w:jc w:val="left"/>
      </w:pPr>
    </w:p>
    <w:p w14:paraId="12487ACB">
      <w:pPr>
        <w:spacing w:before="120" w:after="120" w:line="288" w:lineRule="auto"/>
        <w:ind w:left="0"/>
        <w:jc w:val="left"/>
      </w:pPr>
      <w:r>
        <w:rPr>
          <w:rFonts w:ascii="Arial" w:hAnsi="Arial" w:eastAsia="等线" w:cs="Arial"/>
          <w:sz w:val="22"/>
        </w:rPr>
        <w:t>共同基金收费方式有如下几类：</w:t>
      </w:r>
    </w:p>
    <w:p w14:paraId="7E40AB91">
      <w:pPr>
        <w:numPr>
          <w:ilvl w:val="0"/>
          <w:numId w:val="48"/>
        </w:numPr>
        <w:spacing w:before="120" w:after="120" w:line="288" w:lineRule="auto"/>
        <w:ind w:left="0"/>
        <w:jc w:val="left"/>
      </w:pPr>
      <w:r>
        <w:rPr>
          <w:rFonts w:ascii="Arial" w:hAnsi="Arial" w:eastAsia="等线" w:cs="Arial"/>
          <w:sz w:val="22"/>
        </w:rPr>
        <w:t>A类（前端收费）class A Front-end Load</w:t>
      </w:r>
    </w:p>
    <w:p w14:paraId="739B8316">
      <w:pPr>
        <w:spacing w:before="120" w:after="120" w:line="288" w:lineRule="auto"/>
        <w:ind w:left="0"/>
        <w:jc w:val="left"/>
      </w:pPr>
      <w:r>
        <w:rPr>
          <w:rFonts w:ascii="Arial" w:hAnsi="Arial" w:eastAsia="等线" w:cs="Arial"/>
          <w:sz w:val="22"/>
        </w:rPr>
        <w:t>投资者在购买基金份额时支付手续费。这类基金通常更适合长期投资者，因为它们的费用率通常较低，而且对于大额购买设有临界点。</w:t>
      </w:r>
    </w:p>
    <w:p w14:paraId="406F4452">
      <w:pPr>
        <w:spacing w:before="120" w:after="120" w:line="288" w:lineRule="auto"/>
        <w:ind w:left="0"/>
        <w:jc w:val="left"/>
      </w:pPr>
    </w:p>
    <w:p w14:paraId="3ACE7BCF">
      <w:pPr>
        <w:numPr>
          <w:ilvl w:val="0"/>
          <w:numId w:val="49"/>
        </w:numPr>
        <w:spacing w:before="120" w:after="120" w:line="288" w:lineRule="auto"/>
        <w:ind w:left="0"/>
        <w:jc w:val="left"/>
      </w:pPr>
      <w:r>
        <w:rPr>
          <w:rFonts w:ascii="Arial" w:hAnsi="Arial" w:eastAsia="等线" w:cs="Arial"/>
          <w:sz w:val="22"/>
        </w:rPr>
        <w:t>B类（后端收费）Class B (back-end load)</w:t>
      </w:r>
    </w:p>
    <w:p w14:paraId="21CC254B">
      <w:pPr>
        <w:spacing w:before="120" w:after="120" w:line="288" w:lineRule="auto"/>
        <w:ind w:left="0"/>
        <w:jc w:val="left"/>
      </w:pPr>
      <w:r>
        <w:rPr>
          <w:rFonts w:ascii="Arial" w:hAnsi="Arial" w:eastAsia="等线" w:cs="Arial"/>
          <w:sz w:val="22"/>
        </w:rPr>
        <w:t>投资者在赎回基金份额时支付手续费。这类基金的费用率高于A类，但如果持有多年，通常会转为A类。目前，很少有共同基金公司提供B类份额。</w:t>
      </w:r>
    </w:p>
    <w:p w14:paraId="012A2B32">
      <w:pPr>
        <w:spacing w:before="120" w:after="120" w:line="288" w:lineRule="auto"/>
        <w:ind w:left="0"/>
        <w:jc w:val="left"/>
      </w:pPr>
    </w:p>
    <w:p w14:paraId="062367F3">
      <w:pPr>
        <w:numPr>
          <w:ilvl w:val="0"/>
          <w:numId w:val="50"/>
        </w:numPr>
        <w:spacing w:before="120" w:after="120" w:line="288" w:lineRule="auto"/>
        <w:ind w:left="0"/>
        <w:jc w:val="left"/>
      </w:pPr>
      <w:r>
        <w:rPr>
          <w:rFonts w:ascii="Arial" w:hAnsi="Arial" w:eastAsia="等线" w:cs="Arial"/>
          <w:sz w:val="22"/>
        </w:rPr>
        <w:t>C类（水平收费）Class C (level load)</w:t>
      </w:r>
    </w:p>
    <w:p w14:paraId="5A8AB190">
      <w:pPr>
        <w:spacing w:before="120" w:after="120" w:line="288" w:lineRule="auto"/>
        <w:ind w:left="0"/>
        <w:jc w:val="left"/>
      </w:pPr>
      <w:r>
        <w:rPr>
          <w:rFonts w:ascii="Arial" w:hAnsi="Arial" w:eastAsia="等线" w:cs="Arial"/>
          <w:sz w:val="22"/>
        </w:rPr>
        <w:t>投资者在持有基金期间需支付定期费用（通常为每年一次）。这类基金的费用比率高于A类基金，并且设有赎回费，该费用通常在一两年后免除。</w:t>
      </w:r>
      <w:r>
        <w:rPr>
          <w:rFonts w:ascii="Arial" w:hAnsi="Arial" w:eastAsia="等线" w:cs="Arial"/>
          <w:b/>
          <w:sz w:val="22"/>
        </w:rPr>
        <w:t>短期投资者的最佳选择</w:t>
      </w:r>
      <w:r>
        <w:rPr>
          <w:rFonts w:ascii="Arial" w:hAnsi="Arial" w:eastAsia="等线" w:cs="Arial"/>
          <w:sz w:val="22"/>
        </w:rPr>
        <w:t>。</w:t>
      </w:r>
    </w:p>
    <w:p w14:paraId="4363897B">
      <w:pPr>
        <w:spacing w:before="120" w:after="120" w:line="288" w:lineRule="auto"/>
        <w:ind w:left="0"/>
        <w:jc w:val="left"/>
      </w:pPr>
    </w:p>
    <w:p w14:paraId="6B0316EB">
      <w:pPr>
        <w:numPr>
          <w:ilvl w:val="0"/>
          <w:numId w:val="51"/>
        </w:numPr>
        <w:spacing w:before="120" w:after="120" w:line="288" w:lineRule="auto"/>
        <w:ind w:left="0"/>
        <w:jc w:val="left"/>
      </w:pPr>
      <w:r>
        <w:rPr>
          <w:rFonts w:ascii="Arial" w:hAnsi="Arial" w:eastAsia="等线" w:cs="Arial"/>
          <w:sz w:val="22"/>
        </w:rPr>
        <w:t>无销售费用（No-load）</w:t>
      </w:r>
    </w:p>
    <w:p w14:paraId="4E957040">
      <w:pPr>
        <w:spacing w:before="120" w:after="120" w:line="288" w:lineRule="auto"/>
        <w:ind w:left="0"/>
        <w:jc w:val="left"/>
      </w:pPr>
      <w:r>
        <w:rPr>
          <w:rFonts w:ascii="Arial" w:hAnsi="Arial" w:eastAsia="等线" w:cs="Arial"/>
          <w:sz w:val="22"/>
        </w:rPr>
        <w:t>投资者无需支付销售费用，但可能需要支付某种交易费用。与有销售费用的共同基金不同，无销售费用基金收取的12b-1费用不得超过25个基点（0.25%）。</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869C3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007E9A2C">
            <w:pPr>
              <w:spacing w:before="120" w:after="120" w:line="288" w:lineRule="auto"/>
              <w:ind w:left="0"/>
              <w:jc w:val="left"/>
            </w:pPr>
            <w:r>
              <w:rPr>
                <w:rFonts w:ascii="Arial" w:hAnsi="Arial" w:eastAsia="等线" w:cs="Arial"/>
                <w:sz w:val="22"/>
              </w:rPr>
              <w:t xml:space="preserve">12b-1 费用是基金行业的核心运营费用之一，名称源于美国《1940 年投资公司法》的 </w:t>
            </w:r>
            <w:r>
              <w:rPr>
                <w:rFonts w:ascii="Arial" w:hAnsi="Arial" w:eastAsia="等线" w:cs="Arial"/>
                <w:b/>
                <w:sz w:val="22"/>
              </w:rPr>
              <w:t>Rule 12b-1。</w:t>
            </w:r>
            <w:r>
              <w:rPr>
                <w:rFonts w:ascii="Arial" w:hAnsi="Arial" w:eastAsia="等线" w:cs="Arial"/>
                <w:sz w:val="22"/>
              </w:rPr>
              <w:t>这笔费用会直接计入基金的</w:t>
            </w:r>
            <w:r>
              <w:rPr>
                <w:rFonts w:ascii="Arial" w:hAnsi="Arial" w:eastAsia="等线" w:cs="Arial"/>
                <w:b/>
                <w:sz w:val="22"/>
              </w:rPr>
              <w:t>费用比率（expense ratio）</w:t>
            </w:r>
            <w:r>
              <w:rPr>
                <w:rFonts w:ascii="Arial" w:hAnsi="Arial" w:eastAsia="等线" w:cs="Arial"/>
                <w:sz w:val="22"/>
              </w:rPr>
              <w:t>，从基金资产中扣除，无需投资者单独支付，用于覆盖与 “基金销售、推广及投资者服务” 相关的开支。</w:t>
            </w:r>
          </w:p>
        </w:tc>
      </w:tr>
    </w:tbl>
    <w:p w14:paraId="4E8B5923">
      <w:pPr>
        <w:spacing w:before="120" w:after="120" w:line="288" w:lineRule="auto"/>
        <w:ind w:left="0"/>
        <w:jc w:val="left"/>
      </w:pPr>
    </w:p>
    <w:p w14:paraId="44411E0B">
      <w:pPr>
        <w:spacing w:before="320" w:after="120" w:line="288" w:lineRule="auto"/>
        <w:ind w:left="0"/>
        <w:jc w:val="left"/>
        <w:outlineLvl w:val="1"/>
      </w:pPr>
      <w:bookmarkStart w:id="16" w:name="heading_16"/>
      <w:r>
        <w:rPr>
          <w:rFonts w:ascii="Arial" w:hAnsi="Arial" w:eastAsia="等线" w:cs="Arial"/>
          <w:color w:val="3370FF"/>
          <w:sz w:val="32"/>
        </w:rPr>
        <w:t xml:space="preserve">2.4 </w:t>
      </w:r>
      <w:r>
        <w:rPr>
          <w:rFonts w:ascii="Arial" w:hAnsi="Arial" w:eastAsia="等线" w:cs="Arial"/>
          <w:b/>
          <w:sz w:val="32"/>
        </w:rPr>
        <w:t>其他类型投资公司（Other Investment Company Options）</w:t>
      </w:r>
      <w:bookmarkEnd w:id="16"/>
    </w:p>
    <w:p w14:paraId="2814304F">
      <w:pPr>
        <w:spacing w:before="300" w:after="120" w:line="288" w:lineRule="auto"/>
        <w:ind w:left="0"/>
        <w:jc w:val="left"/>
        <w:outlineLvl w:val="2"/>
      </w:pPr>
      <w:bookmarkStart w:id="17" w:name="heading_17"/>
      <w:r>
        <w:rPr>
          <w:rFonts w:ascii="Arial" w:hAnsi="Arial" w:eastAsia="等线" w:cs="Arial"/>
          <w:color w:val="3370FF"/>
          <w:sz w:val="30"/>
        </w:rPr>
        <w:t xml:space="preserve">2.4.1 </w:t>
      </w:r>
      <w:r>
        <w:rPr>
          <w:rFonts w:ascii="Arial" w:hAnsi="Arial" w:eastAsia="等线" w:cs="Arial"/>
          <w:b/>
          <w:sz w:val="30"/>
        </w:rPr>
        <w:t>面额凭证公司（Face-Amount Certificate Companies）</w:t>
      </w:r>
      <w:bookmarkEnd w:id="17"/>
    </w:p>
    <w:p w14:paraId="65566EC7">
      <w:pPr>
        <w:spacing w:before="120" w:after="120" w:line="288" w:lineRule="auto"/>
        <w:ind w:left="0"/>
        <w:jc w:val="left"/>
      </w:pPr>
      <w:r>
        <w:rPr>
          <w:rFonts w:ascii="Arial" w:hAnsi="Arial" w:eastAsia="等线" w:cs="Arial"/>
          <w:sz w:val="22"/>
        </w:rPr>
        <w:t>面额证书是一种打包证券，类似于零息债券（见第7章）；投资者支付一笔整付款或定期付款，以换取未来一笔更大的付款。</w:t>
      </w:r>
    </w:p>
    <w:p w14:paraId="370B4543">
      <w:pPr>
        <w:spacing w:before="120" w:after="120" w:line="288" w:lineRule="auto"/>
        <w:ind w:left="0"/>
        <w:jc w:val="left"/>
      </w:pPr>
    </w:p>
    <w:p w14:paraId="2EBEA2C6">
      <w:pPr>
        <w:spacing w:before="120" w:after="120" w:line="288" w:lineRule="auto"/>
        <w:ind w:left="0"/>
        <w:jc w:val="left"/>
      </w:pPr>
      <w:r>
        <w:rPr>
          <w:rFonts w:ascii="Arial" w:hAnsi="Arial" w:eastAsia="等线" w:cs="Arial"/>
          <w:sz w:val="22"/>
        </w:rPr>
        <w:t>面额证书的发行人保证在预设日期向投资者支付一笔固定金额：面额（Face Amount）。</w:t>
      </w:r>
    </w:p>
    <w:p w14:paraId="34D0A978">
      <w:pPr>
        <w:spacing w:before="120" w:after="120" w:line="288" w:lineRule="auto"/>
        <w:ind w:left="0"/>
        <w:jc w:val="left"/>
      </w:pPr>
    </w:p>
    <w:p w14:paraId="7E3880BF">
      <w:pPr>
        <w:spacing w:before="120" w:after="120" w:line="288" w:lineRule="auto"/>
        <w:ind w:left="0"/>
        <w:jc w:val="left"/>
      </w:pPr>
      <w:r>
        <w:rPr>
          <w:rFonts w:ascii="Arial" w:hAnsi="Arial" w:eastAsia="等线" w:cs="Arial"/>
          <w:sz w:val="22"/>
        </w:rPr>
        <w:t>目前极少发行，考试中仅需了解“固定回报、长期持有”的核心特征。</w:t>
      </w:r>
    </w:p>
    <w:p w14:paraId="130F69C3">
      <w:pPr>
        <w:spacing w:before="120" w:after="120" w:line="288" w:lineRule="auto"/>
        <w:ind w:left="0"/>
        <w:jc w:val="left"/>
      </w:pPr>
    </w:p>
    <w:p w14:paraId="055D1D46">
      <w:pPr>
        <w:spacing w:before="300" w:after="120" w:line="288" w:lineRule="auto"/>
        <w:ind w:left="0"/>
        <w:jc w:val="left"/>
        <w:outlineLvl w:val="2"/>
      </w:pPr>
      <w:bookmarkStart w:id="18" w:name="heading_18"/>
      <w:r>
        <w:rPr>
          <w:rFonts w:ascii="Arial" w:hAnsi="Arial" w:eastAsia="等线" w:cs="Arial"/>
          <w:color w:val="3370FF"/>
          <w:sz w:val="30"/>
        </w:rPr>
        <w:t xml:space="preserve">2.4.2 </w:t>
      </w:r>
      <w:r>
        <w:rPr>
          <w:rFonts w:ascii="Arial" w:hAnsi="Arial" w:eastAsia="等线" w:cs="Arial"/>
          <w:b/>
          <w:sz w:val="30"/>
        </w:rPr>
        <w:t>单位投资信托（Unit Investment Trusts, UITs）</w:t>
      </w:r>
      <w:bookmarkEnd w:id="18"/>
    </w:p>
    <w:p w14:paraId="628F83BA">
      <w:pPr>
        <w:spacing w:before="120" w:after="120" w:line="288" w:lineRule="auto"/>
        <w:ind w:left="0"/>
        <w:jc w:val="left"/>
      </w:pPr>
      <w:r>
        <w:rPr>
          <w:rFonts w:ascii="Arial" w:hAnsi="Arial" w:eastAsia="等线" w:cs="Arial"/>
          <w:sz w:val="22"/>
        </w:rPr>
        <w:t>单位投资信托（UIT）是一种固定期限的投资工具。它由一组投资者组成，并通过购买“单位”来投资于一系列股票、债券或其他投资工具组成的资产池。</w:t>
      </w:r>
    </w:p>
    <w:p w14:paraId="206C4A82">
      <w:pPr>
        <w:spacing w:before="120" w:after="120" w:line="288" w:lineRule="auto"/>
        <w:ind w:left="0"/>
        <w:jc w:val="left"/>
      </w:pPr>
    </w:p>
    <w:p w14:paraId="1DEC7A23">
      <w:pPr>
        <w:spacing w:before="120" w:after="120" w:line="288" w:lineRule="auto"/>
        <w:ind w:left="0"/>
        <w:jc w:val="left"/>
      </w:pPr>
      <w:r>
        <w:rPr>
          <w:rFonts w:ascii="Arial" w:hAnsi="Arial" w:eastAsia="等线" w:cs="Arial"/>
          <w:sz w:val="22"/>
        </w:rPr>
        <w:t xml:space="preserve">在单位投资信托中，每个投资者获得的都是一个称为“单位”的固定数量的资产。这些单位代表了整个信托基金的一部分，可以在特定时间段内购买或赎回。 </w:t>
      </w:r>
    </w:p>
    <w:p w14:paraId="0D3EBCF7">
      <w:pPr>
        <w:spacing w:before="120" w:after="120" w:line="288" w:lineRule="auto"/>
        <w:ind w:left="0"/>
        <w:jc w:val="left"/>
      </w:pPr>
    </w:p>
    <w:p w14:paraId="16C67BDA">
      <w:pPr>
        <w:spacing w:before="120" w:after="120" w:line="288" w:lineRule="auto"/>
        <w:ind w:left="0"/>
        <w:jc w:val="left"/>
      </w:pPr>
      <w:r>
        <w:rPr>
          <w:rFonts w:ascii="Arial" w:hAnsi="Arial" w:eastAsia="等线" w:cs="Arial"/>
          <w:sz w:val="22"/>
        </w:rPr>
        <w:t>通常情况下，单位投资信托有一个固定的结束日期，到期时将根据基金协议的规定进行清算和分配。</w:t>
      </w:r>
    </w:p>
    <w:p w14:paraId="071FDD0D">
      <w:pPr>
        <w:spacing w:before="120" w:after="120" w:line="288" w:lineRule="auto"/>
        <w:ind w:left="0"/>
        <w:jc w:val="left"/>
      </w:pPr>
    </w:p>
    <w:p w14:paraId="4452E7AB">
      <w:pPr>
        <w:spacing w:before="120" w:after="120" w:line="288" w:lineRule="auto"/>
        <w:ind w:left="0"/>
        <w:jc w:val="left"/>
      </w:pPr>
      <w:r>
        <w:rPr>
          <w:rFonts w:ascii="Arial" w:hAnsi="Arial" w:eastAsia="等线" w:cs="Arial"/>
          <w:b/>
          <w:sz w:val="22"/>
        </w:rPr>
        <w:t>核心特征</w:t>
      </w:r>
      <w:r>
        <w:rPr>
          <w:rFonts w:ascii="Arial" w:hAnsi="Arial" w:eastAsia="等线" w:cs="Arial"/>
          <w:sz w:val="22"/>
        </w:rPr>
        <w:t>：</w:t>
      </w:r>
    </w:p>
    <w:p w14:paraId="69393A53">
      <w:pPr>
        <w:numPr>
          <w:ilvl w:val="0"/>
          <w:numId w:val="52"/>
        </w:numPr>
        <w:spacing w:before="120" w:after="120" w:line="288" w:lineRule="auto"/>
        <w:ind w:left="0"/>
        <w:jc w:val="left"/>
      </w:pPr>
      <w:r>
        <w:rPr>
          <w:rFonts w:ascii="Arial" w:hAnsi="Arial" w:eastAsia="等线" w:cs="Arial"/>
          <w:sz w:val="22"/>
        </w:rPr>
        <w:t>流通股数据固定（有限的），份额需向发行人赎回，流动性有限。</w:t>
      </w:r>
    </w:p>
    <w:p w14:paraId="6C5AA218">
      <w:pPr>
        <w:numPr>
          <w:ilvl w:val="0"/>
          <w:numId w:val="53"/>
        </w:numPr>
        <w:spacing w:before="120" w:after="120" w:line="288" w:lineRule="auto"/>
        <w:ind w:left="0"/>
        <w:jc w:val="left"/>
      </w:pPr>
      <w:r>
        <w:rPr>
          <w:rFonts w:ascii="Arial" w:hAnsi="Arial" w:eastAsia="等线" w:cs="Arial"/>
          <w:sz w:val="22"/>
        </w:rPr>
        <w:t>购买固定的、未主动管理的证券组合（通常为债券），按单位（Units）发行，有固定到期日。</w:t>
      </w:r>
    </w:p>
    <w:p w14:paraId="49818381">
      <w:pPr>
        <w:numPr>
          <w:ilvl w:val="0"/>
          <w:numId w:val="54"/>
        </w:numPr>
        <w:spacing w:before="120" w:after="120" w:line="288" w:lineRule="auto"/>
        <w:ind w:left="0"/>
        <w:jc w:val="left"/>
      </w:pPr>
      <w:r>
        <w:rPr>
          <w:rFonts w:ascii="Arial" w:hAnsi="Arial" w:eastAsia="等线" w:cs="Arial"/>
          <w:sz w:val="22"/>
        </w:rPr>
        <w:t>无投资经理，证券组合固定（不调整），因此无管理费。</w:t>
      </w:r>
    </w:p>
    <w:p w14:paraId="50EA4D01">
      <w:pPr>
        <w:spacing w:before="120" w:after="120" w:line="288" w:lineRule="auto"/>
        <w:ind w:left="0"/>
        <w:jc w:val="left"/>
      </w:pPr>
    </w:p>
    <w:p w14:paraId="45F9DC6A">
      <w:pPr>
        <w:spacing w:before="120" w:after="120" w:line="288" w:lineRule="auto"/>
        <w:ind w:left="0"/>
        <w:jc w:val="left"/>
      </w:pPr>
      <w:r>
        <w:rPr>
          <w:rFonts w:ascii="Arial" w:hAnsi="Arial" w:eastAsia="等线" w:cs="Arial"/>
          <w:b/>
          <w:sz w:val="22"/>
        </w:rPr>
        <w:t>分类：</w:t>
      </w:r>
    </w:p>
    <w:p w14:paraId="6D0491C0">
      <w:pPr>
        <w:numPr>
          <w:ilvl w:val="0"/>
          <w:numId w:val="55"/>
        </w:numPr>
        <w:spacing w:before="120" w:after="120" w:line="288" w:lineRule="auto"/>
        <w:ind w:left="0"/>
        <w:jc w:val="left"/>
      </w:pPr>
      <w:r>
        <w:rPr>
          <w:rFonts w:ascii="Arial" w:hAnsi="Arial" w:eastAsia="等线" w:cs="Arial"/>
          <w:sz w:val="22"/>
        </w:rPr>
        <w:t>固定单位投资信托（Fixed Unit Investment Trusts）：投资债券，到期日与债券到期日一致；</w:t>
      </w:r>
    </w:p>
    <w:p w14:paraId="5B3FFDDB">
      <w:pPr>
        <w:numPr>
          <w:ilvl w:val="0"/>
          <w:numId w:val="56"/>
        </w:numPr>
        <w:spacing w:before="120" w:after="120" w:line="288" w:lineRule="auto"/>
        <w:ind w:left="0"/>
        <w:jc w:val="left"/>
      </w:pPr>
      <w:r>
        <w:rPr>
          <w:rFonts w:ascii="Arial" w:hAnsi="Arial" w:eastAsia="等线" w:cs="Arial"/>
          <w:sz w:val="22"/>
        </w:rPr>
        <w:t>参与型单位信托（Participating UITs）：投资共同基金，信托本身不调整持仓，但底层基金可调整。</w:t>
      </w:r>
    </w:p>
    <w:p w14:paraId="104E219A">
      <w:pPr>
        <w:spacing w:before="120" w:after="120" w:line="288" w:lineRule="auto"/>
        <w:ind w:left="0"/>
        <w:jc w:val="left"/>
      </w:pPr>
    </w:p>
    <w:p w14:paraId="67216563">
      <w:pPr>
        <w:spacing w:before="300" w:after="120" w:line="288" w:lineRule="auto"/>
        <w:ind w:left="0"/>
        <w:jc w:val="left"/>
        <w:outlineLvl w:val="2"/>
      </w:pPr>
      <w:bookmarkStart w:id="19" w:name="heading_19"/>
      <w:r>
        <w:rPr>
          <w:rFonts w:ascii="Arial" w:hAnsi="Arial" w:eastAsia="等线" w:cs="Arial"/>
          <w:color w:val="3370FF"/>
          <w:sz w:val="30"/>
        </w:rPr>
        <w:t xml:space="preserve">2.4.3 </w:t>
      </w:r>
      <w:r>
        <w:rPr>
          <w:rFonts w:ascii="Arial" w:hAnsi="Arial" w:eastAsia="等线" w:cs="Arial"/>
          <w:b/>
          <w:sz w:val="30"/>
        </w:rPr>
        <w:t>交易所交易产品（Exchange-Traded Products, ETPs）</w:t>
      </w:r>
      <w:bookmarkEnd w:id="19"/>
    </w:p>
    <w:p w14:paraId="5DCD9504">
      <w:pPr>
        <w:spacing w:before="120" w:after="120" w:line="288" w:lineRule="auto"/>
        <w:ind w:left="0"/>
        <w:jc w:val="left"/>
      </w:pPr>
      <w:r>
        <w:rPr>
          <w:rFonts w:ascii="Arial" w:hAnsi="Arial" w:eastAsia="等线" w:cs="Arial"/>
          <w:sz w:val="22"/>
        </w:rPr>
        <w:t>包含交易所交易基金（ETFs）和交易所交易票据（ETNs），是传统基金的替代产品，考试高频考点为 ETFs。</w:t>
      </w:r>
    </w:p>
    <w:p w14:paraId="4C5241B9">
      <w:pPr>
        <w:spacing w:before="260" w:after="120" w:line="288" w:lineRule="auto"/>
        <w:ind w:left="0"/>
        <w:jc w:val="left"/>
        <w:outlineLvl w:val="3"/>
      </w:pPr>
      <w:bookmarkStart w:id="20" w:name="heading_20"/>
      <w:r>
        <w:rPr>
          <w:rFonts w:ascii="Arial" w:hAnsi="Arial" w:eastAsia="等线" w:cs="Arial"/>
          <w:color w:val="3370FF"/>
          <w:sz w:val="28"/>
        </w:rPr>
        <w:t xml:space="preserve">2.4.3.1 </w:t>
      </w:r>
      <w:r>
        <w:rPr>
          <w:rFonts w:ascii="Arial" w:hAnsi="Arial" w:eastAsia="等线" w:cs="Arial"/>
          <w:b/>
          <w:sz w:val="28"/>
        </w:rPr>
        <w:t>交易所交易基金（ETFs）</w:t>
      </w:r>
      <w:bookmarkEnd w:id="20"/>
    </w:p>
    <w:p w14:paraId="42854571">
      <w:pPr>
        <w:numPr>
          <w:ilvl w:val="0"/>
          <w:numId w:val="57"/>
        </w:numPr>
        <w:spacing w:before="120" w:after="120" w:line="288" w:lineRule="auto"/>
        <w:ind w:left="0"/>
        <w:jc w:val="left"/>
      </w:pPr>
      <w:r>
        <w:rPr>
          <w:rFonts w:ascii="Arial" w:hAnsi="Arial" w:eastAsia="等线" w:cs="Arial"/>
          <w:b/>
          <w:sz w:val="22"/>
        </w:rPr>
        <w:t>核心特征</w:t>
      </w:r>
      <w:r>
        <w:rPr>
          <w:rFonts w:ascii="Arial" w:hAnsi="Arial" w:eastAsia="等线" w:cs="Arial"/>
          <w:sz w:val="22"/>
        </w:rPr>
        <w:t>：注册为开放式基金，但在交易所交易，兼具开放式基金的分散化和股票的交易灵活性；</w:t>
      </w:r>
    </w:p>
    <w:p w14:paraId="1161B3C4">
      <w:pPr>
        <w:numPr>
          <w:ilvl w:val="0"/>
          <w:numId w:val="58"/>
        </w:numPr>
        <w:spacing w:before="120" w:after="120" w:line="288" w:lineRule="auto"/>
        <w:ind w:left="0"/>
        <w:jc w:val="left"/>
      </w:pPr>
      <w:r>
        <w:rPr>
          <w:rFonts w:ascii="Arial" w:hAnsi="Arial" w:eastAsia="等线" w:cs="Arial"/>
          <w:b/>
          <w:sz w:val="22"/>
        </w:rPr>
        <w:t>优势</w:t>
      </w:r>
      <w:r>
        <w:rPr>
          <w:rFonts w:ascii="Arial" w:hAnsi="Arial" w:eastAsia="等线" w:cs="Arial"/>
          <w:sz w:val="22"/>
        </w:rPr>
        <w:t>：</w:t>
      </w:r>
    </w:p>
    <w:p w14:paraId="6F945470">
      <w:pPr>
        <w:numPr>
          <w:ilvl w:val="0"/>
          <w:numId w:val="59"/>
        </w:numPr>
        <w:spacing w:before="120" w:after="120" w:line="288" w:lineRule="auto"/>
        <w:ind w:left="453"/>
        <w:jc w:val="left"/>
      </w:pPr>
      <w:r>
        <w:rPr>
          <w:rFonts w:ascii="Arial" w:hAnsi="Arial" w:eastAsia="等线" w:cs="Arial"/>
          <w:sz w:val="22"/>
        </w:rPr>
        <w:t>可日内交易、卖空、融资购买（Marginable）；</w:t>
      </w:r>
    </w:p>
    <w:p w14:paraId="0A1A3A8A">
      <w:pPr>
        <w:numPr>
          <w:ilvl w:val="0"/>
          <w:numId w:val="60"/>
        </w:numPr>
        <w:spacing w:before="120" w:after="120" w:line="288" w:lineRule="auto"/>
        <w:ind w:left="453"/>
        <w:jc w:val="left"/>
      </w:pPr>
      <w:r>
        <w:rPr>
          <w:rFonts w:ascii="Arial" w:hAnsi="Arial" w:eastAsia="等线" w:cs="Arial"/>
          <w:sz w:val="22"/>
        </w:rPr>
        <w:t>管理费（Expense Ratio）低于主动管理型基金；</w:t>
      </w:r>
    </w:p>
    <w:p w14:paraId="792B9698">
      <w:pPr>
        <w:numPr>
          <w:ilvl w:val="0"/>
          <w:numId w:val="61"/>
        </w:numPr>
        <w:spacing w:before="120" w:after="120" w:line="288" w:lineRule="auto"/>
        <w:ind w:left="453"/>
        <w:jc w:val="left"/>
      </w:pPr>
      <w:r>
        <w:rPr>
          <w:rFonts w:ascii="Arial" w:hAnsi="Arial" w:eastAsia="等线" w:cs="Arial"/>
          <w:b/>
          <w:sz w:val="22"/>
        </w:rPr>
        <w:t>注意</w:t>
      </w:r>
      <w:r>
        <w:rPr>
          <w:rFonts w:ascii="Arial" w:hAnsi="Arial" w:eastAsia="等线" w:cs="Arial"/>
          <w:sz w:val="22"/>
        </w:rPr>
        <w:t>：需支付经纪佣金，且因交易便捷可能导致投资者“过度交易”。</w:t>
      </w:r>
    </w:p>
    <w:p w14:paraId="7C7E6775">
      <w:pPr>
        <w:numPr>
          <w:ilvl w:val="0"/>
          <w:numId w:val="62"/>
        </w:numPr>
        <w:spacing w:before="120" w:after="120" w:line="288" w:lineRule="auto"/>
        <w:ind w:left="0"/>
        <w:jc w:val="left"/>
      </w:pPr>
      <w:r>
        <w:rPr>
          <w:rFonts w:ascii="Arial" w:hAnsi="Arial" w:eastAsia="等线" w:cs="Arial"/>
          <w:b/>
          <w:sz w:val="22"/>
        </w:rPr>
        <w:t>特殊类型</w:t>
      </w:r>
      <w:r>
        <w:rPr>
          <w:rFonts w:ascii="Arial" w:hAnsi="Arial" w:eastAsia="等线" w:cs="Arial"/>
          <w:sz w:val="22"/>
        </w:rPr>
        <w:t>：</w:t>
      </w:r>
    </w:p>
    <w:p w14:paraId="38A0401A">
      <w:pPr>
        <w:numPr>
          <w:ilvl w:val="0"/>
          <w:numId w:val="63"/>
        </w:numPr>
        <w:spacing w:before="120" w:after="120" w:line="288" w:lineRule="auto"/>
        <w:ind w:left="453"/>
        <w:jc w:val="left"/>
      </w:pPr>
      <w:r>
        <w:rPr>
          <w:rFonts w:ascii="Arial" w:hAnsi="Arial" w:eastAsia="等线" w:cs="Arial"/>
          <w:sz w:val="22"/>
        </w:rPr>
        <w:t>反向ETF（Inverse ETFs）：通过衍生品（如期权）获利于指数下跌，适合看空市场；</w:t>
      </w:r>
    </w:p>
    <w:p w14:paraId="590742E7">
      <w:pPr>
        <w:numPr>
          <w:ilvl w:val="0"/>
          <w:numId w:val="64"/>
        </w:numPr>
        <w:spacing w:before="120" w:after="120" w:line="288" w:lineRule="auto"/>
        <w:ind w:left="453"/>
        <w:jc w:val="left"/>
      </w:pPr>
      <w:r>
        <w:rPr>
          <w:rFonts w:ascii="Arial" w:hAnsi="Arial" w:eastAsia="等线" w:cs="Arial"/>
          <w:sz w:val="22"/>
        </w:rPr>
        <w:t>杠杆ETF（Leveraged ETFs）：追求“2倍或3倍于指数的收益”，风险极高，不适合中长期持有。</w:t>
      </w:r>
    </w:p>
    <w:p w14:paraId="0CF196C6">
      <w:pPr>
        <w:spacing w:before="260" w:after="120" w:line="288" w:lineRule="auto"/>
        <w:ind w:left="0"/>
        <w:jc w:val="left"/>
        <w:outlineLvl w:val="3"/>
      </w:pPr>
      <w:bookmarkStart w:id="21" w:name="heading_21"/>
      <w:r>
        <w:rPr>
          <w:rFonts w:ascii="Arial" w:hAnsi="Arial" w:eastAsia="等线" w:cs="Arial"/>
          <w:color w:val="3370FF"/>
          <w:sz w:val="28"/>
        </w:rPr>
        <w:t xml:space="preserve">2.4.3.2 </w:t>
      </w:r>
      <w:r>
        <w:rPr>
          <w:rFonts w:ascii="Arial" w:hAnsi="Arial" w:eastAsia="等线" w:cs="Arial"/>
          <w:b/>
          <w:sz w:val="28"/>
        </w:rPr>
        <w:t>交易所交易票据（ETNs）</w:t>
      </w:r>
      <w:bookmarkEnd w:id="21"/>
    </w:p>
    <w:p w14:paraId="02545B34">
      <w:pPr>
        <w:numPr>
          <w:ilvl w:val="0"/>
          <w:numId w:val="65"/>
        </w:numPr>
        <w:spacing w:before="120" w:after="120" w:line="288" w:lineRule="auto"/>
        <w:ind w:left="0"/>
        <w:jc w:val="left"/>
      </w:pPr>
      <w:r>
        <w:rPr>
          <w:rFonts w:ascii="Arial" w:hAnsi="Arial" w:eastAsia="等线" w:cs="Arial"/>
          <w:b/>
          <w:sz w:val="22"/>
        </w:rPr>
        <w:t>混合属性</w:t>
      </w:r>
      <w:r>
        <w:rPr>
          <w:rFonts w:ascii="Arial" w:hAnsi="Arial" w:eastAsia="等线" w:cs="Arial"/>
          <w:sz w:val="22"/>
        </w:rPr>
        <w:t>：兼具ETF的交易灵活性和债券的债务属性，由银行发行，收益与特定指数挂钩；</w:t>
      </w:r>
    </w:p>
    <w:p w14:paraId="113D61C3">
      <w:pPr>
        <w:numPr>
          <w:ilvl w:val="0"/>
          <w:numId w:val="66"/>
        </w:numPr>
        <w:spacing w:before="120" w:after="120" w:line="288" w:lineRule="auto"/>
        <w:ind w:left="0"/>
        <w:jc w:val="left"/>
      </w:pPr>
      <w:r>
        <w:rPr>
          <w:rFonts w:ascii="Arial" w:hAnsi="Arial" w:eastAsia="等线" w:cs="Arial"/>
          <w:b/>
          <w:sz w:val="22"/>
        </w:rPr>
        <w:t>关键风险</w:t>
      </w:r>
      <w:r>
        <w:rPr>
          <w:rFonts w:ascii="Arial" w:hAnsi="Arial" w:eastAsia="等线" w:cs="Arial"/>
          <w:sz w:val="22"/>
        </w:rPr>
        <w:t>：无利息支付，收益在到期日兑现；若发行银行信用评级下调，ETN价格可能大幅下跌；</w:t>
      </w:r>
    </w:p>
    <w:p w14:paraId="2CAD94EE">
      <w:pPr>
        <w:numPr>
          <w:ilvl w:val="0"/>
          <w:numId w:val="67"/>
        </w:numPr>
        <w:spacing w:before="120" w:after="120" w:line="288" w:lineRule="auto"/>
        <w:ind w:left="0"/>
        <w:jc w:val="left"/>
      </w:pPr>
      <w:r>
        <w:rPr>
          <w:rFonts w:ascii="Arial" w:hAnsi="Arial" w:eastAsia="等线" w:cs="Arial"/>
          <w:b/>
          <w:sz w:val="22"/>
        </w:rPr>
        <w:t>适用场景</w:t>
      </w:r>
      <w:r>
        <w:rPr>
          <w:rFonts w:ascii="Arial" w:hAnsi="Arial" w:eastAsia="等线" w:cs="Arial"/>
          <w:sz w:val="22"/>
        </w:rPr>
        <w:t>：仅适合风险承受能力强、理解复杂结构的投资者。</w:t>
      </w:r>
    </w:p>
    <w:p w14:paraId="6343240B">
      <w:pPr>
        <w:spacing w:before="120" w:after="120" w:line="288" w:lineRule="auto"/>
        <w:ind w:left="0"/>
        <w:jc w:val="left"/>
      </w:pPr>
    </w:p>
    <w:p w14:paraId="7FA527DA">
      <w:pPr>
        <w:spacing w:before="260" w:after="120" w:line="288" w:lineRule="auto"/>
        <w:ind w:left="0"/>
        <w:jc w:val="left"/>
        <w:outlineLvl w:val="3"/>
      </w:pPr>
      <w:bookmarkStart w:id="22" w:name="heading_22"/>
      <w:r>
        <w:rPr>
          <w:rFonts w:ascii="Arial" w:hAnsi="Arial" w:eastAsia="等线" w:cs="Arial"/>
          <w:b/>
          <w:sz w:val="28"/>
        </w:rPr>
        <w:t>4. 投资公司规则（17a-6 &amp; 17a-7）</w:t>
      </w:r>
      <w:bookmarkEnd w:id="22"/>
    </w:p>
    <w:p w14:paraId="0AB2C1C8">
      <w:pPr>
        <w:spacing w:before="120" w:after="120" w:line="288" w:lineRule="auto"/>
        <w:ind w:left="0"/>
        <w:jc w:val="left"/>
      </w:pPr>
      <w:r>
        <w:rPr>
          <w:rFonts w:ascii="Arial" w:hAnsi="Arial" w:eastAsia="等线" w:cs="Arial"/>
          <w:sz w:val="22"/>
        </w:rPr>
        <w:t>对于投资公司的关联人士、顾问、高级管理人员和/或董事，存在一些额外规定。具体为第 17a-6 条和第 17a-7 条规则。</w:t>
      </w:r>
    </w:p>
    <w:p w14:paraId="7C5F332A">
      <w:pPr>
        <w:spacing w:before="120" w:after="120" w:line="288" w:lineRule="auto"/>
        <w:ind w:left="0"/>
        <w:jc w:val="left"/>
      </w:pPr>
    </w:p>
    <w:p w14:paraId="10DC07DE">
      <w:pPr>
        <w:spacing w:before="120" w:after="120" w:line="288" w:lineRule="auto"/>
        <w:ind w:left="0"/>
        <w:jc w:val="left"/>
      </w:pPr>
      <w:r>
        <w:rPr>
          <w:rFonts w:ascii="Arial" w:hAnsi="Arial" w:eastAsia="等线" w:cs="Arial"/>
          <w:sz w:val="22"/>
        </w:rPr>
        <w:t>请注意以下要点：</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50"/>
        <w:gridCol w:w="2085"/>
        <w:gridCol w:w="5130"/>
      </w:tblGrid>
      <w:tr w14:paraId="09BFCF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68495707">
            <w:pPr>
              <w:spacing w:before="120" w:after="120" w:line="288" w:lineRule="auto"/>
              <w:ind w:left="0"/>
              <w:jc w:val="left"/>
            </w:pPr>
            <w:r>
              <w:rPr>
                <w:rFonts w:ascii="Arial" w:hAnsi="Arial" w:eastAsia="等线" w:cs="Arial"/>
                <w:b/>
                <w:sz w:val="22"/>
              </w:rPr>
              <w:t>规则编号</w:t>
            </w:r>
          </w:p>
        </w:tc>
        <w:tc>
          <w:tcPr>
            <w:tcW w:w="2085" w:type="dxa"/>
            <w:tcMar>
              <w:top w:w="60" w:type="dxa"/>
              <w:left w:w="120" w:type="dxa"/>
              <w:bottom w:w="30" w:type="dxa"/>
              <w:right w:w="120" w:type="dxa"/>
            </w:tcMar>
          </w:tcPr>
          <w:p w14:paraId="1F3882BE">
            <w:pPr>
              <w:spacing w:before="120" w:after="120" w:line="288" w:lineRule="auto"/>
              <w:ind w:left="0"/>
              <w:jc w:val="left"/>
            </w:pPr>
            <w:r>
              <w:rPr>
                <w:rFonts w:ascii="Arial" w:hAnsi="Arial" w:eastAsia="等线" w:cs="Arial"/>
                <w:b/>
                <w:sz w:val="22"/>
              </w:rPr>
              <w:t>适用主体</w:t>
            </w:r>
          </w:p>
        </w:tc>
        <w:tc>
          <w:tcPr>
            <w:tcW w:w="5130" w:type="dxa"/>
            <w:tcMar>
              <w:top w:w="60" w:type="dxa"/>
              <w:left w:w="120" w:type="dxa"/>
              <w:bottom w:w="30" w:type="dxa"/>
              <w:right w:w="120" w:type="dxa"/>
            </w:tcMar>
          </w:tcPr>
          <w:p w14:paraId="7F9F5D44">
            <w:pPr>
              <w:spacing w:before="120" w:after="120" w:line="288" w:lineRule="auto"/>
              <w:ind w:left="0"/>
              <w:jc w:val="left"/>
            </w:pPr>
            <w:r>
              <w:rPr>
                <w:rFonts w:ascii="Arial" w:hAnsi="Arial" w:eastAsia="等线" w:cs="Arial"/>
                <w:b/>
                <w:sz w:val="22"/>
              </w:rPr>
              <w:t>核心要求</w:t>
            </w:r>
          </w:p>
        </w:tc>
      </w:tr>
      <w:tr w14:paraId="6DBC32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4231C876">
            <w:pPr>
              <w:spacing w:before="120" w:after="120" w:line="288" w:lineRule="auto"/>
              <w:ind w:left="0"/>
              <w:jc w:val="left"/>
            </w:pPr>
            <w:r>
              <w:rPr>
                <w:rFonts w:ascii="Arial" w:hAnsi="Arial" w:eastAsia="等线" w:cs="Arial"/>
                <w:b/>
                <w:sz w:val="22"/>
              </w:rPr>
              <w:t>17a-6</w:t>
            </w:r>
          </w:p>
        </w:tc>
        <w:tc>
          <w:tcPr>
            <w:tcW w:w="2085" w:type="dxa"/>
            <w:tcMar>
              <w:top w:w="60" w:type="dxa"/>
              <w:left w:w="120" w:type="dxa"/>
              <w:bottom w:w="30" w:type="dxa"/>
              <w:right w:w="120" w:type="dxa"/>
            </w:tcMar>
          </w:tcPr>
          <w:p w14:paraId="6B26FFDE">
            <w:pPr>
              <w:spacing w:before="120" w:after="120" w:line="288" w:lineRule="auto"/>
              <w:ind w:left="0"/>
              <w:jc w:val="left"/>
            </w:pPr>
            <w:r>
              <w:rPr>
                <w:rFonts w:ascii="Arial" w:hAnsi="Arial" w:eastAsia="等线" w:cs="Arial"/>
                <w:sz w:val="22"/>
              </w:rPr>
              <w:t>投资公司关联方（如基金管理人关联人、持有5%以上股份者）</w:t>
            </w:r>
          </w:p>
          <w:p w14:paraId="4AAA700A">
            <w:pPr>
              <w:spacing w:before="120" w:after="120" w:line="288" w:lineRule="auto"/>
              <w:ind w:left="0"/>
              <w:jc w:val="left"/>
            </w:pPr>
          </w:p>
        </w:tc>
        <w:tc>
          <w:tcPr>
            <w:tcW w:w="5130" w:type="dxa"/>
            <w:tcMar>
              <w:top w:w="60" w:type="dxa"/>
              <w:left w:w="120" w:type="dxa"/>
              <w:bottom w:w="30" w:type="dxa"/>
              <w:right w:w="120" w:type="dxa"/>
            </w:tcMar>
          </w:tcPr>
          <w:p w14:paraId="216E5C12">
            <w:pPr>
              <w:spacing w:before="120" w:after="120" w:line="288" w:lineRule="auto"/>
              <w:ind w:left="0"/>
              <w:jc w:val="left"/>
            </w:pPr>
            <w:r>
              <w:rPr>
                <w:rFonts w:ascii="Arial" w:hAnsi="Arial" w:eastAsia="等线" w:cs="Arial"/>
                <w:sz w:val="22"/>
              </w:rPr>
              <w:t>禁止交易基金持仓的证券，但可正常申购/赎回基金份额</w:t>
            </w:r>
          </w:p>
          <w:p w14:paraId="20FD3E70">
            <w:pPr>
              <w:spacing w:before="120" w:after="120" w:line="288" w:lineRule="auto"/>
              <w:ind w:left="0"/>
              <w:jc w:val="left"/>
            </w:pPr>
          </w:p>
        </w:tc>
      </w:tr>
      <w:tr w14:paraId="56371C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32343F4B">
            <w:pPr>
              <w:spacing w:before="120" w:after="120" w:line="288" w:lineRule="auto"/>
              <w:ind w:left="0"/>
              <w:jc w:val="left"/>
            </w:pPr>
            <w:r>
              <w:rPr>
                <w:rFonts w:ascii="Arial" w:hAnsi="Arial" w:eastAsia="等线" w:cs="Arial"/>
                <w:b/>
                <w:sz w:val="22"/>
              </w:rPr>
              <w:t>17a-7</w:t>
            </w:r>
          </w:p>
        </w:tc>
        <w:tc>
          <w:tcPr>
            <w:tcW w:w="2085" w:type="dxa"/>
            <w:tcMar>
              <w:top w:w="60" w:type="dxa"/>
              <w:left w:w="120" w:type="dxa"/>
              <w:bottom w:w="30" w:type="dxa"/>
              <w:right w:w="120" w:type="dxa"/>
            </w:tcMar>
          </w:tcPr>
          <w:p w14:paraId="7F169E70">
            <w:pPr>
              <w:spacing w:before="120" w:after="120" w:line="288" w:lineRule="auto"/>
              <w:ind w:left="0"/>
              <w:jc w:val="left"/>
            </w:pPr>
            <w:r>
              <w:rPr>
                <w:rFonts w:ascii="Arial" w:hAnsi="Arial" w:eastAsia="等线" w:cs="Arial"/>
                <w:sz w:val="22"/>
              </w:rPr>
              <w:t>基金顾问、高管、董事</w:t>
            </w:r>
          </w:p>
          <w:p w14:paraId="458B293E">
            <w:pPr>
              <w:spacing w:before="120" w:after="120" w:line="288" w:lineRule="auto"/>
              <w:ind w:left="0"/>
              <w:jc w:val="left"/>
            </w:pPr>
          </w:p>
        </w:tc>
        <w:tc>
          <w:tcPr>
            <w:tcW w:w="5130" w:type="dxa"/>
            <w:tcMar>
              <w:top w:w="60" w:type="dxa"/>
              <w:left w:w="120" w:type="dxa"/>
              <w:bottom w:w="30" w:type="dxa"/>
              <w:right w:w="120" w:type="dxa"/>
            </w:tcMar>
          </w:tcPr>
          <w:p w14:paraId="1409B56B">
            <w:pPr>
              <w:spacing w:before="120" w:after="120" w:line="288" w:lineRule="auto"/>
              <w:ind w:left="0"/>
              <w:jc w:val="left"/>
            </w:pPr>
            <w:r>
              <w:rPr>
                <w:rFonts w:ascii="Arial" w:hAnsi="Arial" w:eastAsia="等线" w:cs="Arial"/>
                <w:sz w:val="22"/>
              </w:rPr>
              <w:t>允许在“同一基金家族内”交易证券（如将A基金的持仓证券转移至同公司的B基金），提高资金使用效率</w:t>
            </w:r>
          </w:p>
        </w:tc>
      </w:tr>
    </w:tbl>
    <w:p w14:paraId="656C0164">
      <w:pPr>
        <w:spacing w:before="120" w:after="120" w:line="288" w:lineRule="auto"/>
        <w:ind w:left="0"/>
        <w:jc w:val="left"/>
      </w:pPr>
    </w:p>
    <w:p w14:paraId="773653A6">
      <w:pPr>
        <w:spacing w:before="320" w:after="120" w:line="288" w:lineRule="auto"/>
        <w:ind w:left="0"/>
        <w:jc w:val="left"/>
        <w:outlineLvl w:val="1"/>
      </w:pPr>
      <w:bookmarkStart w:id="23" w:name="heading_23"/>
      <w:r>
        <w:rPr>
          <w:rFonts w:ascii="Arial" w:hAnsi="Arial" w:eastAsia="等线" w:cs="Arial"/>
          <w:color w:val="3370FF"/>
          <w:sz w:val="32"/>
        </w:rPr>
        <w:t xml:space="preserve">2.5 </w:t>
      </w:r>
      <w:r>
        <w:rPr>
          <w:rFonts w:ascii="Arial" w:hAnsi="Arial" w:eastAsia="等线" w:cs="Arial"/>
          <w:b/>
          <w:sz w:val="32"/>
        </w:rPr>
        <w:t>年金（Annuities）</w:t>
      </w:r>
      <w:bookmarkEnd w:id="23"/>
    </w:p>
    <w:p w14:paraId="2921E9AF">
      <w:pPr>
        <w:spacing w:before="120" w:after="120" w:line="288" w:lineRule="auto"/>
        <w:ind w:left="0"/>
        <w:jc w:val="left"/>
      </w:pPr>
      <w:r>
        <w:rPr>
          <w:rFonts w:ascii="Arial" w:hAnsi="Arial" w:eastAsia="等线" w:cs="Arial"/>
          <w:sz w:val="22"/>
        </w:rPr>
        <w:t>年金由保险公司（insurance company）发行，核心功能是提供退休补充收入。</w:t>
      </w:r>
    </w:p>
    <w:p w14:paraId="12458410">
      <w:pPr>
        <w:spacing w:before="120" w:after="120" w:line="288" w:lineRule="auto"/>
        <w:ind w:left="0"/>
        <w:jc w:val="left"/>
      </w:pPr>
    </w:p>
    <w:p w14:paraId="4A405318">
      <w:pPr>
        <w:spacing w:before="120" w:after="120" w:line="288" w:lineRule="auto"/>
        <w:ind w:left="0"/>
        <w:jc w:val="left"/>
      </w:pPr>
      <w:r>
        <w:rPr>
          <w:rFonts w:ascii="Arial" w:hAnsi="Arial" w:eastAsia="等线" w:cs="Arial"/>
          <w:sz w:val="22"/>
        </w:rPr>
        <w:t>分为固定年金（Fixed Annuities）和可变年金（Variable Annuities），考试重点为可变年金（因涉及证券属性）。</w:t>
      </w:r>
    </w:p>
    <w:p w14:paraId="4BF1314E">
      <w:pPr>
        <w:spacing w:before="120" w:after="120" w:line="288" w:lineRule="auto"/>
        <w:ind w:left="0"/>
        <w:jc w:val="left"/>
      </w:pPr>
    </w:p>
    <w:p w14:paraId="4628348B">
      <w:pPr>
        <w:spacing w:before="300" w:after="120" w:line="288" w:lineRule="auto"/>
        <w:ind w:left="0"/>
        <w:jc w:val="left"/>
        <w:outlineLvl w:val="2"/>
      </w:pPr>
      <w:bookmarkStart w:id="24" w:name="heading_24"/>
      <w:r>
        <w:rPr>
          <w:rFonts w:ascii="Arial" w:hAnsi="Arial" w:eastAsia="等线" w:cs="Arial"/>
          <w:color w:val="3370FF"/>
          <w:sz w:val="30"/>
        </w:rPr>
        <w:t xml:space="preserve">2.5.1 </w:t>
      </w:r>
      <w:r>
        <w:rPr>
          <w:rFonts w:ascii="Arial" w:hAnsi="Arial" w:eastAsia="等线" w:cs="Arial"/>
          <w:b/>
          <w:sz w:val="30"/>
        </w:rPr>
        <w:t>固定年金（Fixed Annuities）</w:t>
      </w:r>
      <w:bookmarkEnd w:id="24"/>
    </w:p>
    <w:p w14:paraId="20A08C96">
      <w:pPr>
        <w:numPr>
          <w:ilvl w:val="0"/>
          <w:numId w:val="68"/>
        </w:numPr>
        <w:spacing w:before="120" w:after="120" w:line="288" w:lineRule="auto"/>
        <w:ind w:left="0"/>
        <w:jc w:val="left"/>
      </w:pPr>
      <w:r>
        <w:rPr>
          <w:rFonts w:ascii="Arial" w:hAnsi="Arial" w:eastAsia="等线" w:cs="Arial"/>
          <w:b/>
          <w:sz w:val="22"/>
        </w:rPr>
        <w:t>核心特征</w:t>
      </w:r>
      <w:r>
        <w:rPr>
          <w:rFonts w:ascii="Arial" w:hAnsi="Arial" w:eastAsia="等线" w:cs="Arial"/>
          <w:sz w:val="22"/>
        </w:rPr>
        <w:t>：收益固定，由保险公司保证 payout，资金存入保险公司一般账户（General Account）；</w:t>
      </w:r>
    </w:p>
    <w:p w14:paraId="6A24A957">
      <w:pPr>
        <w:numPr>
          <w:ilvl w:val="0"/>
          <w:numId w:val="69"/>
        </w:numPr>
        <w:spacing w:before="120" w:after="120" w:line="288" w:lineRule="auto"/>
        <w:ind w:left="0"/>
        <w:jc w:val="left"/>
      </w:pPr>
      <w:r>
        <w:rPr>
          <w:rFonts w:ascii="Arial" w:hAnsi="Arial" w:eastAsia="等线" w:cs="Arial"/>
          <w:b/>
          <w:sz w:val="22"/>
        </w:rPr>
        <w:t>非证券属性</w:t>
      </w:r>
      <w:r>
        <w:rPr>
          <w:rFonts w:ascii="Arial" w:hAnsi="Arial" w:eastAsia="等线" w:cs="Arial"/>
          <w:sz w:val="22"/>
        </w:rPr>
        <w:t>：因收益固定，无需 SEC 注册，销售人员仅需保险牌照；</w:t>
      </w:r>
    </w:p>
    <w:p w14:paraId="11151EB9">
      <w:pPr>
        <w:numPr>
          <w:ilvl w:val="0"/>
          <w:numId w:val="70"/>
        </w:numPr>
        <w:spacing w:before="120" w:after="120" w:line="288" w:lineRule="auto"/>
        <w:ind w:left="0"/>
        <w:jc w:val="left"/>
      </w:pPr>
      <w:r>
        <w:rPr>
          <w:rFonts w:ascii="Arial" w:hAnsi="Arial" w:eastAsia="等线" w:cs="Arial"/>
          <w:b/>
          <w:sz w:val="22"/>
        </w:rPr>
        <w:t>风险</w:t>
      </w:r>
      <w:r>
        <w:rPr>
          <w:rFonts w:ascii="Arial" w:hAnsi="Arial" w:eastAsia="等线" w:cs="Arial"/>
          <w:sz w:val="22"/>
        </w:rPr>
        <w:t>：面临购买力风险（通胀可能导致实际收益下降）。</w:t>
      </w:r>
    </w:p>
    <w:p w14:paraId="6299358B">
      <w:pPr>
        <w:spacing w:before="120" w:after="120" w:line="288" w:lineRule="auto"/>
        <w:ind w:left="0"/>
        <w:jc w:val="left"/>
      </w:pPr>
    </w:p>
    <w:p w14:paraId="589D9DEA">
      <w:pPr>
        <w:spacing w:before="300" w:after="120" w:line="288" w:lineRule="auto"/>
        <w:ind w:left="0"/>
        <w:jc w:val="left"/>
        <w:outlineLvl w:val="2"/>
      </w:pPr>
      <w:bookmarkStart w:id="25" w:name="heading_25"/>
      <w:r>
        <w:rPr>
          <w:rFonts w:ascii="Arial" w:hAnsi="Arial" w:eastAsia="等线" w:cs="Arial"/>
          <w:color w:val="3370FF"/>
          <w:sz w:val="30"/>
        </w:rPr>
        <w:t xml:space="preserve">2.5.2 </w:t>
      </w:r>
      <w:r>
        <w:rPr>
          <w:rFonts w:ascii="Arial" w:hAnsi="Arial" w:eastAsia="等线" w:cs="Arial"/>
          <w:b/>
          <w:sz w:val="30"/>
        </w:rPr>
        <w:t>可变年金（Variable Annuities）</w:t>
      </w:r>
      <w:bookmarkEnd w:id="25"/>
    </w:p>
    <w:p w14:paraId="79ED5F06">
      <w:pPr>
        <w:numPr>
          <w:ilvl w:val="0"/>
          <w:numId w:val="71"/>
        </w:numPr>
        <w:spacing w:before="120" w:after="120" w:line="288" w:lineRule="auto"/>
        <w:ind w:left="0"/>
        <w:jc w:val="left"/>
      </w:pPr>
      <w:r>
        <w:rPr>
          <w:rFonts w:ascii="Arial" w:hAnsi="Arial" w:eastAsia="等线" w:cs="Arial"/>
          <w:b/>
          <w:sz w:val="22"/>
        </w:rPr>
        <w:t>核心特征</w:t>
      </w:r>
      <w:r>
        <w:rPr>
          <w:rFonts w:ascii="Arial" w:hAnsi="Arial" w:eastAsia="等线" w:cs="Arial"/>
          <w:sz w:val="22"/>
        </w:rPr>
        <w:t>：收益不固定，与独立账户（Separate Account）的投资表现挂钩，独立账户投资于股票、债券等证券。</w:t>
      </w:r>
    </w:p>
    <w:p w14:paraId="5B0E7859">
      <w:pPr>
        <w:numPr>
          <w:ilvl w:val="0"/>
          <w:numId w:val="72"/>
        </w:numPr>
        <w:spacing w:before="120" w:after="120" w:line="288" w:lineRule="auto"/>
        <w:ind w:left="0"/>
        <w:jc w:val="left"/>
      </w:pPr>
      <w:r>
        <w:rPr>
          <w:rFonts w:ascii="Arial" w:hAnsi="Arial" w:eastAsia="等线" w:cs="Arial"/>
          <w:b/>
          <w:sz w:val="22"/>
        </w:rPr>
        <w:t>证券属性</w:t>
      </w:r>
      <w:r>
        <w:rPr>
          <w:rFonts w:ascii="Arial" w:hAnsi="Arial" w:eastAsia="等线" w:cs="Arial"/>
          <w:sz w:val="22"/>
        </w:rPr>
        <w:t>：因投资者承担投资风险，需州保险委员会（State Insurance Commission）和 SEC 注册，销售人员需同时持有证券牌照和保险牌照。</w:t>
      </w:r>
    </w:p>
    <w:p w14:paraId="0F64A47C">
      <w:pPr>
        <w:numPr>
          <w:ilvl w:val="0"/>
          <w:numId w:val="73"/>
        </w:numPr>
        <w:spacing w:before="120" w:after="120" w:line="288" w:lineRule="auto"/>
        <w:ind w:left="0"/>
        <w:jc w:val="left"/>
      </w:pPr>
      <w:r>
        <w:rPr>
          <w:rFonts w:ascii="Arial" w:hAnsi="Arial" w:eastAsia="等线" w:cs="Arial"/>
          <w:b/>
          <w:sz w:val="22"/>
        </w:rPr>
        <w:t>关键概念</w:t>
      </w:r>
      <w:r>
        <w:rPr>
          <w:rFonts w:ascii="Arial" w:hAnsi="Arial" w:eastAsia="等线" w:cs="Arial"/>
          <w:sz w:val="22"/>
        </w:rPr>
        <w:t>：</w:t>
      </w:r>
    </w:p>
    <w:p w14:paraId="7C1378D9">
      <w:pPr>
        <w:numPr>
          <w:ilvl w:val="0"/>
          <w:numId w:val="74"/>
        </w:numPr>
        <w:spacing w:before="120" w:after="120" w:line="288" w:lineRule="auto"/>
        <w:ind w:left="453"/>
        <w:jc w:val="left"/>
      </w:pPr>
      <w:r>
        <w:rPr>
          <w:rFonts w:ascii="Arial" w:hAnsi="Arial" w:eastAsia="等线" w:cs="Arial"/>
          <w:b/>
          <w:sz w:val="22"/>
        </w:rPr>
        <w:t>假设利率（AIR，Assumed Interest Rate）</w:t>
      </w:r>
      <w:r>
        <w:rPr>
          <w:rFonts w:ascii="Arial" w:hAnsi="Arial" w:eastAsia="等线" w:cs="Arial"/>
          <w:sz w:val="22"/>
        </w:rPr>
        <w:t>：预测独立账户长期收益的基准，若实际收益＞AIR， 领取金额（Payout）增加；实际收益＜AIR，领取金额（Payout）减少。</w:t>
      </w:r>
    </w:p>
    <w:p w14:paraId="14563AC2">
      <w:pPr>
        <w:numPr>
          <w:ilvl w:val="0"/>
          <w:numId w:val="75"/>
        </w:numPr>
        <w:spacing w:before="120" w:after="120" w:line="288" w:lineRule="auto"/>
        <w:ind w:left="453"/>
        <w:jc w:val="left"/>
      </w:pPr>
      <w:r>
        <w:rPr>
          <w:rFonts w:ascii="Arial" w:hAnsi="Arial" w:eastAsia="等线" w:cs="Arial"/>
          <w:b/>
          <w:sz w:val="22"/>
        </w:rPr>
        <w:t>累积单位（Accumulation Units）</w:t>
      </w:r>
      <w:r>
        <w:rPr>
          <w:rFonts w:ascii="Arial" w:hAnsi="Arial" w:eastAsia="等线" w:cs="Arial"/>
          <w:sz w:val="22"/>
        </w:rPr>
        <w:t>：缴费阶段（Payin Phase）购买的单位，类似基金份额，数量随缴费增加。</w:t>
      </w:r>
    </w:p>
    <w:p w14:paraId="4B6CADF9">
      <w:pPr>
        <w:numPr>
          <w:ilvl w:val="0"/>
          <w:numId w:val="76"/>
        </w:numPr>
        <w:spacing w:before="120" w:after="120" w:line="288" w:lineRule="auto"/>
        <w:ind w:left="453"/>
        <w:jc w:val="left"/>
      </w:pPr>
      <w:r>
        <w:rPr>
          <w:rFonts w:ascii="Arial" w:hAnsi="Arial" w:eastAsia="等线" w:cs="Arial"/>
          <w:b/>
          <w:sz w:val="22"/>
        </w:rPr>
        <w:t>年金单位（Annuity Units）</w:t>
      </w:r>
      <w:r>
        <w:rPr>
          <w:rFonts w:ascii="Arial" w:hAnsi="Arial" w:eastAsia="等线" w:cs="Arial"/>
          <w:sz w:val="22"/>
        </w:rPr>
        <w:t>：领取阶段（Payout Phase）将累积单位转换为固定数量的年金单位，单位价值随独立账户表现波动，因此每月领取金额（Payout）可变。</w:t>
      </w:r>
    </w:p>
    <w:p w14:paraId="1CE9173E">
      <w:pPr>
        <w:numPr>
          <w:ilvl w:val="0"/>
          <w:numId w:val="77"/>
        </w:numPr>
        <w:spacing w:before="120" w:after="120" w:line="288" w:lineRule="auto"/>
        <w:ind w:left="0"/>
        <w:jc w:val="left"/>
      </w:pPr>
      <w:r>
        <w:rPr>
          <w:rFonts w:ascii="Arial" w:hAnsi="Arial" w:eastAsia="等线" w:cs="Arial"/>
          <w:b/>
          <w:sz w:val="22"/>
        </w:rPr>
        <w:t>核心优势</w:t>
      </w:r>
    </w:p>
    <w:p w14:paraId="38C3C652">
      <w:pPr>
        <w:numPr>
          <w:ilvl w:val="0"/>
          <w:numId w:val="78"/>
        </w:numPr>
        <w:spacing w:before="120" w:after="120" w:line="288" w:lineRule="auto"/>
        <w:ind w:left="453"/>
        <w:jc w:val="left"/>
      </w:pPr>
      <w:r>
        <w:rPr>
          <w:rFonts w:ascii="Arial" w:hAnsi="Arial" w:eastAsia="等线" w:cs="Arial"/>
          <w:sz w:val="22"/>
        </w:rPr>
        <w:t>延迟纳税，加速复利：在可变年金的累积阶段，你账户内投资所产生的收益和红利是无需当期缴纳所得税。</w:t>
      </w:r>
    </w:p>
    <w:p w14:paraId="0ED5C3CE">
      <w:pPr>
        <w:numPr>
          <w:ilvl w:val="0"/>
          <w:numId w:val="79"/>
        </w:numPr>
        <w:spacing w:before="120" w:after="120" w:line="288" w:lineRule="auto"/>
        <w:ind w:left="453"/>
        <w:jc w:val="left"/>
      </w:pPr>
      <w:r>
        <w:rPr>
          <w:rFonts w:ascii="Arial" w:hAnsi="Arial" w:eastAsia="等线" w:cs="Arial"/>
          <w:sz w:val="22"/>
        </w:rPr>
        <w:t>建立自律储蓄习惯：购买可变年金相当于签订了一份长期合同，这有助于你系统地、有纪律地为退休目标进行储蓄和积累。</w:t>
      </w:r>
    </w:p>
    <w:p w14:paraId="7C8EF661">
      <w:pPr>
        <w:spacing w:before="300" w:after="120" w:line="288" w:lineRule="auto"/>
        <w:ind w:left="0"/>
        <w:jc w:val="left"/>
        <w:outlineLvl w:val="2"/>
      </w:pPr>
      <w:bookmarkStart w:id="26" w:name="heading_26"/>
      <w:r>
        <w:rPr>
          <w:rFonts w:ascii="Arial" w:hAnsi="Arial" w:eastAsia="等线" w:cs="Arial"/>
          <w:color w:val="3370FF"/>
          <w:sz w:val="30"/>
        </w:rPr>
        <w:t xml:space="preserve">2.5.3 </w:t>
      </w:r>
      <w:r>
        <w:rPr>
          <w:rFonts w:ascii="Arial" w:hAnsi="Arial" w:eastAsia="等线" w:cs="Arial"/>
          <w:b/>
          <w:sz w:val="30"/>
        </w:rPr>
        <w:t>年金缴费与领取方式</w:t>
      </w:r>
      <w:bookmarkEnd w:id="26"/>
    </w:p>
    <w:p w14:paraId="7B2D5AFE">
      <w:pPr>
        <w:spacing w:before="260" w:after="120" w:line="288" w:lineRule="auto"/>
        <w:ind w:left="0"/>
        <w:jc w:val="left"/>
        <w:outlineLvl w:val="3"/>
      </w:pPr>
      <w:bookmarkStart w:id="27" w:name="heading_27"/>
      <w:r>
        <w:rPr>
          <w:rFonts w:ascii="Arial" w:hAnsi="Arial" w:eastAsia="等线" w:cs="Arial"/>
          <w:color w:val="3370FF"/>
          <w:sz w:val="28"/>
        </w:rPr>
        <w:t xml:space="preserve">2.5.3.1 </w:t>
      </w:r>
      <w:r>
        <w:rPr>
          <w:rFonts w:ascii="Arial" w:hAnsi="Arial" w:eastAsia="等线" w:cs="Arial"/>
          <w:b/>
          <w:sz w:val="28"/>
        </w:rPr>
        <w:t>缴费阶段（ payin (accumulation) phase）</w:t>
      </w:r>
      <w:bookmarkEnd w:id="27"/>
    </w:p>
    <w:p w14:paraId="27A824D1">
      <w:pPr>
        <w:spacing w:before="120" w:after="120" w:line="288" w:lineRule="auto"/>
        <w:ind w:left="0"/>
        <w:jc w:val="left"/>
      </w:pPr>
      <w:r>
        <w:rPr>
          <w:rFonts w:ascii="Arial" w:hAnsi="Arial" w:eastAsia="等线" w:cs="Arial"/>
          <w:sz w:val="22"/>
        </w:rPr>
        <w:t>投资者在购买固定或可变年金时，有几种付款方式可供选择：</w:t>
      </w:r>
    </w:p>
    <w:p w14:paraId="453B5B96">
      <w:pPr>
        <w:numPr>
          <w:ilvl w:val="0"/>
          <w:numId w:val="80"/>
        </w:numPr>
        <w:spacing w:before="120" w:after="120" w:line="288" w:lineRule="auto"/>
        <w:ind w:left="0"/>
        <w:jc w:val="left"/>
      </w:pPr>
      <w:r>
        <w:rPr>
          <w:rFonts w:ascii="Arial" w:hAnsi="Arial" w:eastAsia="等线" w:cs="Arial"/>
          <w:sz w:val="22"/>
        </w:rPr>
        <w:t>单笔缴费递延年金（Single Payment Deferred Annuity, SPDA）：一次性缴费，领取推迟至未来；</w:t>
      </w:r>
    </w:p>
    <w:p w14:paraId="317A7CDF">
      <w:pPr>
        <w:numPr>
          <w:ilvl w:val="0"/>
          <w:numId w:val="81"/>
        </w:numPr>
        <w:spacing w:before="120" w:after="120" w:line="288" w:lineRule="auto"/>
        <w:ind w:left="0"/>
        <w:jc w:val="left"/>
      </w:pPr>
      <w:r>
        <w:rPr>
          <w:rFonts w:ascii="Arial" w:hAnsi="Arial" w:eastAsia="等线" w:cs="Arial"/>
          <w:sz w:val="22"/>
        </w:rPr>
        <w:t>分期缴费递延年金（Periodic Payment Deferred Annuity, PPDA）：定期缴费（如每月），领取推迟至未来。这是最常见的缴费方式；</w:t>
      </w:r>
    </w:p>
    <w:p w14:paraId="2F1EE580">
      <w:pPr>
        <w:numPr>
          <w:ilvl w:val="0"/>
          <w:numId w:val="82"/>
        </w:numPr>
        <w:spacing w:before="120" w:after="120" w:line="288" w:lineRule="auto"/>
        <w:ind w:left="0"/>
        <w:jc w:val="left"/>
      </w:pPr>
      <w:r>
        <w:rPr>
          <w:rFonts w:ascii="Arial" w:hAnsi="Arial" w:eastAsia="等线" w:cs="Arial"/>
          <w:sz w:val="22"/>
        </w:rPr>
        <w:t>即期年金（Immediate Annuity）：一次性大额缴费，立即开始领取。</w:t>
      </w:r>
    </w:p>
    <w:p w14:paraId="3AC9B71E">
      <w:pPr>
        <w:spacing w:before="120" w:after="120" w:line="288" w:lineRule="auto"/>
        <w:ind w:left="0"/>
        <w:jc w:val="left"/>
      </w:pPr>
    </w:p>
    <w:p w14:paraId="44A63F80">
      <w:pPr>
        <w:spacing w:before="120" w:after="120" w:line="288" w:lineRule="auto"/>
        <w:ind w:left="0"/>
        <w:jc w:val="left"/>
      </w:pPr>
      <w:r>
        <w:rPr>
          <w:rFonts w:ascii="Arial" w:hAnsi="Arial" w:eastAsia="等线" w:cs="Arial"/>
          <w:b/>
          <w:sz w:val="22"/>
        </w:rPr>
        <w:t>税收特征</w:t>
      </w:r>
      <w:r>
        <w:rPr>
          <w:rFonts w:ascii="Arial" w:hAnsi="Arial" w:eastAsia="等线" w:cs="Arial"/>
          <w:sz w:val="22"/>
        </w:rPr>
        <w:t>：缴费用税后资金，收益（dividends, interest, and capital gains）递延纳税，仅在领取时缴税。</w:t>
      </w:r>
    </w:p>
    <w:p w14:paraId="4FBBDDB3">
      <w:pPr>
        <w:spacing w:before="120" w:after="120" w:line="288" w:lineRule="auto"/>
        <w:ind w:left="0"/>
        <w:jc w:val="left"/>
      </w:pPr>
    </w:p>
    <w:p w14:paraId="1A3D7490">
      <w:pPr>
        <w:spacing w:before="260" w:after="120" w:line="288" w:lineRule="auto"/>
        <w:ind w:left="0"/>
        <w:jc w:val="left"/>
        <w:outlineLvl w:val="3"/>
      </w:pPr>
      <w:bookmarkStart w:id="28" w:name="heading_28"/>
      <w:r>
        <w:rPr>
          <w:rFonts w:ascii="Arial" w:hAnsi="Arial" w:eastAsia="等线" w:cs="Arial"/>
          <w:color w:val="3370FF"/>
          <w:sz w:val="28"/>
        </w:rPr>
        <w:t xml:space="preserve">2.5.3.2 </w:t>
      </w:r>
      <w:r>
        <w:rPr>
          <w:rFonts w:ascii="Arial" w:hAnsi="Arial" w:eastAsia="等线" w:cs="Arial"/>
          <w:b/>
          <w:sz w:val="28"/>
        </w:rPr>
        <w:t>领取阶段（payout (annuitization) phase）</w:t>
      </w:r>
      <w:bookmarkEnd w:id="28"/>
    </w:p>
    <w:p w14:paraId="62A62094">
      <w:pPr>
        <w:spacing w:before="120" w:after="120" w:line="288" w:lineRule="auto"/>
        <w:ind w:left="0"/>
        <w:jc w:val="left"/>
      </w:pPr>
      <w:r>
        <w:rPr>
          <w:rFonts w:ascii="Arial" w:hAnsi="Arial" w:eastAsia="等线" w:cs="Arial"/>
          <w:sz w:val="22"/>
        </w:rPr>
        <w:t>领取方式（payout option）决定领取期限和金额，核心为保证终身领取，即使超过预期寿命。</w:t>
      </w:r>
    </w:p>
    <w:p w14:paraId="0D7E0AD3">
      <w:pPr>
        <w:spacing w:before="120" w:after="120" w:line="288" w:lineRule="auto"/>
        <w:ind w:left="0"/>
        <w:jc w:val="left"/>
      </w:pPr>
    </w:p>
    <w:p w14:paraId="6978C027">
      <w:pPr>
        <w:spacing w:before="120" w:after="120" w:line="288" w:lineRule="auto"/>
        <w:ind w:left="0"/>
        <w:jc w:val="left"/>
      </w:pPr>
      <w:r>
        <w:rPr>
          <w:rFonts w:ascii="Arial" w:hAnsi="Arial" w:eastAsia="等线" w:cs="Arial"/>
          <w:sz w:val="22"/>
        </w:rPr>
        <w:t>所有年金都有死亡保障（mortality guarantee）。这一保障意味着投资者只要活着就能获得付款，即使超出了他们的预期寿命。</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00"/>
        <w:gridCol w:w="2865"/>
        <w:gridCol w:w="2715"/>
      </w:tblGrid>
      <w:tr w14:paraId="4785F9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38E7C6B7">
            <w:pPr>
              <w:spacing w:before="120" w:after="120" w:line="288" w:lineRule="auto"/>
              <w:ind w:left="0"/>
              <w:jc w:val="left"/>
            </w:pPr>
            <w:r>
              <w:rPr>
                <w:rFonts w:ascii="Arial" w:hAnsi="Arial" w:eastAsia="等线" w:cs="Arial"/>
                <w:b/>
                <w:sz w:val="22"/>
              </w:rPr>
              <w:t>领取方式</w:t>
            </w:r>
          </w:p>
        </w:tc>
        <w:tc>
          <w:tcPr>
            <w:tcW w:w="2865" w:type="dxa"/>
            <w:tcMar>
              <w:top w:w="60" w:type="dxa"/>
              <w:left w:w="120" w:type="dxa"/>
              <w:bottom w:w="30" w:type="dxa"/>
              <w:right w:w="120" w:type="dxa"/>
            </w:tcMar>
          </w:tcPr>
          <w:p w14:paraId="449557A0">
            <w:pPr>
              <w:spacing w:before="120" w:after="120" w:line="288" w:lineRule="auto"/>
              <w:ind w:left="0"/>
              <w:jc w:val="left"/>
            </w:pPr>
            <w:r>
              <w:rPr>
                <w:rFonts w:ascii="Arial" w:hAnsi="Arial" w:eastAsia="等线" w:cs="Arial"/>
                <w:b/>
                <w:sz w:val="22"/>
              </w:rPr>
              <w:t>核心规则</w:t>
            </w:r>
          </w:p>
        </w:tc>
        <w:tc>
          <w:tcPr>
            <w:tcW w:w="2715" w:type="dxa"/>
            <w:tcMar>
              <w:top w:w="60" w:type="dxa"/>
              <w:left w:w="120" w:type="dxa"/>
              <w:bottom w:w="30" w:type="dxa"/>
              <w:right w:w="120" w:type="dxa"/>
            </w:tcMar>
          </w:tcPr>
          <w:p w14:paraId="03CD8A6B">
            <w:pPr>
              <w:spacing w:before="120" w:after="120" w:line="288" w:lineRule="auto"/>
              <w:ind w:left="0"/>
              <w:jc w:val="left"/>
            </w:pPr>
            <w:r>
              <w:rPr>
                <w:rFonts w:ascii="Arial" w:hAnsi="Arial" w:eastAsia="等线" w:cs="Arial"/>
                <w:b/>
                <w:sz w:val="22"/>
              </w:rPr>
              <w:t>适用场景</w:t>
            </w:r>
          </w:p>
        </w:tc>
      </w:tr>
      <w:tr w14:paraId="73B926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3A5ABA5B">
            <w:pPr>
              <w:spacing w:before="120" w:after="120" w:line="288" w:lineRule="auto"/>
              <w:ind w:left="0"/>
              <w:jc w:val="left"/>
            </w:pPr>
            <w:r>
              <w:rPr>
                <w:rFonts w:ascii="Arial" w:hAnsi="Arial" w:eastAsia="等线" w:cs="Arial"/>
                <w:sz w:val="22"/>
              </w:rPr>
              <w:t>终身年金（Life (Straight-life) Annuity）</w:t>
            </w:r>
          </w:p>
        </w:tc>
        <w:tc>
          <w:tcPr>
            <w:tcW w:w="2865" w:type="dxa"/>
            <w:tcMar>
              <w:top w:w="60" w:type="dxa"/>
              <w:left w:w="120" w:type="dxa"/>
              <w:bottom w:w="30" w:type="dxa"/>
              <w:right w:w="120" w:type="dxa"/>
            </w:tcMar>
          </w:tcPr>
          <w:p w14:paraId="6524D6D4">
            <w:pPr>
              <w:spacing w:before="120" w:after="120" w:line="288" w:lineRule="auto"/>
              <w:ind w:left="0"/>
              <w:jc w:val="left"/>
            </w:pPr>
            <w:r>
              <w:rPr>
                <w:rFonts w:ascii="Arial" w:hAnsi="Arial" w:eastAsia="等线" w:cs="Arial"/>
                <w:sz w:val="22"/>
              </w:rPr>
              <w:t>年金领取人（Annuitant）可终身领取，去世后保险公司停止支付。</w:t>
            </w:r>
          </w:p>
        </w:tc>
        <w:tc>
          <w:tcPr>
            <w:tcW w:w="2715" w:type="dxa"/>
            <w:tcMar>
              <w:top w:w="60" w:type="dxa"/>
              <w:left w:w="120" w:type="dxa"/>
              <w:bottom w:w="30" w:type="dxa"/>
              <w:right w:w="120" w:type="dxa"/>
            </w:tcMar>
          </w:tcPr>
          <w:p w14:paraId="4B744BE5">
            <w:pPr>
              <w:spacing w:before="120" w:after="120" w:line="288" w:lineRule="auto"/>
              <w:ind w:left="0"/>
              <w:jc w:val="left"/>
            </w:pPr>
            <w:r>
              <w:rPr>
                <w:rFonts w:ascii="Arial" w:hAnsi="Arial" w:eastAsia="等线" w:cs="Arial"/>
                <w:sz w:val="22"/>
              </w:rPr>
              <w:t>无继承人、追求最高月支付金额的年金领取人。</w:t>
            </w:r>
          </w:p>
        </w:tc>
      </w:tr>
      <w:tr w14:paraId="04D1FB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604EDDDE">
            <w:pPr>
              <w:spacing w:before="120" w:after="120" w:line="288" w:lineRule="auto"/>
              <w:ind w:left="0"/>
              <w:jc w:val="left"/>
            </w:pPr>
            <w:r>
              <w:rPr>
                <w:rFonts w:ascii="Arial" w:hAnsi="Arial" w:eastAsia="等线" w:cs="Arial"/>
                <w:sz w:val="22"/>
              </w:rPr>
              <w:t>确定期限终身年金（Life with Period Certain）</w:t>
            </w:r>
          </w:p>
        </w:tc>
        <w:tc>
          <w:tcPr>
            <w:tcW w:w="2865" w:type="dxa"/>
            <w:tcMar>
              <w:top w:w="60" w:type="dxa"/>
              <w:left w:w="120" w:type="dxa"/>
              <w:bottom w:w="30" w:type="dxa"/>
              <w:right w:w="120" w:type="dxa"/>
            </w:tcMar>
          </w:tcPr>
          <w:p w14:paraId="5996A655">
            <w:pPr>
              <w:spacing w:before="120" w:after="120" w:line="288" w:lineRule="auto"/>
              <w:ind w:left="0"/>
              <w:jc w:val="left"/>
            </w:pPr>
            <w:r>
              <w:rPr>
                <w:rFonts w:ascii="Arial" w:hAnsi="Arial" w:eastAsia="等线" w:cs="Arial"/>
                <w:sz w:val="22"/>
              </w:rPr>
              <w:t>保证领取至少固定年限（如10年），若领取人早逝，指定受益人（the designated beneficiary）继续领取剩余期限。</w:t>
            </w:r>
          </w:p>
        </w:tc>
        <w:tc>
          <w:tcPr>
            <w:tcW w:w="2715" w:type="dxa"/>
            <w:tcMar>
              <w:top w:w="60" w:type="dxa"/>
              <w:left w:w="120" w:type="dxa"/>
              <w:bottom w:w="30" w:type="dxa"/>
              <w:right w:w="120" w:type="dxa"/>
            </w:tcMar>
          </w:tcPr>
          <w:p w14:paraId="6418E738">
            <w:pPr>
              <w:spacing w:before="120" w:after="120" w:line="288" w:lineRule="auto"/>
              <w:ind w:left="0"/>
              <w:jc w:val="left"/>
            </w:pPr>
            <w:r>
              <w:rPr>
                <w:rFonts w:ascii="Arial" w:hAnsi="Arial" w:eastAsia="等线" w:cs="Arial"/>
                <w:sz w:val="22"/>
              </w:rPr>
              <w:t>希望为受益人留部分保障的投资者。</w:t>
            </w:r>
          </w:p>
        </w:tc>
      </w:tr>
      <w:tr w14:paraId="3CA213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58170313">
            <w:pPr>
              <w:spacing w:before="120" w:after="120" w:line="288" w:lineRule="auto"/>
              <w:ind w:left="0"/>
              <w:jc w:val="left"/>
            </w:pPr>
            <w:r>
              <w:rPr>
                <w:rFonts w:ascii="Arial" w:hAnsi="Arial" w:eastAsia="等线" w:cs="Arial"/>
                <w:sz w:val="22"/>
              </w:rPr>
              <w:t>联合生存年金（Joint and Last Survivor）</w:t>
            </w:r>
          </w:p>
        </w:tc>
        <w:tc>
          <w:tcPr>
            <w:tcW w:w="2865" w:type="dxa"/>
            <w:tcMar>
              <w:top w:w="60" w:type="dxa"/>
              <w:left w:w="120" w:type="dxa"/>
              <w:bottom w:w="30" w:type="dxa"/>
              <w:right w:w="120" w:type="dxa"/>
            </w:tcMar>
          </w:tcPr>
          <w:p w14:paraId="4A50FF27">
            <w:pPr>
              <w:spacing w:before="120" w:after="120" w:line="288" w:lineRule="auto"/>
              <w:ind w:left="0"/>
              <w:jc w:val="left"/>
            </w:pPr>
            <w:r>
              <w:rPr>
                <w:rFonts w:ascii="Arial" w:hAnsi="Arial" w:eastAsia="等线" w:cs="Arial"/>
                <w:sz w:val="22"/>
              </w:rPr>
              <w:t>覆盖两人（如夫妻），直至最后一人去世才停止支付。</w:t>
            </w:r>
          </w:p>
        </w:tc>
        <w:tc>
          <w:tcPr>
            <w:tcW w:w="2715" w:type="dxa"/>
            <w:tcMar>
              <w:top w:w="60" w:type="dxa"/>
              <w:left w:w="120" w:type="dxa"/>
              <w:bottom w:w="30" w:type="dxa"/>
              <w:right w:w="120" w:type="dxa"/>
            </w:tcMar>
          </w:tcPr>
          <w:p w14:paraId="440D5783">
            <w:pPr>
              <w:spacing w:before="120" w:after="120" w:line="288" w:lineRule="auto"/>
              <w:ind w:left="0"/>
              <w:jc w:val="left"/>
            </w:pPr>
            <w:r>
              <w:rPr>
                <w:rFonts w:ascii="Arial" w:hAnsi="Arial" w:eastAsia="等线" w:cs="Arial"/>
                <w:sz w:val="22"/>
              </w:rPr>
              <w:t>夫妻双方需共同依赖年金收入的场景。</w:t>
            </w:r>
          </w:p>
        </w:tc>
      </w:tr>
    </w:tbl>
    <w:p w14:paraId="04924188"/>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4101A31C">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03C8A0C5">
            <w:pPr>
              <w:spacing w:before="120" w:after="120" w:line="288" w:lineRule="auto"/>
              <w:ind w:left="0"/>
              <w:jc w:val="left"/>
            </w:pPr>
            <w:r>
              <w:rPr>
                <w:rFonts w:ascii="Arial" w:hAnsi="Arial" w:eastAsia="等线" w:cs="Arial"/>
                <w:sz w:val="22"/>
              </w:rPr>
              <w:t xml:space="preserve">习题：（答案在本文最后） </w:t>
            </w:r>
          </w:p>
          <w:p w14:paraId="306417F0">
            <w:pPr>
              <w:numPr>
                <w:ilvl w:val="0"/>
                <w:numId w:val="83"/>
              </w:numPr>
              <w:spacing w:before="120" w:after="120" w:line="288" w:lineRule="auto"/>
              <w:ind w:left="0"/>
              <w:jc w:val="left"/>
            </w:pPr>
            <w:r>
              <w:rPr>
                <w:rFonts w:ascii="Arial" w:hAnsi="Arial" w:eastAsia="等线" w:cs="Arial"/>
                <w:sz w:val="22"/>
              </w:rPr>
              <w:t>All of the following are ways a variable annuity can be purchased EXCEPT</w:t>
            </w:r>
          </w:p>
          <w:p w14:paraId="283159B3">
            <w:pPr>
              <w:spacing w:before="120" w:after="120" w:line="288" w:lineRule="auto"/>
              <w:ind w:left="0"/>
              <w:jc w:val="left"/>
            </w:pPr>
            <w:r>
              <w:rPr>
                <w:rFonts w:ascii="Arial" w:hAnsi="Arial" w:eastAsia="等线" w:cs="Arial"/>
                <w:sz w:val="22"/>
              </w:rPr>
              <w:t>(A) immediate annuity</w:t>
            </w:r>
          </w:p>
          <w:p w14:paraId="34C23EA8">
            <w:pPr>
              <w:spacing w:before="120" w:after="120" w:line="288" w:lineRule="auto"/>
              <w:ind w:left="0"/>
              <w:jc w:val="left"/>
            </w:pPr>
            <w:r>
              <w:rPr>
                <w:rFonts w:ascii="Arial" w:hAnsi="Arial" w:eastAsia="等线" w:cs="Arial"/>
                <w:sz w:val="22"/>
              </w:rPr>
              <w:t>(B) payment deferred immediate annuity</w:t>
            </w:r>
          </w:p>
          <w:p w14:paraId="1FC0B4FF">
            <w:pPr>
              <w:spacing w:before="120" w:after="120" w:line="288" w:lineRule="auto"/>
              <w:ind w:left="0"/>
              <w:jc w:val="left"/>
            </w:pPr>
            <w:r>
              <w:rPr>
                <w:rFonts w:ascii="Arial" w:hAnsi="Arial" w:eastAsia="等线" w:cs="Arial"/>
                <w:sz w:val="22"/>
              </w:rPr>
              <w:t>(C) single payment deferred annuity</w:t>
            </w:r>
          </w:p>
          <w:p w14:paraId="732B5A34">
            <w:pPr>
              <w:spacing w:before="120" w:after="120" w:line="288" w:lineRule="auto"/>
              <w:ind w:left="0"/>
              <w:jc w:val="left"/>
            </w:pPr>
            <w:r>
              <w:rPr>
                <w:rFonts w:ascii="Arial" w:hAnsi="Arial" w:eastAsia="等线" w:cs="Arial"/>
                <w:sz w:val="22"/>
              </w:rPr>
              <w:t>(D) periodic payment deferred annuity</w:t>
            </w:r>
          </w:p>
          <w:p w14:paraId="5C0F5947">
            <w:pPr>
              <w:spacing w:before="120" w:after="120" w:line="288" w:lineRule="auto"/>
              <w:ind w:left="0"/>
              <w:jc w:val="left"/>
            </w:pPr>
          </w:p>
          <w:p w14:paraId="5A0AA226">
            <w:pPr>
              <w:numPr>
                <w:ilvl w:val="0"/>
                <w:numId w:val="84"/>
              </w:numPr>
              <w:spacing w:before="120" w:after="120" w:line="288" w:lineRule="auto"/>
              <w:ind w:left="0"/>
              <w:jc w:val="left"/>
            </w:pPr>
            <w:r>
              <w:rPr>
                <w:rFonts w:ascii="Arial" w:hAnsi="Arial" w:eastAsia="等线" w:cs="Arial"/>
                <w:sz w:val="22"/>
              </w:rPr>
              <w:t>Which of the following is TRUE about variable annuities?</w:t>
            </w:r>
          </w:p>
          <w:p w14:paraId="48E5A7A8">
            <w:pPr>
              <w:spacing w:before="120" w:after="120" w:line="288" w:lineRule="auto"/>
              <w:ind w:left="0"/>
              <w:jc w:val="left"/>
            </w:pPr>
            <w:r>
              <w:rPr>
                <w:rFonts w:ascii="Arial" w:hAnsi="Arial" w:eastAsia="等线" w:cs="Arial"/>
                <w:sz w:val="22"/>
              </w:rPr>
              <w:t>I. Investors purchase accumulation units during the pay-in phase.</w:t>
            </w:r>
          </w:p>
          <w:p w14:paraId="667EDB72">
            <w:pPr>
              <w:spacing w:before="120" w:after="120" w:line="288" w:lineRule="auto"/>
              <w:ind w:left="0"/>
              <w:jc w:val="left"/>
            </w:pPr>
            <w:r>
              <w:rPr>
                <w:rFonts w:ascii="Arial" w:hAnsi="Arial" w:eastAsia="等线" w:cs="Arial"/>
                <w:sz w:val="22"/>
              </w:rPr>
              <w:t>II. Investors purchase annuity units during the pay-in phase.</w:t>
            </w:r>
          </w:p>
          <w:p w14:paraId="46878B23">
            <w:pPr>
              <w:spacing w:before="120" w:after="120" w:line="288" w:lineRule="auto"/>
              <w:ind w:left="0"/>
              <w:jc w:val="left"/>
            </w:pPr>
            <w:r>
              <w:rPr>
                <w:rFonts w:ascii="Arial" w:hAnsi="Arial" w:eastAsia="等线" w:cs="Arial"/>
                <w:sz w:val="22"/>
              </w:rPr>
              <w:t>III. If the performance of the securities held in the separate account exceeds the assumed</w:t>
            </w:r>
          </w:p>
          <w:p w14:paraId="20554206">
            <w:pPr>
              <w:spacing w:before="120" w:after="120" w:line="288" w:lineRule="auto"/>
              <w:ind w:left="0"/>
              <w:jc w:val="left"/>
            </w:pPr>
            <w:r>
              <w:rPr>
                <w:rFonts w:ascii="Arial" w:hAnsi="Arial" w:eastAsia="等线" w:cs="Arial"/>
                <w:sz w:val="22"/>
              </w:rPr>
              <w:t>interest rate, payouts increase.</w:t>
            </w:r>
          </w:p>
          <w:p w14:paraId="58E2FC83">
            <w:pPr>
              <w:spacing w:before="120" w:after="120" w:line="288" w:lineRule="auto"/>
              <w:ind w:left="0"/>
              <w:jc w:val="left"/>
            </w:pPr>
            <w:r>
              <w:rPr>
                <w:rFonts w:ascii="Arial" w:hAnsi="Arial" w:eastAsia="等线" w:cs="Arial"/>
                <w:sz w:val="22"/>
              </w:rPr>
              <w:t>IV. Payments to variable annuities are made from pretax dollars.</w:t>
            </w:r>
          </w:p>
          <w:p w14:paraId="032ADEF5">
            <w:pPr>
              <w:spacing w:before="120" w:after="120" w:line="288" w:lineRule="auto"/>
              <w:ind w:left="0"/>
              <w:jc w:val="left"/>
            </w:pPr>
            <w:r>
              <w:rPr>
                <w:rFonts w:ascii="Arial" w:hAnsi="Arial" w:eastAsia="等线" w:cs="Arial"/>
                <w:sz w:val="22"/>
              </w:rPr>
              <w:t>(A) I and III</w:t>
            </w:r>
          </w:p>
          <w:p w14:paraId="4F8000DD">
            <w:pPr>
              <w:spacing w:before="120" w:after="120" w:line="288" w:lineRule="auto"/>
              <w:ind w:left="0"/>
              <w:jc w:val="left"/>
            </w:pPr>
            <w:r>
              <w:rPr>
                <w:rFonts w:ascii="Arial" w:hAnsi="Arial" w:eastAsia="等线" w:cs="Arial"/>
                <w:sz w:val="22"/>
              </w:rPr>
              <w:t>(B) I, III, and IV</w:t>
            </w:r>
          </w:p>
          <w:p w14:paraId="6022C916">
            <w:pPr>
              <w:spacing w:before="120" w:after="120" w:line="288" w:lineRule="auto"/>
              <w:ind w:left="0"/>
              <w:jc w:val="left"/>
            </w:pPr>
            <w:r>
              <w:rPr>
                <w:rFonts w:ascii="Arial" w:hAnsi="Arial" w:eastAsia="等线" w:cs="Arial"/>
                <w:sz w:val="22"/>
              </w:rPr>
              <w:t>(C) II and III</w:t>
            </w:r>
          </w:p>
          <w:p w14:paraId="0555C7AD">
            <w:pPr>
              <w:spacing w:before="120" w:after="120" w:line="288" w:lineRule="auto"/>
              <w:ind w:left="0"/>
              <w:jc w:val="left"/>
            </w:pPr>
            <w:r>
              <w:rPr>
                <w:rFonts w:ascii="Arial" w:hAnsi="Arial" w:eastAsia="等线" w:cs="Arial"/>
                <w:sz w:val="22"/>
              </w:rPr>
              <w:t>(D) II, III, and IV</w:t>
            </w:r>
          </w:p>
        </w:tc>
      </w:tr>
    </w:tbl>
    <w:p w14:paraId="58A1A6D6">
      <w:pPr>
        <w:spacing w:before="120" w:after="120" w:line="288" w:lineRule="auto"/>
        <w:ind w:left="0"/>
        <w:jc w:val="left"/>
      </w:pPr>
    </w:p>
    <w:p w14:paraId="41DF542E">
      <w:pPr>
        <w:spacing w:before="300" w:after="120" w:line="288" w:lineRule="auto"/>
        <w:ind w:left="0"/>
        <w:jc w:val="left"/>
        <w:outlineLvl w:val="2"/>
      </w:pPr>
      <w:bookmarkStart w:id="29" w:name="heading_29"/>
      <w:r>
        <w:rPr>
          <w:rFonts w:ascii="Arial" w:hAnsi="Arial" w:eastAsia="等线" w:cs="Arial"/>
          <w:color w:val="3370FF"/>
          <w:sz w:val="30"/>
        </w:rPr>
        <w:t xml:space="preserve">2.5.4 </w:t>
      </w:r>
      <w:r>
        <w:rPr>
          <w:rFonts w:ascii="Arial" w:hAnsi="Arial" w:eastAsia="等线" w:cs="Arial"/>
          <w:b/>
          <w:sz w:val="30"/>
        </w:rPr>
        <w:t>提前赎回罚款</w:t>
      </w:r>
      <w:bookmarkEnd w:id="29"/>
    </w:p>
    <w:p w14:paraId="571A0875">
      <w:pPr>
        <w:spacing w:before="120" w:after="120" w:line="288" w:lineRule="auto"/>
        <w:ind w:left="0"/>
        <w:jc w:val="left"/>
      </w:pPr>
    </w:p>
    <w:p w14:paraId="653ECC4A">
      <w:pPr>
        <w:spacing w:before="120" w:after="120" w:line="288" w:lineRule="auto"/>
        <w:ind w:left="0"/>
        <w:jc w:val="left"/>
      </w:pPr>
      <w:r>
        <w:rPr>
          <w:rFonts w:ascii="Arial" w:hAnsi="Arial" w:eastAsia="等线" w:cs="Arial"/>
          <w:b/>
          <w:sz w:val="22"/>
        </w:rPr>
        <w:t>10% 联邦罚款（penalty）</w:t>
      </w:r>
      <w:r>
        <w:rPr>
          <w:rFonts w:ascii="Arial" w:hAnsi="Arial" w:eastAsia="等线" w:cs="Arial"/>
          <w:sz w:val="22"/>
        </w:rPr>
        <w:t>：59.5岁前赎回需缴纳 10% 罚款，豁免情形（waiver case）包括：死亡、残疾、长期护理需求。</w:t>
      </w:r>
    </w:p>
    <w:p w14:paraId="1FE63B12">
      <w:pPr>
        <w:spacing w:before="120" w:after="120" w:line="288" w:lineRule="auto"/>
        <w:ind w:left="0"/>
        <w:jc w:val="left"/>
      </w:pPr>
    </w:p>
    <w:p w14:paraId="59F64287">
      <w:pPr>
        <w:spacing w:before="120" w:after="120" w:line="288" w:lineRule="auto"/>
        <w:ind w:left="0"/>
        <w:jc w:val="left"/>
      </w:pPr>
      <w:r>
        <w:rPr>
          <w:rFonts w:ascii="Arial" w:hAnsi="Arial" w:eastAsia="等线" w:cs="Arial"/>
          <w:sz w:val="22"/>
        </w:rPr>
        <w:t>注意：这10%的罚款会被计入投资者的税级（tax bracket），含义如下：</w:t>
      </w:r>
    </w:p>
    <w:p w14:paraId="71B17AAE">
      <w:pPr>
        <w:numPr>
          <w:ilvl w:val="0"/>
          <w:numId w:val="85"/>
        </w:numPr>
        <w:spacing w:before="120" w:after="120" w:line="288" w:lineRule="auto"/>
        <w:ind w:left="0"/>
        <w:jc w:val="left"/>
      </w:pPr>
      <w:r>
        <w:rPr>
          <w:rFonts w:ascii="Arial" w:hAnsi="Arial" w:eastAsia="等线" w:cs="Arial"/>
          <w:sz w:val="22"/>
        </w:rPr>
        <w:t>仅对年金账户中的 “收益”（而非本金）征收 10% 罚款；</w:t>
      </w:r>
    </w:p>
    <w:p w14:paraId="56D911D8">
      <w:pPr>
        <w:numPr>
          <w:ilvl w:val="0"/>
          <w:numId w:val="86"/>
        </w:numPr>
        <w:spacing w:before="120" w:after="120" w:line="288" w:lineRule="auto"/>
        <w:ind w:left="0"/>
        <w:jc w:val="left"/>
      </w:pPr>
      <w:r>
        <w:rPr>
          <w:rFonts w:ascii="Arial" w:hAnsi="Arial" w:eastAsia="等线" w:cs="Arial"/>
          <w:sz w:val="22"/>
        </w:rPr>
        <w:t>该罚款金额需与投资者当年其他应税收入合并，确定总应税收入对应的 “边际税率”。</w:t>
      </w:r>
    </w:p>
    <w:p w14:paraId="102CBAD5">
      <w:pPr>
        <w:spacing w:before="120" w:after="120" w:line="288" w:lineRule="auto"/>
        <w:ind w:left="0"/>
        <w:jc w:val="left"/>
      </w:pPr>
    </w:p>
    <w:p w14:paraId="41EC3F96">
      <w:pPr>
        <w:spacing w:before="120" w:after="120" w:line="288" w:lineRule="auto"/>
        <w:ind w:left="0"/>
        <w:jc w:val="left"/>
      </w:pPr>
      <w:r>
        <w:rPr>
          <w:rFonts w:ascii="Arial" w:hAnsi="Arial" w:eastAsia="等线" w:cs="Arial"/>
          <w:sz w:val="22"/>
        </w:rPr>
        <w:t>关于</w:t>
      </w:r>
      <w:r>
        <w:rPr>
          <w:rFonts w:ascii="Arial" w:hAnsi="Arial" w:eastAsia="等线" w:cs="Arial"/>
          <w:b/>
          <w:sz w:val="22"/>
        </w:rPr>
        <w:t>退保期（surrender period）</w:t>
      </w:r>
      <w:r>
        <w:rPr>
          <w:rFonts w:ascii="Arial" w:hAnsi="Arial" w:eastAsia="等线" w:cs="Arial"/>
          <w:sz w:val="22"/>
        </w:rPr>
        <w:t xml:space="preserve"> 与</w:t>
      </w:r>
      <w:r>
        <w:rPr>
          <w:rFonts w:ascii="Arial" w:hAnsi="Arial" w:eastAsia="等线" w:cs="Arial"/>
          <w:b/>
          <w:sz w:val="22"/>
        </w:rPr>
        <w:t>退保费（Surrender Charge）。</w:t>
      </w:r>
    </w:p>
    <w:p w14:paraId="12342761">
      <w:pPr>
        <w:spacing w:before="120" w:after="120" w:line="288" w:lineRule="auto"/>
        <w:ind w:left="0"/>
        <w:jc w:val="left"/>
      </w:pPr>
    </w:p>
    <w:p w14:paraId="7DE4BDE8">
      <w:pPr>
        <w:spacing w:before="120" w:after="120" w:line="288" w:lineRule="auto"/>
        <w:ind w:left="0"/>
        <w:jc w:val="left"/>
      </w:pPr>
      <w:r>
        <w:rPr>
          <w:rFonts w:ascii="Arial" w:hAnsi="Arial" w:eastAsia="等线" w:cs="Arial"/>
          <w:sz w:val="22"/>
        </w:rPr>
        <w:t>年金的</w:t>
      </w:r>
      <w:r>
        <w:rPr>
          <w:rFonts w:ascii="Arial" w:hAnsi="Arial" w:eastAsia="等线" w:cs="Arial"/>
          <w:b/>
          <w:sz w:val="22"/>
        </w:rPr>
        <w:t>退保期</w:t>
      </w:r>
      <w:r>
        <w:rPr>
          <w:rFonts w:ascii="Arial" w:hAnsi="Arial" w:eastAsia="等线" w:cs="Arial"/>
          <w:sz w:val="22"/>
        </w:rPr>
        <w:t>是保险公司为限制投资者 “短期赎回年金” 而设置的特定期限（通常为 5-10 年）。在此期间，若投资者提前提取超过 “免费提取额度” 的资金（或全额退保），需向保险公司支付</w:t>
      </w:r>
      <w:r>
        <w:rPr>
          <w:rFonts w:ascii="Arial" w:hAnsi="Arial" w:eastAsia="等线" w:cs="Arial"/>
          <w:b/>
          <w:sz w:val="22"/>
        </w:rPr>
        <w:t>退保费。</w:t>
      </w:r>
    </w:p>
    <w:p w14:paraId="635F94CA">
      <w:pPr>
        <w:spacing w:before="120" w:after="120" w:line="288" w:lineRule="auto"/>
        <w:ind w:left="0"/>
        <w:jc w:val="left"/>
      </w:pPr>
    </w:p>
    <w:p w14:paraId="47B1A0C5">
      <w:pPr>
        <w:spacing w:before="120" w:after="120" w:line="288" w:lineRule="auto"/>
        <w:ind w:left="0"/>
        <w:jc w:val="left"/>
      </w:pPr>
      <w:r>
        <w:rPr>
          <w:rFonts w:ascii="Arial" w:hAnsi="Arial" w:eastAsia="等线" w:cs="Arial"/>
          <w:sz w:val="22"/>
        </w:rPr>
        <w:t>退保期结束后，退保费用通常会全额免除。其本质是 “保险公司覆盖前期销售与运营成本的保护机制”，同时引导投资者长期持有年金。</w:t>
      </w:r>
    </w:p>
    <w:p w14:paraId="0D229C23">
      <w:pPr>
        <w:spacing w:before="120" w:after="120" w:line="288" w:lineRule="auto"/>
        <w:ind w:left="0"/>
        <w:jc w:val="left"/>
      </w:pPr>
    </w:p>
    <w:p w14:paraId="6402B3AF">
      <w:pPr>
        <w:spacing w:before="320" w:after="120" w:line="288" w:lineRule="auto"/>
        <w:ind w:left="0"/>
        <w:jc w:val="left"/>
        <w:outlineLvl w:val="1"/>
      </w:pPr>
      <w:bookmarkStart w:id="30" w:name="heading_30"/>
      <w:r>
        <w:rPr>
          <w:rFonts w:ascii="Arial" w:hAnsi="Arial" w:eastAsia="等线" w:cs="Arial"/>
          <w:color w:val="3370FF"/>
          <w:sz w:val="32"/>
        </w:rPr>
        <w:t xml:space="preserve">2.6 </w:t>
      </w:r>
      <w:r>
        <w:rPr>
          <w:rFonts w:ascii="Arial" w:hAnsi="Arial" w:eastAsia="等线" w:cs="Arial"/>
          <w:b/>
          <w:sz w:val="32"/>
        </w:rPr>
        <w:t>可变寿险产品</w:t>
      </w:r>
      <w:bookmarkEnd w:id="30"/>
    </w:p>
    <w:p w14:paraId="1AE968FA">
      <w:pPr>
        <w:spacing w:before="120" w:after="120" w:line="288" w:lineRule="auto"/>
        <w:ind w:left="0"/>
        <w:jc w:val="left"/>
      </w:pPr>
      <w:r>
        <w:rPr>
          <w:rFonts w:ascii="Arial" w:hAnsi="Arial" w:eastAsia="等线" w:cs="Arial"/>
          <w:sz w:val="22"/>
        </w:rPr>
        <w:t>可变寿险产品（Variable Life Insurance Products）核心特征是“寿险保障+投资属性”，分为如下两类：</w:t>
      </w:r>
    </w:p>
    <w:p w14:paraId="2036ECCD">
      <w:pPr>
        <w:spacing w:before="300" w:after="120" w:line="288" w:lineRule="auto"/>
        <w:ind w:left="0"/>
        <w:jc w:val="left"/>
        <w:outlineLvl w:val="2"/>
      </w:pPr>
      <w:bookmarkStart w:id="31" w:name="heading_31"/>
      <w:r>
        <w:rPr>
          <w:rFonts w:ascii="Arial" w:hAnsi="Arial" w:eastAsia="等线" w:cs="Arial"/>
          <w:color w:val="3370FF"/>
          <w:sz w:val="30"/>
        </w:rPr>
        <w:t xml:space="preserve">2.6.1 </w:t>
      </w:r>
      <w:r>
        <w:rPr>
          <w:rFonts w:ascii="Arial" w:hAnsi="Arial" w:eastAsia="等线" w:cs="Arial"/>
          <w:b/>
          <w:sz w:val="30"/>
        </w:rPr>
        <w:t>可变寿险（Variable Life Insurance，VLI）</w:t>
      </w:r>
      <w:bookmarkEnd w:id="31"/>
    </w:p>
    <w:p w14:paraId="3B004880">
      <w:pPr>
        <w:numPr>
          <w:ilvl w:val="0"/>
          <w:numId w:val="87"/>
        </w:numPr>
        <w:spacing w:before="120" w:after="120" w:line="288" w:lineRule="auto"/>
        <w:ind w:left="0"/>
        <w:jc w:val="left"/>
      </w:pPr>
      <w:r>
        <w:rPr>
          <w:rFonts w:ascii="Arial" w:hAnsi="Arial" w:eastAsia="等线" w:cs="Arial"/>
          <w:b/>
          <w:sz w:val="22"/>
        </w:rPr>
        <w:t>固定保费（fixed premium）</w:t>
      </w:r>
      <w:r>
        <w:rPr>
          <w:rFonts w:ascii="Arial" w:hAnsi="Arial" w:eastAsia="等线" w:cs="Arial"/>
          <w:sz w:val="22"/>
        </w:rPr>
        <w:t>：保费和缴费频率固定，不可调整。</w:t>
      </w:r>
    </w:p>
    <w:p w14:paraId="5F0CD625">
      <w:pPr>
        <w:numPr>
          <w:ilvl w:val="0"/>
          <w:numId w:val="88"/>
        </w:numPr>
        <w:spacing w:before="120" w:after="120" w:line="288" w:lineRule="auto"/>
        <w:ind w:left="0"/>
        <w:jc w:val="left"/>
      </w:pPr>
      <w:r>
        <w:rPr>
          <w:rFonts w:ascii="Arial" w:hAnsi="Arial" w:eastAsia="等线" w:cs="Arial"/>
          <w:b/>
          <w:sz w:val="22"/>
        </w:rPr>
        <w:t>保障特征</w:t>
      </w:r>
      <w:r>
        <w:rPr>
          <w:rFonts w:ascii="Arial" w:hAnsi="Arial" w:eastAsia="等线" w:cs="Arial"/>
          <w:sz w:val="22"/>
        </w:rPr>
        <w:t>：死亡保额（Death Benefit）有最低保证，若独立账户（Separate Account）表现优异，保额可高于最低值。</w:t>
      </w:r>
    </w:p>
    <w:p w14:paraId="62CA9705">
      <w:pPr>
        <w:numPr>
          <w:ilvl w:val="0"/>
          <w:numId w:val="89"/>
        </w:numPr>
        <w:spacing w:before="120" w:after="120" w:line="288" w:lineRule="auto"/>
        <w:ind w:left="0"/>
        <w:jc w:val="left"/>
      </w:pPr>
      <w:r>
        <w:rPr>
          <w:rFonts w:ascii="Arial" w:hAnsi="Arial" w:eastAsia="等线" w:cs="Arial"/>
          <w:b/>
          <w:sz w:val="22"/>
        </w:rPr>
        <w:t>现金价值（Cash Value）</w:t>
      </w:r>
      <w:r>
        <w:rPr>
          <w:rFonts w:ascii="Arial" w:hAnsi="Arial" w:eastAsia="等线" w:cs="Arial"/>
          <w:sz w:val="22"/>
        </w:rPr>
        <w:t>：不保证，随独立账户投资表现波动，保单持有人（Policy Holders）可借款（通常不超过现金价值的75%）。</w:t>
      </w:r>
    </w:p>
    <w:p w14:paraId="232B32F1">
      <w:pPr>
        <w:spacing w:before="120" w:after="120" w:line="288" w:lineRule="auto"/>
        <w:ind w:left="0"/>
        <w:jc w:val="left"/>
      </w:pPr>
    </w:p>
    <w:p w14:paraId="478AB764">
      <w:pPr>
        <w:spacing w:before="120" w:after="120" w:line="288" w:lineRule="auto"/>
        <w:ind w:left="0"/>
        <w:jc w:val="left"/>
      </w:pPr>
      <w:r>
        <w:rPr>
          <w:rFonts w:ascii="Arial" w:hAnsi="Arial" w:eastAsia="等线" w:cs="Arial"/>
          <w:sz w:val="22"/>
        </w:rPr>
        <w:t>保单现金价值，本质是</w:t>
      </w:r>
      <w:r>
        <w:rPr>
          <w:rFonts w:ascii="Arial" w:hAnsi="Arial" w:eastAsia="等线" w:cs="Arial"/>
          <w:b/>
          <w:sz w:val="22"/>
        </w:rPr>
        <w:t>投保人在退保时可从保险公司取回的 “账户净值”</w:t>
      </w:r>
      <w:r>
        <w:rPr>
          <w:rFonts w:ascii="Arial" w:hAnsi="Arial" w:eastAsia="等线" w:cs="Arial"/>
          <w:sz w:val="22"/>
        </w:rPr>
        <w:t>，或在保单有效期内可灵活使用的 “可用资金池”。</w:t>
      </w:r>
    </w:p>
    <w:p w14:paraId="5B005E36">
      <w:pPr>
        <w:spacing w:before="120" w:after="120" w:line="288" w:lineRule="auto"/>
        <w:ind w:left="0"/>
        <w:jc w:val="left"/>
      </w:pPr>
    </w:p>
    <w:p w14:paraId="1E2B1CCE">
      <w:pPr>
        <w:spacing w:before="120" w:after="120" w:line="288" w:lineRule="auto"/>
        <w:ind w:left="0"/>
        <w:jc w:val="left"/>
      </w:pPr>
      <w:r>
        <w:rPr>
          <w:rFonts w:ascii="Arial" w:hAnsi="Arial" w:eastAsia="等线" w:cs="Arial"/>
          <w:sz w:val="22"/>
        </w:rPr>
        <w:t>与传统终身寿险（现金价值由保险公司保证利率计算，收益固定）不同，可变寿险的现金价值完全来源于其专属的 独立账户（Separate Account）—— 这个账户由保险公司管理，主要投资于股票、债券、混合型基金等证券类资产，现金价值的涨跌直接由这些投资标的的市场表现决定，保险公司</w:t>
      </w:r>
      <w:r>
        <w:rPr>
          <w:rFonts w:ascii="Arial" w:hAnsi="Arial" w:eastAsia="等线" w:cs="Arial"/>
          <w:b/>
          <w:sz w:val="22"/>
        </w:rPr>
        <w:t>不承诺最低投资收益</w:t>
      </w:r>
      <w:r>
        <w:rPr>
          <w:rFonts w:ascii="Arial" w:hAnsi="Arial" w:eastAsia="等线" w:cs="Arial"/>
          <w:sz w:val="22"/>
        </w:rPr>
        <w:t>，风险由投保人自行承担。</w:t>
      </w:r>
    </w:p>
    <w:p w14:paraId="5AFC1058">
      <w:pPr>
        <w:spacing w:before="120" w:after="120" w:line="288" w:lineRule="auto"/>
        <w:ind w:left="0"/>
        <w:jc w:val="left"/>
      </w:pPr>
    </w:p>
    <w:p w14:paraId="1B97B5E4">
      <w:pPr>
        <w:spacing w:before="120" w:after="120" w:line="288" w:lineRule="auto"/>
        <w:ind w:left="0"/>
        <w:jc w:val="left"/>
      </w:pPr>
      <w:r>
        <w:rPr>
          <w:rFonts w:ascii="Arial" w:hAnsi="Arial" w:eastAsia="等线" w:cs="Arial"/>
          <w:sz w:val="22"/>
        </w:rPr>
        <w:t>若独立账户证券表现极差，保单可能无现金价值，这是投资者需承担的核心风险之一。</w:t>
      </w:r>
    </w:p>
    <w:p w14:paraId="06D1C3AA">
      <w:pPr>
        <w:spacing w:before="120" w:after="120" w:line="288" w:lineRule="auto"/>
        <w:ind w:left="0"/>
        <w:jc w:val="left"/>
      </w:pPr>
    </w:p>
    <w:p w14:paraId="3860A175">
      <w:pPr>
        <w:spacing w:before="300" w:after="120" w:line="288" w:lineRule="auto"/>
        <w:ind w:left="0"/>
        <w:jc w:val="left"/>
        <w:outlineLvl w:val="2"/>
      </w:pPr>
      <w:bookmarkStart w:id="32" w:name="heading_32"/>
      <w:r>
        <w:rPr>
          <w:rFonts w:ascii="Arial" w:hAnsi="Arial" w:eastAsia="等线" w:cs="Arial"/>
          <w:color w:val="3370FF"/>
          <w:sz w:val="30"/>
        </w:rPr>
        <w:t xml:space="preserve">2.6.2 </w:t>
      </w:r>
      <w:r>
        <w:rPr>
          <w:rFonts w:ascii="Arial" w:hAnsi="Arial" w:eastAsia="等线" w:cs="Arial"/>
          <w:b/>
          <w:sz w:val="30"/>
        </w:rPr>
        <w:t>可变万能寿险（Variable Universal Life Insurance, VUL）</w:t>
      </w:r>
      <w:bookmarkEnd w:id="32"/>
    </w:p>
    <w:p w14:paraId="4EB683E1">
      <w:pPr>
        <w:spacing w:before="120" w:after="120" w:line="288" w:lineRule="auto"/>
        <w:ind w:left="0"/>
        <w:jc w:val="left"/>
      </w:pPr>
      <w:r>
        <w:rPr>
          <w:rFonts w:ascii="Arial" w:hAnsi="Arial" w:eastAsia="等线" w:cs="Arial"/>
          <w:b/>
          <w:sz w:val="22"/>
        </w:rPr>
        <w:t>灵活保费（flexible premium）</w:t>
      </w:r>
      <w:r>
        <w:rPr>
          <w:rFonts w:ascii="Arial" w:hAnsi="Arial" w:eastAsia="等线" w:cs="Arial"/>
          <w:sz w:val="22"/>
        </w:rPr>
        <w:t>：保费和缴费频率可自主调整，可多缴、少缴或暂停缴费。</w:t>
      </w:r>
    </w:p>
    <w:p w14:paraId="75E423EB">
      <w:pPr>
        <w:spacing w:before="120" w:after="120" w:line="288" w:lineRule="auto"/>
        <w:ind w:left="0"/>
        <w:jc w:val="left"/>
      </w:pPr>
    </w:p>
    <w:p w14:paraId="5897B9B8">
      <w:pPr>
        <w:spacing w:before="120" w:after="120" w:line="288" w:lineRule="auto"/>
        <w:ind w:left="0"/>
        <w:jc w:val="left"/>
      </w:pPr>
      <w:r>
        <w:rPr>
          <w:rFonts w:ascii="Arial" w:hAnsi="Arial" w:eastAsia="等线" w:cs="Arial"/>
          <w:b/>
          <w:sz w:val="22"/>
        </w:rPr>
        <w:t>保障特征</w:t>
      </w:r>
      <w:r>
        <w:rPr>
          <w:rFonts w:ascii="Arial" w:hAnsi="Arial" w:eastAsia="等线" w:cs="Arial"/>
          <w:sz w:val="22"/>
        </w:rPr>
        <w:t>：无最低死亡保额和现金价值保证，若独立账户表现不佳，保额和现金价值可能大幅下降。</w:t>
      </w:r>
    </w:p>
    <w:p w14:paraId="1ADDD15E">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AE798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50E638C">
            <w:pPr>
              <w:spacing w:before="120" w:after="120" w:line="288" w:lineRule="auto"/>
              <w:ind w:left="0"/>
              <w:jc w:val="left"/>
            </w:pPr>
            <w:r>
              <w:rPr>
                <w:rFonts w:ascii="Arial" w:hAnsi="Arial" w:eastAsia="等线" w:cs="Arial"/>
                <w:sz w:val="22"/>
              </w:rPr>
              <w:t>销售可变年金、可变人寿保险和可变万能人寿保险的人员不仅必须持有适当的证券执照（securities license），还必须持有保险执照（insurance license）。在推荐上述任何产品之前，应当对客户的需求进行分析，并提出适当的建议。</w:t>
            </w:r>
          </w:p>
        </w:tc>
      </w:tr>
    </w:tbl>
    <w:p w14:paraId="20190208">
      <w:pPr>
        <w:spacing w:before="380" w:after="140" w:line="288" w:lineRule="auto"/>
        <w:ind w:left="0"/>
        <w:jc w:val="left"/>
        <w:outlineLvl w:val="0"/>
      </w:pPr>
      <w:bookmarkStart w:id="33" w:name="heading_33"/>
      <w:r>
        <w:rPr>
          <w:rFonts w:ascii="Arial" w:hAnsi="Arial" w:eastAsia="等线" w:cs="Arial"/>
          <w:color w:val="3370FF"/>
          <w:sz w:val="36"/>
        </w:rPr>
        <w:t xml:space="preserve">3. </w:t>
      </w:r>
      <w:r>
        <w:rPr>
          <w:rFonts w:ascii="Arial" w:hAnsi="Arial" w:eastAsia="等线" w:cs="Arial"/>
          <w:b/>
          <w:sz w:val="36"/>
        </w:rPr>
        <w:t>核心考点</w:t>
      </w:r>
      <w:bookmarkEnd w:id="33"/>
    </w:p>
    <w:p w14:paraId="5441FDC7">
      <w:pPr>
        <w:spacing w:before="300" w:after="120" w:line="288" w:lineRule="auto"/>
        <w:ind w:left="0"/>
        <w:jc w:val="left"/>
        <w:outlineLvl w:val="2"/>
      </w:pPr>
      <w:bookmarkStart w:id="34" w:name="heading_34"/>
      <w:r>
        <w:rPr>
          <w:rFonts w:ascii="Arial" w:hAnsi="Arial" w:eastAsia="等线" w:cs="Arial"/>
          <w:b/>
          <w:sz w:val="30"/>
        </w:rPr>
        <w:t>1. 高频考点清单</w:t>
      </w:r>
      <w:bookmarkEnd w:id="34"/>
    </w:p>
    <w:p w14:paraId="536173F6">
      <w:pPr>
        <w:numPr>
          <w:ilvl w:val="0"/>
          <w:numId w:val="90"/>
        </w:numPr>
        <w:spacing w:before="120" w:after="120" w:line="288" w:lineRule="auto"/>
        <w:ind w:left="0"/>
        <w:jc w:val="left"/>
      </w:pPr>
      <w:r>
        <w:rPr>
          <w:rFonts w:ascii="Arial" w:hAnsi="Arial" w:eastAsia="等线" w:cs="Arial"/>
          <w:sz w:val="22"/>
        </w:rPr>
        <w:t xml:space="preserve">开放式vs封闭式基金：发行机制（持续vs一次性）、交易方式（申购赎回vs二级市场）、定价（NAV+销售费vs溢价/折价）；  </w:t>
      </w:r>
    </w:p>
    <w:p w14:paraId="462029DE">
      <w:pPr>
        <w:numPr>
          <w:ilvl w:val="0"/>
          <w:numId w:val="91"/>
        </w:numPr>
        <w:spacing w:before="120" w:after="120" w:line="288" w:lineRule="auto"/>
        <w:ind w:left="0"/>
        <w:jc w:val="left"/>
      </w:pPr>
      <w:r>
        <w:rPr>
          <w:rFonts w:ascii="Arial" w:hAnsi="Arial" w:eastAsia="等线" w:cs="Arial"/>
          <w:sz w:val="22"/>
        </w:rPr>
        <w:t xml:space="preserve">基金费用：12b-1费（营销）、breakpoint（大额折扣）、LOI（13个月承诺）；  </w:t>
      </w:r>
    </w:p>
    <w:p w14:paraId="4CB05CE5">
      <w:pPr>
        <w:numPr>
          <w:ilvl w:val="0"/>
          <w:numId w:val="92"/>
        </w:numPr>
        <w:spacing w:before="120" w:after="120" w:line="288" w:lineRule="auto"/>
        <w:ind w:left="0"/>
        <w:jc w:val="left"/>
      </w:pPr>
      <w:r>
        <w:rPr>
          <w:rFonts w:ascii="Arial" w:hAnsi="Arial" w:eastAsia="等线" w:cs="Arial"/>
          <w:sz w:val="22"/>
        </w:rPr>
        <w:t xml:space="preserve">年金分类：固定（保险，无SEC注册）vs 可变（证券，需SEC注册），AIR对支付额的影响；  </w:t>
      </w:r>
    </w:p>
    <w:p w14:paraId="617217B9">
      <w:pPr>
        <w:numPr>
          <w:ilvl w:val="0"/>
          <w:numId w:val="93"/>
        </w:numPr>
        <w:spacing w:before="120" w:after="120" w:line="288" w:lineRule="auto"/>
        <w:ind w:left="0"/>
        <w:jc w:val="left"/>
      </w:pPr>
      <w:r>
        <w:rPr>
          <w:rFonts w:ascii="Arial" w:hAnsi="Arial" w:eastAsia="等线" w:cs="Arial"/>
          <w:sz w:val="22"/>
        </w:rPr>
        <w:t xml:space="preserve">ETFs特点：可融资/卖空，日内交易，费用低；  </w:t>
      </w:r>
    </w:p>
    <w:p w14:paraId="7D8A4D87">
      <w:pPr>
        <w:numPr>
          <w:ilvl w:val="0"/>
          <w:numId w:val="94"/>
        </w:numPr>
        <w:spacing w:before="120" w:after="120" w:line="288" w:lineRule="auto"/>
        <w:ind w:left="0"/>
        <w:jc w:val="left"/>
      </w:pPr>
      <w:r>
        <w:rPr>
          <w:rFonts w:ascii="Arial" w:hAnsi="Arial" w:eastAsia="等线" w:cs="Arial"/>
          <w:sz w:val="22"/>
        </w:rPr>
        <w:t xml:space="preserve">可变寿险：VLI（固定保费）vs VUL（灵活保费），均需双牌照。  </w:t>
      </w:r>
    </w:p>
    <w:p w14:paraId="0058DC2D">
      <w:pPr>
        <w:spacing w:before="300" w:after="120" w:line="288" w:lineRule="auto"/>
        <w:ind w:left="0"/>
        <w:jc w:val="left"/>
        <w:outlineLvl w:val="2"/>
      </w:pPr>
      <w:bookmarkStart w:id="35" w:name="heading_35"/>
      <w:r>
        <w:rPr>
          <w:rFonts w:ascii="Arial" w:hAnsi="Arial" w:eastAsia="等线" w:cs="Arial"/>
          <w:b/>
          <w:sz w:val="30"/>
        </w:rPr>
        <w:t>2. 易混点辨析</w:t>
      </w:r>
      <w:bookmarkEnd w:id="35"/>
    </w:p>
    <w:p w14:paraId="3A68211C">
      <w:pPr>
        <w:numPr>
          <w:ilvl w:val="0"/>
          <w:numId w:val="95"/>
        </w:numPr>
        <w:spacing w:before="120" w:after="120" w:line="288" w:lineRule="auto"/>
        <w:ind w:left="0"/>
        <w:jc w:val="left"/>
      </w:pPr>
      <w:r>
        <w:rPr>
          <w:rFonts w:ascii="Arial" w:hAnsi="Arial" w:eastAsia="等线" w:cs="Arial"/>
          <w:sz w:val="22"/>
        </w:rPr>
        <w:t xml:space="preserve">“mutual funds”vs“ETFs”：mutual funds 远期定价（NAV），ETFs实时定价（交易所）；  </w:t>
      </w:r>
    </w:p>
    <w:p w14:paraId="60ACCE0E">
      <w:pPr>
        <w:numPr>
          <w:ilvl w:val="0"/>
          <w:numId w:val="96"/>
        </w:numPr>
        <w:spacing w:before="120" w:after="120" w:line="288" w:lineRule="auto"/>
        <w:ind w:left="0"/>
        <w:jc w:val="left"/>
      </w:pPr>
      <w:r>
        <w:rPr>
          <w:rFonts w:ascii="Arial" w:hAnsi="Arial" w:eastAsia="等线" w:cs="Arial"/>
          <w:sz w:val="22"/>
        </w:rPr>
        <w:t xml:space="preserve">“固定年金”vs“可变年金”：固定年金保险公司担风险，可变年金投资者担风险；  </w:t>
      </w:r>
    </w:p>
    <w:p w14:paraId="1A185038">
      <w:pPr>
        <w:numPr>
          <w:ilvl w:val="0"/>
          <w:numId w:val="97"/>
        </w:numPr>
        <w:spacing w:before="120" w:after="120" w:line="288" w:lineRule="auto"/>
        <w:ind w:left="0"/>
        <w:jc w:val="left"/>
      </w:pPr>
      <w:r>
        <w:rPr>
          <w:rFonts w:ascii="Arial" w:hAnsi="Arial" w:eastAsia="等线" w:cs="Arial"/>
          <w:sz w:val="22"/>
        </w:rPr>
        <w:t>UITs vs“mutual funds”：UITs 组合固定（无管理），mutual funds 组合动态（有管理）。</w:t>
      </w:r>
    </w:p>
    <w:p w14:paraId="3F57F71C">
      <w:pPr>
        <w:spacing w:before="120" w:after="120" w:line="288" w:lineRule="auto"/>
        <w:ind w:left="0"/>
        <w:jc w:val="left"/>
      </w:pPr>
    </w:p>
    <w:p w14:paraId="3F1AF88A">
      <w:pPr>
        <w:spacing w:before="380" w:after="140" w:line="288" w:lineRule="auto"/>
        <w:ind w:left="0"/>
        <w:jc w:val="left"/>
        <w:outlineLvl w:val="0"/>
      </w:pPr>
      <w:bookmarkStart w:id="36" w:name="heading_36"/>
      <w:r>
        <w:rPr>
          <w:rFonts w:ascii="Arial" w:hAnsi="Arial" w:eastAsia="等线" w:cs="Arial"/>
          <w:color w:val="3370FF"/>
          <w:sz w:val="36"/>
        </w:rPr>
        <w:t xml:space="preserve">4. </w:t>
      </w:r>
      <w:r>
        <w:rPr>
          <w:rFonts w:ascii="Arial" w:hAnsi="Arial" w:eastAsia="等线" w:cs="Arial"/>
          <w:b/>
          <w:sz w:val="36"/>
        </w:rPr>
        <w:t>英文词汇</w:t>
      </w:r>
      <w:bookmarkEnd w:id="36"/>
    </w:p>
    <w:p w14:paraId="46DB9EEE">
      <w:pPr>
        <w:spacing w:before="300" w:after="120" w:line="288" w:lineRule="auto"/>
        <w:ind w:left="0"/>
        <w:jc w:val="left"/>
        <w:outlineLvl w:val="2"/>
      </w:pPr>
      <w:bookmarkStart w:id="37" w:name="heading_37"/>
      <w:r>
        <w:rPr>
          <w:rFonts w:ascii="Arial" w:hAnsi="Arial" w:eastAsia="等线" w:cs="Arial"/>
          <w:b/>
          <w:sz w:val="30"/>
        </w:rPr>
        <w:t>（一）投资公司核心术语</w:t>
      </w:r>
      <w:bookmarkEnd w:id="3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90"/>
        <w:gridCol w:w="1890"/>
        <w:gridCol w:w="3915"/>
      </w:tblGrid>
      <w:tr w14:paraId="058DC2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00AA4D04">
            <w:pPr>
              <w:spacing w:before="120" w:after="120" w:line="288" w:lineRule="auto"/>
              <w:ind w:left="0"/>
              <w:jc w:val="left"/>
            </w:pPr>
            <w:r>
              <w:rPr>
                <w:rFonts w:ascii="Arial" w:hAnsi="Arial" w:eastAsia="等线" w:cs="Arial"/>
                <w:b/>
                <w:sz w:val="22"/>
              </w:rPr>
              <w:t>英文术语</w:t>
            </w:r>
          </w:p>
        </w:tc>
        <w:tc>
          <w:tcPr>
            <w:tcW w:w="1890" w:type="dxa"/>
            <w:tcMar>
              <w:top w:w="60" w:type="dxa"/>
              <w:left w:w="120" w:type="dxa"/>
              <w:bottom w:w="30" w:type="dxa"/>
              <w:right w:w="120" w:type="dxa"/>
            </w:tcMar>
          </w:tcPr>
          <w:p w14:paraId="1F4D1851">
            <w:pPr>
              <w:spacing w:before="120" w:after="120" w:line="288" w:lineRule="auto"/>
              <w:ind w:left="0"/>
              <w:jc w:val="left"/>
            </w:pPr>
            <w:r>
              <w:rPr>
                <w:rFonts w:ascii="Arial" w:hAnsi="Arial" w:eastAsia="等线" w:cs="Arial"/>
                <w:b/>
                <w:sz w:val="22"/>
              </w:rPr>
              <w:t>中文释义</w:t>
            </w:r>
          </w:p>
        </w:tc>
        <w:tc>
          <w:tcPr>
            <w:tcW w:w="3915" w:type="dxa"/>
            <w:tcMar>
              <w:top w:w="60" w:type="dxa"/>
              <w:left w:w="120" w:type="dxa"/>
              <w:bottom w:w="30" w:type="dxa"/>
              <w:right w:w="120" w:type="dxa"/>
            </w:tcMar>
          </w:tcPr>
          <w:p w14:paraId="6AFE3E1A">
            <w:pPr>
              <w:spacing w:before="120" w:after="120" w:line="288" w:lineRule="auto"/>
              <w:ind w:left="0"/>
              <w:jc w:val="left"/>
            </w:pPr>
            <w:r>
              <w:rPr>
                <w:rFonts w:ascii="Arial" w:hAnsi="Arial" w:eastAsia="等线" w:cs="Arial"/>
                <w:b/>
                <w:sz w:val="22"/>
              </w:rPr>
              <w:t>补充说明</w:t>
            </w:r>
          </w:p>
        </w:tc>
      </w:tr>
      <w:tr w14:paraId="656921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2AFE23FB">
            <w:pPr>
              <w:spacing w:before="120" w:after="120" w:line="288" w:lineRule="auto"/>
              <w:ind w:left="0"/>
              <w:jc w:val="left"/>
            </w:pPr>
            <w:r>
              <w:rPr>
                <w:rFonts w:ascii="Arial" w:hAnsi="Arial" w:eastAsia="等线" w:cs="Arial"/>
                <w:sz w:val="22"/>
              </w:rPr>
              <w:t>Management Investment Company</w:t>
            </w:r>
          </w:p>
        </w:tc>
        <w:tc>
          <w:tcPr>
            <w:tcW w:w="1890" w:type="dxa"/>
            <w:tcMar>
              <w:top w:w="60" w:type="dxa"/>
              <w:left w:w="120" w:type="dxa"/>
              <w:bottom w:w="30" w:type="dxa"/>
              <w:right w:w="120" w:type="dxa"/>
            </w:tcMar>
          </w:tcPr>
          <w:p w14:paraId="29998C79">
            <w:pPr>
              <w:spacing w:before="120" w:after="120" w:line="288" w:lineRule="auto"/>
              <w:ind w:left="0"/>
              <w:jc w:val="left"/>
            </w:pPr>
            <w:r>
              <w:rPr>
                <w:rFonts w:ascii="Arial" w:hAnsi="Arial" w:eastAsia="等线" w:cs="Arial"/>
                <w:sz w:val="22"/>
              </w:rPr>
              <w:t>管理型投资公司</w:t>
            </w:r>
          </w:p>
        </w:tc>
        <w:tc>
          <w:tcPr>
            <w:tcW w:w="3915" w:type="dxa"/>
            <w:tcMar>
              <w:top w:w="60" w:type="dxa"/>
              <w:left w:w="120" w:type="dxa"/>
              <w:bottom w:w="30" w:type="dxa"/>
              <w:right w:w="120" w:type="dxa"/>
            </w:tcMar>
          </w:tcPr>
          <w:p w14:paraId="5AF951D3">
            <w:pPr>
              <w:spacing w:before="120" w:after="120" w:line="288" w:lineRule="auto"/>
              <w:ind w:left="0"/>
              <w:jc w:val="left"/>
            </w:pPr>
            <w:r>
              <w:rPr>
                <w:rFonts w:ascii="Arial" w:hAnsi="Arial" w:eastAsia="等线" w:cs="Arial"/>
                <w:sz w:val="22"/>
              </w:rPr>
              <w:t>含开放式、封闭式基金，由投资经理管理组合</w:t>
            </w:r>
          </w:p>
        </w:tc>
      </w:tr>
      <w:tr w14:paraId="2B10D9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0F99A35E">
            <w:pPr>
              <w:spacing w:before="120" w:after="120" w:line="288" w:lineRule="auto"/>
              <w:ind w:left="0"/>
              <w:jc w:val="left"/>
            </w:pPr>
            <w:r>
              <w:rPr>
                <w:rFonts w:ascii="Arial" w:hAnsi="Arial" w:eastAsia="等线" w:cs="Arial"/>
                <w:sz w:val="22"/>
              </w:rPr>
              <w:t>Open-end Fund (Mutual Fund)</w:t>
            </w:r>
          </w:p>
        </w:tc>
        <w:tc>
          <w:tcPr>
            <w:tcW w:w="1890" w:type="dxa"/>
            <w:tcMar>
              <w:top w:w="60" w:type="dxa"/>
              <w:left w:w="120" w:type="dxa"/>
              <w:bottom w:w="30" w:type="dxa"/>
              <w:right w:w="120" w:type="dxa"/>
            </w:tcMar>
          </w:tcPr>
          <w:p w14:paraId="1832C13E">
            <w:pPr>
              <w:spacing w:before="120" w:after="120" w:line="288" w:lineRule="auto"/>
              <w:ind w:left="0"/>
              <w:jc w:val="left"/>
            </w:pPr>
            <w:r>
              <w:rPr>
                <w:rFonts w:ascii="Arial" w:hAnsi="Arial" w:eastAsia="等线" w:cs="Arial"/>
                <w:sz w:val="22"/>
              </w:rPr>
              <w:t>开放式基金（共同基金）</w:t>
            </w:r>
          </w:p>
        </w:tc>
        <w:tc>
          <w:tcPr>
            <w:tcW w:w="3915" w:type="dxa"/>
            <w:tcMar>
              <w:top w:w="60" w:type="dxa"/>
              <w:left w:w="120" w:type="dxa"/>
              <w:bottom w:w="30" w:type="dxa"/>
              <w:right w:w="120" w:type="dxa"/>
            </w:tcMar>
          </w:tcPr>
          <w:p w14:paraId="30DE3AED">
            <w:pPr>
              <w:spacing w:before="120" w:after="120" w:line="288" w:lineRule="auto"/>
              <w:ind w:left="0"/>
              <w:jc w:val="left"/>
            </w:pPr>
            <w:r>
              <w:rPr>
                <w:rFonts w:ascii="Arial" w:hAnsi="Arial" w:eastAsia="等线" w:cs="Arial"/>
                <w:sz w:val="22"/>
              </w:rPr>
              <w:t>持续发行/赎回，按NAV定价</w:t>
            </w:r>
          </w:p>
        </w:tc>
      </w:tr>
      <w:tr w14:paraId="0C7B51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2FA016C3">
            <w:pPr>
              <w:spacing w:before="120" w:after="120" w:line="288" w:lineRule="auto"/>
              <w:ind w:left="0"/>
              <w:jc w:val="left"/>
            </w:pPr>
            <w:r>
              <w:rPr>
                <w:rFonts w:ascii="Arial" w:hAnsi="Arial" w:eastAsia="等线" w:cs="Arial"/>
                <w:sz w:val="22"/>
              </w:rPr>
              <w:t>Closed-end Fund</w:t>
            </w:r>
          </w:p>
        </w:tc>
        <w:tc>
          <w:tcPr>
            <w:tcW w:w="1890" w:type="dxa"/>
            <w:tcMar>
              <w:top w:w="60" w:type="dxa"/>
              <w:left w:w="120" w:type="dxa"/>
              <w:bottom w:w="30" w:type="dxa"/>
              <w:right w:w="120" w:type="dxa"/>
            </w:tcMar>
          </w:tcPr>
          <w:p w14:paraId="274ABC7B">
            <w:pPr>
              <w:spacing w:before="120" w:after="120" w:line="288" w:lineRule="auto"/>
              <w:ind w:left="0"/>
              <w:jc w:val="left"/>
            </w:pPr>
            <w:r>
              <w:rPr>
                <w:rFonts w:ascii="Arial" w:hAnsi="Arial" w:eastAsia="等线" w:cs="Arial"/>
                <w:sz w:val="22"/>
              </w:rPr>
              <w:t>封闭式基金</w:t>
            </w:r>
          </w:p>
        </w:tc>
        <w:tc>
          <w:tcPr>
            <w:tcW w:w="3915" w:type="dxa"/>
            <w:tcMar>
              <w:top w:w="60" w:type="dxa"/>
              <w:left w:w="120" w:type="dxa"/>
              <w:bottom w:w="30" w:type="dxa"/>
              <w:right w:w="120" w:type="dxa"/>
            </w:tcMar>
          </w:tcPr>
          <w:p w14:paraId="7F1D4CE1">
            <w:pPr>
              <w:spacing w:before="120" w:after="120" w:line="288" w:lineRule="auto"/>
              <w:ind w:left="0"/>
              <w:jc w:val="left"/>
            </w:pPr>
            <w:r>
              <w:rPr>
                <w:rFonts w:ascii="Arial" w:hAnsi="Arial" w:eastAsia="等线" w:cs="Arial"/>
                <w:sz w:val="22"/>
              </w:rPr>
              <w:t>一次性发行，二级市场交易，可能溢价/折价</w:t>
            </w:r>
          </w:p>
        </w:tc>
      </w:tr>
      <w:tr w14:paraId="5F5E27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36394A08">
            <w:pPr>
              <w:spacing w:before="120" w:after="120" w:line="288" w:lineRule="auto"/>
              <w:ind w:left="0"/>
              <w:jc w:val="left"/>
            </w:pPr>
            <w:r>
              <w:rPr>
                <w:rFonts w:ascii="Arial" w:hAnsi="Arial" w:eastAsia="等线" w:cs="Arial"/>
                <w:sz w:val="22"/>
              </w:rPr>
              <w:t>Net Asset Value (NAV)</w:t>
            </w:r>
          </w:p>
        </w:tc>
        <w:tc>
          <w:tcPr>
            <w:tcW w:w="1890" w:type="dxa"/>
            <w:tcMar>
              <w:top w:w="60" w:type="dxa"/>
              <w:left w:w="120" w:type="dxa"/>
              <w:bottom w:w="30" w:type="dxa"/>
              <w:right w:w="120" w:type="dxa"/>
            </w:tcMar>
          </w:tcPr>
          <w:p w14:paraId="162E43CF">
            <w:pPr>
              <w:spacing w:before="120" w:after="120" w:line="288" w:lineRule="auto"/>
              <w:ind w:left="0"/>
              <w:jc w:val="left"/>
            </w:pPr>
            <w:r>
              <w:rPr>
                <w:rFonts w:ascii="Arial" w:hAnsi="Arial" w:eastAsia="等线" w:cs="Arial"/>
                <w:sz w:val="22"/>
              </w:rPr>
              <w:t>净值</w:t>
            </w:r>
          </w:p>
        </w:tc>
        <w:tc>
          <w:tcPr>
            <w:tcW w:w="3915" w:type="dxa"/>
            <w:tcMar>
              <w:top w:w="60" w:type="dxa"/>
              <w:left w:w="120" w:type="dxa"/>
              <w:bottom w:w="30" w:type="dxa"/>
              <w:right w:w="120" w:type="dxa"/>
            </w:tcMar>
          </w:tcPr>
          <w:p w14:paraId="378A05CB">
            <w:pPr>
              <w:spacing w:before="120" w:after="120" w:line="288" w:lineRule="auto"/>
              <w:ind w:left="0"/>
              <w:jc w:val="left"/>
            </w:pPr>
            <w:r>
              <w:rPr>
                <w:rFonts w:ascii="Arial" w:hAnsi="Arial" w:eastAsia="等线" w:cs="Arial"/>
                <w:sz w:val="22"/>
              </w:rPr>
              <w:t>（资产-负债）÷ 流通份额，是赎回价</w:t>
            </w:r>
          </w:p>
        </w:tc>
      </w:tr>
      <w:tr w14:paraId="4B65BC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0A4E5584">
            <w:pPr>
              <w:spacing w:before="120" w:after="120" w:line="288" w:lineRule="auto"/>
              <w:ind w:left="0"/>
              <w:jc w:val="left"/>
            </w:pPr>
            <w:r>
              <w:rPr>
                <w:rFonts w:ascii="Arial" w:hAnsi="Arial" w:eastAsia="等线" w:cs="Arial"/>
                <w:sz w:val="22"/>
              </w:rPr>
              <w:t>Public Offering Price (POP)</w:t>
            </w:r>
          </w:p>
        </w:tc>
        <w:tc>
          <w:tcPr>
            <w:tcW w:w="1890" w:type="dxa"/>
            <w:tcMar>
              <w:top w:w="60" w:type="dxa"/>
              <w:left w:w="120" w:type="dxa"/>
              <w:bottom w:w="30" w:type="dxa"/>
              <w:right w:w="120" w:type="dxa"/>
            </w:tcMar>
          </w:tcPr>
          <w:p w14:paraId="1032A6D2">
            <w:pPr>
              <w:spacing w:before="120" w:after="120" w:line="288" w:lineRule="auto"/>
              <w:ind w:left="0"/>
              <w:jc w:val="left"/>
            </w:pPr>
            <w:r>
              <w:rPr>
                <w:rFonts w:ascii="Arial" w:hAnsi="Arial" w:eastAsia="等线" w:cs="Arial"/>
                <w:sz w:val="22"/>
              </w:rPr>
              <w:t>申购价</w:t>
            </w:r>
          </w:p>
        </w:tc>
        <w:tc>
          <w:tcPr>
            <w:tcW w:w="3915" w:type="dxa"/>
            <w:tcMar>
              <w:top w:w="60" w:type="dxa"/>
              <w:left w:w="120" w:type="dxa"/>
              <w:bottom w:w="30" w:type="dxa"/>
              <w:right w:w="120" w:type="dxa"/>
            </w:tcMar>
          </w:tcPr>
          <w:p w14:paraId="342545F5">
            <w:pPr>
              <w:spacing w:before="120" w:after="120" w:line="288" w:lineRule="auto"/>
              <w:ind w:left="0"/>
              <w:jc w:val="left"/>
            </w:pPr>
            <w:r>
              <w:rPr>
                <w:rFonts w:ascii="Arial" w:hAnsi="Arial" w:eastAsia="等线" w:cs="Arial"/>
                <w:sz w:val="22"/>
              </w:rPr>
              <w:t>开放式基金：NAV+销售费；封闭式基金：市场要价</w:t>
            </w:r>
          </w:p>
        </w:tc>
      </w:tr>
      <w:tr w14:paraId="2677D4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5B81DD29">
            <w:pPr>
              <w:spacing w:before="120" w:after="120" w:line="288" w:lineRule="auto"/>
              <w:ind w:left="0"/>
              <w:jc w:val="left"/>
            </w:pPr>
            <w:r>
              <w:rPr>
                <w:rFonts w:ascii="Arial" w:hAnsi="Arial" w:eastAsia="等线" w:cs="Arial"/>
                <w:sz w:val="22"/>
              </w:rPr>
              <w:t>Diversified Fund</w:t>
            </w:r>
          </w:p>
        </w:tc>
        <w:tc>
          <w:tcPr>
            <w:tcW w:w="1890" w:type="dxa"/>
            <w:tcMar>
              <w:top w:w="60" w:type="dxa"/>
              <w:left w:w="120" w:type="dxa"/>
              <w:bottom w:w="30" w:type="dxa"/>
              <w:right w:w="120" w:type="dxa"/>
            </w:tcMar>
          </w:tcPr>
          <w:p w14:paraId="7B830EEC">
            <w:pPr>
              <w:spacing w:before="120" w:after="120" w:line="288" w:lineRule="auto"/>
              <w:ind w:left="0"/>
              <w:jc w:val="left"/>
            </w:pPr>
            <w:r>
              <w:rPr>
                <w:rFonts w:ascii="Arial" w:hAnsi="Arial" w:eastAsia="等线" w:cs="Arial"/>
                <w:sz w:val="22"/>
              </w:rPr>
              <w:t>多元化基金</w:t>
            </w:r>
          </w:p>
        </w:tc>
        <w:tc>
          <w:tcPr>
            <w:tcW w:w="3915" w:type="dxa"/>
            <w:tcMar>
              <w:top w:w="60" w:type="dxa"/>
              <w:left w:w="120" w:type="dxa"/>
              <w:bottom w:w="30" w:type="dxa"/>
              <w:right w:w="120" w:type="dxa"/>
            </w:tcMar>
          </w:tcPr>
          <w:p w14:paraId="0C1593B3">
            <w:pPr>
              <w:spacing w:before="120" w:after="120" w:line="288" w:lineRule="auto"/>
              <w:ind w:left="0"/>
              <w:jc w:val="left"/>
            </w:pPr>
            <w:r>
              <w:rPr>
                <w:rFonts w:ascii="Arial" w:hAnsi="Arial" w:eastAsia="等线" w:cs="Arial"/>
                <w:sz w:val="22"/>
              </w:rPr>
              <w:t>75%资产分散配置，单个公司持股≤10%</w:t>
            </w:r>
          </w:p>
        </w:tc>
      </w:tr>
      <w:tr w14:paraId="638707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4FC615D4">
            <w:pPr>
              <w:spacing w:before="120" w:after="120" w:line="288" w:lineRule="auto"/>
              <w:ind w:left="0"/>
              <w:jc w:val="left"/>
            </w:pPr>
            <w:r>
              <w:rPr>
                <w:rFonts w:ascii="Arial" w:hAnsi="Arial" w:eastAsia="等线" w:cs="Arial"/>
                <w:sz w:val="22"/>
              </w:rPr>
              <w:t>No-load Fund</w:t>
            </w:r>
          </w:p>
        </w:tc>
        <w:tc>
          <w:tcPr>
            <w:tcW w:w="1890" w:type="dxa"/>
            <w:tcMar>
              <w:top w:w="60" w:type="dxa"/>
              <w:left w:w="120" w:type="dxa"/>
              <w:bottom w:w="30" w:type="dxa"/>
              <w:right w:w="120" w:type="dxa"/>
            </w:tcMar>
          </w:tcPr>
          <w:p w14:paraId="74B3DE7B">
            <w:pPr>
              <w:spacing w:before="120" w:after="120" w:line="288" w:lineRule="auto"/>
              <w:ind w:left="0"/>
              <w:jc w:val="left"/>
            </w:pPr>
            <w:r>
              <w:rPr>
                <w:rFonts w:ascii="Arial" w:hAnsi="Arial" w:eastAsia="等线" w:cs="Arial"/>
                <w:sz w:val="22"/>
              </w:rPr>
              <w:t>无佣基金</w:t>
            </w:r>
          </w:p>
        </w:tc>
        <w:tc>
          <w:tcPr>
            <w:tcW w:w="3915" w:type="dxa"/>
            <w:tcMar>
              <w:top w:w="60" w:type="dxa"/>
              <w:left w:w="120" w:type="dxa"/>
              <w:bottom w:w="30" w:type="dxa"/>
              <w:right w:w="120" w:type="dxa"/>
            </w:tcMar>
          </w:tcPr>
          <w:p w14:paraId="5D764761">
            <w:pPr>
              <w:spacing w:before="120" w:after="120" w:line="288" w:lineRule="auto"/>
              <w:ind w:left="0"/>
              <w:jc w:val="left"/>
            </w:pPr>
            <w:r>
              <w:rPr>
                <w:rFonts w:ascii="Arial" w:hAnsi="Arial" w:eastAsia="等线" w:cs="Arial"/>
                <w:sz w:val="22"/>
              </w:rPr>
              <w:t>无销售费，12b-1费≤0.25%</w:t>
            </w:r>
          </w:p>
        </w:tc>
      </w:tr>
      <w:tr w14:paraId="2F7C59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37034A71">
            <w:pPr>
              <w:spacing w:before="120" w:after="120" w:line="288" w:lineRule="auto"/>
              <w:ind w:left="0"/>
              <w:jc w:val="left"/>
            </w:pPr>
            <w:r>
              <w:rPr>
                <w:rFonts w:ascii="Arial" w:hAnsi="Arial" w:eastAsia="等线" w:cs="Arial"/>
                <w:sz w:val="22"/>
              </w:rPr>
              <w:t>12b-1 Fee</w:t>
            </w:r>
          </w:p>
        </w:tc>
        <w:tc>
          <w:tcPr>
            <w:tcW w:w="1890" w:type="dxa"/>
            <w:tcMar>
              <w:top w:w="60" w:type="dxa"/>
              <w:left w:w="120" w:type="dxa"/>
              <w:bottom w:w="30" w:type="dxa"/>
              <w:right w:w="120" w:type="dxa"/>
            </w:tcMar>
          </w:tcPr>
          <w:p w14:paraId="3011121A">
            <w:pPr>
              <w:spacing w:before="120" w:after="120" w:line="288" w:lineRule="auto"/>
              <w:ind w:left="0"/>
              <w:jc w:val="left"/>
            </w:pPr>
            <w:r>
              <w:rPr>
                <w:rFonts w:ascii="Arial" w:hAnsi="Arial" w:eastAsia="等线" w:cs="Arial"/>
                <w:sz w:val="22"/>
              </w:rPr>
              <w:t>12b-1费用</w:t>
            </w:r>
          </w:p>
        </w:tc>
        <w:tc>
          <w:tcPr>
            <w:tcW w:w="3915" w:type="dxa"/>
            <w:tcMar>
              <w:top w:w="60" w:type="dxa"/>
              <w:left w:w="120" w:type="dxa"/>
              <w:bottom w:w="30" w:type="dxa"/>
              <w:right w:w="120" w:type="dxa"/>
            </w:tcMar>
          </w:tcPr>
          <w:p w14:paraId="38E76E04">
            <w:pPr>
              <w:spacing w:before="120" w:after="120" w:line="288" w:lineRule="auto"/>
              <w:ind w:left="0"/>
              <w:jc w:val="left"/>
            </w:pPr>
            <w:r>
              <w:rPr>
                <w:rFonts w:ascii="Arial" w:hAnsi="Arial" w:eastAsia="等线" w:cs="Arial"/>
                <w:sz w:val="22"/>
              </w:rPr>
              <w:t>从基金资产中扣除，用于宣传、销售等</w:t>
            </w:r>
          </w:p>
        </w:tc>
      </w:tr>
      <w:tr w14:paraId="44C1D6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23DAE95F">
            <w:pPr>
              <w:spacing w:before="120" w:after="120" w:line="288" w:lineRule="auto"/>
              <w:ind w:left="0"/>
              <w:jc w:val="left"/>
            </w:pPr>
            <w:r>
              <w:rPr>
                <w:rFonts w:ascii="Arial" w:hAnsi="Arial" w:eastAsia="等线" w:cs="Arial"/>
                <w:sz w:val="22"/>
              </w:rPr>
              <w:t>Breakpoint</w:t>
            </w:r>
          </w:p>
        </w:tc>
        <w:tc>
          <w:tcPr>
            <w:tcW w:w="1890" w:type="dxa"/>
            <w:tcMar>
              <w:top w:w="60" w:type="dxa"/>
              <w:left w:w="120" w:type="dxa"/>
              <w:bottom w:w="30" w:type="dxa"/>
              <w:right w:w="120" w:type="dxa"/>
            </w:tcMar>
          </w:tcPr>
          <w:p w14:paraId="1A839E98">
            <w:pPr>
              <w:spacing w:before="120" w:after="120" w:line="288" w:lineRule="auto"/>
              <w:ind w:left="0"/>
              <w:jc w:val="left"/>
            </w:pPr>
            <w:r>
              <w:rPr>
                <w:rFonts w:ascii="Arial" w:hAnsi="Arial" w:eastAsia="等线" w:cs="Arial"/>
                <w:sz w:val="22"/>
              </w:rPr>
              <w:t>临界点折扣</w:t>
            </w:r>
          </w:p>
        </w:tc>
        <w:tc>
          <w:tcPr>
            <w:tcW w:w="3915" w:type="dxa"/>
            <w:tcMar>
              <w:top w:w="60" w:type="dxa"/>
              <w:left w:w="120" w:type="dxa"/>
              <w:bottom w:w="30" w:type="dxa"/>
              <w:right w:w="120" w:type="dxa"/>
            </w:tcMar>
          </w:tcPr>
          <w:p w14:paraId="3DB062FD">
            <w:pPr>
              <w:spacing w:before="120" w:after="120" w:line="288" w:lineRule="auto"/>
              <w:ind w:left="0"/>
              <w:jc w:val="left"/>
            </w:pPr>
            <w:r>
              <w:rPr>
                <w:rFonts w:ascii="Arial" w:hAnsi="Arial" w:eastAsia="等线" w:cs="Arial"/>
                <w:sz w:val="22"/>
              </w:rPr>
              <w:t>大额申购享更低销售费，需在招募书中披露</w:t>
            </w:r>
          </w:p>
        </w:tc>
      </w:tr>
      <w:tr w14:paraId="51D51B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0D222071">
            <w:pPr>
              <w:spacing w:before="120" w:after="120" w:line="288" w:lineRule="auto"/>
              <w:ind w:left="0"/>
              <w:jc w:val="left"/>
            </w:pPr>
            <w:r>
              <w:rPr>
                <w:rFonts w:ascii="Arial" w:hAnsi="Arial" w:eastAsia="等线" w:cs="Arial"/>
                <w:sz w:val="22"/>
              </w:rPr>
              <w:t>Letter of Intent (LOI)</w:t>
            </w:r>
          </w:p>
        </w:tc>
        <w:tc>
          <w:tcPr>
            <w:tcW w:w="1890" w:type="dxa"/>
            <w:tcMar>
              <w:top w:w="60" w:type="dxa"/>
              <w:left w:w="120" w:type="dxa"/>
              <w:bottom w:w="30" w:type="dxa"/>
              <w:right w:w="120" w:type="dxa"/>
            </w:tcMar>
          </w:tcPr>
          <w:p w14:paraId="0C1F0A95">
            <w:pPr>
              <w:spacing w:before="120" w:after="120" w:line="288" w:lineRule="auto"/>
              <w:ind w:left="0"/>
              <w:jc w:val="left"/>
            </w:pPr>
            <w:r>
              <w:rPr>
                <w:rFonts w:ascii="Arial" w:hAnsi="Arial" w:eastAsia="等线" w:cs="Arial"/>
                <w:sz w:val="22"/>
              </w:rPr>
              <w:t>认购意向书</w:t>
            </w:r>
          </w:p>
        </w:tc>
        <w:tc>
          <w:tcPr>
            <w:tcW w:w="3915" w:type="dxa"/>
            <w:tcMar>
              <w:top w:w="60" w:type="dxa"/>
              <w:left w:w="120" w:type="dxa"/>
              <w:bottom w:w="30" w:type="dxa"/>
              <w:right w:w="120" w:type="dxa"/>
            </w:tcMar>
          </w:tcPr>
          <w:p w14:paraId="6907DE97">
            <w:pPr>
              <w:spacing w:before="120" w:after="120" w:line="288" w:lineRule="auto"/>
              <w:ind w:left="0"/>
              <w:jc w:val="left"/>
            </w:pPr>
            <w:r>
              <w:rPr>
                <w:rFonts w:ascii="Arial" w:hAnsi="Arial" w:eastAsia="等线" w:cs="Arial"/>
                <w:sz w:val="22"/>
              </w:rPr>
              <w:t>13个月内累计达标可享折扣，可回溯90天</w:t>
            </w:r>
          </w:p>
        </w:tc>
      </w:tr>
    </w:tbl>
    <w:p w14:paraId="27F0B4E5">
      <w:pPr>
        <w:spacing w:before="120" w:after="120" w:line="288" w:lineRule="auto"/>
        <w:ind w:left="0"/>
        <w:jc w:val="left"/>
      </w:pPr>
    </w:p>
    <w:p w14:paraId="595FE603">
      <w:pPr>
        <w:spacing w:before="300" w:after="120" w:line="288" w:lineRule="auto"/>
        <w:ind w:left="0"/>
        <w:jc w:val="left"/>
        <w:outlineLvl w:val="2"/>
      </w:pPr>
      <w:bookmarkStart w:id="38" w:name="heading_38"/>
      <w:r>
        <w:rPr>
          <w:rFonts w:ascii="Arial" w:hAnsi="Arial" w:eastAsia="等线" w:cs="Arial"/>
          <w:b/>
          <w:sz w:val="30"/>
        </w:rPr>
        <w:t>（二）年金与寿险术语</w:t>
      </w:r>
      <w:bookmarkEnd w:id="3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95"/>
        <w:gridCol w:w="2175"/>
        <w:gridCol w:w="3810"/>
      </w:tblGrid>
      <w:tr w14:paraId="15D96A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015A75B0">
            <w:pPr>
              <w:spacing w:before="120" w:after="120" w:line="288" w:lineRule="auto"/>
              <w:ind w:left="0"/>
              <w:jc w:val="left"/>
            </w:pPr>
            <w:r>
              <w:rPr>
                <w:rFonts w:ascii="Arial" w:hAnsi="Arial" w:eastAsia="等线" w:cs="Arial"/>
                <w:b/>
                <w:sz w:val="22"/>
              </w:rPr>
              <w:t>英文术语</w:t>
            </w:r>
          </w:p>
        </w:tc>
        <w:tc>
          <w:tcPr>
            <w:tcW w:w="2175" w:type="dxa"/>
            <w:tcMar>
              <w:top w:w="60" w:type="dxa"/>
              <w:left w:w="120" w:type="dxa"/>
              <w:bottom w:w="30" w:type="dxa"/>
              <w:right w:w="120" w:type="dxa"/>
            </w:tcMar>
          </w:tcPr>
          <w:p w14:paraId="28C8CD7A">
            <w:pPr>
              <w:spacing w:before="120" w:after="120" w:line="288" w:lineRule="auto"/>
              <w:ind w:left="0"/>
              <w:jc w:val="left"/>
            </w:pPr>
            <w:r>
              <w:rPr>
                <w:rFonts w:ascii="Arial" w:hAnsi="Arial" w:eastAsia="等线" w:cs="Arial"/>
                <w:b/>
                <w:sz w:val="22"/>
              </w:rPr>
              <w:t>中文释义</w:t>
            </w:r>
          </w:p>
        </w:tc>
        <w:tc>
          <w:tcPr>
            <w:tcW w:w="3810" w:type="dxa"/>
            <w:tcMar>
              <w:top w:w="60" w:type="dxa"/>
              <w:left w:w="120" w:type="dxa"/>
              <w:bottom w:w="30" w:type="dxa"/>
              <w:right w:w="120" w:type="dxa"/>
            </w:tcMar>
          </w:tcPr>
          <w:p w14:paraId="0F9565FC">
            <w:pPr>
              <w:spacing w:before="120" w:after="120" w:line="288" w:lineRule="auto"/>
              <w:ind w:left="0"/>
              <w:jc w:val="left"/>
            </w:pPr>
            <w:r>
              <w:rPr>
                <w:rFonts w:ascii="Arial" w:hAnsi="Arial" w:eastAsia="等线" w:cs="Arial"/>
                <w:b/>
                <w:sz w:val="22"/>
              </w:rPr>
              <w:t>补充说明</w:t>
            </w:r>
          </w:p>
        </w:tc>
      </w:tr>
      <w:tr w14:paraId="266999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11FA003A">
            <w:pPr>
              <w:spacing w:before="120" w:after="120" w:line="288" w:lineRule="auto"/>
              <w:ind w:left="0"/>
              <w:jc w:val="left"/>
            </w:pPr>
            <w:r>
              <w:rPr>
                <w:rFonts w:ascii="Arial" w:hAnsi="Arial" w:eastAsia="等线" w:cs="Arial"/>
                <w:sz w:val="22"/>
              </w:rPr>
              <w:t>Fixed Annuity</w:t>
            </w:r>
          </w:p>
        </w:tc>
        <w:tc>
          <w:tcPr>
            <w:tcW w:w="2175" w:type="dxa"/>
            <w:tcMar>
              <w:top w:w="60" w:type="dxa"/>
              <w:left w:w="120" w:type="dxa"/>
              <w:bottom w:w="30" w:type="dxa"/>
              <w:right w:w="120" w:type="dxa"/>
            </w:tcMar>
          </w:tcPr>
          <w:p w14:paraId="7621461D">
            <w:pPr>
              <w:spacing w:before="120" w:after="120" w:line="288" w:lineRule="auto"/>
              <w:ind w:left="0"/>
              <w:jc w:val="left"/>
            </w:pPr>
            <w:r>
              <w:rPr>
                <w:rFonts w:ascii="Arial" w:hAnsi="Arial" w:eastAsia="等线" w:cs="Arial"/>
                <w:sz w:val="22"/>
              </w:rPr>
              <w:t>固定年金</w:t>
            </w:r>
          </w:p>
        </w:tc>
        <w:tc>
          <w:tcPr>
            <w:tcW w:w="3810" w:type="dxa"/>
            <w:tcMar>
              <w:top w:w="60" w:type="dxa"/>
              <w:left w:w="120" w:type="dxa"/>
              <w:bottom w:w="30" w:type="dxa"/>
              <w:right w:w="120" w:type="dxa"/>
            </w:tcMar>
          </w:tcPr>
          <w:p w14:paraId="30B8083F">
            <w:pPr>
              <w:spacing w:before="120" w:after="120" w:line="288" w:lineRule="auto"/>
              <w:ind w:left="0"/>
              <w:jc w:val="left"/>
            </w:pPr>
            <w:r>
              <w:rPr>
                <w:rFonts w:ascii="Arial" w:hAnsi="Arial" w:eastAsia="等线" w:cs="Arial"/>
                <w:sz w:val="22"/>
              </w:rPr>
              <w:t>收益固定，保险公司承担风险，非证券</w:t>
            </w:r>
          </w:p>
        </w:tc>
      </w:tr>
      <w:tr w14:paraId="52A789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5E486DB8">
            <w:pPr>
              <w:spacing w:before="120" w:after="120" w:line="288" w:lineRule="auto"/>
              <w:ind w:left="0"/>
              <w:jc w:val="left"/>
            </w:pPr>
            <w:r>
              <w:rPr>
                <w:rFonts w:ascii="Arial" w:hAnsi="Arial" w:eastAsia="等线" w:cs="Arial"/>
                <w:sz w:val="22"/>
              </w:rPr>
              <w:t>Variable Annuity</w:t>
            </w:r>
          </w:p>
        </w:tc>
        <w:tc>
          <w:tcPr>
            <w:tcW w:w="2175" w:type="dxa"/>
            <w:tcMar>
              <w:top w:w="60" w:type="dxa"/>
              <w:left w:w="120" w:type="dxa"/>
              <w:bottom w:w="30" w:type="dxa"/>
              <w:right w:w="120" w:type="dxa"/>
            </w:tcMar>
          </w:tcPr>
          <w:p w14:paraId="212EFB9A">
            <w:pPr>
              <w:spacing w:before="120" w:after="120" w:line="288" w:lineRule="auto"/>
              <w:ind w:left="0"/>
              <w:jc w:val="left"/>
            </w:pPr>
            <w:r>
              <w:rPr>
                <w:rFonts w:ascii="Arial" w:hAnsi="Arial" w:eastAsia="等线" w:cs="Arial"/>
                <w:sz w:val="22"/>
              </w:rPr>
              <w:t>可变年金</w:t>
            </w:r>
          </w:p>
        </w:tc>
        <w:tc>
          <w:tcPr>
            <w:tcW w:w="3810" w:type="dxa"/>
            <w:tcMar>
              <w:top w:w="60" w:type="dxa"/>
              <w:left w:w="120" w:type="dxa"/>
              <w:bottom w:w="30" w:type="dxa"/>
              <w:right w:w="120" w:type="dxa"/>
            </w:tcMar>
          </w:tcPr>
          <w:p w14:paraId="5264EB98">
            <w:pPr>
              <w:spacing w:before="120" w:after="120" w:line="288" w:lineRule="auto"/>
              <w:ind w:left="0"/>
              <w:jc w:val="left"/>
            </w:pPr>
            <w:r>
              <w:rPr>
                <w:rFonts w:ascii="Arial" w:hAnsi="Arial" w:eastAsia="等线" w:cs="Arial"/>
                <w:sz w:val="22"/>
              </w:rPr>
              <w:t>收益与独立账户挂钩，投资者承担风险，属证券</w:t>
            </w:r>
          </w:p>
        </w:tc>
      </w:tr>
      <w:tr w14:paraId="2A129A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6D919E91">
            <w:pPr>
              <w:spacing w:before="120" w:after="120" w:line="288" w:lineRule="auto"/>
              <w:ind w:left="0"/>
              <w:jc w:val="left"/>
            </w:pPr>
            <w:r>
              <w:rPr>
                <w:rFonts w:ascii="Arial" w:hAnsi="Arial" w:eastAsia="等线" w:cs="Arial"/>
                <w:sz w:val="22"/>
              </w:rPr>
              <w:t>Separate Account</w:t>
            </w:r>
          </w:p>
        </w:tc>
        <w:tc>
          <w:tcPr>
            <w:tcW w:w="2175" w:type="dxa"/>
            <w:tcMar>
              <w:top w:w="60" w:type="dxa"/>
              <w:left w:w="120" w:type="dxa"/>
              <w:bottom w:w="30" w:type="dxa"/>
              <w:right w:w="120" w:type="dxa"/>
            </w:tcMar>
          </w:tcPr>
          <w:p w14:paraId="1AF93E49">
            <w:pPr>
              <w:spacing w:before="120" w:after="120" w:line="288" w:lineRule="auto"/>
              <w:ind w:left="0"/>
              <w:jc w:val="left"/>
            </w:pPr>
            <w:r>
              <w:rPr>
                <w:rFonts w:ascii="Arial" w:hAnsi="Arial" w:eastAsia="等线" w:cs="Arial"/>
                <w:sz w:val="22"/>
              </w:rPr>
              <w:t>独立账户</w:t>
            </w:r>
          </w:p>
        </w:tc>
        <w:tc>
          <w:tcPr>
            <w:tcW w:w="3810" w:type="dxa"/>
            <w:tcMar>
              <w:top w:w="60" w:type="dxa"/>
              <w:left w:w="120" w:type="dxa"/>
              <w:bottom w:w="30" w:type="dxa"/>
              <w:right w:w="120" w:type="dxa"/>
            </w:tcMar>
          </w:tcPr>
          <w:p w14:paraId="1E131F30">
            <w:pPr>
              <w:spacing w:before="120" w:after="120" w:line="288" w:lineRule="auto"/>
              <w:ind w:left="0"/>
              <w:jc w:val="left"/>
            </w:pPr>
            <w:r>
              <w:rPr>
                <w:rFonts w:ascii="Arial" w:hAnsi="Arial" w:eastAsia="等线" w:cs="Arial"/>
                <w:sz w:val="22"/>
              </w:rPr>
              <w:t>可变年金/寿险的投资账户，与保险公司资产分离</w:t>
            </w:r>
          </w:p>
        </w:tc>
      </w:tr>
      <w:tr w14:paraId="1DD7BD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36EE77ED">
            <w:pPr>
              <w:spacing w:before="120" w:after="120" w:line="288" w:lineRule="auto"/>
              <w:ind w:left="0"/>
              <w:jc w:val="left"/>
            </w:pPr>
            <w:r>
              <w:rPr>
                <w:rFonts w:ascii="Arial" w:hAnsi="Arial" w:eastAsia="等线" w:cs="Arial"/>
                <w:sz w:val="22"/>
              </w:rPr>
              <w:t>General Account</w:t>
            </w:r>
          </w:p>
        </w:tc>
        <w:tc>
          <w:tcPr>
            <w:tcW w:w="2175" w:type="dxa"/>
            <w:tcMar>
              <w:top w:w="60" w:type="dxa"/>
              <w:left w:w="120" w:type="dxa"/>
              <w:bottom w:w="30" w:type="dxa"/>
              <w:right w:w="120" w:type="dxa"/>
            </w:tcMar>
          </w:tcPr>
          <w:p w14:paraId="0C81F8CD">
            <w:pPr>
              <w:spacing w:before="120" w:after="120" w:line="288" w:lineRule="auto"/>
              <w:ind w:left="0"/>
              <w:jc w:val="left"/>
            </w:pPr>
            <w:r>
              <w:rPr>
                <w:rFonts w:ascii="Arial" w:hAnsi="Arial" w:eastAsia="等线" w:cs="Arial"/>
                <w:sz w:val="22"/>
              </w:rPr>
              <w:t>一般账户</w:t>
            </w:r>
          </w:p>
        </w:tc>
        <w:tc>
          <w:tcPr>
            <w:tcW w:w="3810" w:type="dxa"/>
            <w:tcMar>
              <w:top w:w="60" w:type="dxa"/>
              <w:left w:w="120" w:type="dxa"/>
              <w:bottom w:w="30" w:type="dxa"/>
              <w:right w:w="120" w:type="dxa"/>
            </w:tcMar>
          </w:tcPr>
          <w:p w14:paraId="0D0F99EE">
            <w:pPr>
              <w:spacing w:before="120" w:after="120" w:line="288" w:lineRule="auto"/>
              <w:ind w:left="0"/>
              <w:jc w:val="left"/>
            </w:pPr>
            <w:r>
              <w:rPr>
                <w:rFonts w:ascii="Arial" w:hAnsi="Arial" w:eastAsia="等线" w:cs="Arial"/>
                <w:sz w:val="22"/>
              </w:rPr>
              <w:t>固定年金的资金账户，保险公司整体资产池</w:t>
            </w:r>
          </w:p>
        </w:tc>
      </w:tr>
      <w:tr w14:paraId="4349B0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6619A03E">
            <w:pPr>
              <w:spacing w:before="120" w:after="120" w:line="288" w:lineRule="auto"/>
              <w:ind w:left="0"/>
              <w:jc w:val="left"/>
            </w:pPr>
            <w:r>
              <w:rPr>
                <w:rFonts w:ascii="Arial" w:hAnsi="Arial" w:eastAsia="等线" w:cs="Arial"/>
                <w:sz w:val="22"/>
              </w:rPr>
              <w:t>Assumed Interest Rate (AIR)</w:t>
            </w:r>
          </w:p>
        </w:tc>
        <w:tc>
          <w:tcPr>
            <w:tcW w:w="2175" w:type="dxa"/>
            <w:tcMar>
              <w:top w:w="60" w:type="dxa"/>
              <w:left w:w="120" w:type="dxa"/>
              <w:bottom w:w="30" w:type="dxa"/>
              <w:right w:w="120" w:type="dxa"/>
            </w:tcMar>
          </w:tcPr>
          <w:p w14:paraId="09CEFC2A">
            <w:pPr>
              <w:spacing w:before="120" w:after="120" w:line="288" w:lineRule="auto"/>
              <w:ind w:left="0"/>
              <w:jc w:val="left"/>
            </w:pPr>
            <w:r>
              <w:rPr>
                <w:rFonts w:ascii="Arial" w:hAnsi="Arial" w:eastAsia="等线" w:cs="Arial"/>
                <w:sz w:val="22"/>
              </w:rPr>
              <w:t>假设利率</w:t>
            </w:r>
          </w:p>
        </w:tc>
        <w:tc>
          <w:tcPr>
            <w:tcW w:w="3810" w:type="dxa"/>
            <w:tcMar>
              <w:top w:w="60" w:type="dxa"/>
              <w:left w:w="120" w:type="dxa"/>
              <w:bottom w:w="30" w:type="dxa"/>
              <w:right w:w="120" w:type="dxa"/>
            </w:tcMar>
          </w:tcPr>
          <w:p w14:paraId="0D4EA04C">
            <w:pPr>
              <w:spacing w:before="120" w:after="120" w:line="288" w:lineRule="auto"/>
              <w:ind w:left="0"/>
              <w:jc w:val="left"/>
            </w:pPr>
            <w:r>
              <w:rPr>
                <w:rFonts w:ascii="Arial" w:hAnsi="Arial" w:eastAsia="等线" w:cs="Arial"/>
                <w:sz w:val="22"/>
              </w:rPr>
              <w:t>可变年金收益基准，实际收益影响 payout</w:t>
            </w:r>
          </w:p>
        </w:tc>
      </w:tr>
      <w:tr w14:paraId="197D60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5736403B">
            <w:pPr>
              <w:spacing w:before="120" w:after="120" w:line="288" w:lineRule="auto"/>
              <w:ind w:left="0"/>
              <w:jc w:val="left"/>
            </w:pPr>
            <w:r>
              <w:rPr>
                <w:rFonts w:ascii="Arial" w:hAnsi="Arial" w:eastAsia="等线" w:cs="Arial"/>
                <w:sz w:val="22"/>
              </w:rPr>
              <w:t>Accumulation Units</w:t>
            </w:r>
          </w:p>
        </w:tc>
        <w:tc>
          <w:tcPr>
            <w:tcW w:w="2175" w:type="dxa"/>
            <w:tcMar>
              <w:top w:w="60" w:type="dxa"/>
              <w:left w:w="120" w:type="dxa"/>
              <w:bottom w:w="30" w:type="dxa"/>
              <w:right w:w="120" w:type="dxa"/>
            </w:tcMar>
          </w:tcPr>
          <w:p w14:paraId="4E584CD6">
            <w:pPr>
              <w:spacing w:before="120" w:after="120" w:line="288" w:lineRule="auto"/>
              <w:ind w:left="0"/>
              <w:jc w:val="left"/>
            </w:pPr>
            <w:r>
              <w:rPr>
                <w:rFonts w:ascii="Arial" w:hAnsi="Arial" w:eastAsia="等线" w:cs="Arial"/>
                <w:sz w:val="22"/>
              </w:rPr>
              <w:t>累积单位</w:t>
            </w:r>
          </w:p>
        </w:tc>
        <w:tc>
          <w:tcPr>
            <w:tcW w:w="3810" w:type="dxa"/>
            <w:tcMar>
              <w:top w:w="60" w:type="dxa"/>
              <w:left w:w="120" w:type="dxa"/>
              <w:bottom w:w="30" w:type="dxa"/>
              <w:right w:w="120" w:type="dxa"/>
            </w:tcMar>
          </w:tcPr>
          <w:p w14:paraId="43C49801">
            <w:pPr>
              <w:spacing w:before="120" w:after="120" w:line="288" w:lineRule="auto"/>
              <w:ind w:left="0"/>
              <w:jc w:val="left"/>
            </w:pPr>
            <w:r>
              <w:rPr>
                <w:rFonts w:ascii="Arial" w:hAnsi="Arial" w:eastAsia="等线" w:cs="Arial"/>
                <w:sz w:val="22"/>
              </w:rPr>
              <w:t>可变年金缴费阶段购买的单位，数量可增加</w:t>
            </w:r>
          </w:p>
        </w:tc>
      </w:tr>
      <w:tr w14:paraId="55FE72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4E2567D3">
            <w:pPr>
              <w:spacing w:before="120" w:after="120" w:line="288" w:lineRule="auto"/>
              <w:ind w:left="0"/>
              <w:jc w:val="left"/>
            </w:pPr>
            <w:r>
              <w:rPr>
                <w:rFonts w:ascii="Arial" w:hAnsi="Arial" w:eastAsia="等线" w:cs="Arial"/>
                <w:sz w:val="22"/>
              </w:rPr>
              <w:t>Annuity Units</w:t>
            </w:r>
          </w:p>
        </w:tc>
        <w:tc>
          <w:tcPr>
            <w:tcW w:w="2175" w:type="dxa"/>
            <w:tcMar>
              <w:top w:w="60" w:type="dxa"/>
              <w:left w:w="120" w:type="dxa"/>
              <w:bottom w:w="30" w:type="dxa"/>
              <w:right w:w="120" w:type="dxa"/>
            </w:tcMar>
          </w:tcPr>
          <w:p w14:paraId="5167A5A4">
            <w:pPr>
              <w:spacing w:before="120" w:after="120" w:line="288" w:lineRule="auto"/>
              <w:ind w:left="0"/>
              <w:jc w:val="left"/>
            </w:pPr>
            <w:r>
              <w:rPr>
                <w:rFonts w:ascii="Arial" w:hAnsi="Arial" w:eastAsia="等线" w:cs="Arial"/>
                <w:sz w:val="22"/>
              </w:rPr>
              <w:t>年金单位</w:t>
            </w:r>
          </w:p>
        </w:tc>
        <w:tc>
          <w:tcPr>
            <w:tcW w:w="3810" w:type="dxa"/>
            <w:tcMar>
              <w:top w:w="60" w:type="dxa"/>
              <w:left w:w="120" w:type="dxa"/>
              <w:bottom w:w="30" w:type="dxa"/>
              <w:right w:w="120" w:type="dxa"/>
            </w:tcMar>
          </w:tcPr>
          <w:p w14:paraId="76A3B88D">
            <w:pPr>
              <w:spacing w:before="120" w:after="120" w:line="288" w:lineRule="auto"/>
              <w:ind w:left="0"/>
              <w:jc w:val="left"/>
            </w:pPr>
            <w:r>
              <w:rPr>
                <w:rFonts w:ascii="Arial" w:hAnsi="Arial" w:eastAsia="等线" w:cs="Arial"/>
                <w:sz w:val="22"/>
              </w:rPr>
              <w:t>领取阶段转换的固定数量单位，价值随表现波动</w:t>
            </w:r>
          </w:p>
        </w:tc>
      </w:tr>
      <w:tr w14:paraId="08BA03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3A2B54AF">
            <w:pPr>
              <w:spacing w:before="120" w:after="120" w:line="288" w:lineRule="auto"/>
              <w:ind w:left="0"/>
              <w:jc w:val="left"/>
            </w:pPr>
            <w:r>
              <w:rPr>
                <w:rFonts w:ascii="Arial" w:hAnsi="Arial" w:eastAsia="等线" w:cs="Arial"/>
                <w:sz w:val="22"/>
              </w:rPr>
              <w:t>Surrender Charge</w:t>
            </w:r>
          </w:p>
        </w:tc>
        <w:tc>
          <w:tcPr>
            <w:tcW w:w="2175" w:type="dxa"/>
            <w:tcMar>
              <w:top w:w="60" w:type="dxa"/>
              <w:left w:w="120" w:type="dxa"/>
              <w:bottom w:w="30" w:type="dxa"/>
              <w:right w:w="120" w:type="dxa"/>
            </w:tcMar>
          </w:tcPr>
          <w:p w14:paraId="03CE6611">
            <w:pPr>
              <w:spacing w:before="120" w:after="120" w:line="288" w:lineRule="auto"/>
              <w:ind w:left="0"/>
              <w:jc w:val="left"/>
            </w:pPr>
            <w:r>
              <w:rPr>
                <w:rFonts w:ascii="Arial" w:hAnsi="Arial" w:eastAsia="等线" w:cs="Arial"/>
                <w:sz w:val="22"/>
              </w:rPr>
              <w:t>退保费用</w:t>
            </w:r>
          </w:p>
        </w:tc>
        <w:tc>
          <w:tcPr>
            <w:tcW w:w="3810" w:type="dxa"/>
            <w:tcMar>
              <w:top w:w="60" w:type="dxa"/>
              <w:left w:w="120" w:type="dxa"/>
              <w:bottom w:w="30" w:type="dxa"/>
              <w:right w:w="120" w:type="dxa"/>
            </w:tcMar>
          </w:tcPr>
          <w:p w14:paraId="079A9AB2">
            <w:pPr>
              <w:spacing w:before="120" w:after="120" w:line="288" w:lineRule="auto"/>
              <w:ind w:left="0"/>
              <w:jc w:val="left"/>
            </w:pPr>
            <w:r>
              <w:rPr>
                <w:rFonts w:ascii="Arial" w:hAnsi="Arial" w:eastAsia="等线" w:cs="Arial"/>
                <w:sz w:val="22"/>
              </w:rPr>
              <w:t>提前赎回时保险公司收取，持有越久费用越低</w:t>
            </w:r>
          </w:p>
        </w:tc>
      </w:tr>
      <w:tr w14:paraId="3FE9D7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0C75A5ED">
            <w:pPr>
              <w:spacing w:before="120" w:after="120" w:line="288" w:lineRule="auto"/>
              <w:ind w:left="0"/>
              <w:jc w:val="left"/>
            </w:pPr>
            <w:r>
              <w:rPr>
                <w:rFonts w:ascii="Arial" w:hAnsi="Arial" w:eastAsia="等线" w:cs="Arial"/>
                <w:sz w:val="22"/>
              </w:rPr>
              <w:t>Variable Life (VLI)</w:t>
            </w:r>
          </w:p>
        </w:tc>
        <w:tc>
          <w:tcPr>
            <w:tcW w:w="2175" w:type="dxa"/>
            <w:tcMar>
              <w:top w:w="60" w:type="dxa"/>
              <w:left w:w="120" w:type="dxa"/>
              <w:bottom w:w="30" w:type="dxa"/>
              <w:right w:w="120" w:type="dxa"/>
            </w:tcMar>
          </w:tcPr>
          <w:p w14:paraId="25456792">
            <w:pPr>
              <w:spacing w:before="120" w:after="120" w:line="288" w:lineRule="auto"/>
              <w:ind w:left="0"/>
              <w:jc w:val="left"/>
            </w:pPr>
            <w:r>
              <w:rPr>
                <w:rFonts w:ascii="Arial" w:hAnsi="Arial" w:eastAsia="等线" w:cs="Arial"/>
                <w:sz w:val="22"/>
              </w:rPr>
              <w:t>可变寿险</w:t>
            </w:r>
          </w:p>
        </w:tc>
        <w:tc>
          <w:tcPr>
            <w:tcW w:w="3810" w:type="dxa"/>
            <w:tcMar>
              <w:top w:w="60" w:type="dxa"/>
              <w:left w:w="120" w:type="dxa"/>
              <w:bottom w:w="30" w:type="dxa"/>
              <w:right w:w="120" w:type="dxa"/>
            </w:tcMar>
          </w:tcPr>
          <w:p w14:paraId="59447887">
            <w:pPr>
              <w:spacing w:before="120" w:after="120" w:line="288" w:lineRule="auto"/>
              <w:ind w:left="0"/>
              <w:jc w:val="left"/>
            </w:pPr>
            <w:r>
              <w:rPr>
                <w:rFonts w:ascii="Arial" w:hAnsi="Arial" w:eastAsia="等线" w:cs="Arial"/>
                <w:sz w:val="22"/>
              </w:rPr>
              <w:t>固定保费，死亡保额有最低保证</w:t>
            </w:r>
          </w:p>
        </w:tc>
      </w:tr>
      <w:tr w14:paraId="2CDE99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95" w:type="dxa"/>
            <w:tcMar>
              <w:top w:w="60" w:type="dxa"/>
              <w:left w:w="120" w:type="dxa"/>
              <w:bottom w:w="30" w:type="dxa"/>
              <w:right w:w="120" w:type="dxa"/>
            </w:tcMar>
          </w:tcPr>
          <w:p w14:paraId="1ED4048C">
            <w:pPr>
              <w:spacing w:before="120" w:after="120" w:line="288" w:lineRule="auto"/>
              <w:ind w:left="0"/>
              <w:jc w:val="left"/>
            </w:pPr>
            <w:r>
              <w:rPr>
                <w:rFonts w:ascii="Arial" w:hAnsi="Arial" w:eastAsia="等线" w:cs="Arial"/>
                <w:sz w:val="22"/>
              </w:rPr>
              <w:t>Variable Universal Life (VUL)</w:t>
            </w:r>
          </w:p>
        </w:tc>
        <w:tc>
          <w:tcPr>
            <w:tcW w:w="2175" w:type="dxa"/>
            <w:tcMar>
              <w:top w:w="60" w:type="dxa"/>
              <w:left w:w="120" w:type="dxa"/>
              <w:bottom w:w="30" w:type="dxa"/>
              <w:right w:w="120" w:type="dxa"/>
            </w:tcMar>
          </w:tcPr>
          <w:p w14:paraId="44549F34">
            <w:pPr>
              <w:spacing w:before="120" w:after="120" w:line="288" w:lineRule="auto"/>
              <w:ind w:left="0"/>
              <w:jc w:val="left"/>
            </w:pPr>
            <w:r>
              <w:rPr>
                <w:rFonts w:ascii="Arial" w:hAnsi="Arial" w:eastAsia="等线" w:cs="Arial"/>
                <w:sz w:val="22"/>
              </w:rPr>
              <w:t>可变万能寿险</w:t>
            </w:r>
          </w:p>
        </w:tc>
        <w:tc>
          <w:tcPr>
            <w:tcW w:w="3810" w:type="dxa"/>
            <w:tcMar>
              <w:top w:w="60" w:type="dxa"/>
              <w:left w:w="120" w:type="dxa"/>
              <w:bottom w:w="30" w:type="dxa"/>
              <w:right w:w="120" w:type="dxa"/>
            </w:tcMar>
          </w:tcPr>
          <w:p w14:paraId="1635114E">
            <w:pPr>
              <w:spacing w:before="120" w:after="120" w:line="288" w:lineRule="auto"/>
              <w:ind w:left="0"/>
              <w:jc w:val="left"/>
            </w:pPr>
            <w:r>
              <w:rPr>
                <w:rFonts w:ascii="Arial" w:hAnsi="Arial" w:eastAsia="等线" w:cs="Arial"/>
                <w:sz w:val="22"/>
              </w:rPr>
              <w:t>灵活保费，无最低保额/现金价值保证</w:t>
            </w:r>
          </w:p>
        </w:tc>
      </w:tr>
    </w:tbl>
    <w:p w14:paraId="5DF85218">
      <w:pPr>
        <w:spacing w:before="300" w:after="120" w:line="288" w:lineRule="auto"/>
        <w:ind w:left="0"/>
        <w:jc w:val="left"/>
        <w:outlineLvl w:val="2"/>
      </w:pPr>
      <w:bookmarkStart w:id="39" w:name="heading_39"/>
      <w:r>
        <w:rPr>
          <w:rFonts w:ascii="Arial" w:hAnsi="Arial" w:eastAsia="等线" w:cs="Arial"/>
          <w:b/>
          <w:sz w:val="30"/>
        </w:rPr>
        <w:t>（三）交易所交易产品术语</w:t>
      </w:r>
      <w:bookmarkEnd w:id="3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895"/>
        <w:gridCol w:w="2145"/>
        <w:gridCol w:w="3240"/>
      </w:tblGrid>
      <w:tr w14:paraId="2246DB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95" w:type="dxa"/>
            <w:tcMar>
              <w:top w:w="60" w:type="dxa"/>
              <w:left w:w="120" w:type="dxa"/>
              <w:bottom w:w="30" w:type="dxa"/>
              <w:right w:w="120" w:type="dxa"/>
            </w:tcMar>
          </w:tcPr>
          <w:p w14:paraId="49DEBFE1">
            <w:pPr>
              <w:spacing w:before="120" w:after="120" w:line="288" w:lineRule="auto"/>
              <w:ind w:left="0"/>
              <w:jc w:val="left"/>
            </w:pPr>
            <w:r>
              <w:rPr>
                <w:rFonts w:ascii="Arial" w:hAnsi="Arial" w:eastAsia="等线" w:cs="Arial"/>
                <w:b/>
                <w:sz w:val="22"/>
              </w:rPr>
              <w:t>英文术语</w:t>
            </w:r>
          </w:p>
        </w:tc>
        <w:tc>
          <w:tcPr>
            <w:tcW w:w="2145" w:type="dxa"/>
            <w:tcMar>
              <w:top w:w="60" w:type="dxa"/>
              <w:left w:w="120" w:type="dxa"/>
              <w:bottom w:w="30" w:type="dxa"/>
              <w:right w:w="120" w:type="dxa"/>
            </w:tcMar>
          </w:tcPr>
          <w:p w14:paraId="4366C2BA">
            <w:pPr>
              <w:spacing w:before="120" w:after="120" w:line="288" w:lineRule="auto"/>
              <w:ind w:left="0"/>
              <w:jc w:val="left"/>
            </w:pPr>
            <w:r>
              <w:rPr>
                <w:rFonts w:ascii="Arial" w:hAnsi="Arial" w:eastAsia="等线" w:cs="Arial"/>
                <w:b/>
                <w:sz w:val="22"/>
              </w:rPr>
              <w:t>中文释义</w:t>
            </w:r>
          </w:p>
        </w:tc>
        <w:tc>
          <w:tcPr>
            <w:tcW w:w="3240" w:type="dxa"/>
            <w:tcMar>
              <w:top w:w="60" w:type="dxa"/>
              <w:left w:w="120" w:type="dxa"/>
              <w:bottom w:w="30" w:type="dxa"/>
              <w:right w:w="120" w:type="dxa"/>
            </w:tcMar>
          </w:tcPr>
          <w:p w14:paraId="5FA88AF3">
            <w:pPr>
              <w:spacing w:before="120" w:after="120" w:line="288" w:lineRule="auto"/>
              <w:ind w:left="0"/>
              <w:jc w:val="left"/>
            </w:pPr>
            <w:r>
              <w:rPr>
                <w:rFonts w:ascii="Arial" w:hAnsi="Arial" w:eastAsia="等线" w:cs="Arial"/>
                <w:b/>
                <w:sz w:val="22"/>
              </w:rPr>
              <w:t>补充说明</w:t>
            </w:r>
          </w:p>
        </w:tc>
      </w:tr>
      <w:tr w14:paraId="515286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95" w:type="dxa"/>
            <w:tcMar>
              <w:top w:w="60" w:type="dxa"/>
              <w:left w:w="120" w:type="dxa"/>
              <w:bottom w:w="30" w:type="dxa"/>
              <w:right w:w="120" w:type="dxa"/>
            </w:tcMar>
          </w:tcPr>
          <w:p w14:paraId="6C28843F">
            <w:pPr>
              <w:spacing w:before="120" w:after="120" w:line="288" w:lineRule="auto"/>
              <w:ind w:left="0"/>
              <w:jc w:val="left"/>
            </w:pPr>
            <w:r>
              <w:rPr>
                <w:rFonts w:ascii="Arial" w:hAnsi="Arial" w:eastAsia="等线" w:cs="Arial"/>
                <w:sz w:val="22"/>
              </w:rPr>
              <w:t>Exchange-Traded Fund (ETF)</w:t>
            </w:r>
          </w:p>
        </w:tc>
        <w:tc>
          <w:tcPr>
            <w:tcW w:w="2145" w:type="dxa"/>
            <w:tcMar>
              <w:top w:w="60" w:type="dxa"/>
              <w:left w:w="120" w:type="dxa"/>
              <w:bottom w:w="30" w:type="dxa"/>
              <w:right w:w="120" w:type="dxa"/>
            </w:tcMar>
          </w:tcPr>
          <w:p w14:paraId="5ACF2C61">
            <w:pPr>
              <w:spacing w:before="120" w:after="120" w:line="288" w:lineRule="auto"/>
              <w:ind w:left="0"/>
              <w:jc w:val="left"/>
            </w:pPr>
            <w:r>
              <w:rPr>
                <w:rFonts w:ascii="Arial" w:hAnsi="Arial" w:eastAsia="等线" w:cs="Arial"/>
                <w:sz w:val="22"/>
              </w:rPr>
              <w:t>交易所交易基金</w:t>
            </w:r>
          </w:p>
        </w:tc>
        <w:tc>
          <w:tcPr>
            <w:tcW w:w="3240" w:type="dxa"/>
            <w:tcMar>
              <w:top w:w="60" w:type="dxa"/>
              <w:left w:w="120" w:type="dxa"/>
              <w:bottom w:w="30" w:type="dxa"/>
              <w:right w:w="120" w:type="dxa"/>
            </w:tcMar>
          </w:tcPr>
          <w:p w14:paraId="481A5342">
            <w:pPr>
              <w:spacing w:before="120" w:after="120" w:line="288" w:lineRule="auto"/>
              <w:ind w:left="0"/>
              <w:jc w:val="left"/>
            </w:pPr>
            <w:r>
              <w:rPr>
                <w:rFonts w:ascii="Arial" w:hAnsi="Arial" w:eastAsia="等线" w:cs="Arial"/>
                <w:sz w:val="22"/>
              </w:rPr>
              <w:t>交易所上市，可日内交易、卖空、融资购买</w:t>
            </w:r>
          </w:p>
        </w:tc>
      </w:tr>
      <w:tr w14:paraId="16DDB5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95" w:type="dxa"/>
            <w:tcMar>
              <w:top w:w="60" w:type="dxa"/>
              <w:left w:w="120" w:type="dxa"/>
              <w:bottom w:w="30" w:type="dxa"/>
              <w:right w:w="120" w:type="dxa"/>
            </w:tcMar>
          </w:tcPr>
          <w:p w14:paraId="668B0717">
            <w:pPr>
              <w:spacing w:before="120" w:after="120" w:line="288" w:lineRule="auto"/>
              <w:ind w:left="0"/>
              <w:jc w:val="left"/>
            </w:pPr>
            <w:r>
              <w:rPr>
                <w:rFonts w:ascii="Arial" w:hAnsi="Arial" w:eastAsia="等线" w:cs="Arial"/>
                <w:sz w:val="22"/>
              </w:rPr>
              <w:t>Inverse ETF</w:t>
            </w:r>
          </w:p>
        </w:tc>
        <w:tc>
          <w:tcPr>
            <w:tcW w:w="2145" w:type="dxa"/>
            <w:tcMar>
              <w:top w:w="60" w:type="dxa"/>
              <w:left w:w="120" w:type="dxa"/>
              <w:bottom w:w="30" w:type="dxa"/>
              <w:right w:w="120" w:type="dxa"/>
            </w:tcMar>
          </w:tcPr>
          <w:p w14:paraId="63C33A9C">
            <w:pPr>
              <w:spacing w:before="120" w:after="120" w:line="288" w:lineRule="auto"/>
              <w:ind w:left="0"/>
              <w:jc w:val="left"/>
            </w:pPr>
            <w:r>
              <w:rPr>
                <w:rFonts w:ascii="Arial" w:hAnsi="Arial" w:eastAsia="等线" w:cs="Arial"/>
                <w:sz w:val="22"/>
              </w:rPr>
              <w:t>反向ETF</w:t>
            </w:r>
          </w:p>
        </w:tc>
        <w:tc>
          <w:tcPr>
            <w:tcW w:w="3240" w:type="dxa"/>
            <w:tcMar>
              <w:top w:w="60" w:type="dxa"/>
              <w:left w:w="120" w:type="dxa"/>
              <w:bottom w:w="30" w:type="dxa"/>
              <w:right w:w="120" w:type="dxa"/>
            </w:tcMar>
          </w:tcPr>
          <w:p w14:paraId="3E079FE6">
            <w:pPr>
              <w:spacing w:before="120" w:after="120" w:line="288" w:lineRule="auto"/>
              <w:ind w:left="0"/>
              <w:jc w:val="left"/>
            </w:pPr>
            <w:r>
              <w:rPr>
                <w:rFonts w:ascii="Arial" w:hAnsi="Arial" w:eastAsia="等线" w:cs="Arial"/>
                <w:sz w:val="22"/>
              </w:rPr>
              <w:t>获利于指数下跌，通过衍生品实现，风险高</w:t>
            </w:r>
          </w:p>
        </w:tc>
      </w:tr>
      <w:tr w14:paraId="7F04AD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95" w:type="dxa"/>
            <w:tcMar>
              <w:top w:w="60" w:type="dxa"/>
              <w:left w:w="120" w:type="dxa"/>
              <w:bottom w:w="30" w:type="dxa"/>
              <w:right w:w="120" w:type="dxa"/>
            </w:tcMar>
          </w:tcPr>
          <w:p w14:paraId="0045FA34">
            <w:pPr>
              <w:spacing w:before="120" w:after="120" w:line="288" w:lineRule="auto"/>
              <w:ind w:left="0"/>
              <w:jc w:val="left"/>
            </w:pPr>
            <w:r>
              <w:rPr>
                <w:rFonts w:ascii="Arial" w:hAnsi="Arial" w:eastAsia="等线" w:cs="Arial"/>
                <w:sz w:val="22"/>
              </w:rPr>
              <w:t>Leveraged ETF</w:t>
            </w:r>
          </w:p>
        </w:tc>
        <w:tc>
          <w:tcPr>
            <w:tcW w:w="2145" w:type="dxa"/>
            <w:tcMar>
              <w:top w:w="60" w:type="dxa"/>
              <w:left w:w="120" w:type="dxa"/>
              <w:bottom w:w="30" w:type="dxa"/>
              <w:right w:w="120" w:type="dxa"/>
            </w:tcMar>
          </w:tcPr>
          <w:p w14:paraId="7302A5BC">
            <w:pPr>
              <w:spacing w:before="120" w:after="120" w:line="288" w:lineRule="auto"/>
              <w:ind w:left="0"/>
              <w:jc w:val="left"/>
            </w:pPr>
            <w:r>
              <w:rPr>
                <w:rFonts w:ascii="Arial" w:hAnsi="Arial" w:eastAsia="等线" w:cs="Arial"/>
                <w:sz w:val="22"/>
              </w:rPr>
              <w:t>杠杆ETF</w:t>
            </w:r>
          </w:p>
        </w:tc>
        <w:tc>
          <w:tcPr>
            <w:tcW w:w="3240" w:type="dxa"/>
            <w:tcMar>
              <w:top w:w="60" w:type="dxa"/>
              <w:left w:w="120" w:type="dxa"/>
              <w:bottom w:w="30" w:type="dxa"/>
              <w:right w:w="120" w:type="dxa"/>
            </w:tcMar>
          </w:tcPr>
          <w:p w14:paraId="6273316C">
            <w:pPr>
              <w:spacing w:before="120" w:after="120" w:line="288" w:lineRule="auto"/>
              <w:ind w:left="0"/>
              <w:jc w:val="left"/>
            </w:pPr>
            <w:r>
              <w:rPr>
                <w:rFonts w:ascii="Arial" w:hAnsi="Arial" w:eastAsia="等线" w:cs="Arial"/>
                <w:sz w:val="22"/>
              </w:rPr>
              <w:t>追求2-3倍指数日收益，不适合中长期持有</w:t>
            </w:r>
          </w:p>
        </w:tc>
      </w:tr>
      <w:tr w14:paraId="33E0FE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895" w:type="dxa"/>
            <w:tcMar>
              <w:top w:w="60" w:type="dxa"/>
              <w:left w:w="120" w:type="dxa"/>
              <w:bottom w:w="30" w:type="dxa"/>
              <w:right w:w="120" w:type="dxa"/>
            </w:tcMar>
          </w:tcPr>
          <w:p w14:paraId="4F14522D">
            <w:pPr>
              <w:spacing w:before="120" w:after="120" w:line="288" w:lineRule="auto"/>
              <w:ind w:left="0"/>
              <w:jc w:val="left"/>
            </w:pPr>
            <w:r>
              <w:rPr>
                <w:rFonts w:ascii="Arial" w:hAnsi="Arial" w:eastAsia="等线" w:cs="Arial"/>
                <w:sz w:val="22"/>
              </w:rPr>
              <w:t>Exchange-Traded Note (ETN)</w:t>
            </w:r>
          </w:p>
        </w:tc>
        <w:tc>
          <w:tcPr>
            <w:tcW w:w="2145" w:type="dxa"/>
            <w:tcMar>
              <w:top w:w="60" w:type="dxa"/>
              <w:left w:w="120" w:type="dxa"/>
              <w:bottom w:w="30" w:type="dxa"/>
              <w:right w:w="120" w:type="dxa"/>
            </w:tcMar>
          </w:tcPr>
          <w:p w14:paraId="1B08AB12">
            <w:pPr>
              <w:spacing w:before="120" w:after="120" w:line="288" w:lineRule="auto"/>
              <w:ind w:left="0"/>
              <w:jc w:val="left"/>
            </w:pPr>
            <w:r>
              <w:rPr>
                <w:rFonts w:ascii="Arial" w:hAnsi="Arial" w:eastAsia="等线" w:cs="Arial"/>
                <w:sz w:val="22"/>
              </w:rPr>
              <w:t>交易所交易票据</w:t>
            </w:r>
          </w:p>
        </w:tc>
        <w:tc>
          <w:tcPr>
            <w:tcW w:w="3240" w:type="dxa"/>
            <w:tcMar>
              <w:top w:w="60" w:type="dxa"/>
              <w:left w:w="120" w:type="dxa"/>
              <w:bottom w:w="30" w:type="dxa"/>
              <w:right w:w="120" w:type="dxa"/>
            </w:tcMar>
          </w:tcPr>
          <w:p w14:paraId="57C33274">
            <w:pPr>
              <w:spacing w:before="120" w:after="120" w:line="288" w:lineRule="auto"/>
              <w:ind w:left="0"/>
              <w:jc w:val="left"/>
            </w:pPr>
            <w:r>
              <w:rPr>
                <w:rFonts w:ascii="Arial" w:hAnsi="Arial" w:eastAsia="等线" w:cs="Arial"/>
                <w:sz w:val="22"/>
              </w:rPr>
              <w:t>银行发行的债务工具，收益与指数挂钩</w:t>
            </w:r>
          </w:p>
        </w:tc>
      </w:tr>
    </w:tbl>
    <w:p w14:paraId="368BEC4B">
      <w:pPr>
        <w:spacing w:before="120" w:after="120" w:line="288" w:lineRule="auto"/>
        <w:ind w:left="0"/>
        <w:jc w:val="left"/>
      </w:pPr>
    </w:p>
    <w:p w14:paraId="03859017">
      <w:pPr>
        <w:spacing w:before="380" w:after="140" w:line="288" w:lineRule="auto"/>
        <w:ind w:left="0"/>
        <w:jc w:val="left"/>
        <w:outlineLvl w:val="0"/>
      </w:pPr>
      <w:bookmarkStart w:id="40" w:name="heading_40"/>
      <w:r>
        <w:rPr>
          <w:rFonts w:ascii="Arial" w:hAnsi="Arial" w:eastAsia="等线" w:cs="Arial"/>
          <w:color w:val="3370FF"/>
          <w:sz w:val="36"/>
        </w:rPr>
        <w:t xml:space="preserve">5. </w:t>
      </w:r>
      <w:r>
        <w:rPr>
          <w:rFonts w:ascii="Arial" w:hAnsi="Arial" w:eastAsia="等线" w:cs="Arial"/>
          <w:b/>
          <w:sz w:val="36"/>
        </w:rPr>
        <w:t>练习题答案</w:t>
      </w:r>
      <w:bookmarkEnd w:id="40"/>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66F5321">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73A84D6D">
            <w:pPr>
              <w:spacing w:before="120" w:after="120" w:line="288" w:lineRule="auto"/>
              <w:ind w:left="0"/>
              <w:jc w:val="left"/>
            </w:pPr>
            <w:r>
              <w:rPr>
                <w:rFonts w:ascii="Arial" w:hAnsi="Arial" w:eastAsia="等线" w:cs="Arial"/>
                <w:sz w:val="22"/>
              </w:rPr>
              <w:t>答案：(建议练习读英文去理解)</w:t>
            </w:r>
          </w:p>
          <w:p w14:paraId="4C198F8F">
            <w:pPr>
              <w:numPr>
                <w:ilvl w:val="0"/>
                <w:numId w:val="98"/>
              </w:numPr>
              <w:spacing w:before="120" w:after="120" w:line="288" w:lineRule="auto"/>
              <w:ind w:left="0"/>
              <w:jc w:val="left"/>
            </w:pPr>
            <w:r>
              <w:rPr>
                <w:rFonts w:ascii="Arial" w:hAnsi="Arial" w:eastAsia="等线" w:cs="Arial"/>
                <w:sz w:val="22"/>
              </w:rPr>
              <w:t>C. 10 percent</w:t>
            </w:r>
            <w:r>
              <w:rPr>
                <w:rFonts w:ascii="Arial" w:hAnsi="Arial" w:eastAsia="等线" w:cs="Arial"/>
                <w:sz w:val="22"/>
              </w:rPr>
              <w:br w:type="textWrapping"/>
            </w:r>
            <w:r>
              <w:rPr>
                <w:rFonts w:ascii="Arial" w:hAnsi="Arial" w:eastAsia="等线" w:cs="Arial"/>
                <w:sz w:val="22"/>
              </w:rPr>
              <w:t>According to the Investment Company Act of 1940, out of the 75 percent that must be diversified, a diversified investment company may not own more than 10 percent of outstanding shares of another company. In addition, the investment company cannot invest more than 5 percent of its diversified assets into one issuer’s securities.</w:t>
            </w:r>
          </w:p>
          <w:p w14:paraId="299129C6">
            <w:pPr>
              <w:spacing w:before="120" w:after="120" w:line="288" w:lineRule="auto"/>
              <w:ind w:left="0"/>
              <w:jc w:val="left"/>
            </w:pPr>
          </w:p>
          <w:p w14:paraId="1F662888">
            <w:pPr>
              <w:numPr>
                <w:ilvl w:val="0"/>
                <w:numId w:val="99"/>
              </w:numPr>
              <w:spacing w:before="120" w:after="120" w:line="288" w:lineRule="auto"/>
              <w:ind w:left="0"/>
              <w:jc w:val="left"/>
            </w:pPr>
            <w:r>
              <w:rPr>
                <w:rFonts w:ascii="Arial" w:hAnsi="Arial" w:eastAsia="等线" w:cs="Arial"/>
                <w:sz w:val="22"/>
              </w:rPr>
              <w:t>D. II and IV</w:t>
            </w:r>
            <w:r>
              <w:rPr>
                <w:rFonts w:ascii="Arial" w:hAnsi="Arial" w:eastAsia="等线" w:cs="Arial"/>
                <w:sz w:val="22"/>
              </w:rPr>
              <w:br w:type="textWrapping"/>
            </w:r>
            <w:r>
              <w:rPr>
                <w:rFonts w:ascii="Arial" w:hAnsi="Arial" w:eastAsia="等线" w:cs="Arial"/>
                <w:sz w:val="22"/>
              </w:rPr>
              <w:t>Mutual funds are open-end funds. Mutual fund issuers continuously offer new shares. Holders sell their shares by redeeming them with the issuer. By contrast, the issuer of a closed-end fund would sell the securities once, and then they would be traded in the market.</w:t>
            </w:r>
          </w:p>
          <w:p w14:paraId="7EA6E3FF">
            <w:pPr>
              <w:spacing w:before="120" w:after="120" w:line="288" w:lineRule="auto"/>
              <w:ind w:left="0"/>
              <w:jc w:val="left"/>
            </w:pPr>
          </w:p>
          <w:p w14:paraId="393D25B0">
            <w:pPr>
              <w:numPr>
                <w:ilvl w:val="0"/>
                <w:numId w:val="100"/>
              </w:numPr>
              <w:spacing w:before="120" w:after="120" w:line="288" w:lineRule="auto"/>
              <w:ind w:left="0"/>
              <w:jc w:val="left"/>
            </w:pPr>
            <w:r>
              <w:rPr>
                <w:rFonts w:ascii="Arial" w:hAnsi="Arial" w:eastAsia="等线" w:cs="Arial"/>
                <w:sz w:val="22"/>
              </w:rPr>
              <w:t>A. I and III</w:t>
            </w:r>
            <w:r>
              <w:rPr>
                <w:rFonts w:ascii="Arial" w:hAnsi="Arial" w:eastAsia="等线" w:cs="Arial"/>
                <w:sz w:val="22"/>
              </w:rPr>
              <w:br w:type="textWrapping"/>
            </w:r>
            <w:r>
              <w:rPr>
                <w:rFonts w:ascii="Arial" w:hAnsi="Arial" w:eastAsia="等线" w:cs="Arial"/>
                <w:sz w:val="22"/>
              </w:rPr>
              <w:t>Private-equity funds are only available to sophisticated (accredited) investors and are exempt from SEC registration. As part of their investment strategy, they may purchase private companies and/or purchase enough shares of public companies to gain control.</w:t>
            </w:r>
          </w:p>
          <w:p w14:paraId="2B0F2D85">
            <w:pPr>
              <w:spacing w:before="120" w:after="120" w:line="288" w:lineRule="auto"/>
              <w:ind w:left="0"/>
              <w:jc w:val="left"/>
            </w:pPr>
          </w:p>
          <w:p w14:paraId="4A23ABE7">
            <w:pPr>
              <w:numPr>
                <w:ilvl w:val="0"/>
                <w:numId w:val="101"/>
              </w:numPr>
              <w:spacing w:before="120" w:after="120" w:line="288" w:lineRule="auto"/>
              <w:ind w:left="0"/>
              <w:jc w:val="left"/>
            </w:pPr>
            <w:r>
              <w:rPr>
                <w:rFonts w:ascii="Arial" w:hAnsi="Arial" w:eastAsia="等线" w:cs="Arial"/>
                <w:sz w:val="22"/>
              </w:rPr>
              <w:t>D. I, II, and III</w:t>
            </w:r>
            <w:r>
              <w:rPr>
                <w:rFonts w:ascii="Arial" w:hAnsi="Arial" w:eastAsia="等线" w:cs="Arial"/>
                <w:sz w:val="22"/>
              </w:rPr>
              <w:br w:type="textWrapping"/>
            </w:r>
            <w:r>
              <w:rPr>
                <w:rFonts w:ascii="Arial" w:hAnsi="Arial" w:eastAsia="等线" w:cs="Arial"/>
                <w:sz w:val="22"/>
              </w:rPr>
              <w:t>Letters of intent allow mutual fund investors to receive a breakpoint (discounted sales charge for large dollar purchases) right away as long as they purchase enough of the fund within 13 months to receive the breakpoint. It may be backdated for up to 90 days so that the 13-month period can apply to a previous purchase. The issuer may hold shares in escrow to make sure the investor lives up to the terms of the letter of intent.</w:t>
            </w:r>
          </w:p>
          <w:p w14:paraId="3A111ABD">
            <w:pPr>
              <w:spacing w:before="120" w:after="120" w:line="288" w:lineRule="auto"/>
              <w:ind w:left="0"/>
              <w:jc w:val="left"/>
            </w:pPr>
          </w:p>
          <w:p w14:paraId="169538DA">
            <w:pPr>
              <w:numPr>
                <w:ilvl w:val="0"/>
                <w:numId w:val="102"/>
              </w:numPr>
              <w:spacing w:before="120" w:after="120" w:line="288" w:lineRule="auto"/>
              <w:ind w:left="0"/>
              <w:jc w:val="left"/>
            </w:pPr>
            <w:r>
              <w:rPr>
                <w:rFonts w:ascii="Arial" w:hAnsi="Arial" w:eastAsia="等线" w:cs="Arial"/>
                <w:sz w:val="22"/>
              </w:rPr>
              <w:t>C. 4 percent</w:t>
            </w:r>
            <w:r>
              <w:rPr>
                <w:rFonts w:ascii="Arial" w:hAnsi="Arial" w:eastAsia="等线" w:cs="Arial"/>
                <w:sz w:val="22"/>
              </w:rPr>
              <w:br w:type="textWrapping"/>
            </w:r>
            <w:r>
              <w:rPr>
                <w:rFonts w:ascii="Arial" w:hAnsi="Arial" w:eastAsia="等线" w:cs="Arial"/>
                <w:sz w:val="22"/>
              </w:rPr>
              <w:t xml:space="preserve">The first thing you have to do is set up the equation. Start with the POP of $10.00 and subtract the NAV of $9.60 to get $0.40. Next, divide the $0.40 by the POP of $10.00 to get the sales charge of 4 percent: </w:t>
            </w:r>
            <w:r>
              <w:rPr>
                <w:rFonts w:ascii="Arial" w:hAnsi="Arial" w:eastAsia="等线" w:cs="Arial"/>
                <w:sz w:val="22"/>
              </w:rPr>
              <w:br w:type="textWrapping"/>
            </w:r>
            <m:oMathPara>
              <m:oMath>
                <m:r>
                  <m:rPr/>
                  <w:rPr>
                    <w:rFonts w:ascii="Cambria Math" w:hAnsi="Cambria Math"/>
                  </w:rPr>
                  <m:t>sales charge=</m:t>
                </m:r>
                <m:f>
                  <m:fPr/>
                  <m:num>
                    <m:r>
                      <m:rPr/>
                      <w:rPr>
                        <w:rFonts w:ascii="Cambria Math" w:hAnsi="Cambria Math"/>
                      </w:rPr>
                      <m:t>POP−NAV</m:t>
                    </m:r>
                  </m:num>
                  <m:den>
                    <m:r>
                      <m:rPr/>
                      <w:rPr>
                        <w:rFonts w:ascii="Cambria Math" w:hAnsi="Cambria Math"/>
                      </w:rPr>
                      <m:t>POP</m:t>
                    </m:r>
                  </m:den>
                </m:f>
                <m:r>
                  <m:rPr/>
                  <w:rPr>
                    <w:rFonts w:ascii="Cambria Math" w:hAnsi="Cambria Math"/>
                  </w:rPr>
                  <m:t>=</m:t>
                </m:r>
                <m:f>
                  <m:fPr/>
                  <m:num>
                    <m:r>
                      <m:rPr/>
                      <w:rPr>
                        <w:rFonts w:ascii="Cambria Math" w:hAnsi="Cambria Math"/>
                      </w:rPr>
                      <m:t>$10.00−$9.60</m:t>
                    </m:r>
                  </m:num>
                  <m:den>
                    <m:r>
                      <m:rPr/>
                      <w:rPr>
                        <w:rFonts w:ascii="Cambria Math" w:hAnsi="Cambria Math"/>
                      </w:rPr>
                      <m:t>$10.00</m:t>
                    </m:r>
                  </m:den>
                </m:f>
                <m:r>
                  <m:rPr/>
                  <w:rPr>
                    <w:rFonts w:ascii="Cambria Math" w:hAnsi="Cambria Math"/>
                  </w:rPr>
                  <m:t>=</m:t>
                </m:r>
                <m:f>
                  <m:fPr/>
                  <m:num>
                    <m:r>
                      <m:rPr/>
                      <w:rPr>
                        <w:rFonts w:ascii="Cambria Math" w:hAnsi="Cambria Math"/>
                      </w:rPr>
                      <m:t>$0.40</m:t>
                    </m:r>
                  </m:num>
                  <m:den>
                    <m:r>
                      <m:rPr/>
                      <w:rPr>
                        <w:rFonts w:ascii="Cambria Math" w:hAnsi="Cambria Math"/>
                      </w:rPr>
                      <m:t>$10.00</m:t>
                    </m:r>
                  </m:den>
                </m:f>
                <m:r>
                  <m:rPr/>
                  <w:rPr>
                    <w:rFonts w:ascii="Cambria Math" w:hAnsi="Cambria Math"/>
                  </w:rPr>
                  <m:t>=4%</m:t>
                </m:r>
              </m:oMath>
            </m:oMathPara>
          </w:p>
          <w:p w14:paraId="00F9E144">
            <w:pPr>
              <w:spacing w:before="120" w:after="120" w:line="288" w:lineRule="auto"/>
              <w:ind w:left="0"/>
              <w:jc w:val="left"/>
            </w:pPr>
          </w:p>
          <w:p w14:paraId="7056D77C">
            <w:pPr>
              <w:numPr>
                <w:ilvl w:val="0"/>
                <w:numId w:val="103"/>
              </w:numPr>
              <w:spacing w:before="120" w:after="120" w:line="288" w:lineRule="auto"/>
              <w:ind w:left="0"/>
              <w:jc w:val="left"/>
            </w:pPr>
            <w:r>
              <w:rPr>
                <w:rFonts w:ascii="Arial" w:hAnsi="Arial" w:eastAsia="等线" w:cs="Arial"/>
                <w:sz w:val="22"/>
              </w:rPr>
              <w:t>B. 5.30 percent</w:t>
            </w:r>
            <w:r>
              <w:rPr>
                <w:rFonts w:ascii="Arial" w:hAnsi="Arial" w:eastAsia="等线" w:cs="Arial"/>
                <w:sz w:val="22"/>
              </w:rPr>
              <w:br w:type="textWrapping"/>
            </w:r>
            <w:r>
              <w:rPr>
                <w:rFonts w:ascii="Arial" w:hAnsi="Arial" w:eastAsia="等线" w:cs="Arial"/>
                <w:sz w:val="22"/>
              </w:rPr>
              <w:t>With mutual funds, the sales charge is built into the public offering price (POP), so you</w:t>
            </w:r>
            <w:r>
              <w:rPr>
                <w:rFonts w:ascii="Arial" w:hAnsi="Arial" w:eastAsia="等线" w:cs="Arial"/>
                <w:sz w:val="22"/>
              </w:rPr>
              <w:br w:type="textWrapping"/>
            </w:r>
            <w:r>
              <w:rPr>
                <w:rFonts w:ascii="Arial" w:hAnsi="Arial" w:eastAsia="等线" w:cs="Arial"/>
                <w:sz w:val="22"/>
              </w:rPr>
              <w:t>have to subtract the net asset value (NAV) from the POP and then divide that by the</w:t>
            </w:r>
            <w:r>
              <w:rPr>
                <w:rFonts w:ascii="Arial" w:hAnsi="Arial" w:eastAsia="等线" w:cs="Arial"/>
                <w:sz w:val="22"/>
              </w:rPr>
              <w:br w:type="textWrapping"/>
            </w:r>
            <w:r>
              <w:rPr>
                <w:rFonts w:ascii="Arial" w:hAnsi="Arial" w:eastAsia="等线" w:cs="Arial"/>
                <w:sz w:val="22"/>
              </w:rPr>
              <w:t>POP. Check out the following equation:</w:t>
            </w:r>
            <w:r>
              <w:rPr>
                <w:rFonts w:ascii="Arial" w:hAnsi="Arial" w:eastAsia="等线" w:cs="Arial"/>
                <w:sz w:val="22"/>
              </w:rPr>
              <w:br w:type="textWrapping"/>
            </w:r>
            <m:oMathPara>
              <m:oMath>
                <m:r>
                  <m:rPr/>
                  <w:rPr>
                    <w:rFonts w:ascii="Cambria Math" w:hAnsi="Cambria Math"/>
                  </w:rPr>
                  <m:t>sales charge=</m:t>
                </m:r>
                <m:f>
                  <m:fPr/>
                  <m:num>
                    <m:r>
                      <m:rPr/>
                      <w:rPr>
                        <w:rFonts w:ascii="Cambria Math" w:hAnsi="Cambria Math"/>
                      </w:rPr>
                      <m:t>POP−NAV</m:t>
                    </m:r>
                  </m:num>
                  <m:den>
                    <m:r>
                      <m:rPr/>
                      <w:rPr>
                        <w:rFonts w:ascii="Cambria Math" w:hAnsi="Cambria Math"/>
                      </w:rPr>
                      <m:t>POP</m:t>
                    </m:r>
                  </m:den>
                </m:f>
                <m:r>
                  <m:rPr/>
                  <w:rPr>
                    <w:rFonts w:ascii="Cambria Math" w:hAnsi="Cambria Math"/>
                  </w:rPr>
                  <m:t>=</m:t>
                </m:r>
                <m:f>
                  <m:fPr/>
                  <m:num>
                    <m:r>
                      <m:rPr/>
                      <w:rPr>
                        <w:rFonts w:ascii="Cambria Math" w:hAnsi="Cambria Math"/>
                      </w:rPr>
                      <m:t>$22.60−$21.40</m:t>
                    </m:r>
                  </m:num>
                  <m:den>
                    <m:r>
                      <m:rPr/>
                      <w:rPr>
                        <w:rFonts w:ascii="Cambria Math" w:hAnsi="Cambria Math"/>
                      </w:rPr>
                      <m:t>$22.60</m:t>
                    </m:r>
                  </m:den>
                </m:f>
                <m:r>
                  <m:rPr/>
                  <w:rPr>
                    <w:rFonts w:ascii="Cambria Math" w:hAnsi="Cambria Math"/>
                  </w:rPr>
                  <m:t>=</m:t>
                </m:r>
                <m:f>
                  <m:fPr/>
                  <m:num>
                    <m:r>
                      <m:rPr/>
                      <w:rPr>
                        <w:rFonts w:ascii="Cambria Math" w:hAnsi="Cambria Math"/>
                      </w:rPr>
                      <m:t>$1.20</m:t>
                    </m:r>
                  </m:num>
                  <m:den>
                    <m:r>
                      <m:rPr/>
                      <w:rPr>
                        <w:rFonts w:ascii="Cambria Math" w:hAnsi="Cambria Math"/>
                      </w:rPr>
                      <m:t>$22.60</m:t>
                    </m:r>
                  </m:den>
                </m:f>
                <m:r>
                  <m:rPr/>
                  <w:rPr>
                    <w:rFonts w:ascii="Cambria Math" w:hAnsi="Cambria Math"/>
                  </w:rPr>
                  <m:t>=5.3%</m:t>
                </m:r>
              </m:oMath>
            </m:oMathPara>
            <w:r>
              <w:rPr>
                <w:rFonts w:ascii="Arial" w:hAnsi="Arial" w:eastAsia="等线" w:cs="Arial"/>
                <w:sz w:val="22"/>
              </w:rPr>
              <w:br w:type="textWrapping"/>
            </w:r>
          </w:p>
          <w:p w14:paraId="27322F98">
            <w:pPr>
              <w:numPr>
                <w:ilvl w:val="0"/>
                <w:numId w:val="104"/>
              </w:numPr>
              <w:spacing w:before="120" w:after="120" w:line="288" w:lineRule="auto"/>
              <w:ind w:left="0"/>
              <w:jc w:val="left"/>
            </w:pPr>
            <w:r>
              <w:rPr>
                <w:rFonts w:ascii="Arial" w:hAnsi="Arial" w:eastAsia="等线" w:cs="Arial"/>
                <w:sz w:val="22"/>
              </w:rPr>
              <w:t>B. payment deferred immediate annuity</w:t>
            </w:r>
            <w:r>
              <w:rPr>
                <w:rFonts w:ascii="Arial" w:hAnsi="Arial" w:eastAsia="等线" w:cs="Arial"/>
                <w:sz w:val="22"/>
              </w:rPr>
              <w:br w:type="textWrapping"/>
            </w:r>
            <w:r>
              <w:rPr>
                <w:rFonts w:ascii="Arial" w:hAnsi="Arial" w:eastAsia="等线" w:cs="Arial"/>
                <w:sz w:val="22"/>
              </w:rPr>
              <w:t>(A), (C), and (D) are all possible ways of purchasing a variable annuity. However, an insurance company is not going to let you collect on an annuity when not a single payment has been made, as stated in (B).</w:t>
            </w:r>
          </w:p>
          <w:p w14:paraId="540DBA8D">
            <w:pPr>
              <w:spacing w:before="120" w:after="120" w:line="288" w:lineRule="auto"/>
              <w:ind w:left="0"/>
              <w:jc w:val="left"/>
            </w:pPr>
          </w:p>
          <w:p w14:paraId="04A9CE8A">
            <w:pPr>
              <w:numPr>
                <w:ilvl w:val="0"/>
                <w:numId w:val="105"/>
              </w:numPr>
              <w:spacing w:before="120" w:after="120" w:line="288" w:lineRule="auto"/>
              <w:ind w:left="0"/>
              <w:jc w:val="left"/>
            </w:pPr>
            <w:r>
              <w:rPr>
                <w:rFonts w:ascii="Arial" w:hAnsi="Arial" w:eastAsia="等线" w:cs="Arial"/>
                <w:sz w:val="22"/>
              </w:rPr>
              <w:t>A. I and III</w:t>
            </w:r>
            <w:r>
              <w:rPr>
                <w:rFonts w:ascii="Arial" w:hAnsi="Arial" w:eastAsia="等线" w:cs="Arial"/>
                <w:sz w:val="22"/>
              </w:rPr>
              <w:br w:type="textWrapping"/>
            </w:r>
            <w:r>
              <w:rPr>
                <w:rFonts w:ascii="Arial" w:hAnsi="Arial" w:eastAsia="等线" w:cs="Arial"/>
                <w:sz w:val="22"/>
              </w:rPr>
              <w:t>Looking at all of the answer choices, you see that III has to be true because it’s in all of the answers. When an investor purchases an annuity, they’re purchasing accumulation units. During the payout phase, the accumulation units are converted into annuity units. Unlike many retirement plans, purchases of annuities are made from after-tax dollars — in other words, they can’t be written off on your taxes.</w:t>
            </w:r>
          </w:p>
        </w:tc>
      </w:tr>
    </w:tbl>
    <w:p w14:paraId="549B5FBD">
      <w:pPr>
        <w:spacing w:before="120" w:after="120" w:line="288" w:lineRule="auto"/>
        <w:ind w:left="0"/>
        <w:jc w:val="left"/>
      </w:pPr>
      <w:bookmarkStart w:id="41" w:name="_GoBack"/>
      <w:bookmarkEnd w:id="4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42CF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64EDA">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6"/>
      <w:numFmt w:val="decimal"/>
      <w:lvlText w:val="%1."/>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0"/>
      <w:numFmt w:val="bullet"/>
      <w:lvlText w:val="•"/>
      <w:lvlJc w:val="left"/>
      <w:rPr>
        <w:color w:val="3370FF"/>
      </w:rPr>
    </w:lvl>
  </w:abstractNum>
  <w:abstractNum w:abstractNumId="7">
    <w:nsid w:val="9239341B"/>
    <w:multiLevelType w:val="singleLevel"/>
    <w:tmpl w:val="9239341B"/>
    <w:lvl w:ilvl="0" w:tentative="0">
      <w:start w:val="0"/>
      <w:numFmt w:val="bullet"/>
      <w:lvlText w:val="•"/>
      <w:lvlJc w:val="left"/>
      <w:rPr>
        <w:color w:val="3370FF"/>
      </w:rPr>
    </w:lvl>
  </w:abstractNum>
  <w:abstractNum w:abstractNumId="8">
    <w:nsid w:val="9288B902"/>
    <w:multiLevelType w:val="singleLevel"/>
    <w:tmpl w:val="9288B902"/>
    <w:lvl w:ilvl="0" w:tentative="0">
      <w:start w:val="0"/>
      <w:numFmt w:val="bullet"/>
      <w:lvlText w:val="•"/>
      <w:lvlJc w:val="left"/>
      <w:rPr>
        <w:color w:val="3370FF"/>
      </w:rPr>
    </w:lvl>
  </w:abstractNum>
  <w:abstractNum w:abstractNumId="9">
    <w:nsid w:val="9377BC45"/>
    <w:multiLevelType w:val="singleLevel"/>
    <w:tmpl w:val="9377BC45"/>
    <w:lvl w:ilvl="0" w:tentative="0">
      <w:start w:val="0"/>
      <w:numFmt w:val="bullet"/>
      <w:lvlText w:val="•"/>
      <w:lvlJc w:val="left"/>
      <w:rPr>
        <w:color w:val="3370FF"/>
      </w:rPr>
    </w:lvl>
  </w:abstractNum>
  <w:abstractNum w:abstractNumId="10">
    <w:nsid w:val="9ACF65A0"/>
    <w:multiLevelType w:val="singleLevel"/>
    <w:tmpl w:val="9ACF65A0"/>
    <w:lvl w:ilvl="0" w:tentative="0">
      <w:start w:val="7"/>
      <w:numFmt w:val="decimal"/>
      <w:lvlText w:val="%1."/>
      <w:lvlJc w:val="left"/>
      <w:rPr>
        <w:color w:val="3370FF"/>
      </w:rPr>
    </w:lvl>
  </w:abstractNum>
  <w:abstractNum w:abstractNumId="11">
    <w:nsid w:val="9C11E984"/>
    <w:multiLevelType w:val="singleLevel"/>
    <w:tmpl w:val="9C11E984"/>
    <w:lvl w:ilvl="0" w:tentative="0">
      <w:start w:val="4"/>
      <w:numFmt w:val="decimal"/>
      <w:lvlText w:val="%1."/>
      <w:lvlJc w:val="left"/>
      <w:rPr>
        <w:color w:val="3370FF"/>
      </w:rPr>
    </w:lvl>
  </w:abstractNum>
  <w:abstractNum w:abstractNumId="12">
    <w:nsid w:val="9C8AC8EF"/>
    <w:multiLevelType w:val="singleLevel"/>
    <w:tmpl w:val="9C8AC8EF"/>
    <w:lvl w:ilvl="0" w:tentative="0">
      <w:start w:val="2"/>
      <w:numFmt w:val="decimal"/>
      <w:lvlText w:val="%1."/>
      <w:lvlJc w:val="left"/>
      <w:rPr>
        <w:color w:val="3370FF"/>
      </w:rPr>
    </w:lvl>
  </w:abstractNum>
  <w:abstractNum w:abstractNumId="13">
    <w:nsid w:val="9D5D7490"/>
    <w:multiLevelType w:val="singleLevel"/>
    <w:tmpl w:val="9D5D7490"/>
    <w:lvl w:ilvl="0" w:tentative="0">
      <w:start w:val="0"/>
      <w:numFmt w:val="bullet"/>
      <w:lvlText w:val="•"/>
      <w:lvlJc w:val="left"/>
      <w:rPr>
        <w:color w:val="3370FF"/>
      </w:rPr>
    </w:lvl>
  </w:abstractNum>
  <w:abstractNum w:abstractNumId="14">
    <w:nsid w:val="A0C93552"/>
    <w:multiLevelType w:val="singleLevel"/>
    <w:tmpl w:val="A0C93552"/>
    <w:lvl w:ilvl="0" w:tentative="0">
      <w:start w:val="0"/>
      <w:numFmt w:val="bullet"/>
      <w:lvlText w:val="•"/>
      <w:lvlJc w:val="left"/>
      <w:rPr>
        <w:color w:val="3370FF"/>
      </w:rPr>
    </w:lvl>
  </w:abstractNum>
  <w:abstractNum w:abstractNumId="15">
    <w:nsid w:val="A0F05207"/>
    <w:multiLevelType w:val="singleLevel"/>
    <w:tmpl w:val="A0F05207"/>
    <w:lvl w:ilvl="0" w:tentative="0">
      <w:start w:val="0"/>
      <w:numFmt w:val="bullet"/>
      <w:lvlText w:val="•"/>
      <w:lvlJc w:val="left"/>
      <w:rPr>
        <w:color w:val="3370FF"/>
      </w:rPr>
    </w:lvl>
  </w:abstractNum>
  <w:abstractNum w:abstractNumId="16">
    <w:nsid w:val="A9AC3AA7"/>
    <w:multiLevelType w:val="singleLevel"/>
    <w:tmpl w:val="A9AC3AA7"/>
    <w:lvl w:ilvl="0" w:tentative="0">
      <w:start w:val="8"/>
      <w:numFmt w:val="decimal"/>
      <w:lvlText w:val="%1."/>
      <w:lvlJc w:val="left"/>
      <w:rPr>
        <w:color w:val="3370FF"/>
      </w:rPr>
    </w:lvl>
  </w:abstractNum>
  <w:abstractNum w:abstractNumId="17">
    <w:nsid w:val="AAF3F3FA"/>
    <w:multiLevelType w:val="singleLevel"/>
    <w:tmpl w:val="AAF3F3FA"/>
    <w:lvl w:ilvl="0" w:tentative="0">
      <w:start w:val="0"/>
      <w:numFmt w:val="bullet"/>
      <w:lvlText w:val="•"/>
      <w:lvlJc w:val="left"/>
      <w:rPr>
        <w:color w:val="3370FF"/>
      </w:rPr>
    </w:lvl>
  </w:abstractNum>
  <w:abstractNum w:abstractNumId="18">
    <w:nsid w:val="B0ED9BEA"/>
    <w:multiLevelType w:val="singleLevel"/>
    <w:tmpl w:val="B0ED9BEA"/>
    <w:lvl w:ilvl="0" w:tentative="0">
      <w:start w:val="2"/>
      <w:numFmt w:val="decimal"/>
      <w:lvlText w:val="%1."/>
      <w:lvlJc w:val="left"/>
      <w:rPr>
        <w:color w:val="3370FF"/>
      </w:rPr>
    </w:lvl>
  </w:abstractNum>
  <w:abstractNum w:abstractNumId="19">
    <w:nsid w:val="B0F1ACD9"/>
    <w:multiLevelType w:val="singleLevel"/>
    <w:tmpl w:val="B0F1ACD9"/>
    <w:lvl w:ilvl="0" w:tentative="0">
      <w:start w:val="1"/>
      <w:numFmt w:val="decimal"/>
      <w:lvlText w:val="%1."/>
      <w:lvlJc w:val="left"/>
      <w:rPr>
        <w:color w:val="3370FF"/>
      </w:rPr>
    </w:lvl>
  </w:abstractNum>
  <w:abstractNum w:abstractNumId="20">
    <w:nsid w:val="B23A94A9"/>
    <w:multiLevelType w:val="singleLevel"/>
    <w:tmpl w:val="B23A94A9"/>
    <w:lvl w:ilvl="0" w:tentative="0">
      <w:start w:val="0"/>
      <w:numFmt w:val="bullet"/>
      <w:lvlText w:val="•"/>
      <w:lvlJc w:val="left"/>
      <w:rPr>
        <w:color w:val="3370FF"/>
      </w:rPr>
    </w:lvl>
  </w:abstractNum>
  <w:abstractNum w:abstractNumId="21">
    <w:nsid w:val="B53F3350"/>
    <w:multiLevelType w:val="singleLevel"/>
    <w:tmpl w:val="B53F3350"/>
    <w:lvl w:ilvl="0" w:tentative="0">
      <w:start w:val="0"/>
      <w:numFmt w:val="bullet"/>
      <w:lvlText w:val="￮"/>
      <w:lvlJc w:val="left"/>
      <w:rPr>
        <w:color w:val="3370FF"/>
      </w:rPr>
    </w:lvl>
  </w:abstractNum>
  <w:abstractNum w:abstractNumId="22">
    <w:nsid w:val="B5E306ED"/>
    <w:multiLevelType w:val="singleLevel"/>
    <w:tmpl w:val="B5E306ED"/>
    <w:lvl w:ilvl="0" w:tentative="0">
      <w:start w:val="0"/>
      <w:numFmt w:val="bullet"/>
      <w:lvlText w:val="•"/>
      <w:lvlJc w:val="left"/>
      <w:rPr>
        <w:color w:val="3370FF"/>
      </w:rPr>
    </w:lvl>
  </w:abstractNum>
  <w:abstractNum w:abstractNumId="23">
    <w:nsid w:val="B88D21A8"/>
    <w:multiLevelType w:val="singleLevel"/>
    <w:tmpl w:val="B88D21A8"/>
    <w:lvl w:ilvl="0" w:tentative="0">
      <w:start w:val="0"/>
      <w:numFmt w:val="bullet"/>
      <w:lvlText w:val="•"/>
      <w:lvlJc w:val="left"/>
      <w:rPr>
        <w:color w:val="3370FF"/>
      </w:rPr>
    </w:lvl>
  </w:abstractNum>
  <w:abstractNum w:abstractNumId="24">
    <w:nsid w:val="B8CEF35B"/>
    <w:multiLevelType w:val="singleLevel"/>
    <w:tmpl w:val="B8CEF35B"/>
    <w:lvl w:ilvl="0" w:tentative="0">
      <w:start w:val="4"/>
      <w:numFmt w:val="decimal"/>
      <w:lvlText w:val="%1."/>
      <w:lvlJc w:val="left"/>
      <w:rPr>
        <w:color w:val="3370FF"/>
      </w:rPr>
    </w:lvl>
  </w:abstractNum>
  <w:abstractNum w:abstractNumId="25">
    <w:nsid w:val="BB64CFA9"/>
    <w:multiLevelType w:val="singleLevel"/>
    <w:tmpl w:val="BB64CFA9"/>
    <w:lvl w:ilvl="0" w:tentative="0">
      <w:start w:val="0"/>
      <w:numFmt w:val="bullet"/>
      <w:lvlText w:val="•"/>
      <w:lvlJc w:val="left"/>
      <w:rPr>
        <w:color w:val="3370FF"/>
      </w:rPr>
    </w:lvl>
  </w:abstractNum>
  <w:abstractNum w:abstractNumId="26">
    <w:nsid w:val="BCECA0B4"/>
    <w:multiLevelType w:val="singleLevel"/>
    <w:tmpl w:val="BCECA0B4"/>
    <w:lvl w:ilvl="0" w:tentative="0">
      <w:start w:val="0"/>
      <w:numFmt w:val="bullet"/>
      <w:lvlText w:val="•"/>
      <w:lvlJc w:val="left"/>
      <w:rPr>
        <w:color w:val="3370FF"/>
      </w:rPr>
    </w:lvl>
  </w:abstractNum>
  <w:abstractNum w:abstractNumId="27">
    <w:nsid w:val="BDA1395C"/>
    <w:multiLevelType w:val="singleLevel"/>
    <w:tmpl w:val="BDA1395C"/>
    <w:lvl w:ilvl="0" w:tentative="0">
      <w:start w:val="1"/>
      <w:numFmt w:val="decimal"/>
      <w:lvlText w:val="%1."/>
      <w:lvlJc w:val="left"/>
      <w:rPr>
        <w:color w:val="3370FF"/>
      </w:rPr>
    </w:lvl>
  </w:abstractNum>
  <w:abstractNum w:abstractNumId="28">
    <w:nsid w:val="BE8A4F4C"/>
    <w:multiLevelType w:val="singleLevel"/>
    <w:tmpl w:val="BE8A4F4C"/>
    <w:lvl w:ilvl="0" w:tentative="0">
      <w:start w:val="0"/>
      <w:numFmt w:val="bullet"/>
      <w:lvlText w:val="•"/>
      <w:lvlJc w:val="left"/>
      <w:rPr>
        <w:color w:val="3370FF"/>
      </w:rPr>
    </w:lvl>
  </w:abstractNum>
  <w:abstractNum w:abstractNumId="29">
    <w:nsid w:val="BE923771"/>
    <w:multiLevelType w:val="singleLevel"/>
    <w:tmpl w:val="BE923771"/>
    <w:lvl w:ilvl="0" w:tentative="0">
      <w:start w:val="2"/>
      <w:numFmt w:val="decimal"/>
      <w:lvlText w:val="%1."/>
      <w:lvlJc w:val="left"/>
      <w:rPr>
        <w:color w:val="3370FF"/>
      </w:rPr>
    </w:lvl>
  </w:abstractNum>
  <w:abstractNum w:abstractNumId="30">
    <w:nsid w:val="BF205925"/>
    <w:multiLevelType w:val="singleLevel"/>
    <w:tmpl w:val="BF205925"/>
    <w:lvl w:ilvl="0" w:tentative="0">
      <w:start w:val="0"/>
      <w:numFmt w:val="bullet"/>
      <w:lvlText w:val="•"/>
      <w:lvlJc w:val="left"/>
      <w:rPr>
        <w:color w:val="3370FF"/>
      </w:rPr>
    </w:lvl>
  </w:abstractNum>
  <w:abstractNum w:abstractNumId="31">
    <w:nsid w:val="C0915F4F"/>
    <w:multiLevelType w:val="singleLevel"/>
    <w:tmpl w:val="C0915F4F"/>
    <w:lvl w:ilvl="0" w:tentative="0">
      <w:start w:val="0"/>
      <w:numFmt w:val="bullet"/>
      <w:lvlText w:val="•"/>
      <w:lvlJc w:val="left"/>
      <w:rPr>
        <w:color w:val="3370FF"/>
      </w:rPr>
    </w:lvl>
  </w:abstractNum>
  <w:abstractNum w:abstractNumId="32">
    <w:nsid w:val="C4E0D24A"/>
    <w:multiLevelType w:val="singleLevel"/>
    <w:tmpl w:val="C4E0D24A"/>
    <w:lvl w:ilvl="0" w:tentative="0">
      <w:start w:val="0"/>
      <w:numFmt w:val="bullet"/>
      <w:lvlText w:val="￮"/>
      <w:lvlJc w:val="left"/>
      <w:rPr>
        <w:color w:val="3370FF"/>
      </w:rPr>
    </w:lvl>
  </w:abstractNum>
  <w:abstractNum w:abstractNumId="33">
    <w:nsid w:val="C8879AEF"/>
    <w:multiLevelType w:val="singleLevel"/>
    <w:tmpl w:val="C8879AEF"/>
    <w:lvl w:ilvl="0" w:tentative="0">
      <w:start w:val="0"/>
      <w:numFmt w:val="bullet"/>
      <w:lvlText w:val="•"/>
      <w:lvlJc w:val="left"/>
      <w:rPr>
        <w:color w:val="3370FF"/>
      </w:rPr>
    </w:lvl>
  </w:abstractNum>
  <w:abstractNum w:abstractNumId="34">
    <w:nsid w:val="CF092B84"/>
    <w:multiLevelType w:val="singleLevel"/>
    <w:tmpl w:val="CF092B84"/>
    <w:lvl w:ilvl="0" w:tentative="0">
      <w:start w:val="2"/>
      <w:numFmt w:val="decimal"/>
      <w:lvlText w:val="%1."/>
      <w:lvlJc w:val="left"/>
      <w:rPr>
        <w:color w:val="3370FF"/>
      </w:rPr>
    </w:lvl>
  </w:abstractNum>
  <w:abstractNum w:abstractNumId="35">
    <w:nsid w:val="D1EB1714"/>
    <w:multiLevelType w:val="singleLevel"/>
    <w:tmpl w:val="D1EB1714"/>
    <w:lvl w:ilvl="0" w:tentative="0">
      <w:start w:val="0"/>
      <w:numFmt w:val="bullet"/>
      <w:lvlText w:val="•"/>
      <w:lvlJc w:val="left"/>
      <w:rPr>
        <w:color w:val="3370FF"/>
      </w:rPr>
    </w:lvl>
  </w:abstractNum>
  <w:abstractNum w:abstractNumId="36">
    <w:nsid w:val="D7D140E4"/>
    <w:multiLevelType w:val="singleLevel"/>
    <w:tmpl w:val="D7D140E4"/>
    <w:lvl w:ilvl="0" w:tentative="0">
      <w:start w:val="0"/>
      <w:numFmt w:val="bullet"/>
      <w:lvlText w:val="•"/>
      <w:lvlJc w:val="left"/>
      <w:rPr>
        <w:color w:val="3370FF"/>
      </w:rPr>
    </w:lvl>
  </w:abstractNum>
  <w:abstractNum w:abstractNumId="37">
    <w:nsid w:val="D7F9FE59"/>
    <w:multiLevelType w:val="singleLevel"/>
    <w:tmpl w:val="D7F9FE59"/>
    <w:lvl w:ilvl="0" w:tentative="0">
      <w:start w:val="2"/>
      <w:numFmt w:val="decimal"/>
      <w:lvlText w:val="%1."/>
      <w:lvlJc w:val="left"/>
      <w:rPr>
        <w:color w:val="3370FF"/>
      </w:rPr>
    </w:lvl>
  </w:abstractNum>
  <w:abstractNum w:abstractNumId="38">
    <w:nsid w:val="DAD3A854"/>
    <w:multiLevelType w:val="singleLevel"/>
    <w:tmpl w:val="DAD3A854"/>
    <w:lvl w:ilvl="0" w:tentative="0">
      <w:start w:val="0"/>
      <w:numFmt w:val="bullet"/>
      <w:lvlText w:val="￮"/>
      <w:lvlJc w:val="left"/>
      <w:rPr>
        <w:color w:val="3370FF"/>
      </w:rPr>
    </w:lvl>
  </w:abstractNum>
  <w:abstractNum w:abstractNumId="39">
    <w:nsid w:val="DCBA6B53"/>
    <w:multiLevelType w:val="singleLevel"/>
    <w:tmpl w:val="DCBA6B53"/>
    <w:lvl w:ilvl="0" w:tentative="0">
      <w:start w:val="1"/>
      <w:numFmt w:val="decimal"/>
      <w:lvlText w:val="%1."/>
      <w:lvlJc w:val="left"/>
      <w:rPr>
        <w:color w:val="3370FF"/>
      </w:rPr>
    </w:lvl>
  </w:abstractNum>
  <w:abstractNum w:abstractNumId="40">
    <w:nsid w:val="E0294EC7"/>
    <w:multiLevelType w:val="singleLevel"/>
    <w:tmpl w:val="E0294EC7"/>
    <w:lvl w:ilvl="0" w:tentative="0">
      <w:start w:val="5"/>
      <w:numFmt w:val="decimal"/>
      <w:lvlText w:val="%1."/>
      <w:lvlJc w:val="left"/>
      <w:rPr>
        <w:color w:val="3370FF"/>
      </w:rPr>
    </w:lvl>
  </w:abstractNum>
  <w:abstractNum w:abstractNumId="41">
    <w:nsid w:val="E093A4B0"/>
    <w:multiLevelType w:val="singleLevel"/>
    <w:tmpl w:val="E093A4B0"/>
    <w:lvl w:ilvl="0" w:tentative="0">
      <w:start w:val="0"/>
      <w:numFmt w:val="bullet"/>
      <w:lvlText w:val="•"/>
      <w:lvlJc w:val="left"/>
      <w:rPr>
        <w:color w:val="3370FF"/>
      </w:rPr>
    </w:lvl>
  </w:abstractNum>
  <w:abstractNum w:abstractNumId="42">
    <w:nsid w:val="E504947C"/>
    <w:multiLevelType w:val="singleLevel"/>
    <w:tmpl w:val="E504947C"/>
    <w:lvl w:ilvl="0" w:tentative="0">
      <w:start w:val="0"/>
      <w:numFmt w:val="bullet"/>
      <w:lvlText w:val="￮"/>
      <w:lvlJc w:val="left"/>
      <w:rPr>
        <w:color w:val="3370FF"/>
      </w:rPr>
    </w:lvl>
  </w:abstractNum>
  <w:abstractNum w:abstractNumId="43">
    <w:nsid w:val="E7B27C5B"/>
    <w:multiLevelType w:val="singleLevel"/>
    <w:tmpl w:val="E7B27C5B"/>
    <w:lvl w:ilvl="0" w:tentative="0">
      <w:start w:val="0"/>
      <w:numFmt w:val="bullet"/>
      <w:lvlText w:val="•"/>
      <w:lvlJc w:val="left"/>
      <w:rPr>
        <w:color w:val="3370FF"/>
      </w:rPr>
    </w:lvl>
  </w:abstractNum>
  <w:abstractNum w:abstractNumId="44">
    <w:nsid w:val="F0E89278"/>
    <w:multiLevelType w:val="singleLevel"/>
    <w:tmpl w:val="F0E89278"/>
    <w:lvl w:ilvl="0" w:tentative="0">
      <w:start w:val="0"/>
      <w:numFmt w:val="bullet"/>
      <w:lvlText w:val="•"/>
      <w:lvlJc w:val="left"/>
      <w:rPr>
        <w:color w:val="3370FF"/>
      </w:rPr>
    </w:lvl>
  </w:abstractNum>
  <w:abstractNum w:abstractNumId="45">
    <w:nsid w:val="F4B5D9F5"/>
    <w:multiLevelType w:val="singleLevel"/>
    <w:tmpl w:val="F4B5D9F5"/>
    <w:lvl w:ilvl="0" w:tentative="0">
      <w:start w:val="0"/>
      <w:numFmt w:val="bullet"/>
      <w:lvlText w:val="•"/>
      <w:lvlJc w:val="left"/>
      <w:rPr>
        <w:color w:val="3370FF"/>
      </w:rPr>
    </w:lvl>
  </w:abstractNum>
  <w:abstractNum w:abstractNumId="46">
    <w:nsid w:val="F585BF25"/>
    <w:multiLevelType w:val="singleLevel"/>
    <w:tmpl w:val="F585BF25"/>
    <w:lvl w:ilvl="0" w:tentative="0">
      <w:start w:val="1"/>
      <w:numFmt w:val="decimal"/>
      <w:lvlText w:val="%1."/>
      <w:lvlJc w:val="left"/>
      <w:rPr>
        <w:color w:val="3370FF"/>
      </w:rPr>
    </w:lvl>
  </w:abstractNum>
  <w:abstractNum w:abstractNumId="47">
    <w:nsid w:val="F689643B"/>
    <w:multiLevelType w:val="singleLevel"/>
    <w:tmpl w:val="F689643B"/>
    <w:lvl w:ilvl="0" w:tentative="0">
      <w:start w:val="0"/>
      <w:numFmt w:val="bullet"/>
      <w:lvlText w:val="•"/>
      <w:lvlJc w:val="left"/>
      <w:rPr>
        <w:color w:val="3370FF"/>
      </w:rPr>
    </w:lvl>
  </w:abstractNum>
  <w:abstractNum w:abstractNumId="48">
    <w:nsid w:val="F7735DC9"/>
    <w:multiLevelType w:val="singleLevel"/>
    <w:tmpl w:val="F7735DC9"/>
    <w:lvl w:ilvl="0" w:tentative="0">
      <w:start w:val="0"/>
      <w:numFmt w:val="bullet"/>
      <w:lvlText w:val="•"/>
      <w:lvlJc w:val="left"/>
      <w:rPr>
        <w:color w:val="3370FF"/>
      </w:rPr>
    </w:lvl>
  </w:abstractNum>
  <w:abstractNum w:abstractNumId="49">
    <w:nsid w:val="FEC2EA36"/>
    <w:multiLevelType w:val="singleLevel"/>
    <w:tmpl w:val="FEC2EA36"/>
    <w:lvl w:ilvl="0" w:tentative="0">
      <w:start w:val="0"/>
      <w:numFmt w:val="bullet"/>
      <w:lvlText w:val="•"/>
      <w:lvlJc w:val="left"/>
      <w:rPr>
        <w:color w:val="3370FF"/>
      </w:rPr>
    </w:lvl>
  </w:abstractNum>
  <w:abstractNum w:abstractNumId="50">
    <w:nsid w:val="0053208E"/>
    <w:multiLevelType w:val="singleLevel"/>
    <w:tmpl w:val="0053208E"/>
    <w:lvl w:ilvl="0" w:tentative="0">
      <w:start w:val="1"/>
      <w:numFmt w:val="decimal"/>
      <w:lvlText w:val="%1."/>
      <w:lvlJc w:val="left"/>
      <w:rPr>
        <w:color w:val="3370FF"/>
      </w:rPr>
    </w:lvl>
  </w:abstractNum>
  <w:abstractNum w:abstractNumId="51">
    <w:nsid w:val="0248C179"/>
    <w:multiLevelType w:val="singleLevel"/>
    <w:tmpl w:val="0248C179"/>
    <w:lvl w:ilvl="0" w:tentative="0">
      <w:start w:val="0"/>
      <w:numFmt w:val="bullet"/>
      <w:lvlText w:val="•"/>
      <w:lvlJc w:val="left"/>
      <w:rPr>
        <w:color w:val="3370FF"/>
      </w:rPr>
    </w:lvl>
  </w:abstractNum>
  <w:abstractNum w:abstractNumId="52">
    <w:nsid w:val="03A63A41"/>
    <w:multiLevelType w:val="singleLevel"/>
    <w:tmpl w:val="03A63A41"/>
    <w:lvl w:ilvl="0" w:tentative="0">
      <w:start w:val="0"/>
      <w:numFmt w:val="bullet"/>
      <w:lvlText w:val="￮"/>
      <w:lvlJc w:val="left"/>
      <w:rPr>
        <w:color w:val="3370FF"/>
      </w:rPr>
    </w:lvl>
  </w:abstractNum>
  <w:abstractNum w:abstractNumId="53">
    <w:nsid w:val="03D62ECE"/>
    <w:multiLevelType w:val="singleLevel"/>
    <w:tmpl w:val="03D62ECE"/>
    <w:lvl w:ilvl="0" w:tentative="0">
      <w:start w:val="0"/>
      <w:numFmt w:val="bullet"/>
      <w:lvlText w:val="•"/>
      <w:lvlJc w:val="left"/>
      <w:rPr>
        <w:color w:val="3370FF"/>
      </w:rPr>
    </w:lvl>
  </w:abstractNum>
  <w:abstractNum w:abstractNumId="54">
    <w:nsid w:val="0709FD3E"/>
    <w:multiLevelType w:val="singleLevel"/>
    <w:tmpl w:val="0709FD3E"/>
    <w:lvl w:ilvl="0" w:tentative="0">
      <w:start w:val="0"/>
      <w:numFmt w:val="bullet"/>
      <w:lvlText w:val="•"/>
      <w:lvlJc w:val="left"/>
      <w:rPr>
        <w:color w:val="3370FF"/>
      </w:rPr>
    </w:lvl>
  </w:abstractNum>
  <w:abstractNum w:abstractNumId="55">
    <w:nsid w:val="0CEF100B"/>
    <w:multiLevelType w:val="singleLevel"/>
    <w:tmpl w:val="0CEF100B"/>
    <w:lvl w:ilvl="0" w:tentative="0">
      <w:start w:val="0"/>
      <w:numFmt w:val="bullet"/>
      <w:lvlText w:val="•"/>
      <w:lvlJc w:val="left"/>
      <w:rPr>
        <w:color w:val="3370FF"/>
      </w:rPr>
    </w:lvl>
  </w:abstractNum>
  <w:abstractNum w:abstractNumId="56">
    <w:nsid w:val="0E640482"/>
    <w:multiLevelType w:val="singleLevel"/>
    <w:tmpl w:val="0E640482"/>
    <w:lvl w:ilvl="0" w:tentative="0">
      <w:start w:val="3"/>
      <w:numFmt w:val="decimal"/>
      <w:lvlText w:val="%1."/>
      <w:lvlJc w:val="left"/>
      <w:rPr>
        <w:color w:val="3370FF"/>
      </w:rPr>
    </w:lvl>
  </w:abstractNum>
  <w:abstractNum w:abstractNumId="57">
    <w:nsid w:val="0F9F9CCA"/>
    <w:multiLevelType w:val="singleLevel"/>
    <w:tmpl w:val="0F9F9CCA"/>
    <w:lvl w:ilvl="0" w:tentative="0">
      <w:start w:val="0"/>
      <w:numFmt w:val="bullet"/>
      <w:lvlText w:val="•"/>
      <w:lvlJc w:val="left"/>
      <w:rPr>
        <w:color w:val="3370FF"/>
      </w:rPr>
    </w:lvl>
  </w:abstractNum>
  <w:abstractNum w:abstractNumId="58">
    <w:nsid w:val="10D591E5"/>
    <w:multiLevelType w:val="singleLevel"/>
    <w:tmpl w:val="10D591E5"/>
    <w:lvl w:ilvl="0" w:tentative="0">
      <w:start w:val="3"/>
      <w:numFmt w:val="decimal"/>
      <w:lvlText w:val="%1."/>
      <w:lvlJc w:val="left"/>
      <w:rPr>
        <w:color w:val="3370FF"/>
      </w:rPr>
    </w:lvl>
  </w:abstractNum>
  <w:abstractNum w:abstractNumId="59">
    <w:nsid w:val="12EADF99"/>
    <w:multiLevelType w:val="singleLevel"/>
    <w:tmpl w:val="12EADF99"/>
    <w:lvl w:ilvl="0" w:tentative="0">
      <w:start w:val="0"/>
      <w:numFmt w:val="bullet"/>
      <w:lvlText w:val="•"/>
      <w:lvlJc w:val="left"/>
      <w:rPr>
        <w:color w:val="3370FF"/>
      </w:rPr>
    </w:lvl>
  </w:abstractNum>
  <w:abstractNum w:abstractNumId="60">
    <w:nsid w:val="1450273B"/>
    <w:multiLevelType w:val="singleLevel"/>
    <w:tmpl w:val="1450273B"/>
    <w:lvl w:ilvl="0" w:tentative="0">
      <w:start w:val="0"/>
      <w:numFmt w:val="bullet"/>
      <w:lvlText w:val="•"/>
      <w:lvlJc w:val="left"/>
      <w:rPr>
        <w:color w:val="3370FF"/>
      </w:rPr>
    </w:lvl>
  </w:abstractNum>
  <w:abstractNum w:abstractNumId="61">
    <w:nsid w:val="18F74015"/>
    <w:multiLevelType w:val="singleLevel"/>
    <w:tmpl w:val="18F74015"/>
    <w:lvl w:ilvl="0" w:tentative="0">
      <w:start w:val="0"/>
      <w:numFmt w:val="bullet"/>
      <w:lvlText w:val="•"/>
      <w:lvlJc w:val="left"/>
      <w:rPr>
        <w:color w:val="3370FF"/>
      </w:rPr>
    </w:lvl>
  </w:abstractNum>
  <w:abstractNum w:abstractNumId="62">
    <w:nsid w:val="1ACDE60F"/>
    <w:multiLevelType w:val="singleLevel"/>
    <w:tmpl w:val="1ACDE60F"/>
    <w:lvl w:ilvl="0" w:tentative="0">
      <w:start w:val="5"/>
      <w:numFmt w:val="decimal"/>
      <w:lvlText w:val="%1."/>
      <w:lvlJc w:val="left"/>
      <w:rPr>
        <w:color w:val="3370FF"/>
      </w:rPr>
    </w:lvl>
  </w:abstractNum>
  <w:abstractNum w:abstractNumId="63">
    <w:nsid w:val="1AD50295"/>
    <w:multiLevelType w:val="singleLevel"/>
    <w:tmpl w:val="1AD50295"/>
    <w:lvl w:ilvl="0" w:tentative="0">
      <w:start w:val="6"/>
      <w:numFmt w:val="decimal"/>
      <w:lvlText w:val="%1."/>
      <w:lvlJc w:val="left"/>
      <w:rPr>
        <w:color w:val="3370FF"/>
      </w:rPr>
    </w:lvl>
  </w:abstractNum>
  <w:abstractNum w:abstractNumId="64">
    <w:nsid w:val="1BCBBCF0"/>
    <w:multiLevelType w:val="singleLevel"/>
    <w:tmpl w:val="1BCBBCF0"/>
    <w:lvl w:ilvl="0" w:tentative="0">
      <w:start w:val="0"/>
      <w:numFmt w:val="bullet"/>
      <w:lvlText w:val="•"/>
      <w:lvlJc w:val="left"/>
      <w:rPr>
        <w:color w:val="3370FF"/>
      </w:rPr>
    </w:lvl>
  </w:abstractNum>
  <w:abstractNum w:abstractNumId="65">
    <w:nsid w:val="1C257C7B"/>
    <w:multiLevelType w:val="singleLevel"/>
    <w:tmpl w:val="1C257C7B"/>
    <w:lvl w:ilvl="0" w:tentative="0">
      <w:start w:val="0"/>
      <w:numFmt w:val="bullet"/>
      <w:lvlText w:val="•"/>
      <w:lvlJc w:val="left"/>
      <w:rPr>
        <w:color w:val="3370FF"/>
      </w:rPr>
    </w:lvl>
  </w:abstractNum>
  <w:abstractNum w:abstractNumId="66">
    <w:nsid w:val="23E97754"/>
    <w:multiLevelType w:val="singleLevel"/>
    <w:tmpl w:val="23E97754"/>
    <w:lvl w:ilvl="0" w:tentative="0">
      <w:start w:val="0"/>
      <w:numFmt w:val="bullet"/>
      <w:lvlText w:val="￮"/>
      <w:lvlJc w:val="left"/>
      <w:rPr>
        <w:color w:val="3370FF"/>
      </w:rPr>
    </w:lvl>
  </w:abstractNum>
  <w:abstractNum w:abstractNumId="67">
    <w:nsid w:val="243FCF68"/>
    <w:multiLevelType w:val="singleLevel"/>
    <w:tmpl w:val="243FCF68"/>
    <w:lvl w:ilvl="0" w:tentative="0">
      <w:start w:val="0"/>
      <w:numFmt w:val="bullet"/>
      <w:lvlText w:val="•"/>
      <w:lvlJc w:val="left"/>
      <w:rPr>
        <w:color w:val="3370FF"/>
      </w:rPr>
    </w:lvl>
  </w:abstractNum>
  <w:abstractNum w:abstractNumId="68">
    <w:nsid w:val="2470EC97"/>
    <w:multiLevelType w:val="singleLevel"/>
    <w:tmpl w:val="2470EC97"/>
    <w:lvl w:ilvl="0" w:tentative="0">
      <w:start w:val="1"/>
      <w:numFmt w:val="decimal"/>
      <w:lvlText w:val="%1."/>
      <w:lvlJc w:val="left"/>
      <w:rPr>
        <w:color w:val="3370FF"/>
      </w:rPr>
    </w:lvl>
  </w:abstractNum>
  <w:abstractNum w:abstractNumId="69">
    <w:nsid w:val="25B654F3"/>
    <w:multiLevelType w:val="singleLevel"/>
    <w:tmpl w:val="25B654F3"/>
    <w:lvl w:ilvl="0" w:tentative="0">
      <w:start w:val="0"/>
      <w:numFmt w:val="bullet"/>
      <w:lvlText w:val="•"/>
      <w:lvlJc w:val="left"/>
      <w:rPr>
        <w:color w:val="3370FF"/>
      </w:rPr>
    </w:lvl>
  </w:abstractNum>
  <w:abstractNum w:abstractNumId="70">
    <w:nsid w:val="2A8F537B"/>
    <w:multiLevelType w:val="singleLevel"/>
    <w:tmpl w:val="2A8F537B"/>
    <w:lvl w:ilvl="0" w:tentative="0">
      <w:start w:val="0"/>
      <w:numFmt w:val="bullet"/>
      <w:lvlText w:val="•"/>
      <w:lvlJc w:val="left"/>
      <w:rPr>
        <w:color w:val="3370FF"/>
      </w:rPr>
    </w:lvl>
  </w:abstractNum>
  <w:abstractNum w:abstractNumId="71">
    <w:nsid w:val="2F2D79CE"/>
    <w:multiLevelType w:val="singleLevel"/>
    <w:tmpl w:val="2F2D79CE"/>
    <w:lvl w:ilvl="0" w:tentative="0">
      <w:start w:val="0"/>
      <w:numFmt w:val="bullet"/>
      <w:lvlText w:val="•"/>
      <w:lvlJc w:val="left"/>
      <w:rPr>
        <w:color w:val="3370FF"/>
      </w:rPr>
    </w:lvl>
  </w:abstractNum>
  <w:abstractNum w:abstractNumId="72">
    <w:nsid w:val="30A0AC00"/>
    <w:multiLevelType w:val="singleLevel"/>
    <w:tmpl w:val="30A0AC00"/>
    <w:lvl w:ilvl="0" w:tentative="0">
      <w:start w:val="0"/>
      <w:numFmt w:val="bullet"/>
      <w:lvlText w:val="•"/>
      <w:lvlJc w:val="left"/>
      <w:rPr>
        <w:color w:val="3370FF"/>
      </w:rPr>
    </w:lvl>
  </w:abstractNum>
  <w:abstractNum w:abstractNumId="73">
    <w:nsid w:val="30FC5B15"/>
    <w:multiLevelType w:val="singleLevel"/>
    <w:tmpl w:val="30FC5B15"/>
    <w:lvl w:ilvl="0" w:tentative="0">
      <w:start w:val="0"/>
      <w:numFmt w:val="bullet"/>
      <w:lvlText w:val="•"/>
      <w:lvlJc w:val="left"/>
      <w:rPr>
        <w:color w:val="3370FF"/>
      </w:rPr>
    </w:lvl>
  </w:abstractNum>
  <w:abstractNum w:abstractNumId="74">
    <w:nsid w:val="322D85CA"/>
    <w:multiLevelType w:val="singleLevel"/>
    <w:tmpl w:val="322D85CA"/>
    <w:lvl w:ilvl="0" w:tentative="0">
      <w:start w:val="0"/>
      <w:numFmt w:val="bullet"/>
      <w:lvlText w:val="•"/>
      <w:lvlJc w:val="left"/>
      <w:rPr>
        <w:color w:val="3370FF"/>
      </w:rPr>
    </w:lvl>
  </w:abstractNum>
  <w:abstractNum w:abstractNumId="75">
    <w:nsid w:val="32A7AF2D"/>
    <w:multiLevelType w:val="singleLevel"/>
    <w:tmpl w:val="32A7AF2D"/>
    <w:lvl w:ilvl="0" w:tentative="0">
      <w:start w:val="0"/>
      <w:numFmt w:val="bullet"/>
      <w:lvlText w:val="•"/>
      <w:lvlJc w:val="left"/>
      <w:rPr>
        <w:color w:val="3370FF"/>
      </w:rPr>
    </w:lvl>
  </w:abstractNum>
  <w:abstractNum w:abstractNumId="76">
    <w:nsid w:val="35E83B33"/>
    <w:multiLevelType w:val="singleLevel"/>
    <w:tmpl w:val="35E83B33"/>
    <w:lvl w:ilvl="0" w:tentative="0">
      <w:start w:val="0"/>
      <w:numFmt w:val="bullet"/>
      <w:lvlText w:val="￮"/>
      <w:lvlJc w:val="left"/>
      <w:rPr>
        <w:color w:val="3370FF"/>
      </w:rPr>
    </w:lvl>
  </w:abstractNum>
  <w:abstractNum w:abstractNumId="77">
    <w:nsid w:val="39A0D9AC"/>
    <w:multiLevelType w:val="singleLevel"/>
    <w:tmpl w:val="39A0D9AC"/>
    <w:lvl w:ilvl="0" w:tentative="0">
      <w:start w:val="0"/>
      <w:numFmt w:val="bullet"/>
      <w:lvlText w:val="•"/>
      <w:lvlJc w:val="left"/>
      <w:rPr>
        <w:color w:val="3370FF"/>
      </w:rPr>
    </w:lvl>
  </w:abstractNum>
  <w:abstractNum w:abstractNumId="78">
    <w:nsid w:val="3B8127DF"/>
    <w:multiLevelType w:val="singleLevel"/>
    <w:tmpl w:val="3B8127DF"/>
    <w:lvl w:ilvl="0" w:tentative="0">
      <w:start w:val="0"/>
      <w:numFmt w:val="bullet"/>
      <w:lvlText w:val="•"/>
      <w:lvlJc w:val="left"/>
      <w:rPr>
        <w:color w:val="3370FF"/>
      </w:rPr>
    </w:lvl>
  </w:abstractNum>
  <w:abstractNum w:abstractNumId="79">
    <w:nsid w:val="40B249F9"/>
    <w:multiLevelType w:val="singleLevel"/>
    <w:tmpl w:val="40B249F9"/>
    <w:lvl w:ilvl="0" w:tentative="0">
      <w:start w:val="0"/>
      <w:numFmt w:val="bullet"/>
      <w:lvlText w:val="￮"/>
      <w:lvlJc w:val="left"/>
      <w:rPr>
        <w:color w:val="3370FF"/>
      </w:rPr>
    </w:lvl>
  </w:abstractNum>
  <w:abstractNum w:abstractNumId="80">
    <w:nsid w:val="46A08BB8"/>
    <w:multiLevelType w:val="singleLevel"/>
    <w:tmpl w:val="46A08BB8"/>
    <w:lvl w:ilvl="0" w:tentative="0">
      <w:start w:val="4"/>
      <w:numFmt w:val="decimal"/>
      <w:lvlText w:val="%1."/>
      <w:lvlJc w:val="left"/>
      <w:rPr>
        <w:color w:val="3370FF"/>
      </w:rPr>
    </w:lvl>
  </w:abstractNum>
  <w:abstractNum w:abstractNumId="81">
    <w:nsid w:val="4A51D704"/>
    <w:multiLevelType w:val="singleLevel"/>
    <w:tmpl w:val="4A51D704"/>
    <w:lvl w:ilvl="0" w:tentative="0">
      <w:start w:val="7"/>
      <w:numFmt w:val="decimal"/>
      <w:lvlText w:val="%1."/>
      <w:lvlJc w:val="left"/>
      <w:rPr>
        <w:color w:val="3370FF"/>
      </w:rPr>
    </w:lvl>
  </w:abstractNum>
  <w:abstractNum w:abstractNumId="82">
    <w:nsid w:val="4C1BAE26"/>
    <w:multiLevelType w:val="singleLevel"/>
    <w:tmpl w:val="4C1BAE26"/>
    <w:lvl w:ilvl="0" w:tentative="0">
      <w:start w:val="1"/>
      <w:numFmt w:val="decimal"/>
      <w:lvlText w:val="%1."/>
      <w:lvlJc w:val="left"/>
      <w:rPr>
        <w:color w:val="3370FF"/>
      </w:rPr>
    </w:lvl>
  </w:abstractNum>
  <w:abstractNum w:abstractNumId="83">
    <w:nsid w:val="4C3D7A74"/>
    <w:multiLevelType w:val="singleLevel"/>
    <w:tmpl w:val="4C3D7A74"/>
    <w:lvl w:ilvl="0" w:tentative="0">
      <w:start w:val="0"/>
      <w:numFmt w:val="bullet"/>
      <w:lvlText w:val="•"/>
      <w:lvlJc w:val="left"/>
      <w:rPr>
        <w:color w:val="3370FF"/>
      </w:rPr>
    </w:lvl>
  </w:abstractNum>
  <w:abstractNum w:abstractNumId="84">
    <w:nsid w:val="4CD1E351"/>
    <w:multiLevelType w:val="singleLevel"/>
    <w:tmpl w:val="4CD1E351"/>
    <w:lvl w:ilvl="0" w:tentative="0">
      <w:start w:val="2"/>
      <w:numFmt w:val="decimal"/>
      <w:lvlText w:val="%1."/>
      <w:lvlJc w:val="left"/>
      <w:rPr>
        <w:color w:val="3370FF"/>
      </w:rPr>
    </w:lvl>
  </w:abstractNum>
  <w:abstractNum w:abstractNumId="85">
    <w:nsid w:val="4D4DC07F"/>
    <w:multiLevelType w:val="singleLevel"/>
    <w:tmpl w:val="4D4DC07F"/>
    <w:lvl w:ilvl="0" w:tentative="0">
      <w:start w:val="0"/>
      <w:numFmt w:val="bullet"/>
      <w:lvlText w:val="•"/>
      <w:lvlJc w:val="left"/>
      <w:rPr>
        <w:color w:val="3370FF"/>
      </w:rPr>
    </w:lvl>
  </w:abstractNum>
  <w:abstractNum w:abstractNumId="86">
    <w:nsid w:val="4D94DA66"/>
    <w:multiLevelType w:val="singleLevel"/>
    <w:tmpl w:val="4D94DA66"/>
    <w:lvl w:ilvl="0" w:tentative="0">
      <w:start w:val="0"/>
      <w:numFmt w:val="bullet"/>
      <w:lvlText w:val="•"/>
      <w:lvlJc w:val="left"/>
      <w:rPr>
        <w:color w:val="3370FF"/>
      </w:rPr>
    </w:lvl>
  </w:abstractNum>
  <w:abstractNum w:abstractNumId="87">
    <w:nsid w:val="58765686"/>
    <w:multiLevelType w:val="singleLevel"/>
    <w:tmpl w:val="58765686"/>
    <w:lvl w:ilvl="0" w:tentative="0">
      <w:start w:val="3"/>
      <w:numFmt w:val="decimal"/>
      <w:lvlText w:val="%1."/>
      <w:lvlJc w:val="left"/>
      <w:rPr>
        <w:color w:val="3370FF"/>
      </w:rPr>
    </w:lvl>
  </w:abstractNum>
  <w:abstractNum w:abstractNumId="88">
    <w:nsid w:val="59ADCABA"/>
    <w:multiLevelType w:val="singleLevel"/>
    <w:tmpl w:val="59ADCABA"/>
    <w:lvl w:ilvl="0" w:tentative="0">
      <w:start w:val="0"/>
      <w:numFmt w:val="bullet"/>
      <w:lvlText w:val="•"/>
      <w:lvlJc w:val="left"/>
      <w:rPr>
        <w:color w:val="3370FF"/>
      </w:rPr>
    </w:lvl>
  </w:abstractNum>
  <w:abstractNum w:abstractNumId="89">
    <w:nsid w:val="59EEFD2A"/>
    <w:multiLevelType w:val="singleLevel"/>
    <w:tmpl w:val="59EEFD2A"/>
    <w:lvl w:ilvl="0" w:tentative="0">
      <w:start w:val="8"/>
      <w:numFmt w:val="decimal"/>
      <w:lvlText w:val="%1."/>
      <w:lvlJc w:val="left"/>
      <w:rPr>
        <w:color w:val="3370FF"/>
      </w:rPr>
    </w:lvl>
  </w:abstractNum>
  <w:abstractNum w:abstractNumId="90">
    <w:nsid w:val="5A241D34"/>
    <w:multiLevelType w:val="singleLevel"/>
    <w:tmpl w:val="5A241D34"/>
    <w:lvl w:ilvl="0" w:tentative="0">
      <w:start w:val="0"/>
      <w:numFmt w:val="bullet"/>
      <w:lvlText w:val="•"/>
      <w:lvlJc w:val="left"/>
      <w:rPr>
        <w:color w:val="3370FF"/>
      </w:rPr>
    </w:lvl>
  </w:abstractNum>
  <w:abstractNum w:abstractNumId="91">
    <w:nsid w:val="5E29AB5A"/>
    <w:multiLevelType w:val="singleLevel"/>
    <w:tmpl w:val="5E29AB5A"/>
    <w:lvl w:ilvl="0" w:tentative="0">
      <w:start w:val="0"/>
      <w:numFmt w:val="bullet"/>
      <w:lvlText w:val="•"/>
      <w:lvlJc w:val="left"/>
      <w:rPr>
        <w:color w:val="3370FF"/>
      </w:rPr>
    </w:lvl>
  </w:abstractNum>
  <w:abstractNum w:abstractNumId="92">
    <w:nsid w:val="5FFFB1A7"/>
    <w:multiLevelType w:val="singleLevel"/>
    <w:tmpl w:val="5FFFB1A7"/>
    <w:lvl w:ilvl="0" w:tentative="0">
      <w:start w:val="0"/>
      <w:numFmt w:val="bullet"/>
      <w:lvlText w:val="•"/>
      <w:lvlJc w:val="left"/>
      <w:rPr>
        <w:color w:val="3370FF"/>
      </w:rPr>
    </w:lvl>
  </w:abstractNum>
  <w:abstractNum w:abstractNumId="93">
    <w:nsid w:val="60382F6E"/>
    <w:multiLevelType w:val="singleLevel"/>
    <w:tmpl w:val="60382F6E"/>
    <w:lvl w:ilvl="0" w:tentative="0">
      <w:start w:val="2"/>
      <w:numFmt w:val="decimal"/>
      <w:lvlText w:val="%1."/>
      <w:lvlJc w:val="left"/>
      <w:rPr>
        <w:color w:val="3370FF"/>
      </w:rPr>
    </w:lvl>
  </w:abstractNum>
  <w:abstractNum w:abstractNumId="94">
    <w:nsid w:val="629F7852"/>
    <w:multiLevelType w:val="singleLevel"/>
    <w:tmpl w:val="629F7852"/>
    <w:lvl w:ilvl="0" w:tentative="0">
      <w:start w:val="3"/>
      <w:numFmt w:val="decimal"/>
      <w:lvlText w:val="%1."/>
      <w:lvlJc w:val="left"/>
      <w:rPr>
        <w:color w:val="3370FF"/>
      </w:rPr>
    </w:lvl>
  </w:abstractNum>
  <w:abstractNum w:abstractNumId="95">
    <w:nsid w:val="65CD0074"/>
    <w:multiLevelType w:val="singleLevel"/>
    <w:tmpl w:val="65CD0074"/>
    <w:lvl w:ilvl="0" w:tentative="0">
      <w:start w:val="0"/>
      <w:numFmt w:val="bullet"/>
      <w:lvlText w:val="•"/>
      <w:lvlJc w:val="left"/>
      <w:rPr>
        <w:color w:val="3370FF"/>
      </w:rPr>
    </w:lvl>
  </w:abstractNum>
  <w:abstractNum w:abstractNumId="96">
    <w:nsid w:val="68B298F7"/>
    <w:multiLevelType w:val="singleLevel"/>
    <w:tmpl w:val="68B298F7"/>
    <w:lvl w:ilvl="0" w:tentative="0">
      <w:start w:val="0"/>
      <w:numFmt w:val="bullet"/>
      <w:lvlText w:val="•"/>
      <w:lvlJc w:val="left"/>
      <w:rPr>
        <w:color w:val="3370FF"/>
      </w:rPr>
    </w:lvl>
  </w:abstractNum>
  <w:abstractNum w:abstractNumId="97">
    <w:nsid w:val="700FDCEF"/>
    <w:multiLevelType w:val="singleLevel"/>
    <w:tmpl w:val="700FDCEF"/>
    <w:lvl w:ilvl="0" w:tentative="0">
      <w:start w:val="0"/>
      <w:numFmt w:val="bullet"/>
      <w:lvlText w:val="￮"/>
      <w:lvlJc w:val="left"/>
      <w:rPr>
        <w:color w:val="3370FF"/>
      </w:rPr>
    </w:lvl>
  </w:abstractNum>
  <w:abstractNum w:abstractNumId="98">
    <w:nsid w:val="72183CF9"/>
    <w:multiLevelType w:val="singleLevel"/>
    <w:tmpl w:val="72183CF9"/>
    <w:lvl w:ilvl="0" w:tentative="0">
      <w:start w:val="0"/>
      <w:numFmt w:val="bullet"/>
      <w:lvlText w:val="•"/>
      <w:lvlJc w:val="left"/>
      <w:rPr>
        <w:color w:val="3370FF"/>
      </w:rPr>
    </w:lvl>
  </w:abstractNum>
  <w:abstractNum w:abstractNumId="99">
    <w:nsid w:val="74C28B35"/>
    <w:multiLevelType w:val="singleLevel"/>
    <w:tmpl w:val="74C28B35"/>
    <w:lvl w:ilvl="0" w:tentative="0">
      <w:start w:val="0"/>
      <w:numFmt w:val="bullet"/>
      <w:lvlText w:val="•"/>
      <w:lvlJc w:val="left"/>
      <w:rPr>
        <w:color w:val="3370FF"/>
      </w:rPr>
    </w:lvl>
  </w:abstractNum>
  <w:abstractNum w:abstractNumId="100">
    <w:nsid w:val="77633216"/>
    <w:multiLevelType w:val="singleLevel"/>
    <w:tmpl w:val="77633216"/>
    <w:lvl w:ilvl="0" w:tentative="0">
      <w:start w:val="0"/>
      <w:numFmt w:val="bullet"/>
      <w:lvlText w:val="￮"/>
      <w:lvlJc w:val="left"/>
      <w:rPr>
        <w:color w:val="3370FF"/>
      </w:rPr>
    </w:lvl>
  </w:abstractNum>
  <w:abstractNum w:abstractNumId="101">
    <w:nsid w:val="77ECEA79"/>
    <w:multiLevelType w:val="singleLevel"/>
    <w:tmpl w:val="77ECEA79"/>
    <w:lvl w:ilvl="0" w:tentative="0">
      <w:start w:val="1"/>
      <w:numFmt w:val="decimal"/>
      <w:lvlText w:val="%1."/>
      <w:lvlJc w:val="left"/>
      <w:rPr>
        <w:color w:val="3370FF"/>
      </w:rPr>
    </w:lvl>
  </w:abstractNum>
  <w:abstractNum w:abstractNumId="102">
    <w:nsid w:val="79AA4FA4"/>
    <w:multiLevelType w:val="singleLevel"/>
    <w:tmpl w:val="79AA4FA4"/>
    <w:lvl w:ilvl="0" w:tentative="0">
      <w:start w:val="0"/>
      <w:numFmt w:val="bullet"/>
      <w:lvlText w:val="•"/>
      <w:lvlJc w:val="left"/>
      <w:rPr>
        <w:color w:val="3370FF"/>
      </w:rPr>
    </w:lvl>
  </w:abstractNum>
  <w:abstractNum w:abstractNumId="103">
    <w:nsid w:val="7C246926"/>
    <w:multiLevelType w:val="singleLevel"/>
    <w:tmpl w:val="7C246926"/>
    <w:lvl w:ilvl="0" w:tentative="0">
      <w:start w:val="2"/>
      <w:numFmt w:val="decimal"/>
      <w:lvlText w:val="%1."/>
      <w:lvlJc w:val="left"/>
      <w:rPr>
        <w:color w:val="3370FF"/>
      </w:rPr>
    </w:lvl>
  </w:abstractNum>
  <w:abstractNum w:abstractNumId="104">
    <w:nsid w:val="7DEC2089"/>
    <w:multiLevelType w:val="singleLevel"/>
    <w:tmpl w:val="7DEC2089"/>
    <w:lvl w:ilvl="0" w:tentative="0">
      <w:start w:val="0"/>
      <w:numFmt w:val="bullet"/>
      <w:lvlText w:val="•"/>
      <w:lvlJc w:val="left"/>
      <w:rPr>
        <w:color w:val="3370FF"/>
      </w:rPr>
    </w:lvl>
  </w:abstractNum>
  <w:num w:numId="1">
    <w:abstractNumId w:val="50"/>
  </w:num>
  <w:num w:numId="2">
    <w:abstractNumId w:val="34"/>
  </w:num>
  <w:num w:numId="3">
    <w:abstractNumId w:val="88"/>
  </w:num>
  <w:num w:numId="4">
    <w:abstractNumId w:val="30"/>
  </w:num>
  <w:num w:numId="5">
    <w:abstractNumId w:val="22"/>
  </w:num>
  <w:num w:numId="6">
    <w:abstractNumId w:val="53"/>
  </w:num>
  <w:num w:numId="7">
    <w:abstractNumId w:val="69"/>
  </w:num>
  <w:num w:numId="8">
    <w:abstractNumId w:val="98"/>
  </w:num>
  <w:num w:numId="9">
    <w:abstractNumId w:val="51"/>
  </w:num>
  <w:num w:numId="10">
    <w:abstractNumId w:val="7"/>
  </w:num>
  <w:num w:numId="11">
    <w:abstractNumId w:val="70"/>
  </w:num>
  <w:num w:numId="12">
    <w:abstractNumId w:val="90"/>
  </w:num>
  <w:num w:numId="13">
    <w:abstractNumId w:val="33"/>
  </w:num>
  <w:num w:numId="14">
    <w:abstractNumId w:val="85"/>
  </w:num>
  <w:num w:numId="15">
    <w:abstractNumId w:val="45"/>
  </w:num>
  <w:num w:numId="16">
    <w:abstractNumId w:val="68"/>
  </w:num>
  <w:num w:numId="17">
    <w:abstractNumId w:val="39"/>
  </w:num>
  <w:num w:numId="18">
    <w:abstractNumId w:val="37"/>
  </w:num>
  <w:num w:numId="19">
    <w:abstractNumId w:val="12"/>
  </w:num>
  <w:num w:numId="20">
    <w:abstractNumId w:val="82"/>
  </w:num>
  <w:num w:numId="21">
    <w:abstractNumId w:val="93"/>
  </w:num>
  <w:num w:numId="22">
    <w:abstractNumId w:val="56"/>
  </w:num>
  <w:num w:numId="23">
    <w:abstractNumId w:val="80"/>
  </w:num>
  <w:num w:numId="24">
    <w:abstractNumId w:val="19"/>
  </w:num>
  <w:num w:numId="25">
    <w:abstractNumId w:val="103"/>
  </w:num>
  <w:num w:numId="26">
    <w:abstractNumId w:val="101"/>
  </w:num>
  <w:num w:numId="27">
    <w:abstractNumId w:val="29"/>
  </w:num>
  <w:num w:numId="28">
    <w:abstractNumId w:val="94"/>
  </w:num>
  <w:num w:numId="29">
    <w:abstractNumId w:val="8"/>
  </w:num>
  <w:num w:numId="30">
    <w:abstractNumId w:val="77"/>
  </w:num>
  <w:num w:numId="31">
    <w:abstractNumId w:val="3"/>
  </w:num>
  <w:num w:numId="32">
    <w:abstractNumId w:val="87"/>
  </w:num>
  <w:num w:numId="33">
    <w:abstractNumId w:val="104"/>
  </w:num>
  <w:num w:numId="34">
    <w:abstractNumId w:val="1"/>
  </w:num>
  <w:num w:numId="35">
    <w:abstractNumId w:val="67"/>
  </w:num>
  <w:num w:numId="36">
    <w:abstractNumId w:val="86"/>
  </w:num>
  <w:num w:numId="37">
    <w:abstractNumId w:val="48"/>
  </w:num>
  <w:num w:numId="38">
    <w:abstractNumId w:val="41"/>
  </w:num>
  <w:num w:numId="39">
    <w:abstractNumId w:val="73"/>
  </w:num>
  <w:num w:numId="40">
    <w:abstractNumId w:val="102"/>
  </w:num>
  <w:num w:numId="41">
    <w:abstractNumId w:val="25"/>
  </w:num>
  <w:num w:numId="42">
    <w:abstractNumId w:val="5"/>
  </w:num>
  <w:num w:numId="43">
    <w:abstractNumId w:val="24"/>
  </w:num>
  <w:num w:numId="44">
    <w:abstractNumId w:val="91"/>
  </w:num>
  <w:num w:numId="45">
    <w:abstractNumId w:val="2"/>
  </w:num>
  <w:num w:numId="46">
    <w:abstractNumId w:val="62"/>
  </w:num>
  <w:num w:numId="47">
    <w:abstractNumId w:val="4"/>
  </w:num>
  <w:num w:numId="48">
    <w:abstractNumId w:val="92"/>
  </w:num>
  <w:num w:numId="49">
    <w:abstractNumId w:val="99"/>
  </w:num>
  <w:num w:numId="50">
    <w:abstractNumId w:val="83"/>
  </w:num>
  <w:num w:numId="51">
    <w:abstractNumId w:val="74"/>
  </w:num>
  <w:num w:numId="52">
    <w:abstractNumId w:val="95"/>
  </w:num>
  <w:num w:numId="53">
    <w:abstractNumId w:val="54"/>
  </w:num>
  <w:num w:numId="54">
    <w:abstractNumId w:val="55"/>
  </w:num>
  <w:num w:numId="55">
    <w:abstractNumId w:val="36"/>
  </w:num>
  <w:num w:numId="56">
    <w:abstractNumId w:val="75"/>
  </w:num>
  <w:num w:numId="57">
    <w:abstractNumId w:val="65"/>
  </w:num>
  <w:num w:numId="58">
    <w:abstractNumId w:val="44"/>
  </w:num>
  <w:num w:numId="59">
    <w:abstractNumId w:val="66"/>
  </w:num>
  <w:num w:numId="60">
    <w:abstractNumId w:val="21"/>
  </w:num>
  <w:num w:numId="61">
    <w:abstractNumId w:val="79"/>
  </w:num>
  <w:num w:numId="62">
    <w:abstractNumId w:val="57"/>
  </w:num>
  <w:num w:numId="63">
    <w:abstractNumId w:val="76"/>
  </w:num>
  <w:num w:numId="64">
    <w:abstractNumId w:val="52"/>
  </w:num>
  <w:num w:numId="65">
    <w:abstractNumId w:val="31"/>
  </w:num>
  <w:num w:numId="66">
    <w:abstractNumId w:val="59"/>
  </w:num>
  <w:num w:numId="67">
    <w:abstractNumId w:val="20"/>
  </w:num>
  <w:num w:numId="68">
    <w:abstractNumId w:val="78"/>
  </w:num>
  <w:num w:numId="69">
    <w:abstractNumId w:val="15"/>
  </w:num>
  <w:num w:numId="70">
    <w:abstractNumId w:val="47"/>
  </w:num>
  <w:num w:numId="71">
    <w:abstractNumId w:val="72"/>
  </w:num>
  <w:num w:numId="72">
    <w:abstractNumId w:val="49"/>
  </w:num>
  <w:num w:numId="73">
    <w:abstractNumId w:val="61"/>
  </w:num>
  <w:num w:numId="74">
    <w:abstractNumId w:val="97"/>
  </w:num>
  <w:num w:numId="75">
    <w:abstractNumId w:val="42"/>
  </w:num>
  <w:num w:numId="76">
    <w:abstractNumId w:val="32"/>
  </w:num>
  <w:num w:numId="77">
    <w:abstractNumId w:val="14"/>
  </w:num>
  <w:num w:numId="78">
    <w:abstractNumId w:val="100"/>
  </w:num>
  <w:num w:numId="79">
    <w:abstractNumId w:val="38"/>
  </w:num>
  <w:num w:numId="80">
    <w:abstractNumId w:val="23"/>
  </w:num>
  <w:num w:numId="81">
    <w:abstractNumId w:val="71"/>
  </w:num>
  <w:num w:numId="82">
    <w:abstractNumId w:val="43"/>
  </w:num>
  <w:num w:numId="83">
    <w:abstractNumId w:val="10"/>
  </w:num>
  <w:num w:numId="84">
    <w:abstractNumId w:val="89"/>
  </w:num>
  <w:num w:numId="85">
    <w:abstractNumId w:val="27"/>
  </w:num>
  <w:num w:numId="86">
    <w:abstractNumId w:val="18"/>
  </w:num>
  <w:num w:numId="87">
    <w:abstractNumId w:val="9"/>
  </w:num>
  <w:num w:numId="88">
    <w:abstractNumId w:val="13"/>
  </w:num>
  <w:num w:numId="89">
    <w:abstractNumId w:val="17"/>
  </w:num>
  <w:num w:numId="90">
    <w:abstractNumId w:val="6"/>
  </w:num>
  <w:num w:numId="91">
    <w:abstractNumId w:val="64"/>
  </w:num>
  <w:num w:numId="92">
    <w:abstractNumId w:val="28"/>
  </w:num>
  <w:num w:numId="93">
    <w:abstractNumId w:val="60"/>
  </w:num>
  <w:num w:numId="94">
    <w:abstractNumId w:val="35"/>
  </w:num>
  <w:num w:numId="95">
    <w:abstractNumId w:val="96"/>
  </w:num>
  <w:num w:numId="96">
    <w:abstractNumId w:val="0"/>
  </w:num>
  <w:num w:numId="97">
    <w:abstractNumId w:val="26"/>
  </w:num>
  <w:num w:numId="98">
    <w:abstractNumId w:val="46"/>
  </w:num>
  <w:num w:numId="99">
    <w:abstractNumId w:val="84"/>
  </w:num>
  <w:num w:numId="100">
    <w:abstractNumId w:val="58"/>
  </w:num>
  <w:num w:numId="101">
    <w:abstractNumId w:val="11"/>
  </w:num>
  <w:num w:numId="102">
    <w:abstractNumId w:val="40"/>
  </w:num>
  <w:num w:numId="103">
    <w:abstractNumId w:val="63"/>
  </w:num>
  <w:num w:numId="104">
    <w:abstractNumId w:val="81"/>
  </w:num>
  <w:num w:numId="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5F920B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9200</Words>
  <Characters>14805</Characters>
  <TotalTime>0</TotalTime>
  <ScaleCrop>false</ScaleCrop>
  <LinksUpToDate>false</LinksUpToDate>
  <CharactersWithSpaces>15903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2025-12-28T11:50:00Z</dcterms:created>
  <dc:creator>Apache POI</dc:creator>
  <cp:lastModifiedBy>一缕清风</cp:lastModifiedBy>
  <dcterms:modified xsi:type="dcterms:W3CDTF">2025-12-28T12:08:44Z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126E0AB1EA014D49865576B4F21ED299_12</vt:lpwstr>
  </property>
</Properties>
</file>