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2A" w:rsidRDefault="001A592A"/>
    <w:p w:rsidR="003C5A1E" w:rsidRDefault="003C5A1E"/>
    <w:p w:rsidR="0056735B" w:rsidRDefault="003C5A1E">
      <w:r>
        <w:t xml:space="preserve">There are a number of dimensions to data quality </w:t>
      </w:r>
      <w:r w:rsidR="0056735B">
        <w:t>– See extracts and links to two papers below.</w:t>
      </w:r>
    </w:p>
    <w:p w:rsidR="00DA7ED1" w:rsidRDefault="00DA7ED1"/>
    <w:p w:rsidR="00DA7ED1" w:rsidRPr="0056735B" w:rsidRDefault="0056735B">
      <w:pPr>
        <w:rPr>
          <w:sz w:val="28"/>
        </w:rPr>
      </w:pPr>
      <w:r w:rsidRPr="0056735B">
        <w:rPr>
          <w:sz w:val="28"/>
        </w:rPr>
        <w:t>Paper 1</w:t>
      </w:r>
    </w:p>
    <w:p w:rsidR="00DA7ED1" w:rsidRPr="0056735B" w:rsidRDefault="00DA7ED1" w:rsidP="00DA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6735B">
        <w:rPr>
          <w:rFonts w:cstheme="minorHAnsi"/>
          <w:b/>
          <w:color w:val="000000"/>
          <w:sz w:val="24"/>
          <w:szCs w:val="24"/>
        </w:rPr>
        <w:t>Dimensions and assessment methods of data quality in health information</w:t>
      </w:r>
    </w:p>
    <w:p w:rsidR="00DA7ED1" w:rsidRPr="0056735B" w:rsidRDefault="00DA7ED1" w:rsidP="00DA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56735B">
        <w:rPr>
          <w:rFonts w:cstheme="minorHAnsi"/>
          <w:b/>
          <w:color w:val="000000"/>
          <w:sz w:val="24"/>
          <w:szCs w:val="24"/>
        </w:rPr>
        <w:t>S</w:t>
      </w:r>
      <w:r w:rsidRPr="0056735B">
        <w:rPr>
          <w:rFonts w:cstheme="minorHAnsi"/>
          <w:b/>
          <w:color w:val="000000"/>
          <w:sz w:val="24"/>
          <w:szCs w:val="24"/>
        </w:rPr>
        <w:t>ystems</w:t>
      </w:r>
    </w:p>
    <w:p w:rsidR="00DA7ED1" w:rsidRDefault="00DA7ED1" w:rsidP="00DA7ED1">
      <w:pPr>
        <w:autoSpaceDE w:val="0"/>
        <w:autoSpaceDN w:val="0"/>
        <w:adjustRightInd w:val="0"/>
        <w:spacing w:after="0" w:line="240" w:lineRule="auto"/>
        <w:rPr>
          <w:rFonts w:ascii="Martel-Regular" w:hAnsi="Martel-Regular" w:cs="Martel-Regular"/>
          <w:color w:val="000000"/>
          <w:sz w:val="27"/>
          <w:szCs w:val="27"/>
        </w:rPr>
      </w:pPr>
    </w:p>
    <w:p w:rsidR="00DA7ED1" w:rsidRDefault="00DA7ED1" w:rsidP="00DA7ED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sz w:val="13"/>
          <w:szCs w:val="13"/>
        </w:rPr>
      </w:pPr>
      <w:r>
        <w:rPr>
          <w:rFonts w:ascii="SourceSansPro-Semibold" w:hAnsi="SourceSansPro-Semibold" w:cs="SourceSansPro-Semibold"/>
          <w:color w:val="222222"/>
          <w:sz w:val="13"/>
          <w:szCs w:val="13"/>
        </w:rPr>
        <w:t xml:space="preserve">Article </w:t>
      </w:r>
      <w:r>
        <w:rPr>
          <w:rFonts w:ascii="SourceSansPro-It" w:hAnsi="SourceSansPro-It" w:cs="SourceSansPro-It"/>
          <w:i/>
          <w:iCs/>
          <w:color w:val="606060"/>
          <w:sz w:val="13"/>
          <w:szCs w:val="13"/>
        </w:rPr>
        <w:t xml:space="preserve">in </w:t>
      </w:r>
      <w:proofErr w:type="spellStart"/>
      <w:r>
        <w:rPr>
          <w:rFonts w:ascii="SourceSansPro-Regular" w:hAnsi="SourceSansPro-Regular" w:cs="SourceSansPro-Regular"/>
          <w:color w:val="333333"/>
          <w:sz w:val="13"/>
          <w:szCs w:val="13"/>
        </w:rPr>
        <w:t>Acta</w:t>
      </w:r>
      <w:proofErr w:type="spellEnd"/>
      <w:r>
        <w:rPr>
          <w:rFonts w:ascii="SourceSansPro-Regular" w:hAnsi="SourceSansPro-Regular" w:cs="SourceSansPro-Regular"/>
          <w:color w:val="333333"/>
          <w:sz w:val="13"/>
          <w:szCs w:val="13"/>
        </w:rPr>
        <w:t xml:space="preserve"> </w:t>
      </w:r>
      <w:proofErr w:type="spellStart"/>
      <w:r>
        <w:rPr>
          <w:rFonts w:ascii="SourceSansPro-Regular" w:hAnsi="SourceSansPro-Regular" w:cs="SourceSansPro-Regular"/>
          <w:color w:val="333333"/>
          <w:sz w:val="13"/>
          <w:szCs w:val="13"/>
        </w:rPr>
        <w:t>Medica</w:t>
      </w:r>
      <w:proofErr w:type="spellEnd"/>
      <w:r>
        <w:rPr>
          <w:rFonts w:ascii="SourceSansPro-Regular" w:hAnsi="SourceSansPro-Regular" w:cs="SourceSansPro-Regular"/>
          <w:color w:val="333333"/>
          <w:sz w:val="13"/>
          <w:szCs w:val="13"/>
        </w:rPr>
        <w:t xml:space="preserve"> </w:t>
      </w:r>
      <w:proofErr w:type="spellStart"/>
      <w:r>
        <w:rPr>
          <w:rFonts w:ascii="SourceSansPro-Regular" w:hAnsi="SourceSansPro-Regular" w:cs="SourceSansPro-Regular"/>
          <w:color w:val="333333"/>
          <w:sz w:val="13"/>
          <w:szCs w:val="13"/>
        </w:rPr>
        <w:t>Mediterranea</w:t>
      </w:r>
      <w:proofErr w:type="spellEnd"/>
      <w:r>
        <w:rPr>
          <w:rFonts w:ascii="SourceSansPro-Regular" w:hAnsi="SourceSansPro-Regular" w:cs="SourceSansPro-Regular"/>
          <w:color w:val="333333"/>
          <w:sz w:val="13"/>
          <w:szCs w:val="13"/>
        </w:rPr>
        <w:t xml:space="preserve"> · March 2017</w:t>
      </w:r>
    </w:p>
    <w:p w:rsidR="00DA7ED1" w:rsidRDefault="00DA7ED1" w:rsidP="00DA7ED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sz w:val="13"/>
          <w:szCs w:val="13"/>
        </w:rPr>
      </w:pPr>
    </w:p>
    <w:p w:rsidR="00DA7ED1" w:rsidRDefault="00DA7ED1" w:rsidP="00DA7ED1">
      <w:pPr>
        <w:autoSpaceDE w:val="0"/>
        <w:autoSpaceDN w:val="0"/>
        <w:adjustRightInd w:val="0"/>
        <w:spacing w:after="0" w:line="240" w:lineRule="auto"/>
      </w:pPr>
      <w:r>
        <w:t xml:space="preserve">Authors - </w:t>
      </w:r>
      <w:r>
        <w:t xml:space="preserve">JAHANPOUR ALIPOUR1, 2, MARYAM AHMADI3, 4,* 1 PhD Candidate of Health Information Management, Department of Health Information Management, School of Health Management and Medical Information Sciences, Iran University of Medical Sciences, Tehran, Iran - 2 Instructor, Department of Health Information Technology, Paramedical School, and member of Health Promotion Research </w:t>
      </w:r>
      <w:proofErr w:type="spellStart"/>
      <w:r>
        <w:t>Center</w:t>
      </w:r>
      <w:proofErr w:type="spellEnd"/>
      <w:r>
        <w:t xml:space="preserve">, Zahedan University of Medical Sciences, Zahedan, IR Iran - 3 Professor of Health Information Management Department, School of Management and Medical Information Sciences, Iran University of Medical Sciences, Tehran, Iran - 4 Health management and economics research </w:t>
      </w:r>
      <w:proofErr w:type="spellStart"/>
      <w:r>
        <w:t>center</w:t>
      </w:r>
      <w:proofErr w:type="spellEnd"/>
      <w:r>
        <w:t>, Iran University of medical sciences, Tehran, Iran</w:t>
      </w:r>
    </w:p>
    <w:p w:rsidR="0056735B" w:rsidRDefault="0056735B" w:rsidP="00DA7ED1">
      <w:pPr>
        <w:autoSpaceDE w:val="0"/>
        <w:autoSpaceDN w:val="0"/>
        <w:adjustRightInd w:val="0"/>
        <w:spacing w:after="0" w:line="240" w:lineRule="auto"/>
      </w:pPr>
    </w:p>
    <w:p w:rsidR="0056735B" w:rsidRDefault="0056735B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3C38ABC2" wp14:editId="65220DB6">
            <wp:simplePos x="0" y="0"/>
            <wp:positionH relativeFrom="column">
              <wp:posOffset>104775</wp:posOffset>
            </wp:positionH>
            <wp:positionV relativeFrom="page">
              <wp:posOffset>4686300</wp:posOffset>
            </wp:positionV>
            <wp:extent cx="4486275" cy="549402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13591" r="55795" b="4274"/>
                    <a:stretch/>
                  </pic:blipFill>
                  <pic:spPr bwMode="auto">
                    <a:xfrm>
                      <a:off x="0" y="0"/>
                      <a:ext cx="4486275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56735B" w:rsidRDefault="0056735B" w:rsidP="00DA7ED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sz w:val="27"/>
          <w:szCs w:val="13"/>
        </w:rPr>
      </w:pPr>
      <w:r w:rsidRPr="0056735B">
        <w:rPr>
          <w:rFonts w:ascii="SourceSansPro-Regular" w:hAnsi="SourceSansPro-Regular" w:cs="SourceSansPro-Regular"/>
          <w:color w:val="333333"/>
          <w:sz w:val="27"/>
          <w:szCs w:val="13"/>
        </w:rPr>
        <w:lastRenderedPageBreak/>
        <w:t>Paper 2</w:t>
      </w:r>
    </w:p>
    <w:p w:rsidR="0056735B" w:rsidRDefault="0056735B" w:rsidP="00DA7ED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sz w:val="27"/>
          <w:szCs w:val="13"/>
        </w:rPr>
      </w:pPr>
    </w:p>
    <w:p w:rsidR="0056735B" w:rsidRPr="0056735B" w:rsidRDefault="0056735B" w:rsidP="0056735B">
      <w:pPr>
        <w:shd w:val="clear" w:color="auto" w:fill="FCFCFC"/>
        <w:spacing w:after="240" w:line="240" w:lineRule="auto"/>
        <w:outlineLvl w:val="0"/>
        <w:rPr>
          <w:rFonts w:eastAsia="Times New Roman" w:cstheme="minorHAnsi"/>
          <w:b/>
          <w:color w:val="333333"/>
          <w:kern w:val="36"/>
          <w:sz w:val="24"/>
          <w:szCs w:val="24"/>
          <w:lang w:eastAsia="en-IE"/>
        </w:rPr>
      </w:pPr>
      <w:r w:rsidRPr="0056735B">
        <w:rPr>
          <w:rFonts w:eastAsia="Times New Roman" w:cstheme="minorHAnsi"/>
          <w:b/>
          <w:color w:val="333333"/>
          <w:kern w:val="36"/>
          <w:sz w:val="24"/>
          <w:szCs w:val="24"/>
          <w:lang w:eastAsia="en-IE"/>
        </w:rPr>
        <w:t>Discovering Data Quality Problems</w:t>
      </w:r>
    </w:p>
    <w:p w:rsidR="0056735B" w:rsidRDefault="0056735B" w:rsidP="00172941">
      <w:pPr>
        <w:shd w:val="clear" w:color="auto" w:fill="FCFCFC"/>
        <w:spacing w:after="240" w:line="240" w:lineRule="auto"/>
        <w:outlineLvl w:val="0"/>
        <w:rPr>
          <w:rFonts w:ascii="SourceSansPro-Regular" w:hAnsi="SourceSansPro-Regular" w:cs="SourceSansPro-Regular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Zhang, R.,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Indulska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M.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Sadiq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S. Discovering Data Quality Problems.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Bus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Inf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Syst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Eng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61, </w:t>
      </w:r>
      <w:r>
        <w:rPr>
          <w:rFonts w:ascii="Segoe UI" w:hAnsi="Segoe UI" w:cs="Segoe UI"/>
          <w:color w:val="333333"/>
          <w:shd w:val="clear" w:color="auto" w:fill="FCFCFC"/>
        </w:rPr>
        <w:t>575–593 (2019). https://doi.org/10.1007/s12599-019-00608-0</w:t>
      </w:r>
    </w:p>
    <w:p w:rsidR="00DA7ED1" w:rsidRPr="00172941" w:rsidRDefault="0056735B" w:rsidP="0017294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sz w:val="13"/>
          <w:szCs w:val="13"/>
        </w:rPr>
      </w:pPr>
      <w:r w:rsidRPr="0056735B">
        <w:rPr>
          <w:rFonts w:ascii="SourceSansPro-Regular" w:hAnsi="SourceSansPro-Regular" w:cs="SourceSansPro-Regular"/>
          <w:color w:val="333333"/>
          <w:sz w:val="13"/>
          <w:szCs w:val="13"/>
        </w:rPr>
        <w:t>https://link-springer-com.elib.tcd.ie/article/10.1007/s12599-019-00608-0</w:t>
      </w:r>
    </w:p>
    <w:tbl>
      <w:tblPr>
        <w:tblW w:w="8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56"/>
        <w:gridCol w:w="5984"/>
      </w:tblGrid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6E6E6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Dimension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E6E6E6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Description</w:t>
            </w:r>
          </w:p>
        </w:tc>
      </w:tr>
      <w:tr w:rsidR="00172941" w:rsidRPr="00172941" w:rsidTr="00172941">
        <w:trPr>
          <w:trHeight w:val="334"/>
        </w:trPr>
        <w:tc>
          <w:tcPr>
            <w:tcW w:w="864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rPr>
                <w:i/>
                <w:iCs/>
              </w:rPr>
              <w:t>Completeness</w:t>
            </w:r>
          </w:p>
        </w:tc>
      </w:tr>
      <w:tr w:rsidR="00172941" w:rsidRPr="00172941" w:rsidTr="00172941">
        <w:trPr>
          <w:trHeight w:val="805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Completeness of mandatory attributes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The attributes which are mandatory for a complete representation of a real-world entity must contain values and cannot be null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Completeness of optional attributes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Optional attributes should not contain invalid null values</w:t>
            </w:r>
          </w:p>
        </w:tc>
      </w:tr>
      <w:tr w:rsidR="00172941" w:rsidRPr="00172941" w:rsidTr="00172941">
        <w:trPr>
          <w:trHeight w:val="334"/>
        </w:trPr>
        <w:tc>
          <w:tcPr>
            <w:tcW w:w="864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rPr>
                <w:i/>
                <w:iCs/>
              </w:rPr>
              <w:t>Accuracy</w:t>
            </w:r>
          </w:p>
        </w:tc>
      </w:tr>
      <w:tr w:rsidR="00172941" w:rsidRPr="00172941" w:rsidTr="00172941">
        <w:trPr>
          <w:trHeight w:val="570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Precision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Attribute values should be accurate as per linguistics and granularity</w:t>
            </w:r>
          </w:p>
        </w:tc>
      </w:tr>
      <w:tr w:rsidR="00172941" w:rsidRPr="00172941" w:rsidTr="00172941">
        <w:trPr>
          <w:trHeight w:val="334"/>
        </w:trPr>
        <w:tc>
          <w:tcPr>
            <w:tcW w:w="864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rPr>
                <w:i/>
                <w:iCs/>
              </w:rPr>
              <w:t>Validity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Business rule compliance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should comply with business rules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Meta-data compliance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should comply with its meta-data</w:t>
            </w:r>
          </w:p>
        </w:tc>
      </w:tr>
      <w:tr w:rsidR="00172941" w:rsidRPr="00172941" w:rsidTr="00172941">
        <w:trPr>
          <w:trHeight w:val="334"/>
        </w:trPr>
        <w:tc>
          <w:tcPr>
            <w:tcW w:w="864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rPr>
                <w:i/>
                <w:iCs/>
              </w:rPr>
              <w:t>Consistency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Uniqueness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The data is uniquely identifiable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Non-redundancy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The data is recorded in exactly one place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Semantic consistency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is semantically consistent</w:t>
            </w:r>
          </w:p>
        </w:tc>
      </w:tr>
      <w:tr w:rsidR="00172941" w:rsidRPr="00172941" w:rsidTr="00172941">
        <w:trPr>
          <w:trHeight w:val="570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Value consistency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values are consistent and do not provide conflicting or heterogeneous instances</w:t>
            </w:r>
          </w:p>
        </w:tc>
      </w:tr>
      <w:tr w:rsidR="00172941" w:rsidRPr="00172941" w:rsidTr="00172941">
        <w:trPr>
          <w:trHeight w:val="334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Format consistency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formats are consistently used</w:t>
            </w:r>
          </w:p>
        </w:tc>
      </w:tr>
      <w:tr w:rsidR="00172941" w:rsidRPr="00172941" w:rsidTr="00172941">
        <w:trPr>
          <w:trHeight w:val="570"/>
        </w:trPr>
        <w:tc>
          <w:tcPr>
            <w:tcW w:w="2656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 Referential integrity</w:t>
            </w:r>
          </w:p>
        </w:tc>
        <w:tc>
          <w:tcPr>
            <w:tcW w:w="598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D5D5D5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hideMark/>
          </w:tcPr>
          <w:p w:rsidR="00172941" w:rsidRPr="00172941" w:rsidRDefault="00172941" w:rsidP="00172941">
            <w:r w:rsidRPr="00172941">
              <w:t>Data relationships are represented through referential integrity rules</w:t>
            </w:r>
          </w:p>
        </w:tc>
      </w:tr>
    </w:tbl>
    <w:p w:rsidR="00172941" w:rsidRDefault="00172941"/>
    <w:p w:rsidR="00172941" w:rsidRDefault="00172941"/>
    <w:p w:rsidR="0056735B" w:rsidRDefault="0056735B"/>
    <w:p w:rsidR="0056735B" w:rsidRDefault="0056735B"/>
    <w:p w:rsidR="00DA7ED1" w:rsidRPr="0056735B" w:rsidRDefault="0056735B">
      <w:pPr>
        <w:rPr>
          <w:b/>
        </w:rPr>
      </w:pPr>
      <w:r w:rsidRPr="0056735B">
        <w:rPr>
          <w:b/>
        </w:rPr>
        <w:t xml:space="preserve">Notes </w:t>
      </w:r>
    </w:p>
    <w:p w:rsidR="0056735B" w:rsidRDefault="0056735B">
      <w:proofErr w:type="spellStart"/>
      <w:r>
        <w:t>OpenEHR</w:t>
      </w:r>
      <w:proofErr w:type="spellEnd"/>
      <w:r>
        <w:t xml:space="preserve"> is seen as a gold standard dictionary of definitions of electronic record fragments. These fragments can be communicated from system to system once the definitions are available.</w:t>
      </w:r>
    </w:p>
    <w:p w:rsidR="0056735B" w:rsidRDefault="0056735B"/>
    <w:p w:rsidR="0056735B" w:rsidRDefault="0056735B">
      <w:r>
        <w:t xml:space="preserve">There are a number of quality dimensions that require certain information to be captured in health information systems. </w:t>
      </w:r>
    </w:p>
    <w:p w:rsidR="0056735B" w:rsidRDefault="0056735B">
      <w:r>
        <w:t>This project is going to analyse the archetype definitions to explore some of these quality dimensions.</w:t>
      </w:r>
    </w:p>
    <w:p w:rsidR="003C5A1E" w:rsidRDefault="001742C5">
      <w:r>
        <w:t>Suggested items to e</w:t>
      </w:r>
      <w:r w:rsidR="003C5A1E">
        <w:t xml:space="preserve">xtract from the </w:t>
      </w:r>
      <w:proofErr w:type="spellStart"/>
      <w:r w:rsidR="003C5A1E">
        <w:t>OpenEHR</w:t>
      </w:r>
      <w:proofErr w:type="spellEnd"/>
      <w:r w:rsidR="003C5A1E">
        <w:t xml:space="preserve"> </w:t>
      </w:r>
      <w:r>
        <w:t>Clinic Knowledge Manager (CKM)</w:t>
      </w:r>
    </w:p>
    <w:p w:rsidR="003C5A1E" w:rsidRDefault="003C5A1E"/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2671"/>
        <w:gridCol w:w="4276"/>
        <w:gridCol w:w="2693"/>
      </w:tblGrid>
      <w:tr w:rsidR="00172941" w:rsidTr="00172941">
        <w:tc>
          <w:tcPr>
            <w:tcW w:w="2671" w:type="dxa"/>
          </w:tcPr>
          <w:p w:rsidR="00172941" w:rsidRDefault="00172941">
            <w:r>
              <w:t xml:space="preserve">Extract from </w:t>
            </w:r>
            <w:proofErr w:type="spellStart"/>
            <w:r>
              <w:t>OpenEHR</w:t>
            </w:r>
            <w:proofErr w:type="spellEnd"/>
          </w:p>
        </w:tc>
        <w:tc>
          <w:tcPr>
            <w:tcW w:w="4276" w:type="dxa"/>
          </w:tcPr>
          <w:p w:rsidR="00172941" w:rsidRDefault="00172941">
            <w:r>
              <w:t>Rational</w:t>
            </w:r>
          </w:p>
        </w:tc>
        <w:tc>
          <w:tcPr>
            <w:tcW w:w="2693" w:type="dxa"/>
          </w:tcPr>
          <w:p w:rsidR="00172941" w:rsidRDefault="00172941">
            <w:r>
              <w:t>Related Quality Dimension</w:t>
            </w:r>
          </w:p>
        </w:tc>
      </w:tr>
      <w:tr w:rsidR="00172941" w:rsidTr="00172941">
        <w:tc>
          <w:tcPr>
            <w:tcW w:w="2671" w:type="dxa"/>
          </w:tcPr>
          <w:p w:rsidR="00172941" w:rsidRDefault="00172941">
            <w:r>
              <w:t xml:space="preserve">The data types of the contents of the archetype </w:t>
            </w:r>
          </w:p>
        </w:tc>
        <w:tc>
          <w:tcPr>
            <w:tcW w:w="4276" w:type="dxa"/>
          </w:tcPr>
          <w:p w:rsidR="00172941" w:rsidRDefault="00172941">
            <w:r>
              <w:t>Structured data is far easier to analyse for machines</w:t>
            </w:r>
          </w:p>
        </w:tc>
        <w:tc>
          <w:tcPr>
            <w:tcW w:w="2693" w:type="dxa"/>
          </w:tcPr>
          <w:p w:rsidR="00172941" w:rsidRDefault="00172941">
            <w:proofErr w:type="spellStart"/>
            <w:r>
              <w:t>Understandability</w:t>
            </w:r>
            <w:proofErr w:type="spellEnd"/>
          </w:p>
        </w:tc>
      </w:tr>
      <w:tr w:rsidR="00172941" w:rsidTr="00172941">
        <w:tc>
          <w:tcPr>
            <w:tcW w:w="2671" w:type="dxa"/>
          </w:tcPr>
          <w:p w:rsidR="00172941" w:rsidRDefault="00172941" w:rsidP="003C5A1E">
            <w:r>
              <w:t>The number of time-related entries in the archetypes</w:t>
            </w:r>
          </w:p>
        </w:tc>
        <w:tc>
          <w:tcPr>
            <w:tcW w:w="4276" w:type="dxa"/>
          </w:tcPr>
          <w:p w:rsidR="00172941" w:rsidRDefault="00172941">
            <w:r>
              <w:t xml:space="preserve">Time and granularity of time are important in a number of use cases e.g. </w:t>
            </w:r>
          </w:p>
          <w:p w:rsidR="00172941" w:rsidRDefault="00172941">
            <w:r>
              <w:t>To track disease progression</w:t>
            </w:r>
          </w:p>
          <w:p w:rsidR="00172941" w:rsidRDefault="00172941">
            <w:r>
              <w:t>Medication management</w:t>
            </w:r>
          </w:p>
          <w:p w:rsidR="00172941" w:rsidRDefault="00172941">
            <w:r>
              <w:t>To track impact of interventions</w:t>
            </w:r>
          </w:p>
          <w:p w:rsidR="00172941" w:rsidRDefault="00172941">
            <w:r>
              <w:t>Medico legal reasons when trying to determine order of recording.</w:t>
            </w:r>
          </w:p>
        </w:tc>
        <w:tc>
          <w:tcPr>
            <w:tcW w:w="2693" w:type="dxa"/>
          </w:tcPr>
          <w:p w:rsidR="00172941" w:rsidRDefault="00172941">
            <w:r>
              <w:t>Timeliness</w:t>
            </w:r>
          </w:p>
        </w:tc>
      </w:tr>
      <w:tr w:rsidR="00172941" w:rsidTr="00172941">
        <w:tc>
          <w:tcPr>
            <w:tcW w:w="2671" w:type="dxa"/>
          </w:tcPr>
          <w:p w:rsidR="00172941" w:rsidRDefault="00172941">
            <w:r>
              <w:t>The number of languages used in archetypes</w:t>
            </w:r>
          </w:p>
        </w:tc>
        <w:tc>
          <w:tcPr>
            <w:tcW w:w="4276" w:type="dxa"/>
          </w:tcPr>
          <w:p w:rsidR="00172941" w:rsidRDefault="00172941"/>
        </w:tc>
        <w:tc>
          <w:tcPr>
            <w:tcW w:w="2693" w:type="dxa"/>
          </w:tcPr>
          <w:p w:rsidR="00172941" w:rsidRDefault="00172941">
            <w:r>
              <w:t>Format</w:t>
            </w:r>
          </w:p>
        </w:tc>
      </w:tr>
      <w:tr w:rsidR="00172941" w:rsidTr="00172941">
        <w:tc>
          <w:tcPr>
            <w:tcW w:w="2671" w:type="dxa"/>
          </w:tcPr>
          <w:p w:rsidR="00172941" w:rsidRDefault="00172941">
            <w:r>
              <w:t>Source of archetype</w:t>
            </w:r>
          </w:p>
        </w:tc>
        <w:tc>
          <w:tcPr>
            <w:tcW w:w="4276" w:type="dxa"/>
          </w:tcPr>
          <w:p w:rsidR="00172941" w:rsidRDefault="00172941">
            <w:r>
              <w:t xml:space="preserve">Provenance </w:t>
            </w:r>
          </w:p>
        </w:tc>
        <w:tc>
          <w:tcPr>
            <w:tcW w:w="2693" w:type="dxa"/>
          </w:tcPr>
          <w:p w:rsidR="00172941" w:rsidRDefault="00172941">
            <w:r>
              <w:t>Reputation</w:t>
            </w:r>
          </w:p>
        </w:tc>
      </w:tr>
      <w:tr w:rsidR="00172941" w:rsidTr="00172941">
        <w:tc>
          <w:tcPr>
            <w:tcW w:w="2671" w:type="dxa"/>
          </w:tcPr>
          <w:p w:rsidR="00172941" w:rsidRDefault="00172941">
            <w:r>
              <w:t>Coding system used</w:t>
            </w:r>
          </w:p>
        </w:tc>
        <w:tc>
          <w:tcPr>
            <w:tcW w:w="4276" w:type="dxa"/>
          </w:tcPr>
          <w:p w:rsidR="00172941" w:rsidRDefault="00172941">
            <w:r>
              <w:t>Coding systems are used to avoid confusion in interpretation of data</w:t>
            </w:r>
          </w:p>
        </w:tc>
        <w:tc>
          <w:tcPr>
            <w:tcW w:w="2693" w:type="dxa"/>
          </w:tcPr>
          <w:p w:rsidR="00172941" w:rsidRDefault="00172941">
            <w:r>
              <w:t>Representational</w:t>
            </w:r>
          </w:p>
        </w:tc>
      </w:tr>
    </w:tbl>
    <w:p w:rsidR="003C5A1E" w:rsidRDefault="003C5A1E">
      <w:bookmarkStart w:id="0" w:name="_GoBack"/>
      <w:bookmarkEnd w:id="0"/>
    </w:p>
    <w:sectPr w:rsidR="003C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te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1E"/>
    <w:rsid w:val="00172941"/>
    <w:rsid w:val="001742C5"/>
    <w:rsid w:val="001A592A"/>
    <w:rsid w:val="003C5A1E"/>
    <w:rsid w:val="0056735B"/>
    <w:rsid w:val="00D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DC8F"/>
  <w15:chartTrackingRefBased/>
  <w15:docId w15:val="{E40238CF-0C7C-424F-97DC-38D088BA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3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735B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unhideWhenUsed/>
    <w:rsid w:val="00567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7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4015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Discovering Data Quality Problems</vt:lpstr>
      <vt:lpstr>Zhang, R., Indulska, M. &amp; Sadiq, S. Discovering Data Quality Problems. Bus Inf S</vt:lpstr>
    </vt:vector>
  </TitlesOfParts>
  <Company>Microsoft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 Stephens</dc:creator>
  <cp:keywords/>
  <dc:description/>
  <cp:lastModifiedBy>Gaye Stephens</cp:lastModifiedBy>
  <cp:revision>2</cp:revision>
  <dcterms:created xsi:type="dcterms:W3CDTF">2022-02-16T16:14:00Z</dcterms:created>
  <dcterms:modified xsi:type="dcterms:W3CDTF">2022-02-16T16:56:00Z</dcterms:modified>
</cp:coreProperties>
</file>