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b/>
          <w:bCs/>
          <w:color w:val="1F3864"/>
          <w:sz w:val="40"/>
          <w:szCs w:val="40"/>
        </w:rPr>
        <w:t xml:space="preserve">Teaching Cancer Biology with BioMentis</w:t>
      </w:r>
    </w:p>
    <w:p>
      <w:pPr>
        <w:spacing w:after="90"/>
      </w:pPr>
      <w:r>
        <w:rPr>
          <w:i/>
          <w:iCs/>
          <w:color w:val="5B6570"/>
          <w:sz w:val="20"/>
          <w:szCs w:val="20"/>
        </w:rPr>
        <w:t xml:space="preserve">A brainstorm &amp; starting guide for high school instructors</w:t>
      </w:r>
    </w:p>
    <w:p>
      <w:pPr>
        <w:pBdr>
          <w:bottom w:val="single" w:color="0E7C7B" w:sz="6"/>
        </w:pBdr>
        <w:spacing w:after="160" w:before="100"/>
      </w:pPr>
    </w:p>
    <w:p>
      <w:pPr>
        <w:spacing w:after="70" w:before="180"/>
      </w:pPr>
      <w:r>
        <w:rPr>
          <w:b/>
          <w:bCs/>
          <w:color w:val="1F3864"/>
          <w:sz w:val="21"/>
          <w:szCs w:val="21"/>
        </w:rPr>
        <w:t xml:space="preserve">Real cancer data, already connected — no add-ons needed</w:t>
      </w:r>
    </w:p>
    <w:p>
      <w:pPr>
        <w:spacing w:after="100" w:line="250"/>
      </w:pPr>
      <w:r>
        <w:rPr>
          <w:sz w:val="19"/>
          <w:szCs w:val="19"/>
        </w:rPr>
        <w:t xml:space="preserve">BioMentis already makes live, real queries to ClinVar (clinical mutation records), cBioPortal (real TCGA tumor cohorts), UniProt, PDB, gnomAD, KEGG, STRING, and PubMed — no extra database access is required to teach cancer biology. This has already been demonstrated end-to-end on a real gene: a prior run pulled the real p53 protein sequence, real pathogenic patient mutations from ClinVar, and mapped them onto the exact residues of a real 3D structure. Licensing is fine for classroom (non-commercial) use.</w:t>
      </w:r>
    </w:p>
    <w:p>
      <w:pPr>
        <w:spacing w:after="100" w:line="250"/>
      </w:pPr>
      <w:r>
        <w:rPr>
          <w:color w:val="5B6570"/>
          <w:sz w:val="19"/>
          <w:szCs w:val="19"/>
        </w:rPr>
        <w:t xml:space="preserve">One real gap: there's no 3D structure viewer yet. BioMentis can find a mutation's exact residue but can't display it. Adding a viewer (py3Dmol or NGLview) is the one addition worth making for this audience — seeing a mutation highlighted on the protein is a strong teaching moment.</w:t>
      </w:r>
    </w:p>
    <w:p>
      <w:pPr>
        <w:spacing w:after="70" w:before="180"/>
      </w:pPr>
      <w:r>
        <w:rPr>
          <w:b/>
          <w:bCs/>
          <w:color w:val="1F3864"/>
          <w:sz w:val="21"/>
          <w:szCs w:val="21"/>
        </w:rPr>
        <w:t xml:space="preserve">Fitting whatever you already teach</w:t>
      </w:r>
    </w:p>
    <w:p>
      <w:pPr>
        <w:spacing w:after="100" w:line="250"/>
      </w:pPr>
      <w:r>
        <w:rPr>
          <w:sz w:val="19"/>
          <w:szCs w:val="19"/>
        </w:rPr>
        <w:t xml:space="preserve">You don't need to match a fixed cancer-biology syllabus. Upload your own material — textbook chapter, slides, a state-standards excerpt — to BioMentis's per-session knowledge base, and its explanations and chat ground themselves strictly in that material. Upload a custom rubric (e.g. built from your NGSS objectives) and its Bloom's/DOK tagging follows your objectives instead of a generic default.</w:t>
      </w:r>
    </w:p>
    <w:p>
      <w:pPr>
        <w:spacing w:after="70" w:before="180"/>
      </w:pPr>
      <w:r>
        <w:rPr>
          <w:b/>
          <w:bCs/>
          <w:color w:val="1F3864"/>
          <w:sz w:val="21"/>
          <w:szCs w:val="21"/>
        </w:rPr>
        <w:t xml:space="preserve">Ready-to-run lesson ideas</w:t>
      </w:r>
    </w:p>
    <w:p>
      <w:pPr>
        <w:pStyle w:val="ListParagraph"/>
        <w:numPr>
          <w:ilvl w:val="0"/>
          <w:numId w:val="1"/>
        </w:numPr>
        <w:spacing w:after="55" w:line="240"/>
      </w:pPr>
      <w:r>
        <w:rPr>
          <w:b/>
          <w:bCs/>
          <w:sz w:val="19"/>
          <w:szCs w:val="19"/>
        </w:rPr>
        <w:t xml:space="preserve">Meet a real tumor suppressor (TP53): </w:t>
      </w:r>
      <w:r>
        <w:rPr>
          <w:sz w:val="19"/>
          <w:szCs w:val="19"/>
        </w:rPr>
        <w:t xml:space="preserve">replay the existing p53 pipeline — real sequence, real patient mutations, real structure — showing exactly where a mutation sits in the protein.</w:t>
      </w:r>
    </w:p>
    <w:p>
      <w:pPr>
        <w:pStyle w:val="ListParagraph"/>
        <w:numPr>
          <w:ilvl w:val="0"/>
          <w:numId w:val="1"/>
        </w:numPr>
        <w:spacing w:after="55" w:line="240"/>
      </w:pPr>
      <w:r>
        <w:rPr>
          <w:b/>
          <w:bCs/>
          <w:sz w:val="19"/>
          <w:szCs w:val="19"/>
        </w:rPr>
        <w:t xml:space="preserve">Oncogene vs. tumor suppressor: </w:t>
      </w:r>
      <w:r>
        <w:rPr>
          <w:sz w:val="19"/>
          <w:szCs w:val="19"/>
        </w:rPr>
        <w:t xml:space="preserve">compare mutation frequency for a chosen gene (TP53, RB1, BRCA1/2, KRAS, MYC, EGFR) across real cancer-type cohorts via cBioPortal.</w:t>
      </w:r>
    </w:p>
    <w:p>
      <w:pPr>
        <w:pStyle w:val="ListParagraph"/>
        <w:numPr>
          <w:ilvl w:val="0"/>
          <w:numId w:val="1"/>
        </w:numPr>
        <w:spacing w:after="55" w:line="240"/>
      </w:pPr>
      <w:r>
        <w:rPr>
          <w:b/>
          <w:bCs/>
          <w:sz w:val="19"/>
          <w:szCs w:val="19"/>
        </w:rPr>
        <w:t xml:space="preserve">PubMed detective: </w:t>
      </w:r>
      <w:r>
        <w:rPr>
          <w:sz w:val="19"/>
          <w:szCs w:val="19"/>
        </w:rPr>
        <w:t xml:space="preserve">students pick a topic (e.g. "immunotherapy melanoma") and have BioMentis search and summarize real recent literature, with instructional mode explaining how to read an abstract.</w:t>
      </w:r>
    </w:p>
    <w:p>
      <w:pPr>
        <w:pStyle w:val="ListParagraph"/>
        <w:numPr>
          <w:ilvl w:val="0"/>
          <w:numId w:val="1"/>
        </w:numPr>
        <w:spacing w:after="55" w:line="240"/>
      </w:pPr>
      <w:r>
        <w:rPr>
          <w:b/>
          <w:bCs/>
          <w:sz w:val="19"/>
          <w:szCs w:val="19"/>
        </w:rPr>
        <w:t xml:space="preserve">Population genetics of risk: </w:t>
      </w:r>
      <w:r>
        <w:rPr>
          <w:sz w:val="19"/>
          <w:szCs w:val="19"/>
        </w:rPr>
        <w:t xml:space="preserve">gnomAD allele-frequency lookups for BRCA1/2 to discuss inherited risk, genetic testing, and health equity.</w:t>
      </w:r>
    </w:p>
    <w:p>
      <w:pPr>
        <w:pStyle w:val="ListParagraph"/>
        <w:numPr>
          <w:ilvl w:val="0"/>
          <w:numId w:val="1"/>
        </w:numPr>
        <w:spacing w:after="55" w:line="240"/>
      </w:pPr>
      <w:r>
        <w:rPr>
          <w:b/>
          <w:bCs/>
          <w:sz w:val="19"/>
          <w:szCs w:val="19"/>
        </w:rPr>
        <w:t xml:space="preserve">Pathway mapping: </w:t>
      </w:r>
      <w:r>
        <w:rPr>
          <w:sz w:val="19"/>
          <w:szCs w:val="19"/>
        </w:rPr>
        <w:t xml:space="preserve">KEGG/STRING queries showing how an oncogene's protein sits in a signaling pathway (e.g. RAS–MAPK) — a systems-level way into the "hallmarks of cancer."</w:t>
      </w:r>
    </w:p>
    <w:p>
      <w:pPr>
        <w:pStyle w:val="ListParagraph"/>
        <w:numPr>
          <w:ilvl w:val="0"/>
          <w:numId w:val="1"/>
        </w:numPr>
        <w:spacing w:after="55" w:line="240"/>
      </w:pPr>
      <w:r>
        <w:rPr>
          <w:b/>
          <w:bCs/>
          <w:sz w:val="19"/>
          <w:szCs w:val="19"/>
        </w:rPr>
        <w:t xml:space="preserve">Critique the hypothesis: </w:t>
      </w:r>
      <w:r>
        <w:rPr>
          <w:sz w:val="19"/>
          <w:szCs w:val="19"/>
        </w:rPr>
        <w:t xml:space="preserve">demonstrate self-critique mode on a student-proposed experiment — a visible model of scientific self-correction, mapping to NGSS science practices, not just content.</w:t>
      </w:r>
    </w:p>
    <w:p>
      <w:pPr>
        <w:spacing w:after="70" w:before="180"/>
      </w:pPr>
      <w:r>
        <w:rPr>
          <w:b/>
          <w:bCs/>
          <w:color w:val="1F3864"/>
          <w:sz w:val="21"/>
          <w:szCs w:val="21"/>
        </w:rPr>
        <w:t xml:space="preserve">Running it in a classroom of 30</w:t>
      </w:r>
    </w:p>
    <w:p>
      <w:pPr>
        <w:pStyle w:val="ListParagraph"/>
        <w:numPr>
          <w:ilvl w:val="0"/>
          <w:numId w:val="1"/>
        </w:numPr>
        <w:spacing w:after="55" w:line="240"/>
      </w:pPr>
      <w:r>
        <w:rPr>
          <w:sz w:val="19"/>
          <w:szCs w:val="19"/>
        </w:rPr>
        <w:t xml:space="preserve">Pre-run the heavier database pipelines before class and walk through the recovered transcript live, rather than depending on live API latency in front of students.</w:t>
      </w:r>
    </w:p>
    <w:p>
      <w:pPr>
        <w:pStyle w:val="ListParagraph"/>
        <w:numPr>
          <w:ilvl w:val="0"/>
          <w:numId w:val="1"/>
        </w:numPr>
        <w:spacing w:after="55" w:line="240"/>
      </w:pPr>
      <w:r>
        <w:rPr>
          <w:sz w:val="19"/>
          <w:szCs w:val="19"/>
        </w:rPr>
        <w:t xml:space="preserve">Scaffold student prompts as short "prompt cards" per activity rather than a fully open chat box, especially for less-experienced students.</w:t>
      </w:r>
    </w:p>
    <w:p>
      <w:pPr>
        <w:pStyle w:val="ListParagraph"/>
        <w:numPr>
          <w:ilvl w:val="0"/>
          <w:numId w:val="1"/>
        </w:numPr>
        <w:spacing w:after="55" w:line="240"/>
      </w:pPr>
      <w:r>
        <w:rPr>
          <w:sz w:val="19"/>
          <w:szCs w:val="19"/>
        </w:rPr>
        <w:t xml:space="preserve">The session-log export gives a per-student record of what was asked and at what Bloom level — an easy participation or exit-ticket grade.</w:t>
      </w:r>
    </w:p>
    <w:sectPr>
      <w:pgSz w:w="12240" w:h="15840" w:orient="portrait"/>
      <w:pgMar w:top="620" w:right="860" w:bottom="620" w:left="8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2026-09-02T16:52:42.202Z</dcterms:created>
  <dcterms:modified xsi:type="dcterms:W3CDTF">2026-09-02T16:52:42.202Z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