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44"/>
          <w:szCs w:val="44"/>
        </w:rPr>
        <w:t xml:space="preserve">BioMentis</w:t>
      </w:r>
    </w:p>
    <w:p>
      <w:pPr>
        <w:spacing w:after="100"/>
      </w:pPr>
      <w:r>
        <w:rPr>
          <w:i/>
          <w:iCs/>
          <w:color w:val="5B6570"/>
          <w:sz w:val="21"/>
          <w:szCs w:val="21"/>
        </w:rPr>
        <w:t xml:space="preserve">An AI research and teaching agent for biology, biochemistry, and biotechnology</w:t>
      </w:r>
    </w:p>
    <w:p>
      <w:pPr>
        <w:pBdr>
          <w:bottom w:val="single" w:color="0E7C7B" w:sz="6"/>
        </w:pBdr>
        <w:spacing w:after="160" w:before="120"/>
      </w:pP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What it is</w:t>
      </w:r>
    </w:p>
    <w:p>
      <w:pPr>
        <w:spacing w:after="120" w:line="264"/>
      </w:pPr>
      <w:r>
        <w:rPr>
          <w:sz w:val="20"/>
          <w:szCs w:val="20"/>
        </w:rPr>
        <w:t xml:space="preserve">BioMentis is a domain-specialized AI agent for the life sciences. It combines large-language-model reasoning with code execution and a library of biomedical research tools, so it can plan a scientific task, write and run the code to carry it out, and explain what it did. BioMentis is built on </w:t>
      </w:r>
      <w:r>
        <w:rPr>
          <w:b/>
          <w:bCs/>
          <w:sz w:val="20"/>
          <w:szCs w:val="20"/>
        </w:rPr>
        <w:t xml:space="preserve">Biomni</w:t>
      </w:r>
      <w:r>
        <w:rPr>
          <w:sz w:val="20"/>
          <w:szCs w:val="20"/>
        </w:rPr>
        <w:t xml:space="preserve"> (Huang et al., 2025), an open-source biomedical AI agent framework from Stanford, and adds two things Biomni does not have: an </w:t>
      </w:r>
      <w:r>
        <w:rPr>
          <w:b/>
          <w:bCs/>
          <w:sz w:val="20"/>
          <w:szCs w:val="20"/>
        </w:rPr>
        <w:t xml:space="preserve">optional instructional layer</w:t>
      </w:r>
      <w:r>
        <w:rPr>
          <w:sz w:val="20"/>
          <w:szCs w:val="20"/>
        </w:rPr>
        <w:t xml:space="preserve"> for teaching, and </w:t>
      </w:r>
      <w:r>
        <w:rPr>
          <w:b/>
          <w:bCs/>
          <w:sz w:val="20"/>
          <w:szCs w:val="20"/>
        </w:rPr>
        <w:t xml:space="preserve">first-class support for local, offline language models</w:t>
      </w:r>
      <w:r>
        <w:rPr>
          <w:sz w:val="20"/>
          <w:szCs w:val="20"/>
        </w:rPr>
        <w:t xml:space="preserve"> via Ollama, so it can run without an internet connection or a paid API key.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What it does</w:t>
      </w:r>
    </w:p>
    <w:p>
      <w:pPr>
        <w:spacing w:after="120" w:line="264"/>
      </w:pPr>
      <w:r>
        <w:rPr>
          <w:sz w:val="20"/>
          <w:szCs w:val="20"/>
        </w:rPr>
        <w:t xml:space="preserve">At its core, BioMentis runs a reasoning-and-execution loop (built on LangGraph): given a natural-language research question, the agent plans a sequence of steps, calls specialized tools, writes and executes code against real data, and produces a traceable, reproducible result. It can optionally critique and revise its own answer before presenting it ("self-critic" mode). Domain tool libraries cover </w:t>
      </w:r>
      <w:r>
        <w:rPr>
          <w:i/>
          <w:iCs/>
          <w:sz w:val="20"/>
          <w:szCs w:val="20"/>
        </w:rPr>
        <w:t xml:space="preserve">genomics, molecular and cell biology, biochemistry, immunology, pharmacology, pathology, synthetic and systems biology, bioimaging, and laboratory protocols</w:t>
      </w:r>
      <w:r>
        <w:rPr>
          <w:sz w:val="20"/>
          <w:szCs w:val="20"/>
        </w:rPr>
        <w:t xml:space="preserve">, alongside literature search (PubMed/NCBI) and external database queries. Representative tasks demonstrated in this build include CRISPR screen design, phylogenetic and diagnostic primer design, nanobody-candidate ranking against a viral antigen, and ADMET property prediction from a molecule's structure.</w:t>
      </w:r>
    </w:p>
    <w:p>
      <w:pPr>
        <w:spacing w:after="120" w:line="264"/>
      </w:pPr>
      <w:r>
        <w:rPr>
          <w:sz w:val="20"/>
          <w:szCs w:val="20"/>
        </w:rPr>
        <w:t xml:space="preserve">The agent runs in a background thread with every step journaled to disk, so a long analysis survives an accidental click, a browser refresh, or a crash — any past run can be reopened, its transcript restored, and its generated code downloaded as a ready-to-run script.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How it can be used — Research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Acts as a computational collaborator that plans and executes multi-step bioinformatics workflows from a plain-language prompt, rather than requiring hand-written scripts for each step.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Queries live biomedical databases and literature (NCBI/Entrez, PubMed, and others) and reasons over the results alongside locally executed code and data.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Produces reproducible, inspectable artifacts — sequences, tables, figures, primer designs, structural analyses — with a full step-by-step trace of how each result was derived.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Runs entirely on local, offline models when data sensitivity, cost, or connectivity require it — useful for unpublished data or grant-constrained labs.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How it can be used — Education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An opt-in instructional layer overlays the same research agent with “teaching cards” for each reasoning step — what it did, why, what it assumes, and what to look for — each tagged to a Bloom's Taxonomy / Webb's DOK level, so students see expert reasoning made explicit rather than just a final answer.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Instructors can upload course material (PDF, slides, documents, or web links) to build a per-session knowledge base; the tutor's explanations and a companion chat are grounded strictly in that material, with citations.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Session activity — every teaching card and every student question, each classified against a rubric — is logged and exportable, supporting grading and learning analytics.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sz w:val="20"/>
          <w:szCs w:val="20"/>
        </w:rPr>
        <w:t xml:space="preserve">The same local-model support that benefits research labs also lets a classroom run BioMentis at no per-seat API cost and without sending student work to a third-party cloud.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Attribution &amp; licensing</w:t>
      </w:r>
    </w:p>
    <w:p>
      <w:pPr>
        <w:spacing w:after="60" w:line="240"/>
      </w:pPr>
      <w:r>
        <w:rPr>
          <w:color w:val="5B6570"/>
          <w:sz w:val="18"/>
          <w:szCs w:val="18"/>
        </w:rPr>
        <w:t xml:space="preserve">BioMentis is a derivative work of </w:t>
      </w:r>
      <w:r>
        <w:rPr>
          <w:b/>
          <w:bCs/>
          <w:color w:val="5B6570"/>
          <w:sz w:val="18"/>
          <w:szCs w:val="18"/>
        </w:rPr>
        <w:t xml:space="preserve">Biomni</w:t>
      </w:r>
      <w:r>
        <w:rPr>
          <w:color w:val="5B6570"/>
          <w:sz w:val="18"/>
          <w:szCs w:val="18"/>
        </w:rPr>
        <w:t xml:space="preserve"> (Huang et al., 2025, Stanford SNAP group). Biomni's agent, tools, evaluation benchmark, and Know-How library are reused under the Apache License 2.0; BioMentis's code is likewise Apache 2.0-licensed. The instructional layer (tutor, knowledge base, and critic) is original to BioMentis. Some third-party biomedical datasets bundled with the tool carry their own, more restrictive licenses (several are non-commercial-use only) — these are reviewed separately before any commercial use.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2026-09-02T15:29:32.335Z</dcterms:created>
  <dcterms:modified xsi:type="dcterms:W3CDTF">2026-09-02T15:29:32.355Z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