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left"/>
      </w:pPr>
      <w:r>
        <w:rPr>
          <w:b/>
          <w:bCs/>
          <w:color w:val="1F3864"/>
          <w:sz w:val="72"/>
          <w:szCs w:val="72"/>
        </w:rPr>
        <w:t xml:space="preserve">BioMentis</w:t>
      </w:r>
    </w:p>
    <w:p>
      <w:pPr>
        <w:spacing w:after="80" w:before="160"/>
      </w:pPr>
      <w:r>
        <w:rPr>
          <w:b/>
          <w:bCs/>
          <w:color w:val="0E7C7B"/>
          <w:sz w:val="40"/>
          <w:szCs w:val="40"/>
        </w:rPr>
        <w:t xml:space="preserve">User's Manual</w:t>
      </w:r>
    </w:p>
    <w:p>
      <w:pPr>
        <w:spacing w:after="3200" w:before="40"/>
      </w:pPr>
      <w:r>
        <w:rPr>
          <w:i/>
          <w:iCs/>
          <w:color w:val="5B6570"/>
          <w:sz w:val="22"/>
          <w:szCs w:val="22"/>
        </w:rPr>
        <w:t xml:space="preserve">An AI research and teaching agent for biology, biochemistry, and biotechnology</w:t>
      </w:r>
    </w:p>
    <w:p>
      <w:pPr>
        <w:pBdr>
          <w:top w:val="single" w:color="0E7C7B" w:sz="6"/>
        </w:pBdr>
        <w:spacing w:after="100" w:before="200"/>
      </w:pPr>
    </w:p>
    <w:p>
      <w:pPr>
        <w:spacing w:after="120" w:line="264"/>
      </w:pPr>
      <w:r>
        <w:rPr>
          <w:color w:val="5B6570"/>
          <w:sz w:val="19"/>
          <w:szCs w:val="19"/>
        </w:rPr>
        <w:t xml:space="preserve">Built on </w:t>
      </w:r>
      <w:r>
        <w:rPr>
          <w:b/>
          <w:bCs/>
          <w:color w:val="5B6570"/>
          <w:sz w:val="19"/>
          <w:szCs w:val="19"/>
        </w:rPr>
        <w:t xml:space="preserve">Biomni</w:t>
      </w:r>
      <w:r>
        <w:rPr>
          <w:color w:val="5B6570"/>
          <w:sz w:val="19"/>
          <w:szCs w:val="19"/>
        </w:rPr>
        <w:t xml:space="preserve"> (Huang et al., 2025) · Apache License 2.0</w:t>
      </w:r>
    </w:p>
    <w:p>
      <w:pPr>
        <w:spacing w:after="120" w:line="264"/>
      </w:pPr>
      <w:r>
        <w:rPr>
          <w:i/>
          <w:iCs/>
          <w:color w:val="5B6570"/>
          <w:sz w:val="19"/>
          <w:szCs w:val="19"/>
        </w:rPr>
        <w:t xml:space="preserve">Version: covers the current BioMentis build as of this writing.</w:t>
      </w:r>
    </w:p>
    <w:p>
      <w:pPr>
        <w:sectPr>
          <w:pgSz w:w="12240" w:h="15840" w:orient="portrait"/>
          <w:pgMar w:top="1440" w:right="1260" w:bottom="1440" w:left="1260" w:header="708" w:footer="708" w:gutter="0"/>
          <w:pgNumType/>
          <w:docGrid w:linePitch="360"/>
        </w:sectPr>
      </w:pPr>
    </w:p>
    <w:p>
      <w:pPr>
        <w:pStyle w:val="Heading1"/>
        <w:spacing w:after="140" w:before="360"/>
      </w:pPr>
      <w:r>
        <w:rPr>
          <w:b/>
          <w:bCs/>
          <w:color w:val="1F3864"/>
          <w:sz w:val="30"/>
          <w:szCs w:val="30"/>
        </w:rPr>
        <w:t xml:space="preserve">Contents</w:t>
      </w:r>
    </w:p>
    <w:p>
      <w:pPr>
        <w:spacing w:after="160"/>
      </w:pPr>
      <w:r>
        <w:rPr>
          <w:i/>
          <w:iCs/>
          <w:color w:val="5B6570"/>
          <w:sz w:val="17"/>
          <w:szCs w:val="17"/>
        </w:rPr>
        <w:t xml:space="preserve">(This table populates automatically when the document is opened in Word. If it appears empty, select it and press F9, or right-click and choose "Update Field.")</w:t>
      </w:r>
    </w:p>
    <w:sdt>
      <w:sdtPr>
        <w:alias w:val="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spacing w:after="140" w:before="360"/>
      </w:pPr>
      <w:r>
        <w:rPr>
          <w:b/>
          <w:bCs/>
          <w:color w:val="1F3864"/>
          <w:sz w:val="30"/>
          <w:szCs w:val="30"/>
        </w:rPr>
        <w:t xml:space="preserve">1. Introduction</w:t>
      </w:r>
    </w:p>
    <w:p>
      <w:pPr>
        <w:pStyle w:val="Heading2"/>
        <w:spacing w:after="100" w:before="260"/>
      </w:pPr>
      <w:r>
        <w:rPr>
          <w:b/>
          <w:bCs/>
          <w:color w:val="0E7C7B"/>
          <w:sz w:val="24"/>
          <w:szCs w:val="24"/>
        </w:rPr>
        <w:t xml:space="preserve">1.1 What BioMentis is</w:t>
      </w:r>
    </w:p>
    <w:p>
      <w:pPr>
        <w:spacing w:after="120" w:line="264"/>
      </w:pPr>
      <w:r>
        <w:rPr>
          <w:sz w:val="20"/>
          <w:szCs w:val="20"/>
        </w:rPr>
        <w:t xml:space="preserve">BioMentis is a domain-specialized AI agent for the life sciences. It combines large-language-model reasoning with code execution and a library of biomedical research tools, so it can plan a scientific task, write and run the code to carry it out, and explain what it did along the way.</w:t>
      </w:r>
    </w:p>
    <w:p>
      <w:pPr>
        <w:spacing w:after="120" w:line="264"/>
      </w:pPr>
      <w:r>
        <w:rPr>
          <w:sz w:val="20"/>
          <w:szCs w:val="20"/>
        </w:rPr>
        <w:t xml:space="preserve">BioMentis is built on </w:t>
      </w:r>
      <w:r>
        <w:rPr>
          <w:b/>
          <w:bCs/>
          <w:sz w:val="20"/>
          <w:szCs w:val="20"/>
        </w:rPr>
        <w:t xml:space="preserve">Biomni</w:t>
      </w:r>
      <w:r>
        <w:rPr>
          <w:sz w:val="20"/>
          <w:szCs w:val="20"/>
        </w:rPr>
        <w:t xml:space="preserve"> (Huang et al., 2025), an open-source biomedical AI agent framework from Stanford's SNAP group. It adds two capabilities Biomni does not have: an </w:t>
      </w:r>
      <w:r>
        <w:rPr>
          <w:b/>
          <w:bCs/>
          <w:sz w:val="20"/>
          <w:szCs w:val="20"/>
        </w:rPr>
        <w:t xml:space="preserve">optional instructional layer</w:t>
      </w:r>
      <w:r>
        <w:rPr>
          <w:sz w:val="20"/>
          <w:szCs w:val="20"/>
        </w:rPr>
        <w:t xml:space="preserve"> that turns the same research agent into a teaching tool, and </w:t>
      </w:r>
      <w:r>
        <w:rPr>
          <w:b/>
          <w:bCs/>
          <w:sz w:val="20"/>
          <w:szCs w:val="20"/>
        </w:rPr>
        <w:t xml:space="preserve">first-class support for local, offline language models</w:t>
      </w:r>
      <w:r>
        <w:rPr>
          <w:sz w:val="20"/>
          <w:szCs w:val="20"/>
        </w:rPr>
        <w:t xml:space="preserve"> through Ollama, so BioMentis can run without an internet connection or a paid API key. When the instructional layer is switched off, BioMentis behaves the same as upstream Biomni.</w:t>
      </w:r>
    </w:p>
    <w:p>
      <w:pPr>
        <w:pStyle w:val="Heading2"/>
        <w:spacing w:after="100" w:before="260"/>
      </w:pPr>
      <w:r>
        <w:rPr>
          <w:b/>
          <w:bCs/>
          <w:color w:val="0E7C7B"/>
          <w:sz w:val="24"/>
          <w:szCs w:val="24"/>
        </w:rPr>
        <w:t xml:space="preserve">1.2 Who this manual is for</w:t>
      </w:r>
    </w:p>
    <w:p>
      <w:pPr>
        <w:pStyle w:val="ListParagraph"/>
        <w:numPr>
          <w:ilvl w:val="0"/>
          <w:numId w:val="1"/>
        </w:numPr>
        <w:spacing w:after="60" w:line="254"/>
      </w:pPr>
      <w:r>
        <w:rPr>
          <w:sz w:val="20"/>
          <w:szCs w:val="20"/>
        </w:rPr>
        <w:t xml:space="preserve">Researchers who want an AI collaborator for bioinformatics, molecular biology, and biomedical literature work.</w:t>
      </w:r>
    </w:p>
    <w:p>
      <w:pPr>
        <w:pStyle w:val="ListParagraph"/>
        <w:numPr>
          <w:ilvl w:val="0"/>
          <w:numId w:val="1"/>
        </w:numPr>
        <w:spacing w:after="60" w:line="254"/>
      </w:pPr>
      <w:r>
        <w:rPr>
          <w:sz w:val="20"/>
          <w:szCs w:val="20"/>
        </w:rPr>
        <w:t xml:space="preserve">Instructors who want to use BioMentis, with its instructional layer enabled, as a classroom teaching tool — grounded in their own course material.</w:t>
      </w:r>
    </w:p>
    <w:p>
      <w:pPr>
        <w:pStyle w:val="ListParagraph"/>
        <w:numPr>
          <w:ilvl w:val="0"/>
          <w:numId w:val="1"/>
        </w:numPr>
        <w:spacing w:after="60" w:line="254"/>
      </w:pPr>
      <w:r>
        <w:rPr>
          <w:sz w:val="20"/>
          <w:szCs w:val="20"/>
        </w:rPr>
        <w:t xml:space="preserve">Students using BioMentis for self-study, either independently or as directed by an instructor.</w:t>
      </w:r>
    </w:p>
    <w:p>
      <w:pPr>
        <w:pStyle w:val="ListParagraph"/>
        <w:numPr>
          <w:ilvl w:val="0"/>
          <w:numId w:val="1"/>
        </w:numPr>
        <w:spacing w:after="60" w:line="254"/>
      </w:pPr>
      <w:r>
        <w:rPr>
          <w:sz w:val="20"/>
          <w:szCs w:val="20"/>
        </w:rPr>
        <w:t xml:space="preserve">Anyone setting up or administering a BioMentis installation, whether on cloud models or fully local hardware.</w:t>
      </w:r>
    </w:p>
    <w:p>
      <w:pPr>
        <w:pStyle w:val="Heading2"/>
        <w:spacing w:after="100" w:before="260"/>
      </w:pPr>
      <w:r>
        <w:rPr>
          <w:b/>
          <w:bCs/>
          <w:color w:val="0E7C7B"/>
          <w:sz w:val="24"/>
          <w:szCs w:val="24"/>
        </w:rPr>
        <w:t xml:space="preserve">1.3 How this manual is organized</w:t>
      </w:r>
    </w:p>
    <w:p>
      <w:pPr>
        <w:pStyle w:val="ListParagraph"/>
        <w:numPr>
          <w:ilvl w:val="0"/>
          <w:numId w:val="1"/>
        </w:numPr>
        <w:spacing w:after="60" w:line="254"/>
      </w:pPr>
      <w:r>
        <w:rPr>
          <w:sz w:val="20"/>
          <w:szCs w:val="20"/>
        </w:rPr>
        <w:t xml:space="preserve">Section 2 — installing and configuring BioMentis, including local and cloud model setup.</w:t>
      </w:r>
    </w:p>
    <w:p>
      <w:pPr>
        <w:pStyle w:val="ListParagraph"/>
        <w:numPr>
          <w:ilvl w:val="0"/>
          <w:numId w:val="1"/>
        </w:numPr>
        <w:spacing w:after="60" w:line="254"/>
      </w:pPr>
      <w:r>
        <w:rPr>
          <w:sz w:val="20"/>
          <w:szCs w:val="20"/>
        </w:rPr>
        <w:t xml:space="preserve">Section 3 — the Streamlit interface, launching the app, and a tour of the screen.</w:t>
      </w:r>
    </w:p>
    <w:p>
      <w:pPr>
        <w:pStyle w:val="ListParagraph"/>
        <w:numPr>
          <w:ilvl w:val="0"/>
          <w:numId w:val="1"/>
        </w:numPr>
        <w:spacing w:after="60" w:line="254"/>
      </w:pPr>
      <w:r>
        <w:rPr>
          <w:sz w:val="20"/>
          <w:szCs w:val="20"/>
        </w:rPr>
        <w:t xml:space="preserve">Section 4 — using BioMentis as a research agent: prompting, tool categories, self-critique, background runs, MCP tools.</w:t>
      </w:r>
    </w:p>
    <w:p>
      <w:pPr>
        <w:pStyle w:val="ListParagraph"/>
        <w:numPr>
          <w:ilvl w:val="0"/>
          <w:numId w:val="1"/>
        </w:numPr>
        <w:spacing w:after="60" w:line="254"/>
      </w:pPr>
      <w:r>
        <w:rPr>
          <w:sz w:val="20"/>
          <w:szCs w:val="20"/>
        </w:rPr>
        <w:t xml:space="preserve">Section 5 — using BioMentis's instructional layer for teaching: teaching cards, the knowledge base, tutor chat, rubrics, and session logs.</w:t>
      </w:r>
    </w:p>
    <w:p>
      <w:pPr>
        <w:pStyle w:val="ListParagraph"/>
        <w:numPr>
          <w:ilvl w:val="0"/>
          <w:numId w:val="1"/>
        </w:numPr>
        <w:spacing w:after="60" w:line="254"/>
      </w:pPr>
      <w:r>
        <w:rPr>
          <w:sz w:val="20"/>
          <w:szCs w:val="20"/>
        </w:rPr>
        <w:t xml:space="preserve">Section 6 — configuration reference (environment variables and config options).</w:t>
      </w:r>
    </w:p>
    <w:p>
      <w:pPr>
        <w:pStyle w:val="ListParagraph"/>
        <w:numPr>
          <w:ilvl w:val="0"/>
          <w:numId w:val="1"/>
        </w:numPr>
        <w:spacing w:after="60" w:line="254"/>
      </w:pPr>
      <w:r>
        <w:rPr>
          <w:sz w:val="20"/>
          <w:szCs w:val="20"/>
        </w:rPr>
        <w:t xml:space="preserve">Section 7 — troubleshooting and frequently asked questions.</w:t>
      </w:r>
    </w:p>
    <w:p>
      <w:pPr>
        <w:pStyle w:val="ListParagraph"/>
        <w:numPr>
          <w:ilvl w:val="0"/>
          <w:numId w:val="1"/>
        </w:numPr>
        <w:spacing w:after="60" w:line="254"/>
      </w:pPr>
      <w:r>
        <w:rPr>
          <w:sz w:val="20"/>
          <w:szCs w:val="20"/>
        </w:rPr>
        <w:t xml:space="preserve">Section 8 — attribution, licensing, and citation.</w:t>
      </w:r>
    </w:p>
    <w:p>
      <w:pPr>
        <w:pStyle w:val="ListParagraph"/>
        <w:numPr>
          <w:ilvl w:val="0"/>
          <w:numId w:val="1"/>
        </w:numPr>
        <w:spacing w:after="60" w:line="254"/>
      </w:pPr>
      <w:r>
        <w:rPr>
          <w:sz w:val="20"/>
          <w:szCs w:val="20"/>
        </w:rPr>
        <w:t xml:space="preserve">Appendix A — full tool category reference.</w:t>
      </w:r>
    </w:p>
    <w:p>
      <w:r>
        <w:br w:type="page"/>
      </w:r>
    </w:p>
    <w:p>
      <w:pPr>
        <w:pStyle w:val="Heading1"/>
        <w:spacing w:after="140" w:before="360"/>
      </w:pPr>
      <w:r>
        <w:rPr>
          <w:b/>
          <w:bCs/>
          <w:color w:val="1F3864"/>
          <w:sz w:val="30"/>
          <w:szCs w:val="30"/>
        </w:rPr>
        <w:t xml:space="preserve">2. Installation &amp; Setup</w:t>
      </w:r>
    </w:p>
    <w:p>
      <w:pPr>
        <w:pStyle w:val="Heading2"/>
        <w:spacing w:after="100" w:before="260"/>
      </w:pPr>
      <w:r>
        <w:rPr>
          <w:b/>
          <w:bCs/>
          <w:color w:val="0E7C7B"/>
          <w:sz w:val="24"/>
          <w:szCs w:val="24"/>
        </w:rPr>
        <w:t xml:space="preserve">2.1 Requirements</w:t>
      </w:r>
    </w:p>
    <w:p>
      <w:pPr>
        <w:pStyle w:val="ListParagraph"/>
        <w:numPr>
          <w:ilvl w:val="0"/>
          <w:numId w:val="1"/>
        </w:numPr>
        <w:spacing w:after="60" w:line="254"/>
      </w:pPr>
      <w:r>
        <w:rPr>
          <w:sz w:val="20"/>
          <w:szCs w:val="20"/>
        </w:rPr>
        <w:t xml:space="preserve">Python environment with BioMentis's dependencies installed (see the project's requirements.txt / pyproject.toml).</w:t>
      </w:r>
    </w:p>
    <w:p>
      <w:pPr>
        <w:pStyle w:val="ListParagraph"/>
        <w:numPr>
          <w:ilvl w:val="0"/>
          <w:numId w:val="1"/>
        </w:numPr>
        <w:spacing w:after="60" w:line="254"/>
      </w:pPr>
      <w:r>
        <w:rPr>
          <w:sz w:val="20"/>
          <w:szCs w:val="20"/>
        </w:rPr>
        <w:t xml:space="preserve">Either a local Ollama installation (for offline/local models) or an API key for at least one supported cloud model provider.</w:t>
      </w:r>
    </w:p>
    <w:p>
      <w:pPr>
        <w:pStyle w:val="ListParagraph"/>
        <w:numPr>
          <w:ilvl w:val="0"/>
          <w:numId w:val="1"/>
        </w:numPr>
        <w:spacing w:after="60" w:line="254"/>
      </w:pPr>
      <w:r>
        <w:rPr>
          <w:sz w:val="20"/>
          <w:szCs w:val="20"/>
        </w:rPr>
        <w:t xml:space="preserve">An NCBI/Entrez-registered email address, used when BioMentis queries NCBI databases (see §2.4).</w:t>
      </w:r>
    </w:p>
    <w:p>
      <w:pPr>
        <w:pStyle w:val="ListParagraph"/>
        <w:numPr>
          <w:ilvl w:val="0"/>
          <w:numId w:val="1"/>
        </w:numPr>
        <w:spacing w:after="60" w:line="254"/>
      </w:pPr>
      <w:r>
        <w:rPr>
          <w:sz w:val="20"/>
          <w:szCs w:val="20"/>
        </w:rPr>
        <w:t xml:space="preserve">On first run, BioMentis downloads its biomedical data lake (roughly 11 GB) unless configured to skip it.</w:t>
      </w:r>
    </w:p>
    <w:p>
      <w:pPr>
        <w:pStyle w:val="Heading2"/>
        <w:spacing w:after="100" w:before="260"/>
      </w:pPr>
      <w:r>
        <w:rPr>
          <w:b/>
          <w:bCs/>
          <w:color w:val="0E7C7B"/>
          <w:sz w:val="24"/>
          <w:szCs w:val="24"/>
        </w:rPr>
        <w:t xml:space="preserve">2.2 Choosing how BioMentis will run its language model</w:t>
      </w:r>
    </w:p>
    <w:p>
      <w:pPr>
        <w:spacing w:after="120" w:line="264"/>
      </w:pPr>
      <w:r>
        <w:rPr>
          <w:sz w:val="20"/>
          <w:szCs w:val="20"/>
        </w:rPr>
        <w:t xml:space="preserve">BioMentis is local-model-first: if you don't configure anything, it will look for a running Ollama instance on your machine and use whatever model is installed there, rather than silently reaching out to a paid cloud API. This is a deliberate default so a fresh install never incurs unexpected API charges.</w:t>
      </w:r>
    </w:p>
    <w:p>
      <w:pPr>
        <w:pStyle w:val="Heading3"/>
        <w:spacing w:after="80" w:before="200"/>
      </w:pPr>
      <w:r>
        <w:rPr>
          <w:b/>
          <w:bCs/>
          <w:color w:val="1F3864"/>
          <w:sz w:val="21"/>
          <w:szCs w:val="21"/>
        </w:rPr>
        <w:t xml:space="preserve">Option A — Local models with Ollama (recommended default)</w:t>
      </w:r>
    </w:p>
    <w:p>
      <w:pPr>
        <w:pStyle w:val="ListParagraph"/>
        <w:numPr>
          <w:ilvl w:val="0"/>
          <w:numId w:val="2"/>
        </w:numPr>
        <w:spacing w:after="60" w:line="254"/>
      </w:pPr>
      <w:r>
        <w:rPr>
          <w:sz w:val="20"/>
          <w:szCs w:val="20"/>
        </w:rPr>
        <w:t xml:space="preserve">Install Ollama (macOS: brew install ollama).</w:t>
      </w:r>
    </w:p>
    <w:p>
      <w:pPr>
        <w:pStyle w:val="ListParagraph"/>
        <w:numPr>
          <w:ilvl w:val="0"/>
          <w:numId w:val="2"/>
        </w:numPr>
        <w:spacing w:after="60" w:line="254"/>
      </w:pPr>
      <w:r>
        <w:rPr>
          <w:sz w:val="20"/>
          <w:szCs w:val="20"/>
        </w:rPr>
        <w:t xml:space="preserve">Start the Ollama server: ollama serve</w:t>
      </w:r>
    </w:p>
    <w:p>
      <w:pPr>
        <w:pStyle w:val="ListParagraph"/>
        <w:numPr>
          <w:ilvl w:val="0"/>
          <w:numId w:val="2"/>
        </w:numPr>
        <w:spacing w:after="60" w:line="254"/>
      </w:pPr>
      <w:r>
        <w:rPr>
          <w:sz w:val="20"/>
          <w:szCs w:val="20"/>
        </w:rPr>
        <w:t xml:space="preserve">Pull a model, for example: ollama pull qwen2.5:14b  (llama3.1:8b and deepseek-r1:14b are also common choices)</w:t>
      </w:r>
    </w:p>
    <w:p>
      <w:pPr>
        <w:pStyle w:val="ListParagraph"/>
        <w:numPr>
          <w:ilvl w:val="0"/>
          <w:numId w:val="2"/>
        </w:numPr>
        <w:spacing w:after="60" w:line="254"/>
      </w:pPr>
      <w:r>
        <w:rPr>
          <w:sz w:val="20"/>
          <w:szCs w:val="20"/>
        </w:rPr>
        <w:t xml:space="preserve">Launch BioMentis. With no other configuration set, it will detect Ollama, list the installed model(s), and select the first one automatically.</w:t>
      </w:r>
    </w:p>
    <w:p>
      <w:pPr>
        <w:pBdr>
          <w:left w:val="single" w:color="0E7C7B" w:sz="18" w:space="8"/>
        </w:pBdr>
        <w:shd w:fill="EAF3F2" w:val="clear"/>
        <w:spacing w:after="160" w:before="80"/>
        <w:ind w:left="200"/>
      </w:pPr>
      <w:r>
        <w:rPr>
          <w:b/>
          <w:bCs/>
          <w:color w:val="0E7C7B"/>
          <w:sz w:val="19"/>
          <w:szCs w:val="19"/>
        </w:rPr>
        <w:t xml:space="preserve">Note:  </w:t>
      </w:r>
      <w:r>
        <w:rPr>
          <w:color w:val="2E3B3B"/>
          <w:sz w:val="19"/>
          <w:szCs w:val="19"/>
        </w:rPr>
        <w:t xml:space="preserve">smaller local models (7–13B parameters) generally need lower temperature settings to stay reliable — see §6.2.</w:t>
      </w:r>
    </w:p>
    <w:p>
      <w:pPr>
        <w:pStyle w:val="Heading3"/>
        <w:spacing w:after="80" w:before="200"/>
      </w:pPr>
      <w:r>
        <w:rPr>
          <w:b/>
          <w:bCs/>
          <w:color w:val="1F3864"/>
          <w:sz w:val="21"/>
          <w:szCs w:val="21"/>
        </w:rPr>
        <w:t xml:space="preserve">Option B — Cloud models</w:t>
      </w:r>
    </w:p>
    <w:p>
      <w:pPr>
        <w:spacing w:after="120" w:line="264"/>
      </w:pPr>
      <w:r>
        <w:rPr>
          <w:sz w:val="20"/>
          <w:szCs w:val="20"/>
        </w:rPr>
        <w:t xml:space="preserve">Set the API key for your chosen provider, then tell BioMentis explicitly which model and provider to use, and disable local auto-fallback so a running Ollama instance doesn't override your choice:</w:t>
      </w:r>
    </w:p>
    <w:p>
      <w:pPr>
        <w:shd w:fill="F2F4F5" w:val="clear"/>
        <w:spacing w:after="100" w:before="40"/>
        <w:ind w:left="260"/>
      </w:pPr>
      <w:r>
        <w:rPr>
          <w:rFonts w:ascii="Consolas" w:cs="Consolas" w:eastAsia="Consolas" w:hAnsi="Consolas"/>
          <w:color w:val="263238"/>
          <w:sz w:val="18"/>
          <w:szCs w:val="18"/>
        </w:rPr>
        <w:t xml:space="preserve">ANTHROPIC_API_KEY=...          # or OPENAI_API_KEY, GEMINI_API_KEY, GROQ_API_KEY,</w:t>
      </w:r>
    </w:p>
    <w:p>
      <w:pPr>
        <w:shd w:fill="F2F4F5" w:val="clear"/>
        <w:spacing w:after="100" w:before="40"/>
        <w:ind w:left="260"/>
      </w:pPr>
      <w:r>
        <w:rPr>
          <w:rFonts w:ascii="Consolas" w:cs="Consolas" w:eastAsia="Consolas" w:hAnsi="Consolas"/>
          <w:color w:val="263238"/>
          <w:sz w:val="18"/>
          <w:szCs w:val="18"/>
        </w:rPr>
        <w:t xml:space="preserve">                                 # or AWS_BEARER_TOKEN_BEDROCK + AWS_REGION</w:t>
      </w:r>
    </w:p>
    <w:p>
      <w:pPr>
        <w:shd w:fill="F2F4F5" w:val="clear"/>
        <w:spacing w:after="100" w:before="40"/>
        <w:ind w:left="260"/>
      </w:pPr>
      <w:r>
        <w:rPr>
          <w:rFonts w:ascii="Consolas" w:cs="Consolas" w:eastAsia="Consolas" w:hAnsi="Consolas"/>
          <w:color w:val="263238"/>
          <w:sz w:val="18"/>
          <w:szCs w:val="18"/>
        </w:rPr>
        <w:t xml:space="preserve">BIOMNI_LLM=&lt;model-name&gt;</w:t>
      </w:r>
    </w:p>
    <w:p>
      <w:pPr>
        <w:shd w:fill="F2F4F5" w:val="clear"/>
        <w:spacing w:after="100" w:before="40"/>
        <w:ind w:left="260"/>
      </w:pPr>
      <w:r>
        <w:rPr>
          <w:rFonts w:ascii="Consolas" w:cs="Consolas" w:eastAsia="Consolas" w:hAnsi="Consolas"/>
          <w:color w:val="263238"/>
          <w:sz w:val="18"/>
          <w:szCs w:val="18"/>
        </w:rPr>
        <w:t xml:space="preserve">BIOMNI_SOURCE=&lt;Anthropic|OpenAI|AzureOpenAI|Gemini|Groq|Bedrock&gt;</w:t>
      </w:r>
    </w:p>
    <w:p>
      <w:pPr>
        <w:shd w:fill="F2F4F5" w:val="clear"/>
        <w:spacing w:after="100" w:before="40"/>
        <w:ind w:left="260"/>
      </w:pPr>
      <w:r>
        <w:rPr>
          <w:rFonts w:ascii="Consolas" w:cs="Consolas" w:eastAsia="Consolas" w:hAnsi="Consolas"/>
          <w:color w:val="263238"/>
          <w:sz w:val="18"/>
          <w:szCs w:val="18"/>
        </w:rPr>
        <w:t xml:space="preserve">BIOMNI_DISABLE_LOCAL_FALLBACK=true</w:t>
      </w:r>
    </w:p>
    <w:p>
      <w:pPr>
        <w:pStyle w:val="Heading3"/>
        <w:spacing w:after="80" w:before="200"/>
      </w:pPr>
      <w:r>
        <w:rPr>
          <w:b/>
          <w:bCs/>
          <w:color w:val="1F3864"/>
          <w:sz w:val="21"/>
          <w:szCs w:val="21"/>
        </w:rPr>
        <w:t xml:space="preserve">Option C — A self-hosted, OpenAI-compatible server (vLLM, LM Studio, llama.cpp, etc.)</w:t>
      </w:r>
    </w:p>
    <w:p>
      <w:pPr>
        <w:shd w:fill="F2F4F5" w:val="clear"/>
        <w:spacing w:after="100" w:before="40"/>
        <w:ind w:left="260"/>
      </w:pPr>
      <w:r>
        <w:rPr>
          <w:rFonts w:ascii="Consolas" w:cs="Consolas" w:eastAsia="Consolas" w:hAnsi="Consolas"/>
          <w:color w:val="263238"/>
          <w:sz w:val="18"/>
          <w:szCs w:val="18"/>
        </w:rPr>
        <w:t xml:space="preserve">CUSTOM_MODEL_BASE_URL=&lt;your server URL&gt;</w:t>
      </w:r>
    </w:p>
    <w:p>
      <w:pPr>
        <w:shd w:fill="F2F4F5" w:val="clear"/>
        <w:spacing w:after="100" w:before="40"/>
        <w:ind w:left="260"/>
      </w:pPr>
      <w:r>
        <w:rPr>
          <w:rFonts w:ascii="Consolas" w:cs="Consolas" w:eastAsia="Consolas" w:hAnsi="Consolas"/>
          <w:color w:val="263238"/>
          <w:sz w:val="18"/>
          <w:szCs w:val="18"/>
        </w:rPr>
        <w:t xml:space="preserve">CUSTOM_MODEL_API_KEY=&lt;key, if required&gt;</w:t>
      </w:r>
    </w:p>
    <w:p>
      <w:pPr>
        <w:shd w:fill="F2F4F5" w:val="clear"/>
        <w:spacing w:after="100" w:before="40"/>
        <w:ind w:left="260"/>
      </w:pPr>
      <w:r>
        <w:rPr>
          <w:rFonts w:ascii="Consolas" w:cs="Consolas" w:eastAsia="Consolas" w:hAnsi="Consolas"/>
          <w:color w:val="263238"/>
          <w:sz w:val="18"/>
          <w:szCs w:val="18"/>
        </w:rPr>
        <w:t xml:space="preserve">BIOMNI_LLM=&lt;your model name&gt;</w:t>
      </w:r>
    </w:p>
    <w:p>
      <w:pPr>
        <w:shd w:fill="F2F4F5" w:val="clear"/>
        <w:spacing w:after="100" w:before="40"/>
        <w:ind w:left="260"/>
      </w:pPr>
      <w:r>
        <w:rPr>
          <w:rFonts w:ascii="Consolas" w:cs="Consolas" w:eastAsia="Consolas" w:hAnsi="Consolas"/>
          <w:color w:val="263238"/>
          <w:sz w:val="18"/>
          <w:szCs w:val="18"/>
        </w:rPr>
        <w:t xml:space="preserve">BIOMNI_SOURCE=Custom</w:t>
      </w:r>
    </w:p>
    <w:p>
      <w:pPr>
        <w:pStyle w:val="Heading2"/>
        <w:spacing w:after="100" w:before="260"/>
      </w:pPr>
      <w:r>
        <w:rPr>
          <w:b/>
          <w:bCs/>
          <w:color w:val="0E7C7B"/>
          <w:sz w:val="24"/>
          <w:szCs w:val="24"/>
        </w:rPr>
        <w:t xml:space="preserve">2.3 Precedence rules, in plain terms</w:t>
      </w:r>
    </w:p>
    <w:p>
      <w:pPr>
        <w:pStyle w:val="ListParagraph"/>
        <w:numPr>
          <w:ilvl w:val="0"/>
          <w:numId w:val="1"/>
        </w:numPr>
        <w:spacing w:after="60" w:line="254"/>
      </w:pPr>
      <w:r>
        <w:rPr>
          <w:sz w:val="20"/>
          <w:szCs w:val="20"/>
        </w:rPr>
        <w:t xml:space="preserve">If you've explicitly set a model, source, base URL, or API key, BioMentis uses your choice and does not override it.</w:t>
      </w:r>
    </w:p>
    <w:p>
      <w:pPr>
        <w:pStyle w:val="ListParagraph"/>
        <w:numPr>
          <w:ilvl w:val="0"/>
          <w:numId w:val="1"/>
        </w:numPr>
        <w:spacing w:after="60" w:line="254"/>
      </w:pPr>
      <w:r>
        <w:rPr>
          <w:sz w:val="20"/>
          <w:szCs w:val="20"/>
        </w:rPr>
        <w:t xml:space="preserve">Otherwise, if BIOMNI_DISABLE_LOCAL_FALLBACK is not set to true and a local Ollama server with at least one model is running, BioMentis uses that — even if a cloud API key happens to be present in the environment.</w:t>
      </w:r>
    </w:p>
    <w:p>
      <w:pPr>
        <w:pStyle w:val="ListParagraph"/>
        <w:numPr>
          <w:ilvl w:val="0"/>
          <w:numId w:val="1"/>
        </w:numPr>
        <w:spacing w:after="60" w:line="254"/>
      </w:pPr>
      <w:r>
        <w:rPr>
          <w:sz w:val="20"/>
          <w:szCs w:val="20"/>
        </w:rPr>
        <w:t xml:space="preserve">BioMentis will never auto-select a cloud model on its own. A cloud provider is only used when you explicitly configure it.</w:t>
      </w:r>
    </w:p>
    <w:p>
      <w:pPr>
        <w:pStyle w:val="Heading2"/>
        <w:spacing w:after="100" w:before="260"/>
      </w:pPr>
      <w:r>
        <w:rPr>
          <w:b/>
          <w:bCs/>
          <w:color w:val="0E7C7B"/>
          <w:sz w:val="24"/>
          <w:szCs w:val="24"/>
        </w:rPr>
        <w:t xml:space="preserve">2.4 NCBI / Entrez email</w:t>
      </w:r>
    </w:p>
    <w:p>
      <w:pPr>
        <w:spacing w:after="120" w:line="264"/>
      </w:pPr>
      <w:r>
        <w:rPr>
          <w:sz w:val="20"/>
          <w:szCs w:val="20"/>
        </w:rPr>
        <w:t xml:space="preserve">NCBI asks that every automated request to its databases (Entrez, PubMed, etc.) include a contact email, both as a courtesy and to avoid throttling. BioMentis resolves this in order: an explicit function argument, then the app configuration, then the NCBI_EMAIL (or BIOMNI_NCBI_EMAIL) environment variable, then a placeholder address.</w:t>
      </w:r>
    </w:p>
    <w:p>
      <w:pPr>
        <w:pBdr>
          <w:left w:val="single" w:color="0E7C7B" w:sz="18" w:space="8"/>
        </w:pBdr>
        <w:shd w:fill="EAF3F2" w:val="clear"/>
        <w:spacing w:after="160" w:before="80"/>
        <w:ind w:left="200"/>
      </w:pPr>
      <w:r>
        <w:rPr>
          <w:b/>
          <w:bCs/>
          <w:color w:val="0E7C7B"/>
          <w:sz w:val="19"/>
          <w:szCs w:val="19"/>
        </w:rPr>
        <w:t xml:space="preserve">Tip:  </w:t>
      </w:r>
      <w:r>
        <w:rPr>
          <w:color w:val="2E3B3B"/>
          <w:sz w:val="19"/>
          <w:szCs w:val="19"/>
        </w:rPr>
        <w:t xml:space="preserve">the email field in the Streamlit sidebar only applies for your current session and is not saved to disk. To set it permanently, put NCBI_EMAIL=you@example.com in your .env file.</w:t>
      </w:r>
    </w:p>
    <w:p>
      <w:pPr>
        <w:pStyle w:val="Heading2"/>
        <w:spacing w:after="100" w:before="260"/>
      </w:pPr>
      <w:r>
        <w:rPr>
          <w:b/>
          <w:bCs/>
          <w:color w:val="0E7C7B"/>
          <w:sz w:val="24"/>
          <w:szCs w:val="24"/>
        </w:rPr>
        <w:t xml:space="preserve">2.5 Data lake</w:t>
      </w:r>
    </w:p>
    <w:p>
      <w:pPr>
        <w:spacing w:after="120" w:line="264"/>
      </w:pPr>
      <w:r>
        <w:rPr>
          <w:sz w:val="20"/>
          <w:szCs w:val="20"/>
        </w:rPr>
        <w:t xml:space="preserve">On first construction of the agent, BioMentis downloads its bundled biomedical data lake (~11 GB of reference datasets used by its tools). For fast local development, or in bandwidth-constrained environments, this can be skipped by passing an empty file list to the agent's data-lake option — see §6.2.</w:t>
      </w:r>
    </w:p>
    <w:p>
      <w:r>
        <w:br w:type="page"/>
      </w:r>
    </w:p>
    <w:p>
      <w:pPr>
        <w:pStyle w:val="Heading1"/>
        <w:spacing w:after="140" w:before="360"/>
      </w:pPr>
      <w:r>
        <w:rPr>
          <w:b/>
          <w:bCs/>
          <w:color w:val="1F3864"/>
          <w:sz w:val="30"/>
          <w:szCs w:val="30"/>
        </w:rPr>
        <w:t xml:space="preserve">3. Getting Started</w:t>
      </w:r>
    </w:p>
    <w:p>
      <w:pPr>
        <w:pStyle w:val="Heading2"/>
        <w:spacing w:after="100" w:before="260"/>
      </w:pPr>
      <w:r>
        <w:rPr>
          <w:b/>
          <w:bCs/>
          <w:color w:val="0E7C7B"/>
          <w:sz w:val="24"/>
          <w:szCs w:val="24"/>
        </w:rPr>
        <w:t xml:space="preserve">3.1 Launching BioMentis</w:t>
      </w:r>
    </w:p>
    <w:p>
      <w:pPr>
        <w:shd w:fill="F2F4F5" w:val="clear"/>
        <w:spacing w:after="100" w:before="40"/>
        <w:ind w:left="260"/>
      </w:pPr>
      <w:r>
        <w:rPr>
          <w:rFonts w:ascii="Consolas" w:cs="Consolas" w:eastAsia="Consolas" w:hAnsi="Consolas"/>
          <w:color w:val="263238"/>
          <w:sz w:val="18"/>
          <w:szCs w:val="18"/>
        </w:rPr>
        <w:t xml:space="preserve">streamlit run streamlit_app.py</w:t>
      </w:r>
    </w:p>
    <w:p>
      <w:pPr>
        <w:spacing w:after="120" w:line="264"/>
      </w:pPr>
      <w:r>
        <w:rPr>
          <w:sz w:val="20"/>
          <w:szCs w:val="20"/>
        </w:rPr>
        <w:t xml:space="preserve">This opens BioMentis in your browser, by default at http://localhost:8501. A Gradio interface is also available as an alternative front end for the same agent, on port 7860, if preferred.</w:t>
      </w:r>
    </w:p>
    <w:p>
      <w:pPr>
        <w:pStyle w:val="Heading2"/>
        <w:spacing w:after="100" w:before="260"/>
      </w:pPr>
      <w:r>
        <w:rPr>
          <w:b/>
          <w:bCs/>
          <w:color w:val="0E7C7B"/>
          <w:sz w:val="24"/>
          <w:szCs w:val="24"/>
        </w:rPr>
        <w:t xml:space="preserve">3.2 A tour of the screen</w:t>
      </w:r>
    </w:p>
    <w:p>
      <w:pPr>
        <w:pStyle w:val="Heading3"/>
        <w:spacing w:after="80" w:before="200"/>
      </w:pPr>
      <w:r>
        <w:rPr>
          <w:b/>
          <w:bCs/>
          <w:color w:val="1F3864"/>
          <w:sz w:val="21"/>
          <w:szCs w:val="21"/>
        </w:rPr>
        <w:t xml:space="preserve">Sidebar</w:t>
      </w:r>
    </w:p>
    <w:p>
      <w:pPr>
        <w:pStyle w:val="ListParagraph"/>
        <w:numPr>
          <w:ilvl w:val="0"/>
          <w:numId w:val="1"/>
        </w:numPr>
        <w:spacing w:after="60" w:line="254"/>
      </w:pPr>
      <w:r>
        <w:rPr>
          <w:sz w:val="20"/>
          <w:szCs w:val="20"/>
        </w:rPr>
        <w:t xml:space="preserve">Model picker — lists installed Ollama models first, followed by any cloud providers for which an API key is present. The first Ollama model is selected by default.</w:t>
      </w:r>
    </w:p>
    <w:p>
      <w:pPr>
        <w:pStyle w:val="ListParagraph"/>
        <w:numPr>
          <w:ilvl w:val="0"/>
          <w:numId w:val="1"/>
        </w:numPr>
        <w:spacing w:after="60" w:line="254"/>
      </w:pPr>
      <w:r>
        <w:rPr>
          <w:sz w:val="20"/>
          <w:szCs w:val="20"/>
        </w:rPr>
        <w:t xml:space="preserve">NCBI email field — see §2.4.</w:t>
      </w:r>
    </w:p>
    <w:p>
      <w:pPr>
        <w:pStyle w:val="ListParagraph"/>
        <w:numPr>
          <w:ilvl w:val="0"/>
          <w:numId w:val="1"/>
        </w:numPr>
        <w:spacing w:after="60" w:line="254"/>
      </w:pPr>
      <w:r>
        <w:rPr>
          <w:sz w:val="20"/>
          <w:szCs w:val="20"/>
        </w:rPr>
        <w:t xml:space="preserve">Tutor panel ("🎓 Tutor (optional)") — instructional-mode toggles, knowledge-base upload, rubric upload, and session-log export. See Section 5.</w:t>
      </w:r>
    </w:p>
    <w:p>
      <w:pPr>
        <w:pStyle w:val="ListParagraph"/>
        <w:numPr>
          <w:ilvl w:val="0"/>
          <w:numId w:val="1"/>
        </w:numPr>
        <w:spacing w:after="60" w:line="254"/>
      </w:pPr>
      <w:r>
        <w:rPr>
          <w:sz w:val="20"/>
          <w:szCs w:val="20"/>
        </w:rPr>
        <w:t xml:space="preserve">"🗂 Recover a previous run" panel — lists past runs with status, event count, and duration, and lets you restore a transcript or download its generated code. See §4.4.</w:t>
      </w:r>
    </w:p>
    <w:p>
      <w:pPr>
        <w:pStyle w:val="Heading3"/>
        <w:spacing w:after="80" w:before="200"/>
      </w:pPr>
      <w:r>
        <w:rPr>
          <w:b/>
          <w:bCs/>
          <w:color w:val="1F3864"/>
          <w:sz w:val="21"/>
          <w:szCs w:val="21"/>
        </w:rPr>
        <w:t xml:space="preserve">Main panel</w:t>
      </w:r>
    </w:p>
    <w:p>
      <w:pPr>
        <w:pStyle w:val="ListParagraph"/>
        <w:numPr>
          <w:ilvl w:val="0"/>
          <w:numId w:val="1"/>
        </w:numPr>
        <w:spacing w:after="60" w:line="254"/>
      </w:pPr>
      <w:r>
        <w:rPr>
          <w:sz w:val="20"/>
          <w:szCs w:val="20"/>
        </w:rPr>
        <w:t xml:space="preserve">A prompt box where you describe the research task in plain language.</w:t>
      </w:r>
    </w:p>
    <w:p>
      <w:pPr>
        <w:pStyle w:val="ListParagraph"/>
        <w:numPr>
          <w:ilvl w:val="0"/>
          <w:numId w:val="1"/>
        </w:numPr>
        <w:spacing w:after="60" w:line="254"/>
      </w:pPr>
      <w:r>
        <w:rPr>
          <w:sz w:val="20"/>
          <w:szCs w:val="20"/>
        </w:rPr>
        <w:t xml:space="preserve">A streaming transcript of the agent's reasoning, the code it writes, the results of running that code, and its final answer.</w:t>
      </w:r>
    </w:p>
    <w:p>
      <w:pPr>
        <w:pStyle w:val="ListParagraph"/>
        <w:numPr>
          <w:ilvl w:val="0"/>
          <w:numId w:val="1"/>
        </w:numPr>
        <w:spacing w:after="60" w:line="254"/>
      </w:pPr>
      <w:r>
        <w:rPr>
          <w:sz w:val="20"/>
          <w:szCs w:val="20"/>
        </w:rPr>
        <w:t xml:space="preserve">When instructional mode is on, a companion chat column appears alongside the transcript — see Section 5.</w:t>
      </w:r>
    </w:p>
    <w:p>
      <w:pPr>
        <w:pStyle w:val="Heading2"/>
        <w:spacing w:after="100" w:before="260"/>
      </w:pPr>
      <w:r>
        <w:rPr>
          <w:b/>
          <w:bCs/>
          <w:color w:val="0E7C7B"/>
          <w:sz w:val="24"/>
          <w:szCs w:val="24"/>
        </w:rPr>
        <w:t xml:space="preserve">3.3 Your first prompt</w:t>
      </w:r>
    </w:p>
    <w:p>
      <w:pPr>
        <w:spacing w:after="120" w:line="264"/>
      </w:pPr>
      <w:r>
        <w:rPr>
          <w:sz w:val="20"/>
          <w:szCs w:val="20"/>
        </w:rPr>
        <w:t xml:space="preserve">Type a research question or task into the prompt box and submit it — for example, "Design PCR primers to distinguish two closely related Gracilaria species using the rbcL gene" or "Summarize what's known about the CHIKV E2 glycoprotein as a nanobody target." BioMentis will plan the task, call the tools and code it needs, and stream its reasoning and results back to you as it works.</w:t>
      </w:r>
    </w:p>
    <w:p>
      <w:pPr>
        <w:pBdr>
          <w:left w:val="single" w:color="0E7C7B" w:sz="18" w:space="8"/>
        </w:pBdr>
        <w:shd w:fill="EAF3F2" w:val="clear"/>
        <w:spacing w:after="160" w:before="80"/>
        <w:ind w:left="200"/>
      </w:pPr>
      <w:r>
        <w:rPr>
          <w:b/>
          <w:bCs/>
          <w:color w:val="0E7C7B"/>
          <w:sz w:val="19"/>
          <w:szCs w:val="19"/>
        </w:rPr>
        <w:t xml:space="preserve">Tip:  </w:t>
      </w:r>
      <w:r>
        <w:rPr>
          <w:color w:val="2E3B3B"/>
          <w:sz w:val="19"/>
          <w:szCs w:val="19"/>
        </w:rPr>
        <w:t xml:space="preserve">the new-user tutorial notebook biomni_101.ipynb (in the tutorials/ folder) walks through the same concepts programmatically, outside the Streamlit UI, and is a good second stop after this manual.</w:t>
      </w:r>
    </w:p>
    <w:p>
      <w:r>
        <w:br w:type="page"/>
      </w:r>
    </w:p>
    <w:p>
      <w:pPr>
        <w:pStyle w:val="Heading1"/>
        <w:spacing w:after="140" w:before="360"/>
      </w:pPr>
      <w:r>
        <w:rPr>
          <w:b/>
          <w:bCs/>
          <w:color w:val="1F3864"/>
          <w:sz w:val="30"/>
          <w:szCs w:val="30"/>
        </w:rPr>
        <w:t xml:space="preserve">4. Using BioMentis for Research</w:t>
      </w:r>
    </w:p>
    <w:p>
      <w:pPr>
        <w:pStyle w:val="Heading2"/>
        <w:spacing w:after="100" w:before="260"/>
      </w:pPr>
      <w:r>
        <w:rPr>
          <w:b/>
          <w:bCs/>
          <w:color w:val="0E7C7B"/>
          <w:sz w:val="24"/>
          <w:szCs w:val="24"/>
        </w:rPr>
        <w:t xml:space="preserve">4.1 How the agent works</w:t>
      </w:r>
    </w:p>
    <w:p>
      <w:pPr>
        <w:spacing w:after="120" w:line="264"/>
      </w:pPr>
      <w:r>
        <w:rPr>
          <w:sz w:val="20"/>
          <w:szCs w:val="20"/>
        </w:rPr>
        <w:t xml:space="preserve">At its core, BioMentis runs a reasoning-and-execution loop, built on LangGraph, sometimes described as "ReAct-style": given your prompt, the agent plans a sequence of steps, selects and calls the tools it needs, writes and executes code against real data, observes the results, and continues until it can produce a final answer. Every step of this process is streamed to the transcript, so you can follow the agent's reasoning rather than seeing only a final answer.</w:t>
      </w:r>
    </w:p>
    <w:p>
      <w:pPr>
        <w:pStyle w:val="Heading2"/>
        <w:spacing w:after="100" w:before="260"/>
      </w:pPr>
      <w:r>
        <w:rPr>
          <w:b/>
          <w:bCs/>
          <w:color w:val="0E7C7B"/>
          <w:sz w:val="24"/>
          <w:szCs w:val="24"/>
        </w:rPr>
        <w:t xml:space="preserve">4.2 Self-critique (getting a stronger answer)</w:t>
      </w:r>
    </w:p>
    <w:p>
      <w:pPr>
        <w:spacing w:after="120" w:line="264"/>
      </w:pPr>
      <w:r>
        <w:rPr>
          <w:sz w:val="20"/>
          <w:szCs w:val="20"/>
        </w:rPr>
        <w:t xml:space="preserve">BioMentis can optionally critique and revise its own answer before finishing. When this is enabled, once the agent would normally stop, a second pass reviews the answer and gives it deliberately harsh, specific feedback on what could be improved; the agent then revises and produces a new answer. This can repeat for a configured number of rounds, producing several successive draft answers within a single run.</w:t>
      </w:r>
    </w:p>
    <w:p>
      <w:pPr>
        <w:pBdr>
          <w:left w:val="single" w:color="0E7C7B" w:sz="18" w:space="8"/>
        </w:pBdr>
        <w:shd w:fill="EAF3F2" w:val="clear"/>
        <w:spacing w:after="160" w:before="80"/>
        <w:ind w:left="200"/>
      </w:pPr>
      <w:r>
        <w:rPr>
          <w:b/>
          <w:bCs/>
          <w:color w:val="0E7C7B"/>
          <w:sz w:val="19"/>
          <w:szCs w:val="19"/>
        </w:rPr>
        <w:t xml:space="preserve">Important:  </w:t>
      </w:r>
      <w:r>
        <w:rPr>
          <w:color w:val="2E3B3B"/>
          <w:sz w:val="19"/>
          <w:szCs w:val="19"/>
        </w:rPr>
        <w:t xml:space="preserve">when self-critique is enabled, treat the last answer produced in the run as the final one — earlier drafts are intermediate work, not alternatives.</w:t>
      </w:r>
    </w:p>
    <w:p>
      <w:pPr>
        <w:pStyle w:val="Heading2"/>
        <w:spacing w:after="100" w:before="260"/>
      </w:pPr>
      <w:r>
        <w:rPr>
          <w:b/>
          <w:bCs/>
          <w:color w:val="0E7C7B"/>
          <w:sz w:val="24"/>
          <w:szCs w:val="24"/>
        </w:rPr>
        <w:t xml:space="preserve">4.3 Tool categories</w:t>
      </w:r>
    </w:p>
    <w:p>
      <w:pPr>
        <w:spacing w:after="120" w:line="264"/>
      </w:pPr>
      <w:r>
        <w:rPr>
          <w:sz w:val="20"/>
          <w:szCs w:val="20"/>
        </w:rPr>
        <w:t xml:space="preserve">BioMentis's tools are organized by biomedical subdomain. The agent selects which tools to call based on your prompt — you don't need to name a category yourself. A full list is in Appendix A; the major areas are: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40"/>
      </w:tblGrid>
      <w:tr>
        <w:trPr>
          <w:tblHeader/>
        </w:trPr>
        <w:tc>
          <w:tcPr>
            <w:tcW w:type="dxa" w:w="2400"/>
            <w:shd w:fill="1F3864" w:val="clear"/>
            <w:tcMar>
              <w:top w:type="dxa" w:w="80"/>
              <w:left w:type="dxa" w:w="120"/>
              <w:bottom w:type="dxa" w:w="80"/>
              <w:right w:type="dxa" w:w="120"/>
            </w:tcMar>
            <w:vAlign w:val="center"/>
          </w:tcPr>
          <w:p>
            <w:r>
              <w:rPr>
                <w:b/>
                <w:bCs/>
                <w:color w:val="FFFFFF"/>
                <w:sz w:val="19"/>
                <w:szCs w:val="19"/>
              </w:rPr>
              <w:t xml:space="preserve">Category</w:t>
            </w:r>
          </w:p>
        </w:tc>
        <w:tc>
          <w:tcPr>
            <w:tcW w:type="dxa" w:w="2200"/>
            <w:shd w:fill="1F3864" w:val="clear"/>
            <w:tcMar>
              <w:top w:type="dxa" w:w="80"/>
              <w:left w:type="dxa" w:w="120"/>
              <w:bottom w:type="dxa" w:w="80"/>
              <w:right w:type="dxa" w:w="120"/>
            </w:tcMar>
            <w:vAlign w:val="center"/>
          </w:tcPr>
          <w:p>
            <w:r>
              <w:rPr>
                <w:b/>
                <w:bCs/>
                <w:color w:val="FFFFFF"/>
                <w:sz w:val="19"/>
                <w:szCs w:val="19"/>
              </w:rPr>
              <w:t xml:space="preserve">Category</w:t>
            </w:r>
          </w:p>
        </w:tc>
        <w:tc>
          <w:tcPr>
            <w:tcW w:type="dxa" w:w="4740"/>
            <w:shd w:fill="1F3864" w:val="clear"/>
            <w:tcMar>
              <w:top w:type="dxa" w:w="80"/>
              <w:left w:type="dxa" w:w="120"/>
              <w:bottom w:type="dxa" w:w="80"/>
              <w:right w:type="dxa" w:w="120"/>
            </w:tcMar>
            <w:vAlign w:val="center"/>
          </w:tcPr>
          <w:p>
            <w:r>
              <w:rPr>
                <w:b/>
                <w:bCs/>
                <w:color w:val="FFFFFF"/>
                <w:sz w:val="19"/>
                <w:szCs w:val="19"/>
              </w:rPr>
              <w:t xml:space="preserve">Category</w:t>
            </w:r>
          </w:p>
        </w:tc>
      </w:tr>
      <w:tr>
        <w:tc>
          <w:tcPr>
            <w:tcW w:type="dxa" w:w="2400"/>
            <w:shd w:fill="FFFFFF" w:val="clear"/>
            <w:tcMar>
              <w:top w:type="dxa" w:w="70"/>
              <w:left w:type="dxa" w:w="120"/>
              <w:bottom w:type="dxa" w:w="70"/>
              <w:right w:type="dxa" w:w="120"/>
            </w:tcMar>
          </w:tcPr>
          <w:p>
            <w:r>
              <w:rPr>
                <w:rFonts w:ascii="Consolas" w:cs="Consolas" w:eastAsia="Consolas" w:hAnsi="Consolas"/>
                <w:sz w:val="19"/>
                <w:szCs w:val="19"/>
              </w:rPr>
              <w:t xml:space="preserve">Genomics</w:t>
            </w:r>
          </w:p>
        </w:tc>
        <w:tc>
          <w:tcPr>
            <w:tcW w:type="dxa" w:w="2200"/>
            <w:shd w:fill="FFFFFF" w:val="clear"/>
            <w:tcMar>
              <w:top w:type="dxa" w:w="70"/>
              <w:left w:type="dxa" w:w="120"/>
              <w:bottom w:type="dxa" w:w="70"/>
              <w:right w:type="dxa" w:w="120"/>
            </w:tcMar>
          </w:tcPr>
          <w:p>
            <w:r>
              <w:rPr>
                <w:sz w:val="19"/>
                <w:szCs w:val="19"/>
              </w:rPr>
              <w:t xml:space="preserve">Genetics</w:t>
            </w:r>
          </w:p>
        </w:tc>
        <w:tc>
          <w:tcPr>
            <w:tcW w:type="dxa" w:w="4740"/>
            <w:shd w:fill="FFFFFF" w:val="clear"/>
            <w:tcMar>
              <w:top w:type="dxa" w:w="70"/>
              <w:left w:type="dxa" w:w="120"/>
              <w:bottom w:type="dxa" w:w="70"/>
              <w:right w:type="dxa" w:w="120"/>
            </w:tcMar>
          </w:tcPr>
          <w:p>
            <w:r>
              <w:rPr>
                <w:sz w:val="19"/>
                <w:szCs w:val="19"/>
              </w:rPr>
              <w:t xml:space="preserve">Molecular biology</w:t>
            </w:r>
          </w:p>
        </w:tc>
      </w:tr>
      <w:tr>
        <w:tc>
          <w:tcPr>
            <w:tcW w:type="dxa" w:w="2400"/>
            <w:shd w:fill="F6F9F9" w:val="clear"/>
            <w:tcMar>
              <w:top w:type="dxa" w:w="70"/>
              <w:left w:type="dxa" w:w="120"/>
              <w:bottom w:type="dxa" w:w="70"/>
              <w:right w:type="dxa" w:w="120"/>
            </w:tcMar>
          </w:tcPr>
          <w:p>
            <w:r>
              <w:rPr>
                <w:rFonts w:ascii="Consolas" w:cs="Consolas" w:eastAsia="Consolas" w:hAnsi="Consolas"/>
                <w:sz w:val="19"/>
                <w:szCs w:val="19"/>
              </w:rPr>
              <w:t xml:space="preserve">Cell biology</w:t>
            </w:r>
          </w:p>
        </w:tc>
        <w:tc>
          <w:tcPr>
            <w:tcW w:type="dxa" w:w="2200"/>
            <w:shd w:fill="F6F9F9" w:val="clear"/>
            <w:tcMar>
              <w:top w:type="dxa" w:w="70"/>
              <w:left w:type="dxa" w:w="120"/>
              <w:bottom w:type="dxa" w:w="70"/>
              <w:right w:type="dxa" w:w="120"/>
            </w:tcMar>
          </w:tcPr>
          <w:p>
            <w:r>
              <w:rPr>
                <w:sz w:val="19"/>
                <w:szCs w:val="19"/>
              </w:rPr>
              <w:t xml:space="preserve">Biochemistry</w:t>
            </w:r>
          </w:p>
        </w:tc>
        <w:tc>
          <w:tcPr>
            <w:tcW w:type="dxa" w:w="4740"/>
            <w:shd w:fill="F6F9F9" w:val="clear"/>
            <w:tcMar>
              <w:top w:type="dxa" w:w="70"/>
              <w:left w:type="dxa" w:w="120"/>
              <w:bottom w:type="dxa" w:w="70"/>
              <w:right w:type="dxa" w:w="120"/>
            </w:tcMar>
          </w:tcPr>
          <w:p>
            <w:r>
              <w:rPr>
                <w:sz w:val="19"/>
                <w:szCs w:val="19"/>
              </w:rPr>
              <w:t xml:space="preserve">Biophysics</w:t>
            </w:r>
          </w:p>
        </w:tc>
      </w:tr>
      <w:tr>
        <w:tc>
          <w:tcPr>
            <w:tcW w:type="dxa" w:w="2400"/>
            <w:shd w:fill="FFFFFF" w:val="clear"/>
            <w:tcMar>
              <w:top w:type="dxa" w:w="70"/>
              <w:left w:type="dxa" w:w="120"/>
              <w:bottom w:type="dxa" w:w="70"/>
              <w:right w:type="dxa" w:w="120"/>
            </w:tcMar>
          </w:tcPr>
          <w:p>
            <w:r>
              <w:rPr>
                <w:rFonts w:ascii="Consolas" w:cs="Consolas" w:eastAsia="Consolas" w:hAnsi="Consolas"/>
                <w:sz w:val="19"/>
                <w:szCs w:val="19"/>
              </w:rPr>
              <w:t xml:space="preserve">Immunology</w:t>
            </w:r>
          </w:p>
        </w:tc>
        <w:tc>
          <w:tcPr>
            <w:tcW w:type="dxa" w:w="2200"/>
            <w:shd w:fill="FFFFFF" w:val="clear"/>
            <w:tcMar>
              <w:top w:type="dxa" w:w="70"/>
              <w:left w:type="dxa" w:w="120"/>
              <w:bottom w:type="dxa" w:w="70"/>
              <w:right w:type="dxa" w:w="120"/>
            </w:tcMar>
          </w:tcPr>
          <w:p>
            <w:r>
              <w:rPr>
                <w:sz w:val="19"/>
                <w:szCs w:val="19"/>
              </w:rPr>
              <w:t xml:space="preserve">Pharmacology</w:t>
            </w:r>
          </w:p>
        </w:tc>
        <w:tc>
          <w:tcPr>
            <w:tcW w:type="dxa" w:w="4740"/>
            <w:shd w:fill="FFFFFF" w:val="clear"/>
            <w:tcMar>
              <w:top w:type="dxa" w:w="70"/>
              <w:left w:type="dxa" w:w="120"/>
              <w:bottom w:type="dxa" w:w="70"/>
              <w:right w:type="dxa" w:w="120"/>
            </w:tcMar>
          </w:tcPr>
          <w:p>
            <w:r>
              <w:rPr>
                <w:sz w:val="19"/>
                <w:szCs w:val="19"/>
              </w:rPr>
              <w:t xml:space="preserve">Pathology</w:t>
            </w:r>
          </w:p>
        </w:tc>
      </w:tr>
      <w:tr>
        <w:tc>
          <w:tcPr>
            <w:tcW w:type="dxa" w:w="2400"/>
            <w:shd w:fill="F6F9F9" w:val="clear"/>
            <w:tcMar>
              <w:top w:type="dxa" w:w="70"/>
              <w:left w:type="dxa" w:w="120"/>
              <w:bottom w:type="dxa" w:w="70"/>
              <w:right w:type="dxa" w:w="120"/>
            </w:tcMar>
          </w:tcPr>
          <w:p>
            <w:r>
              <w:rPr>
                <w:rFonts w:ascii="Consolas" w:cs="Consolas" w:eastAsia="Consolas" w:hAnsi="Consolas"/>
                <w:sz w:val="19"/>
                <w:szCs w:val="19"/>
              </w:rPr>
              <w:t xml:space="preserve">Microbiology</w:t>
            </w:r>
          </w:p>
        </w:tc>
        <w:tc>
          <w:tcPr>
            <w:tcW w:type="dxa" w:w="2200"/>
            <w:shd w:fill="F6F9F9" w:val="clear"/>
            <w:tcMar>
              <w:top w:type="dxa" w:w="70"/>
              <w:left w:type="dxa" w:w="120"/>
              <w:bottom w:type="dxa" w:w="70"/>
              <w:right w:type="dxa" w:w="120"/>
            </w:tcMar>
          </w:tcPr>
          <w:p>
            <w:r>
              <w:rPr>
                <w:sz w:val="19"/>
                <w:szCs w:val="19"/>
              </w:rPr>
              <w:t xml:space="preserve">Cancer biology</w:t>
            </w:r>
          </w:p>
        </w:tc>
        <w:tc>
          <w:tcPr>
            <w:tcW w:type="dxa" w:w="4740"/>
            <w:shd w:fill="F6F9F9" w:val="clear"/>
            <w:tcMar>
              <w:top w:type="dxa" w:w="70"/>
              <w:left w:type="dxa" w:w="120"/>
              <w:bottom w:type="dxa" w:w="70"/>
              <w:right w:type="dxa" w:w="120"/>
            </w:tcMar>
          </w:tcPr>
          <w:p>
            <w:r>
              <w:rPr>
                <w:sz w:val="19"/>
                <w:szCs w:val="19"/>
              </w:rPr>
              <w:t xml:space="preserve">Physiology</w:t>
            </w:r>
          </w:p>
        </w:tc>
      </w:tr>
      <w:tr>
        <w:tc>
          <w:tcPr>
            <w:tcW w:type="dxa" w:w="2400"/>
            <w:shd w:fill="FFFFFF" w:val="clear"/>
            <w:tcMar>
              <w:top w:type="dxa" w:w="70"/>
              <w:left w:type="dxa" w:w="120"/>
              <w:bottom w:type="dxa" w:w="70"/>
              <w:right w:type="dxa" w:w="120"/>
            </w:tcMar>
          </w:tcPr>
          <w:p>
            <w:r>
              <w:rPr>
                <w:rFonts w:ascii="Consolas" w:cs="Consolas" w:eastAsia="Consolas" w:hAnsi="Consolas"/>
                <w:sz w:val="19"/>
                <w:szCs w:val="19"/>
              </w:rPr>
              <w:t xml:space="preserve">Synthetic biology</w:t>
            </w:r>
          </w:p>
        </w:tc>
        <w:tc>
          <w:tcPr>
            <w:tcW w:type="dxa" w:w="2200"/>
            <w:shd w:fill="FFFFFF" w:val="clear"/>
            <w:tcMar>
              <w:top w:type="dxa" w:w="70"/>
              <w:left w:type="dxa" w:w="120"/>
              <w:bottom w:type="dxa" w:w="70"/>
              <w:right w:type="dxa" w:w="120"/>
            </w:tcMar>
          </w:tcPr>
          <w:p>
            <w:r>
              <w:rPr>
                <w:sz w:val="19"/>
                <w:szCs w:val="19"/>
              </w:rPr>
              <w:t xml:space="preserve">Systems biology</w:t>
            </w:r>
          </w:p>
        </w:tc>
        <w:tc>
          <w:tcPr>
            <w:tcW w:type="dxa" w:w="4740"/>
            <w:shd w:fill="FFFFFF" w:val="clear"/>
            <w:tcMar>
              <w:top w:type="dxa" w:w="70"/>
              <w:left w:type="dxa" w:w="120"/>
              <w:bottom w:type="dxa" w:w="70"/>
              <w:right w:type="dxa" w:w="120"/>
            </w:tcMar>
          </w:tcPr>
          <w:p>
            <w:r>
              <w:rPr>
                <w:sz w:val="19"/>
                <w:szCs w:val="19"/>
              </w:rPr>
              <w:t xml:space="preserve">Bioengineering</w:t>
            </w:r>
          </w:p>
        </w:tc>
      </w:tr>
      <w:tr>
        <w:tc>
          <w:tcPr>
            <w:tcW w:type="dxa" w:w="2400"/>
            <w:shd w:fill="F6F9F9" w:val="clear"/>
            <w:tcMar>
              <w:top w:type="dxa" w:w="70"/>
              <w:left w:type="dxa" w:w="120"/>
              <w:bottom w:type="dxa" w:w="70"/>
              <w:right w:type="dxa" w:w="120"/>
            </w:tcMar>
          </w:tcPr>
          <w:p>
            <w:r>
              <w:rPr>
                <w:rFonts w:ascii="Consolas" w:cs="Consolas" w:eastAsia="Consolas" w:hAnsi="Consolas"/>
                <w:sz w:val="19"/>
                <w:szCs w:val="19"/>
              </w:rPr>
              <w:t xml:space="preserve">Bioimaging</w:t>
            </w:r>
          </w:p>
        </w:tc>
        <w:tc>
          <w:tcPr>
            <w:tcW w:type="dxa" w:w="2200"/>
            <w:shd w:fill="F6F9F9" w:val="clear"/>
            <w:tcMar>
              <w:top w:type="dxa" w:w="70"/>
              <w:left w:type="dxa" w:w="120"/>
              <w:bottom w:type="dxa" w:w="70"/>
              <w:right w:type="dxa" w:w="120"/>
            </w:tcMar>
          </w:tcPr>
          <w:p>
            <w:r>
              <w:rPr>
                <w:sz w:val="19"/>
                <w:szCs w:val="19"/>
              </w:rPr>
              <w:t xml:space="preserve">Glycoengineering</w:t>
            </w:r>
          </w:p>
        </w:tc>
        <w:tc>
          <w:tcPr>
            <w:tcW w:type="dxa" w:w="4740"/>
            <w:shd w:fill="F6F9F9" w:val="clear"/>
            <w:tcMar>
              <w:top w:type="dxa" w:w="70"/>
              <w:left w:type="dxa" w:w="120"/>
              <w:bottom w:type="dxa" w:w="70"/>
              <w:right w:type="dxa" w:w="120"/>
            </w:tcMar>
          </w:tcPr>
          <w:p>
            <w:r>
              <w:rPr>
                <w:sz w:val="19"/>
                <w:szCs w:val="19"/>
              </w:rPr>
              <w:t xml:space="preserve">Lab automation &amp; protocols</w:t>
            </w:r>
          </w:p>
        </w:tc>
      </w:tr>
      <w:tr>
        <w:tc>
          <w:tcPr>
            <w:tcW w:type="dxa" w:w="2400"/>
            <w:shd w:fill="FFFFFF" w:val="clear"/>
            <w:tcMar>
              <w:top w:type="dxa" w:w="70"/>
              <w:left w:type="dxa" w:w="120"/>
              <w:bottom w:type="dxa" w:w="70"/>
              <w:right w:type="dxa" w:w="120"/>
            </w:tcMar>
          </w:tcPr>
          <w:p>
            <w:r>
              <w:rPr>
                <w:rFonts w:ascii="Consolas" w:cs="Consolas" w:eastAsia="Consolas" w:hAnsi="Consolas"/>
                <w:sz w:val="19"/>
                <w:szCs w:val="19"/>
              </w:rPr>
              <w:t xml:space="preserve">Literature (PubMed/NCBI)</w:t>
            </w:r>
          </w:p>
        </w:tc>
        <w:tc>
          <w:tcPr>
            <w:tcW w:type="dxa" w:w="2200"/>
            <w:shd w:fill="FFFFFF" w:val="clear"/>
            <w:tcMar>
              <w:top w:type="dxa" w:w="70"/>
              <w:left w:type="dxa" w:w="120"/>
              <w:bottom w:type="dxa" w:w="70"/>
              <w:right w:type="dxa" w:w="120"/>
            </w:tcMar>
          </w:tcPr>
          <w:p>
            <w:r>
              <w:rPr>
                <w:sz w:val="19"/>
                <w:szCs w:val="19"/>
              </w:rPr>
              <w:t xml:space="preserve">External databases</w:t>
            </w:r>
          </w:p>
        </w:tc>
        <w:tc>
          <w:tcPr>
            <w:tcW w:type="dxa" w:w="4740"/>
            <w:shd w:fill="FFFFFF" w:val="clear"/>
            <w:tcMar>
              <w:top w:type="dxa" w:w="70"/>
              <w:left w:type="dxa" w:w="120"/>
              <w:bottom w:type="dxa" w:w="70"/>
              <w:right w:type="dxa" w:w="120"/>
            </w:tcMar>
          </w:tcPr>
          <w:p>
            <w:r>
              <w:rPr>
                <w:sz w:val="19"/>
                <w:szCs w:val="19"/>
              </w:rPr>
              <w:t xml:space="preserve">—</w:t>
            </w:r>
          </w:p>
        </w:tc>
      </w:tr>
    </w:tbl>
    <w:p>
      <w:pPr>
        <w:spacing w:after="120" w:line="264"/>
      </w:pPr>
      <w:r>
        <w:rPr>
          <w:sz w:val="20"/>
          <w:szCs w:val="20"/>
        </w:rPr>
        <w:t xml:space="preserve"/>
      </w:r>
    </w:p>
    <w:p>
      <w:pPr>
        <w:spacing w:after="120" w:line="264"/>
      </w:pPr>
      <w:r>
        <w:rPr>
          <w:sz w:val="20"/>
          <w:szCs w:val="20"/>
        </w:rPr>
        <w:t xml:space="preserve">Representative tasks that have been run successfully in this build include CRISPR screen design, diagnostic and phylogenetic PCR/LAMP primer design, nanobody-candidate ranking against a viral antigen, ADMET property prediction from a molecule's structure, and protein-structure analysis from PDB files.</w:t>
      </w:r>
    </w:p>
    <w:p>
      <w:pPr>
        <w:pStyle w:val="Heading2"/>
        <w:spacing w:after="100" w:before="260"/>
      </w:pPr>
      <w:r>
        <w:rPr>
          <w:b/>
          <w:bCs/>
          <w:color w:val="0E7C7B"/>
          <w:sz w:val="24"/>
          <w:szCs w:val="24"/>
        </w:rPr>
        <w:t xml:space="preserve">4.4 Background runs and recovering past work</w:t>
      </w:r>
    </w:p>
    <w:p>
      <w:pPr>
        <w:spacing w:after="120" w:line="264"/>
      </w:pPr>
      <w:r>
        <w:rPr>
          <w:sz w:val="20"/>
          <w:szCs w:val="20"/>
        </w:rPr>
        <w:t xml:space="preserve">Because the Streamlit interface re-runs its script on every interaction, a long agent task used to be vulnerable to any stray click. BioMentis now runs each task on a dedicated background thread, independent of the browser page, and journals every event to disk as it happens.</w:t>
      </w:r>
    </w:p>
    <w:p>
      <w:pPr>
        <w:pStyle w:val="ListParagraph"/>
        <w:numPr>
          <w:ilvl w:val="0"/>
          <w:numId w:val="1"/>
        </w:numPr>
        <w:spacing w:after="60" w:line="254"/>
      </w:pPr>
      <w:r>
        <w:rPr>
          <w:sz w:val="20"/>
          <w:szCs w:val="20"/>
        </w:rPr>
        <w:t xml:space="preserve">A run keeps going even if you click something else in the sidebar, refresh the page, or the browser tab crashes — nothing is lost.</w:t>
      </w:r>
    </w:p>
    <w:p>
      <w:pPr>
        <w:pStyle w:val="ListParagraph"/>
        <w:numPr>
          <w:ilvl w:val="0"/>
          <w:numId w:val="1"/>
        </w:numPr>
        <w:spacing w:after="60" w:line="254"/>
      </w:pPr>
      <w:r>
        <w:rPr>
          <w:sz w:val="20"/>
          <w:szCs w:val="20"/>
        </w:rPr>
        <w:t xml:space="preserve">A "Stop run" control lets you cooperatively stop a run at its next step boundary.</w:t>
      </w:r>
    </w:p>
    <w:p>
      <w:pPr>
        <w:pStyle w:val="ListParagraph"/>
        <w:numPr>
          <w:ilvl w:val="0"/>
          <w:numId w:val="1"/>
        </w:numPr>
        <w:spacing w:after="60" w:line="254"/>
      </w:pPr>
      <w:r>
        <w:rPr>
          <w:sz w:val="20"/>
          <w:szCs w:val="20"/>
        </w:rPr>
        <w:t xml:space="preserve">The "🗂 Recover a previous run" panel in the sidebar lists prior runs (status, number of events, duration). "↩ Restore" replays a past transcript to the screen; "⬇ Code" downloads every code block from that run as a single runnable .py script.</w:t>
      </w:r>
    </w:p>
    <w:p>
      <w:pPr>
        <w:pStyle w:val="ListParagraph"/>
        <w:numPr>
          <w:ilvl w:val="0"/>
          <w:numId w:val="1"/>
        </w:numPr>
        <w:spacing w:after="60" w:line="254"/>
      </w:pPr>
      <w:r>
        <w:rPr>
          <w:sz w:val="20"/>
          <w:szCs w:val="20"/>
        </w:rPr>
        <w:t xml:space="preserve">This behavior can be turned off (BIOMENTIS_BACKGROUND_RUNS=0) and the journal location can be moved (BIOMNI_RUN_DIR) — see Section 6.</w:t>
      </w:r>
    </w:p>
    <w:p>
      <w:pPr>
        <w:pStyle w:val="Heading2"/>
        <w:spacing w:after="100" w:before="260"/>
      </w:pPr>
      <w:r>
        <w:rPr>
          <w:b/>
          <w:bCs/>
          <w:color w:val="0E7C7B"/>
          <w:sz w:val="24"/>
          <w:szCs w:val="24"/>
        </w:rPr>
        <w:t xml:space="preserve">4.5 Connecting external tools (MCP)</w:t>
      </w:r>
    </w:p>
    <w:p>
      <w:pPr>
        <w:spacing w:after="120" w:line="264"/>
      </w:pPr>
      <w:r>
        <w:rPr>
          <w:sz w:val="20"/>
          <w:szCs w:val="20"/>
        </w:rPr>
        <w:t xml:space="preserve">BioMentis can call external Model Context Protocol (MCP) servers as additional tools — for example, an FDA active-ingredient lookup service. This is configured by pointing the agent at an MCP configuration file (mcp_config.yaml); see the project's MCP integration documentation for the configuration format and worked examples.</w:t>
      </w:r>
    </w:p>
    <w:p>
      <w:pPr>
        <w:pStyle w:val="Heading2"/>
        <w:spacing w:after="100" w:before="260"/>
      </w:pPr>
      <w:r>
        <w:rPr>
          <w:b/>
          <w:bCs/>
          <w:color w:val="0E7C7B"/>
          <w:sz w:val="24"/>
          <w:szCs w:val="24"/>
        </w:rPr>
        <w:t xml:space="preserve">4.6 Web search</w:t>
      </w:r>
    </w:p>
    <w:p>
      <w:pPr>
        <w:spacing w:after="120" w:line="264"/>
      </w:pPr>
      <w:r>
        <w:rPr>
          <w:sz w:val="20"/>
          <w:szCs w:val="20"/>
        </w:rPr>
        <w:t xml:space="preserve">By default, BioMentis performs web search using a keyless method (no account or API key required). An upgraded search mode is available if you have access to it, with a basic fallback search method available as a last resort.</w:t>
      </w:r>
    </w:p>
    <w:p>
      <w:pPr>
        <w:pStyle w:val="Heading2"/>
        <w:spacing w:after="100" w:before="260"/>
      </w:pPr>
      <w:r>
        <w:rPr>
          <w:b/>
          <w:bCs/>
          <w:color w:val="0E7C7B"/>
          <w:sz w:val="24"/>
          <w:szCs w:val="24"/>
        </w:rPr>
        <w:t xml:space="preserve">4.7 Exporting your work</w:t>
      </w:r>
    </w:p>
    <w:p>
      <w:pPr>
        <w:pStyle w:val="ListParagraph"/>
        <w:numPr>
          <w:ilvl w:val="0"/>
          <w:numId w:val="1"/>
        </w:numPr>
        <w:spacing w:after="60" w:line="254"/>
      </w:pPr>
      <w:r>
        <w:rPr>
          <w:sz w:val="20"/>
          <w:szCs w:val="20"/>
        </w:rPr>
        <w:t xml:space="preserve">Conversation history can be exported to PDF directly from the agent (requires one of: WeasyPrint, markdown2pdf, or Pandoc to be installed).</w:t>
      </w:r>
    </w:p>
    <w:p>
      <w:pPr>
        <w:pStyle w:val="ListParagraph"/>
        <w:numPr>
          <w:ilvl w:val="0"/>
          <w:numId w:val="1"/>
        </w:numPr>
        <w:spacing w:after="60" w:line="254"/>
      </w:pPr>
      <w:r>
        <w:rPr>
          <w:sz w:val="20"/>
          <w:szCs w:val="20"/>
        </w:rPr>
        <w:t xml:space="preserve">Any past run's generated code can be downloaded as a single runnable script from the run-recovery panel (§4.4).</w:t>
      </w:r>
    </w:p>
    <w:p>
      <w:r>
        <w:br w:type="page"/>
      </w:r>
    </w:p>
    <w:p>
      <w:pPr>
        <w:pStyle w:val="Heading1"/>
        <w:spacing w:after="140" w:before="360"/>
      </w:pPr>
      <w:r>
        <w:rPr>
          <w:b/>
          <w:bCs/>
          <w:color w:val="1F3864"/>
          <w:sz w:val="30"/>
          <w:szCs w:val="30"/>
        </w:rPr>
        <w:t xml:space="preserve">5. Using BioMentis for Education (Instructional Mode)</w:t>
      </w:r>
    </w:p>
    <w:p>
      <w:pPr>
        <w:spacing w:after="120" w:line="264"/>
      </w:pPr>
      <w:r>
        <w:rPr>
          <w:sz w:val="20"/>
          <w:szCs w:val="20"/>
        </w:rPr>
        <w:t xml:space="preserve">BioMentis's instructional layer overlays the same research agent described in Section 4 with teaching features. It is entirely opt-in: when it is switched off, BioMentis behaves exactly like the research agent, with no added overhead.</w:t>
      </w:r>
    </w:p>
    <w:p>
      <w:pPr>
        <w:pStyle w:val="Heading2"/>
        <w:spacing w:after="100" w:before="260"/>
      </w:pPr>
      <w:r>
        <w:rPr>
          <w:b/>
          <w:bCs/>
          <w:color w:val="0E7C7B"/>
          <w:sz w:val="24"/>
          <w:szCs w:val="24"/>
        </w:rPr>
        <w:t xml:space="preserve">5.1 Turning it on</w:t>
      </w:r>
    </w:p>
    <w:p>
      <w:pPr>
        <w:spacing w:after="120" w:line="264"/>
      </w:pPr>
      <w:r>
        <w:rPr>
          <w:sz w:val="20"/>
          <w:szCs w:val="20"/>
        </w:rPr>
        <w:t xml:space="preserve">Open the "🎓 Tutor (optional)" panel in the sidebar and enable instructional mode. Two independent lenses can each be switched on or off, in any combination:</w:t>
      </w:r>
    </w:p>
    <w:p>
      <w:pPr>
        <w:pStyle w:val="ListParagraph"/>
        <w:numPr>
          <w:ilvl w:val="0"/>
          <w:numId w:val="1"/>
        </w:numPr>
        <w:spacing w:after="60" w:line="254"/>
      </w:pPr>
      <w:r>
        <w:rPr>
          <w:b/>
          <w:bCs/>
          <w:sz w:val="20"/>
          <w:szCs w:val="20"/>
        </w:rPr>
        <w:t xml:space="preserve">🔧 Technical details</w:t>
      </w:r>
      <w:r>
        <w:rPr>
          <w:sz w:val="20"/>
          <w:szCs w:val="20"/>
        </w:rPr>
        <w:t xml:space="preserve"> — explains what the agent is doing mechanically: which tool it called, why, what its parameters mean. It is deliberately instructed not to explain the underlying biology.</w:t>
      </w:r>
    </w:p>
    <w:p>
      <w:pPr>
        <w:pStyle w:val="ListParagraph"/>
        <w:numPr>
          <w:ilvl w:val="0"/>
          <w:numId w:val="1"/>
        </w:numPr>
        <w:spacing w:after="60" w:line="254"/>
      </w:pPr>
      <w:r>
        <w:rPr>
          <w:b/>
          <w:bCs/>
          <w:sz w:val="20"/>
          <w:szCs w:val="20"/>
        </w:rPr>
        <w:t xml:space="preserve">🔬 Scientific content</w:t>
      </w:r>
      <w:r>
        <w:rPr>
          <w:sz w:val="20"/>
          <w:szCs w:val="20"/>
        </w:rPr>
        <w:t xml:space="preserve"> — explains the biology: why this step matters scientifically, what it contributes to the overall answer, and its real-world significance. It is deliberately instructed not to narrate function names or parameters.</w:t>
      </w:r>
    </w:p>
    <w:p>
      <w:pPr>
        <w:spacing w:after="120" w:line="264"/>
      </w:pPr>
      <w:r>
        <w:rPr>
          <w:sz w:val="20"/>
          <w:szCs w:val="20"/>
        </w:rPr>
        <w:t xml:space="preserve">Running both lenses together gives a complete picture — how the agent worked, and why that work matters scientifically — without the two explanations repeating each other.</w:t>
      </w:r>
    </w:p>
    <w:p>
      <w:pPr>
        <w:pStyle w:val="Heading2"/>
        <w:spacing w:after="100" w:before="260"/>
      </w:pPr>
      <w:r>
        <w:rPr>
          <w:b/>
          <w:bCs/>
          <w:color w:val="0E7C7B"/>
          <w:sz w:val="24"/>
          <w:szCs w:val="24"/>
        </w:rPr>
        <w:t xml:space="preserve">5.2 Teaching cards</w:t>
      </w:r>
    </w:p>
    <w:p>
      <w:pPr>
        <w:spacing w:after="120" w:line="264"/>
      </w:pPr>
      <w:r>
        <w:rPr>
          <w:sz w:val="20"/>
          <w:szCs w:val="20"/>
        </w:rPr>
        <w:t xml:space="preserve">With instructional mode on, BioMentis generates a short teaching card after each reasoning step, code execution, observation, partial solution, and summary the agent produces. Each card is structured as What / Why / Prerequisites / What to look for (the scientific-content lens also adds How this builds the answer and Impact), and every card is tagged with a target Bloom's Taxonomy level and a Webb's Depth of Knowledge (DOK) level, plus citations back to the knowledge base described below.</w:t>
      </w:r>
    </w:p>
    <w:p>
      <w:pPr>
        <w:pBdr>
          <w:left w:val="single" w:color="0E7C7B" w:sz="18" w:space="8"/>
        </w:pBdr>
        <w:shd w:fill="EAF3F2" w:val="clear"/>
        <w:spacing w:after="160" w:before="80"/>
        <w:ind w:left="200"/>
      </w:pPr>
      <w:r>
        <w:rPr>
          <w:b/>
          <w:bCs/>
          <w:color w:val="0E7C7B"/>
          <w:sz w:val="19"/>
          <w:szCs w:val="19"/>
        </w:rPr>
        <w:t xml:space="preserve">How it's paced:  </w:t>
      </w:r>
      <w:r>
        <w:rPr>
          <w:color w:val="2E3B3B"/>
          <w:sz w:val="19"/>
          <w:szCs w:val="19"/>
        </w:rPr>
        <w:t xml:space="preserve">the agent itself is not paused mid-run — it runs to completion in the background (see §4.4), and the tutor drip-feeds its already-produced steps to the screen one card at a time. The ▶ Continue button advances through this drip-feed; it is a pacing control for the student, not a live interrupt of the agent.</w:t>
      </w:r>
    </w:p>
    <w:p>
      <w:pPr>
        <w:pStyle w:val="Heading2"/>
        <w:spacing w:after="100" w:before="260"/>
      </w:pPr>
      <w:r>
        <w:rPr>
          <w:b/>
          <w:bCs/>
          <w:color w:val="0E7C7B"/>
          <w:sz w:val="24"/>
          <w:szCs w:val="24"/>
        </w:rPr>
        <w:t xml:space="preserve">5.3 Building a per-session knowledge base</w:t>
      </w:r>
    </w:p>
    <w:p>
      <w:pPr>
        <w:spacing w:after="120" w:line="264"/>
      </w:pPr>
      <w:r>
        <w:rPr>
          <w:sz w:val="20"/>
          <w:szCs w:val="20"/>
        </w:rPr>
        <w:t xml:space="preserve">Instructors (or students) can upload course material — PDF, PowerPoint, Word documents, plain text, or web links — to ground the tutor in specific course content rather than the model's general knowledge.</w:t>
      </w:r>
    </w:p>
    <w:p>
      <w:pPr>
        <w:pStyle w:val="ListParagraph"/>
        <w:numPr>
          <w:ilvl w:val="0"/>
          <w:numId w:val="1"/>
        </w:numPr>
        <w:spacing w:after="60" w:line="254"/>
      </w:pPr>
      <w:r>
        <w:rPr>
          <w:sz w:val="20"/>
          <w:szCs w:val="20"/>
        </w:rPr>
        <w:t xml:space="preserve">Uploaded material is split into roughly 500-token chunks with some overlap, and indexed locally using sentence-embedding search.</w:t>
      </w:r>
    </w:p>
    <w:p>
      <w:pPr>
        <w:pStyle w:val="ListParagraph"/>
        <w:numPr>
          <w:ilvl w:val="0"/>
          <w:numId w:val="1"/>
        </w:numPr>
        <w:spacing w:after="60" w:line="254"/>
      </w:pPr>
      <w:r>
        <w:rPr>
          <w:sz w:val="20"/>
          <w:szCs w:val="20"/>
        </w:rPr>
        <w:t xml:space="preserve">Both the teaching cards and the tutor chat (§5.4) are grounded strictly in this material — the tutor is instructed never to invent a source, and any citation that isn't actually present in the retrieved material is dropped rather than shown.</w:t>
      </w:r>
    </w:p>
    <w:p>
      <w:pPr>
        <w:pStyle w:val="ListParagraph"/>
        <w:numPr>
          <w:ilvl w:val="0"/>
          <w:numId w:val="1"/>
        </w:numPr>
        <w:spacing w:after="60" w:line="254"/>
      </w:pPr>
      <w:r>
        <w:rPr>
          <w:sz w:val="20"/>
          <w:szCs w:val="20"/>
        </w:rPr>
        <w:t xml:space="preserve">After the embedding model's one-time download, this indexing runs fully offline.</w:t>
      </w:r>
    </w:p>
    <w:p>
      <w:pPr>
        <w:pStyle w:val="ListParagraph"/>
        <w:numPr>
          <w:ilvl w:val="0"/>
          <w:numId w:val="1"/>
        </w:numPr>
        <w:spacing w:after="60" w:line="254"/>
      </w:pPr>
      <w:r>
        <w:rPr>
          <w:sz w:val="20"/>
          <w:szCs w:val="20"/>
        </w:rPr>
        <w:t xml:space="preserve">The knowledge base is scoped to the current session, not tied to a persistent user account.</w:t>
      </w:r>
    </w:p>
    <w:p>
      <w:pPr>
        <w:pStyle w:val="Heading2"/>
        <w:spacing w:after="100" w:before="260"/>
      </w:pPr>
      <w:r>
        <w:rPr>
          <w:b/>
          <w:bCs/>
          <w:color w:val="0E7C7B"/>
          <w:sz w:val="24"/>
          <w:szCs w:val="24"/>
        </w:rPr>
        <w:t xml:space="preserve">5.4 The tutor chat panel</w:t>
      </w:r>
    </w:p>
    <w:p>
      <w:pPr>
        <w:spacing w:after="120" w:line="264"/>
      </w:pPr>
      <w:r>
        <w:rPr>
          <w:sz w:val="20"/>
          <w:szCs w:val="20"/>
        </w:rPr>
        <w:t xml:space="preserve">A chat column runs alongside the main transcript with two modes:</w:t>
      </w:r>
    </w:p>
    <w:p>
      <w:pPr>
        <w:pStyle w:val="ListParagraph"/>
        <w:numPr>
          <w:ilvl w:val="0"/>
          <w:numId w:val="1"/>
        </w:numPr>
        <w:spacing w:after="60" w:line="254"/>
      </w:pPr>
      <w:r>
        <w:rPr>
          <w:b/>
          <w:bCs/>
          <w:sz w:val="20"/>
          <w:szCs w:val="20"/>
        </w:rPr>
        <w:t xml:space="preserve">Tutor (Instructional)</w:t>
      </w:r>
      <w:r>
        <w:rPr>
          <w:sz w:val="20"/>
          <w:szCs w:val="20"/>
        </w:rPr>
        <w:t xml:space="preserve"> — answers only from the uploaded knowledge base, and says so when the material doesn't cover a question.</w:t>
      </w:r>
    </w:p>
    <w:p>
      <w:pPr>
        <w:pStyle w:val="ListParagraph"/>
        <w:numPr>
          <w:ilvl w:val="0"/>
          <w:numId w:val="1"/>
        </w:numPr>
        <w:spacing w:after="60" w:line="254"/>
      </w:pPr>
      <w:r>
        <w:rPr>
          <w:b/>
          <w:bCs/>
          <w:sz w:val="20"/>
          <w:szCs w:val="20"/>
        </w:rPr>
        <w:t xml:space="preserve">Chat</w:t>
      </w:r>
      <w:r>
        <w:rPr>
          <w:sz w:val="20"/>
          <w:szCs w:val="20"/>
        </w:rPr>
        <w:t xml:space="preserve"> — uses the knowledge base first, then allows the model to fill in gaps beyond it.</w:t>
      </w:r>
    </w:p>
    <w:p>
      <w:pPr>
        <w:spacing w:after="120" w:line="264"/>
      </w:pPr>
      <w:r>
        <w:rPr>
          <w:sz w:val="20"/>
          <w:szCs w:val="20"/>
        </w:rPr>
        <w:t xml:space="preserve">Every question and answer in this chat is automatically classified against the active rubric (Bloom level, DOK level, and whether it hit a specific learning objective).</w:t>
      </w:r>
    </w:p>
    <w:p>
      <w:pPr>
        <w:pStyle w:val="Heading2"/>
        <w:spacing w:after="100" w:before="260"/>
      </w:pPr>
      <w:r>
        <w:rPr>
          <w:b/>
          <w:bCs/>
          <w:color w:val="0E7C7B"/>
          <w:sz w:val="24"/>
          <w:szCs w:val="24"/>
        </w:rPr>
        <w:t xml:space="preserve">5.5 Rubrics</w:t>
      </w:r>
    </w:p>
    <w:p>
      <w:pPr>
        <w:spacing w:after="120" w:line="264"/>
      </w:pPr>
      <w:r>
        <w:rPr>
          <w:sz w:val="20"/>
          <w:szCs w:val="20"/>
        </w:rPr>
        <w:t xml:space="preserve">A default, discipline-agnostic rubric ships with BioMentis, covering five learning objectives spanning Bloom's levels from Remember through Create. Instructors can instead upload a custom rubric (a YAML file listing an id, description, Bloom level, and DOK level for each objective) to align teaching-card tagging and chat classification with their own course's learning outcomes.</w:t>
      </w:r>
    </w:p>
    <w:p>
      <w:pPr>
        <w:pStyle w:val="Heading2"/>
        <w:spacing w:after="100" w:before="260"/>
      </w:pPr>
      <w:r>
        <w:rPr>
          <w:b/>
          <w:bCs/>
          <w:color w:val="0E7C7B"/>
          <w:sz w:val="24"/>
          <w:szCs w:val="24"/>
        </w:rPr>
        <w:t xml:space="preserve">5.6 Session critique and continuity</w:t>
      </w:r>
    </w:p>
    <w:p>
      <w:pPr>
        <w:spacing w:after="120" w:line="264"/>
      </w:pPr>
      <w:r>
        <w:rPr>
          <w:sz w:val="20"/>
          <w:szCs w:val="20"/>
        </w:rPr>
        <w:t xml:space="preserve">After each tutoring session, a separate review pass reads the session transcript and produces a structured critique: specific weaknesses (for example, a skipped prerequisite, unused knowledge-base material, an overreaching claim, tool misuse, an incoherent plan, or poor recovery from an error), strengths, an overall score, and a short list of priorities for next time. This critique is written to that student's memory and is surfaced to the agent automatically at the start of their next session, so instruction can build across sessions rather than starting from zero each time.</w:t>
      </w:r>
    </w:p>
    <w:p>
      <w:pPr>
        <w:pStyle w:val="Heading2"/>
        <w:spacing w:after="100" w:before="260"/>
      </w:pPr>
      <w:r>
        <w:rPr>
          <w:b/>
          <w:bCs/>
          <w:color w:val="0E7C7B"/>
          <w:sz w:val="24"/>
          <w:szCs w:val="24"/>
        </w:rPr>
        <w:t xml:space="preserve">5.7 Session logs and export</w:t>
      </w:r>
    </w:p>
    <w:p>
      <w:pPr>
        <w:spacing w:after="120" w:line="264"/>
      </w:pPr>
      <w:r>
        <w:rPr>
          <w:sz w:val="20"/>
          <w:szCs w:val="20"/>
        </w:rPr>
        <w:t xml:space="preserve">Every teaching card shown and every tutor-chat exchange is logged, along with its Bloom/DOK classification, in an append-only record for the session. From the sidebar, this can be exported as a single JSON file or as two CSVs (one for teaching-card steps, one for Q&amp;A) — suitable for grading, learning-analytics review, or simply keeping a record of what a student covered.</w:t>
      </w:r>
    </w:p>
    <w:p>
      <w:pPr>
        <w:pStyle w:val="Heading2"/>
        <w:spacing w:after="100" w:before="260"/>
      </w:pPr>
      <w:r>
        <w:rPr>
          <w:b/>
          <w:bCs/>
          <w:color w:val="0E7C7B"/>
          <w:sz w:val="24"/>
          <w:szCs w:val="24"/>
        </w:rPr>
        <w:t xml:space="preserve">5.8 Turning instructional mode fully off</w:t>
      </w:r>
    </w:p>
    <w:p>
      <w:pPr>
        <w:spacing w:after="120" w:line="264"/>
      </w:pPr>
      <w:r>
        <w:rPr>
          <w:sz w:val="20"/>
          <w:szCs w:val="20"/>
        </w:rPr>
        <w:t xml:space="preserve">Flip the sidebar toggle off at any time to return to the plain research agent for that session. An instructor who wants to remove the tutor from a deployment entirely can also strip its wiring out of the app's startup script — see the project's tutor documentation for the exact lines to remove.</w:t>
      </w:r>
    </w:p>
    <w:p>
      <w:r>
        <w:br w:type="page"/>
      </w:r>
    </w:p>
    <w:p>
      <w:pPr>
        <w:pStyle w:val="Heading1"/>
        <w:spacing w:after="140" w:before="360"/>
      </w:pPr>
      <w:r>
        <w:rPr>
          <w:b/>
          <w:bCs/>
          <w:color w:val="1F3864"/>
          <w:sz w:val="30"/>
          <w:szCs w:val="30"/>
        </w:rPr>
        <w:t xml:space="preserve">6. Configuration Reference</w:t>
      </w:r>
    </w:p>
    <w:p>
      <w:pPr>
        <w:pStyle w:val="Heading2"/>
        <w:spacing w:after="100" w:before="260"/>
      </w:pPr>
      <w:r>
        <w:rPr>
          <w:b/>
          <w:bCs/>
          <w:color w:val="0E7C7B"/>
          <w:sz w:val="24"/>
          <w:szCs w:val="24"/>
        </w:rPr>
        <w:t xml:space="preserve">6.1 Environment variables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6740"/>
      </w:tblGrid>
      <w:tr>
        <w:trPr>
          <w:tblHeader/>
        </w:trPr>
        <w:tc>
          <w:tcPr>
            <w:tcW w:type="dxa" w:w="2600"/>
            <w:shd w:fill="1F3864" w:val="clear"/>
            <w:tcMar>
              <w:top w:type="dxa" w:w="80"/>
              <w:left w:type="dxa" w:w="120"/>
              <w:bottom w:type="dxa" w:w="80"/>
              <w:right w:type="dxa" w:w="120"/>
            </w:tcMar>
            <w:vAlign w:val="center"/>
          </w:tcPr>
          <w:p>
            <w:r>
              <w:rPr>
                <w:b/>
                <w:bCs/>
                <w:color w:val="FFFFFF"/>
                <w:sz w:val="19"/>
                <w:szCs w:val="19"/>
              </w:rPr>
              <w:t xml:space="preserve">Setting</w:t>
            </w:r>
          </w:p>
        </w:tc>
        <w:tc>
          <w:tcPr>
            <w:tcW w:type="dxa" w:w="6740"/>
            <w:shd w:fill="1F3864" w:val="clear"/>
            <w:tcMar>
              <w:top w:type="dxa" w:w="80"/>
              <w:left w:type="dxa" w:w="120"/>
              <w:bottom w:type="dxa" w:w="80"/>
              <w:right w:type="dxa" w:w="120"/>
            </w:tcMar>
            <w:vAlign w:val="center"/>
          </w:tcPr>
          <w:p>
            <w:r>
              <w:rPr>
                <w:b/>
                <w:bCs/>
                <w:color w:val="FFFFFF"/>
                <w:sz w:val="19"/>
                <w:szCs w:val="19"/>
              </w:rPr>
              <w:t xml:space="preserve">Description</w:t>
            </w:r>
          </w:p>
        </w:tc>
      </w:tr>
      <w:tr>
        <w:tc>
          <w:tcPr>
            <w:tcW w:type="dxa" w:w="2600"/>
            <w:shd w:fill="FFFFFF" w:val="clear"/>
            <w:tcMar>
              <w:top w:type="dxa" w:w="70"/>
              <w:left w:type="dxa" w:w="120"/>
              <w:bottom w:type="dxa" w:w="70"/>
              <w:right w:type="dxa" w:w="120"/>
            </w:tcMar>
          </w:tcPr>
          <w:p>
            <w:r>
              <w:rPr>
                <w:rFonts w:ascii="Consolas" w:cs="Consolas" w:eastAsia="Consolas" w:hAnsi="Consolas"/>
                <w:sz w:val="19"/>
                <w:szCs w:val="19"/>
              </w:rPr>
              <w:t xml:space="preserve">ANTHROPIC_API_KEY</w:t>
            </w:r>
          </w:p>
        </w:tc>
        <w:tc>
          <w:tcPr>
            <w:tcW w:type="dxa" w:w="6740"/>
            <w:shd w:fill="FFFFFF" w:val="clear"/>
            <w:tcMar>
              <w:top w:type="dxa" w:w="70"/>
              <w:left w:type="dxa" w:w="120"/>
              <w:bottom w:type="dxa" w:w="70"/>
              <w:right w:type="dxa" w:w="120"/>
            </w:tcMar>
          </w:tcPr>
          <w:p>
            <w:r>
              <w:rPr>
                <w:sz w:val="19"/>
                <w:szCs w:val="19"/>
              </w:rPr>
              <w:t xml:space="preserve">API key for Anthropic (Claude) models.</w:t>
            </w:r>
          </w:p>
        </w:tc>
      </w:tr>
      <w:tr>
        <w:tc>
          <w:tcPr>
            <w:tcW w:type="dxa" w:w="2600"/>
            <w:shd w:fill="F6F9F9" w:val="clear"/>
            <w:tcMar>
              <w:top w:type="dxa" w:w="70"/>
              <w:left w:type="dxa" w:w="120"/>
              <w:bottom w:type="dxa" w:w="70"/>
              <w:right w:type="dxa" w:w="120"/>
            </w:tcMar>
          </w:tcPr>
          <w:p>
            <w:r>
              <w:rPr>
                <w:rFonts w:ascii="Consolas" w:cs="Consolas" w:eastAsia="Consolas" w:hAnsi="Consolas"/>
                <w:sz w:val="19"/>
                <w:szCs w:val="19"/>
              </w:rPr>
              <w:t xml:space="preserve">OPENAI_API_KEY</w:t>
            </w:r>
          </w:p>
        </w:tc>
        <w:tc>
          <w:tcPr>
            <w:tcW w:type="dxa" w:w="6740"/>
            <w:shd w:fill="F6F9F9" w:val="clear"/>
            <w:tcMar>
              <w:top w:type="dxa" w:w="70"/>
              <w:left w:type="dxa" w:w="120"/>
              <w:bottom w:type="dxa" w:w="70"/>
              <w:right w:type="dxa" w:w="120"/>
            </w:tcMar>
          </w:tcPr>
          <w:p>
            <w:r>
              <w:rPr>
                <w:sz w:val="19"/>
                <w:szCs w:val="19"/>
              </w:rPr>
              <w:t xml:space="preserve">API key for OpenAI models. Pair with OPENAI_ENDPOINT for Azure OpenAI.</w:t>
            </w:r>
          </w:p>
        </w:tc>
      </w:tr>
      <w:tr>
        <w:tc>
          <w:tcPr>
            <w:tcW w:type="dxa" w:w="2600"/>
            <w:shd w:fill="FFFFFF" w:val="clear"/>
            <w:tcMar>
              <w:top w:type="dxa" w:w="70"/>
              <w:left w:type="dxa" w:w="120"/>
              <w:bottom w:type="dxa" w:w="70"/>
              <w:right w:type="dxa" w:w="120"/>
            </w:tcMar>
          </w:tcPr>
          <w:p>
            <w:r>
              <w:rPr>
                <w:rFonts w:ascii="Consolas" w:cs="Consolas" w:eastAsia="Consolas" w:hAnsi="Consolas"/>
                <w:sz w:val="19"/>
                <w:szCs w:val="19"/>
              </w:rPr>
              <w:t xml:space="preserve">GEMINI_API_KEY</w:t>
            </w:r>
          </w:p>
        </w:tc>
        <w:tc>
          <w:tcPr>
            <w:tcW w:type="dxa" w:w="6740"/>
            <w:shd w:fill="FFFFFF" w:val="clear"/>
            <w:tcMar>
              <w:top w:type="dxa" w:w="70"/>
              <w:left w:type="dxa" w:w="120"/>
              <w:bottom w:type="dxa" w:w="70"/>
              <w:right w:type="dxa" w:w="120"/>
            </w:tcMar>
          </w:tcPr>
          <w:p>
            <w:r>
              <w:rPr>
                <w:sz w:val="19"/>
                <w:szCs w:val="19"/>
              </w:rPr>
              <w:t xml:space="preserve">API key for Google Gemini models.</w:t>
            </w:r>
          </w:p>
        </w:tc>
      </w:tr>
      <w:tr>
        <w:tc>
          <w:tcPr>
            <w:tcW w:type="dxa" w:w="2600"/>
            <w:shd w:fill="F6F9F9" w:val="clear"/>
            <w:tcMar>
              <w:top w:type="dxa" w:w="70"/>
              <w:left w:type="dxa" w:w="120"/>
              <w:bottom w:type="dxa" w:w="70"/>
              <w:right w:type="dxa" w:w="120"/>
            </w:tcMar>
          </w:tcPr>
          <w:p>
            <w:r>
              <w:rPr>
                <w:rFonts w:ascii="Consolas" w:cs="Consolas" w:eastAsia="Consolas" w:hAnsi="Consolas"/>
                <w:sz w:val="19"/>
                <w:szCs w:val="19"/>
              </w:rPr>
              <w:t xml:space="preserve">GROQ_API_KEY</w:t>
            </w:r>
          </w:p>
        </w:tc>
        <w:tc>
          <w:tcPr>
            <w:tcW w:type="dxa" w:w="6740"/>
            <w:shd w:fill="F6F9F9" w:val="clear"/>
            <w:tcMar>
              <w:top w:type="dxa" w:w="70"/>
              <w:left w:type="dxa" w:w="120"/>
              <w:bottom w:type="dxa" w:w="70"/>
              <w:right w:type="dxa" w:w="120"/>
            </w:tcMar>
          </w:tcPr>
          <w:p>
            <w:r>
              <w:rPr>
                <w:sz w:val="19"/>
                <w:szCs w:val="19"/>
              </w:rPr>
              <w:t xml:space="preserve">API key for Groq-hosted models.</w:t>
            </w:r>
          </w:p>
        </w:tc>
      </w:tr>
      <w:tr>
        <w:tc>
          <w:tcPr>
            <w:tcW w:type="dxa" w:w="2600"/>
            <w:shd w:fill="FFFFFF" w:val="clear"/>
            <w:tcMar>
              <w:top w:type="dxa" w:w="70"/>
              <w:left w:type="dxa" w:w="120"/>
              <w:bottom w:type="dxa" w:w="70"/>
              <w:right w:type="dxa" w:w="120"/>
            </w:tcMar>
          </w:tcPr>
          <w:p>
            <w:r>
              <w:rPr>
                <w:rFonts w:ascii="Consolas" w:cs="Consolas" w:eastAsia="Consolas" w:hAnsi="Consolas"/>
                <w:sz w:val="19"/>
                <w:szCs w:val="19"/>
              </w:rPr>
              <w:t xml:space="preserve">AWS_BEARER_TOKEN_BEDROCK / AWS_REGION</w:t>
            </w:r>
          </w:p>
        </w:tc>
        <w:tc>
          <w:tcPr>
            <w:tcW w:type="dxa" w:w="6740"/>
            <w:shd w:fill="FFFFFF" w:val="clear"/>
            <w:tcMar>
              <w:top w:type="dxa" w:w="70"/>
              <w:left w:type="dxa" w:w="120"/>
              <w:bottom w:type="dxa" w:w="70"/>
              <w:right w:type="dxa" w:w="120"/>
            </w:tcMar>
          </w:tcPr>
          <w:p>
            <w:r>
              <w:rPr>
                <w:sz w:val="19"/>
                <w:szCs w:val="19"/>
              </w:rPr>
              <w:t xml:space="preserve">Credentials and region for Amazon Bedrock models.</w:t>
            </w:r>
          </w:p>
        </w:tc>
      </w:tr>
      <w:tr>
        <w:tc>
          <w:tcPr>
            <w:tcW w:type="dxa" w:w="2600"/>
            <w:shd w:fill="F6F9F9" w:val="clear"/>
            <w:tcMar>
              <w:top w:type="dxa" w:w="70"/>
              <w:left w:type="dxa" w:w="120"/>
              <w:bottom w:type="dxa" w:w="70"/>
              <w:right w:type="dxa" w:w="120"/>
            </w:tcMar>
          </w:tcPr>
          <w:p>
            <w:r>
              <w:rPr>
                <w:rFonts w:ascii="Consolas" w:cs="Consolas" w:eastAsia="Consolas" w:hAnsi="Consolas"/>
                <w:sz w:val="19"/>
                <w:szCs w:val="19"/>
              </w:rPr>
              <w:t xml:space="preserve">BIOMNI_LLM</w:t>
            </w:r>
          </w:p>
        </w:tc>
        <w:tc>
          <w:tcPr>
            <w:tcW w:type="dxa" w:w="6740"/>
            <w:shd w:fill="F6F9F9" w:val="clear"/>
            <w:tcMar>
              <w:top w:type="dxa" w:w="70"/>
              <w:left w:type="dxa" w:w="120"/>
              <w:bottom w:type="dxa" w:w="70"/>
              <w:right w:type="dxa" w:w="120"/>
            </w:tcMar>
          </w:tcPr>
          <w:p>
            <w:r>
              <w:rPr>
                <w:sz w:val="19"/>
                <w:szCs w:val="19"/>
              </w:rPr>
              <w:t xml:space="preserve">Explicit model name to use (overrides local auto-selection).</w:t>
            </w:r>
          </w:p>
        </w:tc>
      </w:tr>
      <w:tr>
        <w:tc>
          <w:tcPr>
            <w:tcW w:type="dxa" w:w="2600"/>
            <w:shd w:fill="FFFFFF" w:val="clear"/>
            <w:tcMar>
              <w:top w:type="dxa" w:w="70"/>
              <w:left w:type="dxa" w:w="120"/>
              <w:bottom w:type="dxa" w:w="70"/>
              <w:right w:type="dxa" w:w="120"/>
            </w:tcMar>
          </w:tcPr>
          <w:p>
            <w:r>
              <w:rPr>
                <w:rFonts w:ascii="Consolas" w:cs="Consolas" w:eastAsia="Consolas" w:hAnsi="Consolas"/>
                <w:sz w:val="19"/>
                <w:szCs w:val="19"/>
              </w:rPr>
              <w:t xml:space="preserve">BIOMNI_SOURCE</w:t>
            </w:r>
          </w:p>
        </w:tc>
        <w:tc>
          <w:tcPr>
            <w:tcW w:type="dxa" w:w="6740"/>
            <w:shd w:fill="FFFFFF" w:val="clear"/>
            <w:tcMar>
              <w:top w:type="dxa" w:w="70"/>
              <w:left w:type="dxa" w:w="120"/>
              <w:bottom w:type="dxa" w:w="70"/>
              <w:right w:type="dxa" w:w="120"/>
            </w:tcMar>
          </w:tcPr>
          <w:p>
            <w:r>
              <w:rPr>
                <w:sz w:val="19"/>
                <w:szCs w:val="19"/>
              </w:rPr>
              <w:t xml:space="preserve">Provider for BIOMNI_LLM: OpenAI, AzureOpenAI, Anthropic, Ollama, Gemini, Bedrock, or Custom.</w:t>
            </w:r>
          </w:p>
        </w:tc>
      </w:tr>
      <w:tr>
        <w:tc>
          <w:tcPr>
            <w:tcW w:type="dxa" w:w="2600"/>
            <w:shd w:fill="F6F9F9" w:val="clear"/>
            <w:tcMar>
              <w:top w:type="dxa" w:w="70"/>
              <w:left w:type="dxa" w:w="120"/>
              <w:bottom w:type="dxa" w:w="70"/>
              <w:right w:type="dxa" w:w="120"/>
            </w:tcMar>
          </w:tcPr>
          <w:p>
            <w:r>
              <w:rPr>
                <w:rFonts w:ascii="Consolas" w:cs="Consolas" w:eastAsia="Consolas" w:hAnsi="Consolas"/>
                <w:sz w:val="19"/>
                <w:szCs w:val="19"/>
              </w:rPr>
              <w:t xml:space="preserve">BIOMNI_DISABLE_LOCAL_FALLBACK</w:t>
            </w:r>
          </w:p>
        </w:tc>
        <w:tc>
          <w:tcPr>
            <w:tcW w:type="dxa" w:w="6740"/>
            <w:shd w:fill="F6F9F9" w:val="clear"/>
            <w:tcMar>
              <w:top w:type="dxa" w:w="70"/>
              <w:left w:type="dxa" w:w="120"/>
              <w:bottom w:type="dxa" w:w="70"/>
              <w:right w:type="dxa" w:w="120"/>
            </w:tcMar>
          </w:tcPr>
          <w:p>
            <w:r>
              <w:rPr>
                <w:sz w:val="19"/>
                <w:szCs w:val="19"/>
              </w:rPr>
              <w:t xml:space="preserve">Set true to stop BioMentis from silently preferring a running local Ollama server.</w:t>
            </w:r>
          </w:p>
        </w:tc>
      </w:tr>
      <w:tr>
        <w:tc>
          <w:tcPr>
            <w:tcW w:type="dxa" w:w="2600"/>
            <w:shd w:fill="FFFFFF" w:val="clear"/>
            <w:tcMar>
              <w:top w:type="dxa" w:w="70"/>
              <w:left w:type="dxa" w:w="120"/>
              <w:bottom w:type="dxa" w:w="70"/>
              <w:right w:type="dxa" w:w="120"/>
            </w:tcMar>
          </w:tcPr>
          <w:p>
            <w:r>
              <w:rPr>
                <w:rFonts w:ascii="Consolas" w:cs="Consolas" w:eastAsia="Consolas" w:hAnsi="Consolas"/>
                <w:sz w:val="19"/>
                <w:szCs w:val="19"/>
              </w:rPr>
              <w:t xml:space="preserve">CUSTOM_MODEL_BASE_URL / CUSTOM_MODEL_API_KEY</w:t>
            </w:r>
          </w:p>
        </w:tc>
        <w:tc>
          <w:tcPr>
            <w:tcW w:type="dxa" w:w="6740"/>
            <w:shd w:fill="FFFFFF" w:val="clear"/>
            <w:tcMar>
              <w:top w:type="dxa" w:w="70"/>
              <w:left w:type="dxa" w:w="120"/>
              <w:bottom w:type="dxa" w:w="70"/>
              <w:right w:type="dxa" w:w="120"/>
            </w:tcMar>
          </w:tcPr>
          <w:p>
            <w:r>
              <w:rPr>
                <w:sz w:val="19"/>
                <w:szCs w:val="19"/>
              </w:rPr>
              <w:t xml:space="preserve">Base URL and key for a self-hosted, OpenAI-compatible model server.</w:t>
            </w:r>
          </w:p>
        </w:tc>
      </w:tr>
      <w:tr>
        <w:tc>
          <w:tcPr>
            <w:tcW w:type="dxa" w:w="2600"/>
            <w:shd w:fill="F6F9F9" w:val="clear"/>
            <w:tcMar>
              <w:top w:type="dxa" w:w="70"/>
              <w:left w:type="dxa" w:w="120"/>
              <w:bottom w:type="dxa" w:w="70"/>
              <w:right w:type="dxa" w:w="120"/>
            </w:tcMar>
          </w:tcPr>
          <w:p>
            <w:r>
              <w:rPr>
                <w:rFonts w:ascii="Consolas" w:cs="Consolas" w:eastAsia="Consolas" w:hAnsi="Consolas"/>
                <w:sz w:val="19"/>
                <w:szCs w:val="19"/>
              </w:rPr>
              <w:t xml:space="preserve">OLLAMA_HOST</w:t>
            </w:r>
          </w:p>
        </w:tc>
        <w:tc>
          <w:tcPr>
            <w:tcW w:type="dxa" w:w="6740"/>
            <w:shd w:fill="F6F9F9" w:val="clear"/>
            <w:tcMar>
              <w:top w:type="dxa" w:w="70"/>
              <w:left w:type="dxa" w:w="120"/>
              <w:bottom w:type="dxa" w:w="70"/>
              <w:right w:type="dxa" w:w="120"/>
            </w:tcMar>
          </w:tcPr>
          <w:p>
            <w:r>
              <w:rPr>
                <w:sz w:val="19"/>
                <w:szCs w:val="19"/>
              </w:rPr>
              <w:t xml:space="preserve">Address of the local Ollama server (default localhost:11434).</w:t>
            </w:r>
          </w:p>
        </w:tc>
      </w:tr>
      <w:tr>
        <w:tc>
          <w:tcPr>
            <w:tcW w:type="dxa" w:w="2600"/>
            <w:shd w:fill="FFFFFF" w:val="clear"/>
            <w:tcMar>
              <w:top w:type="dxa" w:w="70"/>
              <w:left w:type="dxa" w:w="120"/>
              <w:bottom w:type="dxa" w:w="70"/>
              <w:right w:type="dxa" w:w="120"/>
            </w:tcMar>
          </w:tcPr>
          <w:p>
            <w:r>
              <w:rPr>
                <w:rFonts w:ascii="Consolas" w:cs="Consolas" w:eastAsia="Consolas" w:hAnsi="Consolas"/>
                <w:sz w:val="19"/>
                <w:szCs w:val="19"/>
              </w:rPr>
              <w:t xml:space="preserve">BIOMNI_DATA_PATH</w:t>
            </w:r>
          </w:p>
        </w:tc>
        <w:tc>
          <w:tcPr>
            <w:tcW w:type="dxa" w:w="6740"/>
            <w:shd w:fill="FFFFFF" w:val="clear"/>
            <w:tcMar>
              <w:top w:type="dxa" w:w="70"/>
              <w:left w:type="dxa" w:w="120"/>
              <w:bottom w:type="dxa" w:w="70"/>
              <w:right w:type="dxa" w:w="120"/>
            </w:tcMar>
          </w:tcPr>
          <w:p>
            <w:r>
              <w:rPr>
                <w:sz w:val="19"/>
                <w:szCs w:val="19"/>
              </w:rPr>
              <w:t xml:space="preserve">Where the biomedical data lake is stored.</w:t>
            </w:r>
          </w:p>
        </w:tc>
      </w:tr>
      <w:tr>
        <w:tc>
          <w:tcPr>
            <w:tcW w:type="dxa" w:w="2600"/>
            <w:shd w:fill="F6F9F9" w:val="clear"/>
            <w:tcMar>
              <w:top w:type="dxa" w:w="70"/>
              <w:left w:type="dxa" w:w="120"/>
              <w:bottom w:type="dxa" w:w="70"/>
              <w:right w:type="dxa" w:w="120"/>
            </w:tcMar>
          </w:tcPr>
          <w:p>
            <w:r>
              <w:rPr>
                <w:rFonts w:ascii="Consolas" w:cs="Consolas" w:eastAsia="Consolas" w:hAnsi="Consolas"/>
                <w:sz w:val="19"/>
                <w:szCs w:val="19"/>
              </w:rPr>
              <w:t xml:space="preserve">BIOMNI_TIMEOUT_SECONDS</w:t>
            </w:r>
          </w:p>
        </w:tc>
        <w:tc>
          <w:tcPr>
            <w:tcW w:type="dxa" w:w="6740"/>
            <w:shd w:fill="F6F9F9" w:val="clear"/>
            <w:tcMar>
              <w:top w:type="dxa" w:w="70"/>
              <w:left w:type="dxa" w:w="120"/>
              <w:bottom w:type="dxa" w:w="70"/>
              <w:right w:type="dxa" w:w="120"/>
            </w:tcMar>
          </w:tcPr>
          <w:p>
            <w:r>
              <w:rPr>
                <w:sz w:val="19"/>
                <w:szCs w:val="19"/>
              </w:rPr>
              <w:t xml:space="preserve">Per-tool-call timeout in seconds (default 600).</w:t>
            </w:r>
          </w:p>
        </w:tc>
      </w:tr>
      <w:tr>
        <w:tc>
          <w:tcPr>
            <w:tcW w:type="dxa" w:w="2600"/>
            <w:shd w:fill="FFFFFF" w:val="clear"/>
            <w:tcMar>
              <w:top w:type="dxa" w:w="70"/>
              <w:left w:type="dxa" w:w="120"/>
              <w:bottom w:type="dxa" w:w="70"/>
              <w:right w:type="dxa" w:w="120"/>
            </w:tcMar>
          </w:tcPr>
          <w:p>
            <w:r>
              <w:rPr>
                <w:rFonts w:ascii="Consolas" w:cs="Consolas" w:eastAsia="Consolas" w:hAnsi="Consolas"/>
                <w:sz w:val="19"/>
                <w:szCs w:val="19"/>
              </w:rPr>
              <w:t xml:space="preserve">BIOMNI_TEMPERATURE</w:t>
            </w:r>
          </w:p>
        </w:tc>
        <w:tc>
          <w:tcPr>
            <w:tcW w:type="dxa" w:w="6740"/>
            <w:shd w:fill="FFFFFF" w:val="clear"/>
            <w:tcMar>
              <w:top w:type="dxa" w:w="70"/>
              <w:left w:type="dxa" w:w="120"/>
              <w:bottom w:type="dxa" w:w="70"/>
              <w:right w:type="dxa" w:w="120"/>
            </w:tcMar>
          </w:tcPr>
          <w:p>
            <w:r>
              <w:rPr>
                <w:sz w:val="19"/>
                <w:szCs w:val="19"/>
              </w:rPr>
              <w:t xml:space="preserve">Sampling temperature for standard reasoning/code/tool calls (default 0.2).</w:t>
            </w:r>
          </w:p>
        </w:tc>
      </w:tr>
      <w:tr>
        <w:tc>
          <w:tcPr>
            <w:tcW w:type="dxa" w:w="2600"/>
            <w:shd w:fill="F6F9F9" w:val="clear"/>
            <w:tcMar>
              <w:top w:type="dxa" w:w="70"/>
              <w:left w:type="dxa" w:w="120"/>
              <w:bottom w:type="dxa" w:w="70"/>
              <w:right w:type="dxa" w:w="120"/>
            </w:tcMar>
          </w:tcPr>
          <w:p>
            <w:r>
              <w:rPr>
                <w:rFonts w:ascii="Consolas" w:cs="Consolas" w:eastAsia="Consolas" w:hAnsi="Consolas"/>
                <w:sz w:val="19"/>
                <w:szCs w:val="19"/>
              </w:rPr>
              <w:t xml:space="preserve">BIOMNI_CREATIVE_TEMPERATURE</w:t>
            </w:r>
          </w:p>
        </w:tc>
        <w:tc>
          <w:tcPr>
            <w:tcW w:type="dxa" w:w="6740"/>
            <w:shd w:fill="F6F9F9" w:val="clear"/>
            <w:tcMar>
              <w:top w:type="dxa" w:w="70"/>
              <w:left w:type="dxa" w:w="120"/>
              <w:bottom w:type="dxa" w:w="70"/>
              <w:right w:type="dxa" w:w="120"/>
            </w:tcMar>
          </w:tcPr>
          <w:p>
            <w:r>
              <w:rPr>
                <w:sz w:val="19"/>
                <w:szCs w:val="19"/>
              </w:rPr>
              <w:t xml:space="preserve">Sampling temperature used only for divergent/hypothesis-generation calls (default 0.7).</w:t>
            </w:r>
          </w:p>
        </w:tc>
      </w:tr>
      <w:tr>
        <w:tc>
          <w:tcPr>
            <w:tcW w:type="dxa" w:w="2600"/>
            <w:shd w:fill="FFFFFF" w:val="clear"/>
            <w:tcMar>
              <w:top w:type="dxa" w:w="70"/>
              <w:left w:type="dxa" w:w="120"/>
              <w:bottom w:type="dxa" w:w="70"/>
              <w:right w:type="dxa" w:w="120"/>
            </w:tcMar>
          </w:tcPr>
          <w:p>
            <w:r>
              <w:rPr>
                <w:rFonts w:ascii="Consolas" w:cs="Consolas" w:eastAsia="Consolas" w:hAnsi="Consolas"/>
                <w:sz w:val="19"/>
                <w:szCs w:val="19"/>
              </w:rPr>
              <w:t xml:space="preserve">BIOMNI_USE_TOOL_RETRIEVER</w:t>
            </w:r>
          </w:p>
        </w:tc>
        <w:tc>
          <w:tcPr>
            <w:tcW w:type="dxa" w:w="6740"/>
            <w:shd w:fill="FFFFFF" w:val="clear"/>
            <w:tcMar>
              <w:top w:type="dxa" w:w="70"/>
              <w:left w:type="dxa" w:w="120"/>
              <w:bottom w:type="dxa" w:w="70"/>
              <w:right w:type="dxa" w:w="120"/>
            </w:tcMar>
          </w:tcPr>
          <w:p>
            <w:r>
              <w:rPr>
                <w:sz w:val="19"/>
                <w:szCs w:val="19"/>
              </w:rPr>
              <w:t xml:space="preserve">Whether to use retrieval to narrow the tool set considered per step (default true).</w:t>
            </w:r>
          </w:p>
        </w:tc>
      </w:tr>
      <w:tr>
        <w:tc>
          <w:tcPr>
            <w:tcW w:type="dxa" w:w="2600"/>
            <w:shd w:fill="F6F9F9" w:val="clear"/>
            <w:tcMar>
              <w:top w:type="dxa" w:w="70"/>
              <w:left w:type="dxa" w:w="120"/>
              <w:bottom w:type="dxa" w:w="70"/>
              <w:right w:type="dxa" w:w="120"/>
            </w:tcMar>
          </w:tcPr>
          <w:p>
            <w:r>
              <w:rPr>
                <w:rFonts w:ascii="Consolas" w:cs="Consolas" w:eastAsia="Consolas" w:hAnsi="Consolas"/>
                <w:sz w:val="19"/>
                <w:szCs w:val="19"/>
              </w:rPr>
              <w:t xml:space="preserve">BIOMNI_COMMERCIAL_MODE</w:t>
            </w:r>
          </w:p>
        </w:tc>
        <w:tc>
          <w:tcPr>
            <w:tcW w:type="dxa" w:w="6740"/>
            <w:shd w:fill="F6F9F9" w:val="clear"/>
            <w:tcMar>
              <w:top w:type="dxa" w:w="70"/>
              <w:left w:type="dxa" w:w="120"/>
              <w:bottom w:type="dxa" w:w="70"/>
              <w:right w:type="dxa" w:w="120"/>
            </w:tcMar>
          </w:tcPr>
          <w:p>
            <w:r>
              <w:rPr>
                <w:sz w:val="19"/>
                <w:szCs w:val="19"/>
              </w:rPr>
              <w:t xml:space="preserve">When true, excludes bundled datasets not licensed for commercial use (default false).</w:t>
            </w:r>
          </w:p>
        </w:tc>
      </w:tr>
      <w:tr>
        <w:tc>
          <w:tcPr>
            <w:tcW w:type="dxa" w:w="2600"/>
            <w:shd w:fill="FFFFFF" w:val="clear"/>
            <w:tcMar>
              <w:top w:type="dxa" w:w="70"/>
              <w:left w:type="dxa" w:w="120"/>
              <w:bottom w:type="dxa" w:w="70"/>
              <w:right w:type="dxa" w:w="120"/>
            </w:tcMar>
          </w:tcPr>
          <w:p>
            <w:r>
              <w:rPr>
                <w:rFonts w:ascii="Consolas" w:cs="Consolas" w:eastAsia="Consolas" w:hAnsi="Consolas"/>
                <w:sz w:val="19"/>
                <w:szCs w:val="19"/>
              </w:rPr>
              <w:t xml:space="preserve">NCBI_EMAIL / BIOMNI_NCBI_EMAIL</w:t>
            </w:r>
          </w:p>
        </w:tc>
        <w:tc>
          <w:tcPr>
            <w:tcW w:type="dxa" w:w="6740"/>
            <w:shd w:fill="FFFFFF" w:val="clear"/>
            <w:tcMar>
              <w:top w:type="dxa" w:w="70"/>
              <w:left w:type="dxa" w:w="120"/>
              <w:bottom w:type="dxa" w:w="70"/>
              <w:right w:type="dxa" w:w="120"/>
            </w:tcMar>
          </w:tcPr>
          <w:p>
            <w:r>
              <w:rPr>
                <w:sz w:val="19"/>
                <w:szCs w:val="19"/>
              </w:rPr>
              <w:t xml:space="preserve">Contact email sent with NCBI/Entrez requests. Persists across restarts (the sidebar field does not).</w:t>
            </w:r>
          </w:p>
        </w:tc>
      </w:tr>
      <w:tr>
        <w:tc>
          <w:tcPr>
            <w:tcW w:type="dxa" w:w="2600"/>
            <w:shd w:fill="F6F9F9" w:val="clear"/>
            <w:tcMar>
              <w:top w:type="dxa" w:w="70"/>
              <w:left w:type="dxa" w:w="120"/>
              <w:bottom w:type="dxa" w:w="70"/>
              <w:right w:type="dxa" w:w="120"/>
            </w:tcMar>
          </w:tcPr>
          <w:p>
            <w:r>
              <w:rPr>
                <w:rFonts w:ascii="Consolas" w:cs="Consolas" w:eastAsia="Consolas" w:hAnsi="Consolas"/>
                <w:sz w:val="19"/>
                <w:szCs w:val="19"/>
              </w:rPr>
              <w:t xml:space="preserve">BIOMENTIS_WEB_SEARCH</w:t>
            </w:r>
          </w:p>
        </w:tc>
        <w:tc>
          <w:tcPr>
            <w:tcW w:type="dxa" w:w="6740"/>
            <w:shd w:fill="F6F9F9" w:val="clear"/>
            <w:tcMar>
              <w:top w:type="dxa" w:w="70"/>
              <w:left w:type="dxa" w:w="120"/>
              <w:bottom w:type="dxa" w:w="70"/>
              <w:right w:type="dxa" w:w="120"/>
            </w:tcMar>
          </w:tcPr>
          <w:p>
            <w:r>
              <w:rPr>
                <w:sz w:val="19"/>
                <w:szCs w:val="19"/>
              </w:rPr>
              <w:t xml:space="preserve">Set to keyless to force the account-free DuckDuckGo-based web search path.</w:t>
            </w:r>
          </w:p>
        </w:tc>
      </w:tr>
      <w:tr>
        <w:tc>
          <w:tcPr>
            <w:tcW w:type="dxa" w:w="2600"/>
            <w:shd w:fill="FFFFFF" w:val="clear"/>
            <w:tcMar>
              <w:top w:type="dxa" w:w="70"/>
              <w:left w:type="dxa" w:w="120"/>
              <w:bottom w:type="dxa" w:w="70"/>
              <w:right w:type="dxa" w:w="120"/>
            </w:tcMar>
          </w:tcPr>
          <w:p>
            <w:r>
              <w:rPr>
                <w:rFonts w:ascii="Consolas" w:cs="Consolas" w:eastAsia="Consolas" w:hAnsi="Consolas"/>
                <w:sz w:val="19"/>
                <w:szCs w:val="19"/>
              </w:rPr>
              <w:t xml:space="preserve">BIOMENTIS_BACKGROUND_RUNS</w:t>
            </w:r>
          </w:p>
        </w:tc>
        <w:tc>
          <w:tcPr>
            <w:tcW w:type="dxa" w:w="6740"/>
            <w:shd w:fill="FFFFFF" w:val="clear"/>
            <w:tcMar>
              <w:top w:type="dxa" w:w="70"/>
              <w:left w:type="dxa" w:w="120"/>
              <w:bottom w:type="dxa" w:w="70"/>
              <w:right w:type="dxa" w:w="120"/>
            </w:tcMar>
          </w:tcPr>
          <w:p>
            <w:r>
              <w:rPr>
                <w:sz w:val="19"/>
                <w:szCs w:val="19"/>
              </w:rPr>
              <w:t xml:space="preserve">Set to 0 to disable background-thread run execution (see §4.4).</w:t>
            </w:r>
          </w:p>
        </w:tc>
      </w:tr>
      <w:tr>
        <w:tc>
          <w:tcPr>
            <w:tcW w:type="dxa" w:w="2600"/>
            <w:shd w:fill="F6F9F9" w:val="clear"/>
            <w:tcMar>
              <w:top w:type="dxa" w:w="70"/>
              <w:left w:type="dxa" w:w="120"/>
              <w:bottom w:type="dxa" w:w="70"/>
              <w:right w:type="dxa" w:w="120"/>
            </w:tcMar>
          </w:tcPr>
          <w:p>
            <w:r>
              <w:rPr>
                <w:rFonts w:ascii="Consolas" w:cs="Consolas" w:eastAsia="Consolas" w:hAnsi="Consolas"/>
                <w:sz w:val="19"/>
                <w:szCs w:val="19"/>
              </w:rPr>
              <w:t xml:space="preserve">BIOMNI_RUN_DIR</w:t>
            </w:r>
          </w:p>
        </w:tc>
        <w:tc>
          <w:tcPr>
            <w:tcW w:type="dxa" w:w="6740"/>
            <w:shd w:fill="F6F9F9" w:val="clear"/>
            <w:tcMar>
              <w:top w:type="dxa" w:w="70"/>
              <w:left w:type="dxa" w:w="120"/>
              <w:bottom w:type="dxa" w:w="70"/>
              <w:right w:type="dxa" w:w="120"/>
            </w:tcMar>
          </w:tcPr>
          <w:p>
            <w:r>
              <w:rPr>
                <w:sz w:val="19"/>
                <w:szCs w:val="19"/>
              </w:rPr>
              <w:t xml:space="preserve">Directory where run journals (runs/&lt;run_id&gt;.jsonl) are written.</w:t>
            </w:r>
          </w:p>
        </w:tc>
      </w:tr>
    </w:tbl>
    <w:p>
      <w:pPr>
        <w:pStyle w:val="Heading2"/>
        <w:spacing w:after="100" w:before="260"/>
      </w:pPr>
      <w:r>
        <w:rPr>
          <w:b/>
          <w:bCs/>
          <w:color w:val="0E7C7B"/>
          <w:sz w:val="24"/>
          <w:szCs w:val="24"/>
        </w:rPr>
        <w:t xml:space="preserve">6.2 Agent construction options</w:t>
      </w:r>
    </w:p>
    <w:p>
      <w:pPr>
        <w:spacing w:after="120" w:line="264"/>
      </w:pPr>
      <w:r>
        <w:rPr>
          <w:sz w:val="20"/>
          <w:szCs w:val="20"/>
        </w:rPr>
        <w:t xml:space="preserve">When constructing the agent directly (rather than through environment variables), the following parameters are commonly used: path (data directory), llm and source (model selection, as above), use_tool_retriever, timeout_seconds, base_url / api_key (for custom serving), commercial_mode, expected_data_lake_files (pass an empty list to skip the data-lake download for fast/local development), temperature and creative_temperature, and trace / trace_dir for step tracing.</w:t>
      </w:r>
    </w:p>
    <w:p>
      <w:pPr>
        <w:pBdr>
          <w:left w:val="single" w:color="0E7C7B" w:sz="18" w:space="8"/>
        </w:pBdr>
        <w:shd w:fill="EAF3F2" w:val="clear"/>
        <w:spacing w:after="160" w:before="80"/>
        <w:ind w:left="200"/>
      </w:pPr>
      <w:r>
        <w:rPr>
          <w:b/>
          <w:bCs/>
          <w:color w:val="0E7C7B"/>
          <w:sz w:val="19"/>
          <w:szCs w:val="19"/>
        </w:rPr>
        <w:t xml:space="preserve">Tip:  </w:t>
      </w:r>
      <w:r>
        <w:rPr>
          <w:color w:val="2E3B3B"/>
          <w:sz w:val="19"/>
          <w:szCs w:val="19"/>
        </w:rPr>
        <w:t xml:space="preserve">for small local models (7–13B parameters), lowering both temperature and creative_temperature further than the defaults tends to improve reliability.</w:t>
      </w:r>
    </w:p>
    <w:p>
      <w:r>
        <w:br w:type="page"/>
      </w:r>
    </w:p>
    <w:p>
      <w:pPr>
        <w:pStyle w:val="Heading1"/>
        <w:spacing w:after="140" w:before="360"/>
      </w:pPr>
      <w:r>
        <w:rPr>
          <w:b/>
          <w:bCs/>
          <w:color w:val="1F3864"/>
          <w:sz w:val="30"/>
          <w:szCs w:val="30"/>
        </w:rPr>
        <w:t xml:space="preserve">7. Troubleshooting &amp; FAQ</w:t>
      </w:r>
    </w:p>
    <w:p>
      <w:pPr>
        <w:pStyle w:val="Heading3"/>
        <w:spacing w:after="80" w:before="200"/>
      </w:pPr>
      <w:r>
        <w:rPr>
          <w:b/>
          <w:bCs/>
          <w:color w:val="1F3864"/>
          <w:sz w:val="21"/>
          <w:szCs w:val="21"/>
        </w:rPr>
        <w:t xml:space="preserve">BioMentis is trying to use a cloud model I didn't ask for.</w:t>
      </w:r>
    </w:p>
    <w:p>
      <w:pPr>
        <w:spacing w:after="120" w:line="264"/>
      </w:pPr>
      <w:r>
        <w:rPr>
          <w:sz w:val="20"/>
          <w:szCs w:val="20"/>
        </w:rPr>
        <w:t xml:space="preserve">Set BIOMNI_DISABLE_LOCAL_FALLBACK is not the fix here — the reverse problem (an unwanted cloud call) means a cloud API key is present in your environment. Either remove it, or explicitly set BIOMNI_LLM and BIOMNI_SOURCE=Ollama to force local models.</w:t>
      </w:r>
    </w:p>
    <w:p>
      <w:pPr>
        <w:pStyle w:val="Heading3"/>
        <w:spacing w:after="80" w:before="200"/>
      </w:pPr>
      <w:r>
        <w:rPr>
          <w:b/>
          <w:bCs/>
          <w:color w:val="1F3864"/>
          <w:sz w:val="21"/>
          <w:szCs w:val="21"/>
        </w:rPr>
        <w:t xml:space="preserve">BioMentis is using a local model when I wanted a cloud one.</w:t>
      </w:r>
    </w:p>
    <w:p>
      <w:pPr>
        <w:spacing w:after="120" w:line="264"/>
      </w:pPr>
      <w:r>
        <w:rPr>
          <w:sz w:val="20"/>
          <w:szCs w:val="20"/>
        </w:rPr>
        <w:t xml:space="preserve">A running Ollama server is preferred by default whenever no explicit model choice has been made. Set BIOMNI_LLM, BIOMNI_SOURCE, and BIOMNI_DISABLE_LOCAL_FALLBACK=true as shown in §2.2, Option B.</w:t>
      </w:r>
    </w:p>
    <w:p>
      <w:pPr>
        <w:pStyle w:val="Heading3"/>
        <w:spacing w:after="80" w:before="200"/>
      </w:pPr>
      <w:r>
        <w:rPr>
          <w:b/>
          <w:bCs/>
          <w:color w:val="1F3864"/>
          <w:sz w:val="21"/>
          <w:szCs w:val="21"/>
        </w:rPr>
        <w:t xml:space="preserve">NCBI requests are slow, throttled, or warn about a missing email.</w:t>
      </w:r>
    </w:p>
    <w:p>
      <w:pPr>
        <w:spacing w:after="120" w:line="264"/>
      </w:pPr>
      <w:r>
        <w:rPr>
          <w:sz w:val="20"/>
          <w:szCs w:val="20"/>
        </w:rPr>
        <w:t xml:space="preserve">Set NCBI_EMAIL in your .env file (§2.4) — the sidebar field alone is not persisted between restarts.</w:t>
      </w:r>
    </w:p>
    <w:p>
      <w:pPr>
        <w:pStyle w:val="Heading3"/>
        <w:spacing w:after="80" w:before="200"/>
      </w:pPr>
      <w:r>
        <w:rPr>
          <w:b/>
          <w:bCs/>
          <w:color w:val="1F3864"/>
          <w:sz w:val="21"/>
          <w:szCs w:val="21"/>
        </w:rPr>
        <w:t xml:space="preserve">A long run seems to have disappeared after I clicked something.</w:t>
      </w:r>
    </w:p>
    <w:p>
      <w:pPr>
        <w:spacing w:after="120" w:line="264"/>
      </w:pPr>
      <w:r>
        <w:rPr>
          <w:sz w:val="20"/>
          <w:szCs w:val="20"/>
        </w:rPr>
        <w:t xml:space="preserve">It almost certainly hasn't — check the "🗂 Recover a previous run" panel in the sidebar; background runs continue independently of the page (§4.4).</w:t>
      </w:r>
    </w:p>
    <w:p>
      <w:pPr>
        <w:pStyle w:val="Heading3"/>
        <w:spacing w:after="80" w:before="200"/>
      </w:pPr>
      <w:r>
        <w:rPr>
          <w:b/>
          <w:bCs/>
          <w:color w:val="1F3864"/>
          <w:sz w:val="21"/>
          <w:szCs w:val="21"/>
        </w:rPr>
        <w:t xml:space="preserve">Tutor citations look wrong or missing.</w:t>
      </w:r>
    </w:p>
    <w:p>
      <w:pPr>
        <w:spacing w:after="120" w:line="264"/>
      </w:pPr>
      <w:r>
        <w:rPr>
          <w:sz w:val="20"/>
          <w:szCs w:val="20"/>
        </w:rPr>
        <w:t xml:space="preserve">The tutor is deliberately restricted to citing only material actually present in its per-session knowledge base, and drops any citation it can't verify. If a topic isn't covered by the uploaded material, upload the relevant source or expect the tutor to say the material doesn't cover it, rather than answering from general knowledge (in Tutor/Instructional mode).</w:t>
      </w:r>
    </w:p>
    <w:p>
      <w:pPr>
        <w:pStyle w:val="Heading3"/>
        <w:spacing w:after="80" w:before="200"/>
      </w:pPr>
      <w:r>
        <w:rPr>
          <w:b/>
          <w:bCs/>
          <w:color w:val="1F3864"/>
          <w:sz w:val="21"/>
          <w:szCs w:val="21"/>
        </w:rPr>
        <w:t xml:space="preserve">Exporting to PDF fails.</w:t>
      </w:r>
    </w:p>
    <w:p>
      <w:pPr>
        <w:spacing w:after="120" w:line="264"/>
      </w:pPr>
      <w:r>
        <w:rPr>
          <w:sz w:val="20"/>
          <w:szCs w:val="20"/>
        </w:rPr>
        <w:t xml:space="preserve">PDF export requires one of WeasyPrint, markdown2pdf, or Pandoc to be installed in the environment (§4.7).</w:t>
      </w:r>
    </w:p>
    <w:p>
      <w:pPr>
        <w:pStyle w:val="Heading3"/>
        <w:spacing w:after="80" w:before="200"/>
      </w:pPr>
      <w:r>
        <w:rPr>
          <w:b/>
          <w:bCs/>
          <w:color w:val="1F3864"/>
          <w:sz w:val="21"/>
          <w:szCs w:val="21"/>
        </w:rPr>
        <w:t xml:space="preserve">The data lake download is too slow / I don't need it yet.</w:t>
      </w:r>
    </w:p>
    <w:p>
      <w:pPr>
        <w:spacing w:after="120" w:line="264"/>
      </w:pPr>
      <w:r>
        <w:rPr>
          <w:sz w:val="20"/>
          <w:szCs w:val="20"/>
        </w:rPr>
        <w:t xml:space="preserve">Pass an empty list for expected_data_lake_files when constructing the agent to skip the download for development or offline testing (§6.2).</w:t>
      </w:r>
    </w:p>
    <w:p>
      <w:r>
        <w:br w:type="page"/>
      </w:r>
    </w:p>
    <w:p>
      <w:pPr>
        <w:pStyle w:val="Heading1"/>
        <w:spacing w:after="140" w:before="360"/>
      </w:pPr>
      <w:r>
        <w:rPr>
          <w:b/>
          <w:bCs/>
          <w:color w:val="1F3864"/>
          <w:sz w:val="30"/>
          <w:szCs w:val="30"/>
        </w:rPr>
        <w:t xml:space="preserve">8. Attribution, Licensing &amp; Citation</w:t>
      </w:r>
    </w:p>
    <w:p>
      <w:pPr>
        <w:pStyle w:val="Heading2"/>
        <w:spacing w:after="100" w:before="260"/>
      </w:pPr>
      <w:r>
        <w:rPr>
          <w:b/>
          <w:bCs/>
          <w:color w:val="0E7C7B"/>
          <w:sz w:val="24"/>
          <w:szCs w:val="24"/>
        </w:rPr>
        <w:t xml:space="preserve">8.1 Relationship to Biomni</w:t>
      </w:r>
    </w:p>
    <w:p>
      <w:pPr>
        <w:spacing w:after="120" w:line="264"/>
      </w:pPr>
      <w:r>
        <w:rPr>
          <w:sz w:val="20"/>
          <w:szCs w:val="20"/>
        </w:rPr>
        <w:t xml:space="preserve">BioMentis is a derivative work of </w:t>
      </w:r>
      <w:r>
        <w:rPr>
          <w:b/>
          <w:bCs/>
          <w:sz w:val="20"/>
          <w:szCs w:val="20"/>
        </w:rPr>
        <w:t xml:space="preserve">Biomni</w:t>
      </w:r>
      <w:r>
        <w:rPr>
          <w:sz w:val="20"/>
          <w:szCs w:val="20"/>
        </w:rPr>
        <w:t xml:space="preserve"> (Huang et al., 2025, Stanford SNAP group). Biomni's agent architecture, tool library, evaluation benchmark, and Know-How library are reused under the Apache License 2.0. BioMentis's own code is likewise Apache 2.0-licensed. The instructional layer — the tutor, its knowledge base, and its session critic, described in Section 5 — is original to BioMentis and is not part of upstream Biomni.</w:t>
      </w:r>
    </w:p>
    <w:p>
      <w:pPr>
        <w:pStyle w:val="Heading2"/>
        <w:spacing w:after="100" w:before="260"/>
      </w:pPr>
      <w:r>
        <w:rPr>
          <w:b/>
          <w:bCs/>
          <w:color w:val="0E7C7B"/>
          <w:sz w:val="24"/>
          <w:szCs w:val="24"/>
        </w:rPr>
        <w:t xml:space="preserve">8.2 Citing this work</w:t>
      </w:r>
    </w:p>
    <w:p>
      <w:pPr>
        <w:spacing w:after="120" w:line="264"/>
      </w:pPr>
      <w:r>
        <w:rPr>
          <w:sz w:val="20"/>
          <w:szCs w:val="20"/>
        </w:rPr>
        <w:t xml:space="preserve">If you use BioMentis in research or teaching, please also cite the underlying Biomni paper. Full citation details are provided in the project's README.</w:t>
      </w:r>
    </w:p>
    <w:p>
      <w:pPr>
        <w:pStyle w:val="Heading2"/>
        <w:spacing w:after="100" w:before="260"/>
      </w:pPr>
      <w:r>
        <w:rPr>
          <w:b/>
          <w:bCs/>
          <w:color w:val="0E7C7B"/>
          <w:sz w:val="24"/>
          <w:szCs w:val="24"/>
        </w:rPr>
        <w:t xml:space="preserve">8.3 Third-party dataset licenses</w:t>
      </w:r>
    </w:p>
    <w:p>
      <w:pPr>
        <w:spacing w:after="120" w:line="264"/>
      </w:pPr>
      <w:r>
        <w:rPr>
          <w:sz w:val="20"/>
          <w:szCs w:val="20"/>
        </w:rPr>
        <w:t xml:space="preserve">The Apache 2.0 license covers BioMentis's own code. It does not extend to every dataset bundled in the data lake: several third-party biomedical datasets (for example, COSMIC, DisGeNET, and others) carry their own, separate licenses, and a number of these restrict commercial use. Review the project's license_info.md before any commercial use, and consider enabling BIOMNI_COMMERCIAL_MODE (§6.1), which automatically excludes datasets not licensed for commercial use.</w:t>
      </w:r>
    </w:p>
    <w:p>
      <w:pPr>
        <w:pBdr>
          <w:left w:val="single" w:color="0E7C7B" w:sz="18" w:space="8"/>
        </w:pBdr>
        <w:shd w:fill="EAF3F2" w:val="clear"/>
        <w:spacing w:after="160" w:before="80"/>
        <w:ind w:left="200"/>
      </w:pPr>
      <w:r>
        <w:rPr>
          <w:b/>
          <w:bCs/>
          <w:color w:val="0E7C7B"/>
          <w:sz w:val="19"/>
          <w:szCs w:val="19"/>
        </w:rPr>
        <w:t xml:space="preserve">Not legal advice:  </w:t>
      </w:r>
      <w:r>
        <w:rPr>
          <w:color w:val="2E3B3B"/>
          <w:sz w:val="19"/>
          <w:szCs w:val="19"/>
        </w:rPr>
        <w:t xml:space="preserve">this manual summarizes licensing terms for convenience. Consult the LICENSE and license_info.md files in the repository, and your own counsel, before commercial deployment.</w:t>
      </w:r>
    </w:p>
    <w:p>
      <w:r>
        <w:br w:type="page"/>
      </w:r>
    </w:p>
    <w:p>
      <w:pPr>
        <w:pStyle w:val="Heading1"/>
        <w:spacing w:after="140" w:before="360"/>
      </w:pPr>
      <w:r>
        <w:rPr>
          <w:b/>
          <w:bCs/>
          <w:color w:val="1F3864"/>
          <w:sz w:val="30"/>
          <w:szCs w:val="30"/>
        </w:rPr>
        <w:t xml:space="preserve">Appendix A — Tool Category Reference</w:t>
      </w:r>
    </w:p>
    <w:p>
      <w:pPr>
        <w:spacing w:after="120" w:line="264"/>
      </w:pPr>
      <w:r>
        <w:rPr>
          <w:sz w:val="20"/>
          <w:szCs w:val="20"/>
        </w:rPr>
        <w:t xml:space="preserve">BioMentis selects tools automatically based on your prompt; you do not need to name a category. The tool library is organized into the following modules: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40"/>
      </w:tblGrid>
      <w:tr>
        <w:trPr>
          <w:tblHeader/>
        </w:trPr>
        <w:tc>
          <w:tcPr>
            <w:tcW w:type="dxa" w:w="2400"/>
            <w:shd w:fill="1F3864" w:val="clear"/>
            <w:tcMar>
              <w:top w:type="dxa" w:w="80"/>
              <w:left w:type="dxa" w:w="120"/>
              <w:bottom w:type="dxa" w:w="80"/>
              <w:right w:type="dxa" w:w="120"/>
            </w:tcMar>
            <w:vAlign w:val="center"/>
          </w:tcPr>
          <w:p>
            <w:r>
              <w:rPr>
                <w:b/>
                <w:bCs/>
                <w:color w:val="FFFFFF"/>
                <w:sz w:val="19"/>
                <w:szCs w:val="19"/>
              </w:rPr>
              <w:t xml:space="preserve">Module</w:t>
            </w:r>
          </w:p>
        </w:tc>
        <w:tc>
          <w:tcPr>
            <w:tcW w:type="dxa" w:w="2200"/>
            <w:shd w:fill="1F3864" w:val="clear"/>
            <w:tcMar>
              <w:top w:type="dxa" w:w="80"/>
              <w:left w:type="dxa" w:w="120"/>
              <w:bottom w:type="dxa" w:w="80"/>
              <w:right w:type="dxa" w:w="120"/>
            </w:tcMar>
            <w:vAlign w:val="center"/>
          </w:tcPr>
          <w:p>
            <w:r>
              <w:rPr>
                <w:b/>
                <w:bCs/>
                <w:color w:val="FFFFFF"/>
                <w:sz w:val="19"/>
                <w:szCs w:val="19"/>
              </w:rPr>
              <w:t xml:space="preserve">Module</w:t>
            </w:r>
          </w:p>
        </w:tc>
        <w:tc>
          <w:tcPr>
            <w:tcW w:type="dxa" w:w="4740"/>
            <w:shd w:fill="1F3864" w:val="clear"/>
            <w:tcMar>
              <w:top w:type="dxa" w:w="80"/>
              <w:left w:type="dxa" w:w="120"/>
              <w:bottom w:type="dxa" w:w="80"/>
              <w:right w:type="dxa" w:w="120"/>
            </w:tcMar>
            <w:vAlign w:val="center"/>
          </w:tcPr>
          <w:p>
            <w:r>
              <w:rPr>
                <w:b/>
                <w:bCs/>
                <w:color w:val="FFFFFF"/>
                <w:sz w:val="19"/>
                <w:szCs w:val="19"/>
              </w:rPr>
              <w:t xml:space="preserve">Module</w:t>
            </w:r>
          </w:p>
        </w:tc>
      </w:tr>
      <w:tr>
        <w:tc>
          <w:tcPr>
            <w:tcW w:type="dxa" w:w="2400"/>
            <w:shd w:fill="FFFFFF" w:val="clear"/>
            <w:tcMar>
              <w:top w:type="dxa" w:w="70"/>
              <w:left w:type="dxa" w:w="120"/>
              <w:bottom w:type="dxa" w:w="70"/>
              <w:right w:type="dxa" w:w="120"/>
            </w:tcMar>
          </w:tcPr>
          <w:p>
            <w:r>
              <w:rPr>
                <w:rFonts w:ascii="Consolas" w:cs="Consolas" w:eastAsia="Consolas" w:hAnsi="Consolas"/>
                <w:sz w:val="19"/>
                <w:szCs w:val="19"/>
              </w:rPr>
              <w:t xml:space="preserve">biochemistry</w:t>
            </w:r>
          </w:p>
        </w:tc>
        <w:tc>
          <w:tcPr>
            <w:tcW w:type="dxa" w:w="2200"/>
            <w:shd w:fill="FFFFFF" w:val="clear"/>
            <w:tcMar>
              <w:top w:type="dxa" w:w="70"/>
              <w:left w:type="dxa" w:w="120"/>
              <w:bottom w:type="dxa" w:w="70"/>
              <w:right w:type="dxa" w:w="120"/>
            </w:tcMar>
          </w:tcPr>
          <w:p>
            <w:r>
              <w:rPr>
                <w:sz w:val="19"/>
                <w:szCs w:val="19"/>
              </w:rPr>
              <w:t xml:space="preserve">bioengineering</w:t>
            </w:r>
          </w:p>
        </w:tc>
        <w:tc>
          <w:tcPr>
            <w:tcW w:type="dxa" w:w="4740"/>
            <w:shd w:fill="FFFFFF" w:val="clear"/>
            <w:tcMar>
              <w:top w:type="dxa" w:w="70"/>
              <w:left w:type="dxa" w:w="120"/>
              <w:bottom w:type="dxa" w:w="70"/>
              <w:right w:type="dxa" w:w="120"/>
            </w:tcMar>
          </w:tcPr>
          <w:p>
            <w:r>
              <w:rPr>
                <w:sz w:val="19"/>
                <w:szCs w:val="19"/>
              </w:rPr>
              <w:t xml:space="preserve">bioimaging</w:t>
            </w:r>
          </w:p>
        </w:tc>
      </w:tr>
      <w:tr>
        <w:tc>
          <w:tcPr>
            <w:tcW w:type="dxa" w:w="2400"/>
            <w:shd w:fill="F6F9F9" w:val="clear"/>
            <w:tcMar>
              <w:top w:type="dxa" w:w="70"/>
              <w:left w:type="dxa" w:w="120"/>
              <w:bottom w:type="dxa" w:w="70"/>
              <w:right w:type="dxa" w:w="120"/>
            </w:tcMar>
          </w:tcPr>
          <w:p>
            <w:r>
              <w:rPr>
                <w:rFonts w:ascii="Consolas" w:cs="Consolas" w:eastAsia="Consolas" w:hAnsi="Consolas"/>
                <w:sz w:val="19"/>
                <w:szCs w:val="19"/>
              </w:rPr>
              <w:t xml:space="preserve">biophysics</w:t>
            </w:r>
          </w:p>
        </w:tc>
        <w:tc>
          <w:tcPr>
            <w:tcW w:type="dxa" w:w="2200"/>
            <w:shd w:fill="F6F9F9" w:val="clear"/>
            <w:tcMar>
              <w:top w:type="dxa" w:w="70"/>
              <w:left w:type="dxa" w:w="120"/>
              <w:bottom w:type="dxa" w:w="70"/>
              <w:right w:type="dxa" w:w="120"/>
            </w:tcMar>
          </w:tcPr>
          <w:p>
            <w:r>
              <w:rPr>
                <w:sz w:val="19"/>
                <w:szCs w:val="19"/>
              </w:rPr>
              <w:t xml:space="preserve">cancer_biology</w:t>
            </w:r>
          </w:p>
        </w:tc>
        <w:tc>
          <w:tcPr>
            <w:tcW w:type="dxa" w:w="4740"/>
            <w:shd w:fill="F6F9F9" w:val="clear"/>
            <w:tcMar>
              <w:top w:type="dxa" w:w="70"/>
              <w:left w:type="dxa" w:w="120"/>
              <w:bottom w:type="dxa" w:w="70"/>
              <w:right w:type="dxa" w:w="120"/>
            </w:tcMar>
          </w:tcPr>
          <w:p>
            <w:r>
              <w:rPr>
                <w:sz w:val="19"/>
                <w:szCs w:val="19"/>
              </w:rPr>
              <w:t xml:space="preserve">cell_biology</w:t>
            </w:r>
          </w:p>
        </w:tc>
      </w:tr>
      <w:tr>
        <w:tc>
          <w:tcPr>
            <w:tcW w:type="dxa" w:w="2400"/>
            <w:shd w:fill="FFFFFF" w:val="clear"/>
            <w:tcMar>
              <w:top w:type="dxa" w:w="70"/>
              <w:left w:type="dxa" w:w="120"/>
              <w:bottom w:type="dxa" w:w="70"/>
              <w:right w:type="dxa" w:w="120"/>
            </w:tcMar>
          </w:tcPr>
          <w:p>
            <w:r>
              <w:rPr>
                <w:rFonts w:ascii="Consolas" w:cs="Consolas" w:eastAsia="Consolas" w:hAnsi="Consolas"/>
                <w:sz w:val="19"/>
                <w:szCs w:val="19"/>
              </w:rPr>
              <w:t xml:space="preserve">database</w:t>
            </w:r>
          </w:p>
        </w:tc>
        <w:tc>
          <w:tcPr>
            <w:tcW w:type="dxa" w:w="2200"/>
            <w:shd w:fill="FFFFFF" w:val="clear"/>
            <w:tcMar>
              <w:top w:type="dxa" w:w="70"/>
              <w:left w:type="dxa" w:w="120"/>
              <w:bottom w:type="dxa" w:w="70"/>
              <w:right w:type="dxa" w:w="120"/>
            </w:tcMar>
          </w:tcPr>
          <w:p>
            <w:r>
              <w:rPr>
                <w:sz w:val="19"/>
                <w:szCs w:val="19"/>
              </w:rPr>
              <w:t xml:space="preserve">genetics</w:t>
            </w:r>
          </w:p>
        </w:tc>
        <w:tc>
          <w:tcPr>
            <w:tcW w:type="dxa" w:w="4740"/>
            <w:shd w:fill="FFFFFF" w:val="clear"/>
            <w:tcMar>
              <w:top w:type="dxa" w:w="70"/>
              <w:left w:type="dxa" w:w="120"/>
              <w:bottom w:type="dxa" w:w="70"/>
              <w:right w:type="dxa" w:w="120"/>
            </w:tcMar>
          </w:tcPr>
          <w:p>
            <w:r>
              <w:rPr>
                <w:sz w:val="19"/>
                <w:szCs w:val="19"/>
              </w:rPr>
              <w:t xml:space="preserve">genomics</w:t>
            </w:r>
          </w:p>
        </w:tc>
      </w:tr>
      <w:tr>
        <w:tc>
          <w:tcPr>
            <w:tcW w:type="dxa" w:w="2400"/>
            <w:shd w:fill="F6F9F9" w:val="clear"/>
            <w:tcMar>
              <w:top w:type="dxa" w:w="70"/>
              <w:left w:type="dxa" w:w="120"/>
              <w:bottom w:type="dxa" w:w="70"/>
              <w:right w:type="dxa" w:w="120"/>
            </w:tcMar>
          </w:tcPr>
          <w:p>
            <w:r>
              <w:rPr>
                <w:rFonts w:ascii="Consolas" w:cs="Consolas" w:eastAsia="Consolas" w:hAnsi="Consolas"/>
                <w:sz w:val="19"/>
                <w:szCs w:val="19"/>
              </w:rPr>
              <w:t xml:space="preserve">glycoengineering</w:t>
            </w:r>
          </w:p>
        </w:tc>
        <w:tc>
          <w:tcPr>
            <w:tcW w:type="dxa" w:w="2200"/>
            <w:shd w:fill="F6F9F9" w:val="clear"/>
            <w:tcMar>
              <w:top w:type="dxa" w:w="70"/>
              <w:left w:type="dxa" w:w="120"/>
              <w:bottom w:type="dxa" w:w="70"/>
              <w:right w:type="dxa" w:w="120"/>
            </w:tcMar>
          </w:tcPr>
          <w:p>
            <w:r>
              <w:rPr>
                <w:sz w:val="19"/>
                <w:szCs w:val="19"/>
              </w:rPr>
              <w:t xml:space="preserve">immunology</w:t>
            </w:r>
          </w:p>
        </w:tc>
        <w:tc>
          <w:tcPr>
            <w:tcW w:type="dxa" w:w="4740"/>
            <w:shd w:fill="F6F9F9" w:val="clear"/>
            <w:tcMar>
              <w:top w:type="dxa" w:w="70"/>
              <w:left w:type="dxa" w:w="120"/>
              <w:bottom w:type="dxa" w:w="70"/>
              <w:right w:type="dxa" w:w="120"/>
            </w:tcMar>
          </w:tcPr>
          <w:p>
            <w:r>
              <w:rPr>
                <w:sz w:val="19"/>
                <w:szCs w:val="19"/>
              </w:rPr>
              <w:t xml:space="preserve">lab_automation</w:t>
            </w:r>
          </w:p>
        </w:tc>
      </w:tr>
      <w:tr>
        <w:tc>
          <w:tcPr>
            <w:tcW w:type="dxa" w:w="2400"/>
            <w:shd w:fill="FFFFFF" w:val="clear"/>
            <w:tcMar>
              <w:top w:type="dxa" w:w="70"/>
              <w:left w:type="dxa" w:w="120"/>
              <w:bottom w:type="dxa" w:w="70"/>
              <w:right w:type="dxa" w:w="120"/>
            </w:tcMar>
          </w:tcPr>
          <w:p>
            <w:r>
              <w:rPr>
                <w:rFonts w:ascii="Consolas" w:cs="Consolas" w:eastAsia="Consolas" w:hAnsi="Consolas"/>
                <w:sz w:val="19"/>
                <w:szCs w:val="19"/>
              </w:rPr>
              <w:t xml:space="preserve">literature (PubMed/NCBI)</w:t>
            </w:r>
          </w:p>
        </w:tc>
        <w:tc>
          <w:tcPr>
            <w:tcW w:type="dxa" w:w="2200"/>
            <w:shd w:fill="FFFFFF" w:val="clear"/>
            <w:tcMar>
              <w:top w:type="dxa" w:w="70"/>
              <w:left w:type="dxa" w:w="120"/>
              <w:bottom w:type="dxa" w:w="70"/>
              <w:right w:type="dxa" w:w="120"/>
            </w:tcMar>
          </w:tcPr>
          <w:p>
            <w:r>
              <w:rPr>
                <w:sz w:val="19"/>
                <w:szCs w:val="19"/>
              </w:rPr>
              <w:t xml:space="preserve">microbiology</w:t>
            </w:r>
          </w:p>
        </w:tc>
        <w:tc>
          <w:tcPr>
            <w:tcW w:type="dxa" w:w="4740"/>
            <w:shd w:fill="FFFFFF" w:val="clear"/>
            <w:tcMar>
              <w:top w:type="dxa" w:w="70"/>
              <w:left w:type="dxa" w:w="120"/>
              <w:bottom w:type="dxa" w:w="70"/>
              <w:right w:type="dxa" w:w="120"/>
            </w:tcMar>
          </w:tcPr>
          <w:p>
            <w:r>
              <w:rPr>
                <w:sz w:val="19"/>
                <w:szCs w:val="19"/>
              </w:rPr>
              <w:t xml:space="preserve">molecular_biology</w:t>
            </w:r>
          </w:p>
        </w:tc>
      </w:tr>
      <w:tr>
        <w:tc>
          <w:tcPr>
            <w:tcW w:type="dxa" w:w="2400"/>
            <w:shd w:fill="F6F9F9" w:val="clear"/>
            <w:tcMar>
              <w:top w:type="dxa" w:w="70"/>
              <w:left w:type="dxa" w:w="120"/>
              <w:bottom w:type="dxa" w:w="70"/>
              <w:right w:type="dxa" w:w="120"/>
            </w:tcMar>
          </w:tcPr>
          <w:p>
            <w:r>
              <w:rPr>
                <w:rFonts w:ascii="Consolas" w:cs="Consolas" w:eastAsia="Consolas" w:hAnsi="Consolas"/>
                <w:sz w:val="19"/>
                <w:szCs w:val="19"/>
              </w:rPr>
              <w:t xml:space="preserve">pathology</w:t>
            </w:r>
          </w:p>
        </w:tc>
        <w:tc>
          <w:tcPr>
            <w:tcW w:type="dxa" w:w="2200"/>
            <w:shd w:fill="F6F9F9" w:val="clear"/>
            <w:tcMar>
              <w:top w:type="dxa" w:w="70"/>
              <w:left w:type="dxa" w:w="120"/>
              <w:bottom w:type="dxa" w:w="70"/>
              <w:right w:type="dxa" w:w="120"/>
            </w:tcMar>
          </w:tcPr>
          <w:p>
            <w:r>
              <w:rPr>
                <w:sz w:val="19"/>
                <w:szCs w:val="19"/>
              </w:rPr>
              <w:t xml:space="preserve">pharmacology</w:t>
            </w:r>
          </w:p>
        </w:tc>
        <w:tc>
          <w:tcPr>
            <w:tcW w:type="dxa" w:w="4740"/>
            <w:shd w:fill="F6F9F9" w:val="clear"/>
            <w:tcMar>
              <w:top w:type="dxa" w:w="70"/>
              <w:left w:type="dxa" w:w="120"/>
              <w:bottom w:type="dxa" w:w="70"/>
              <w:right w:type="dxa" w:w="120"/>
            </w:tcMar>
          </w:tcPr>
          <w:p>
            <w:r>
              <w:rPr>
                <w:sz w:val="19"/>
                <w:szCs w:val="19"/>
              </w:rPr>
              <w:t xml:space="preserve">physiology</w:t>
            </w:r>
          </w:p>
        </w:tc>
      </w:tr>
      <w:tr>
        <w:tc>
          <w:tcPr>
            <w:tcW w:type="dxa" w:w="2400"/>
            <w:shd w:fill="FFFFFF" w:val="clear"/>
            <w:tcMar>
              <w:top w:type="dxa" w:w="70"/>
              <w:left w:type="dxa" w:w="120"/>
              <w:bottom w:type="dxa" w:w="70"/>
              <w:right w:type="dxa" w:w="120"/>
            </w:tcMar>
          </w:tcPr>
          <w:p>
            <w:r>
              <w:rPr>
                <w:rFonts w:ascii="Consolas" w:cs="Consolas" w:eastAsia="Consolas" w:hAnsi="Consolas"/>
                <w:sz w:val="19"/>
                <w:szCs w:val="19"/>
              </w:rPr>
              <w:t xml:space="preserve">protocols</w:t>
            </w:r>
          </w:p>
        </w:tc>
        <w:tc>
          <w:tcPr>
            <w:tcW w:type="dxa" w:w="2200"/>
            <w:shd w:fill="FFFFFF" w:val="clear"/>
            <w:tcMar>
              <w:top w:type="dxa" w:w="70"/>
              <w:left w:type="dxa" w:w="120"/>
              <w:bottom w:type="dxa" w:w="70"/>
              <w:right w:type="dxa" w:w="120"/>
            </w:tcMar>
          </w:tcPr>
          <w:p>
            <w:r>
              <w:rPr>
                <w:sz w:val="19"/>
                <w:szCs w:val="19"/>
              </w:rPr>
              <w:t xml:space="preserve">synthetic_biology</w:t>
            </w:r>
          </w:p>
        </w:tc>
        <w:tc>
          <w:tcPr>
            <w:tcW w:type="dxa" w:w="4740"/>
            <w:shd w:fill="FFFFFF" w:val="clear"/>
            <w:tcMar>
              <w:top w:type="dxa" w:w="70"/>
              <w:left w:type="dxa" w:w="120"/>
              <w:bottom w:type="dxa" w:w="70"/>
              <w:right w:type="dxa" w:w="120"/>
            </w:tcMar>
          </w:tcPr>
          <w:p>
            <w:r>
              <w:rPr>
                <w:sz w:val="19"/>
                <w:szCs w:val="19"/>
              </w:rPr>
              <w:t xml:space="preserve">systems_biology</w:t>
            </w:r>
          </w:p>
        </w:tc>
      </w:tr>
      <w:tr>
        <w:tc>
          <w:tcPr>
            <w:tcW w:type="dxa" w:w="2400"/>
            <w:shd w:fill="F6F9F9" w:val="clear"/>
            <w:tcMar>
              <w:top w:type="dxa" w:w="70"/>
              <w:left w:type="dxa" w:w="120"/>
              <w:bottom w:type="dxa" w:w="70"/>
              <w:right w:type="dxa" w:w="120"/>
            </w:tcMar>
          </w:tcPr>
          <w:p>
            <w:r>
              <w:rPr>
                <w:rFonts w:ascii="Consolas" w:cs="Consolas" w:eastAsia="Consolas" w:hAnsi="Consolas"/>
                <w:sz w:val="19"/>
                <w:szCs w:val="19"/>
              </w:rPr>
              <w:t xml:space="preserve">support_tools</w:t>
            </w:r>
          </w:p>
        </w:tc>
        <w:tc>
          <w:tcPr>
            <w:tcW w:type="dxa" w:w="2200"/>
            <w:shd w:fill="F6F9F9" w:val="clear"/>
            <w:tcMar>
              <w:top w:type="dxa" w:w="70"/>
              <w:left w:type="dxa" w:w="120"/>
              <w:bottom w:type="dxa" w:w="70"/>
              <w:right w:type="dxa" w:w="120"/>
            </w:tcMar>
          </w:tcPr>
          <w:p>
            <w:r>
              <w:rPr>
                <w:sz w:val="19"/>
                <w:szCs w:val="19"/>
              </w:rPr>
              <w:t xml:space="preserve">—</w:t>
            </w:r>
          </w:p>
        </w:tc>
        <w:tc>
          <w:tcPr>
            <w:tcW w:type="dxa" w:w="4740"/>
            <w:shd w:fill="F6F9F9" w:val="clear"/>
            <w:tcMar>
              <w:top w:type="dxa" w:w="70"/>
              <w:left w:type="dxa" w:w="120"/>
              <w:bottom w:type="dxa" w:w="70"/>
              <w:right w:type="dxa" w:w="120"/>
            </w:tcMar>
          </w:tcPr>
          <w:p>
            <w:r>
              <w:rPr>
                <w:sz w:val="19"/>
                <w:szCs w:val="19"/>
              </w:rPr>
              <w:t xml:space="preserve">—</w:t>
            </w:r>
          </w:p>
        </w:tc>
      </w:tr>
    </w:tbl>
    <w:p>
      <w:pPr>
        <w:spacing w:after="120" w:line="264"/>
      </w:pPr>
      <w:r>
        <w:rPr>
          <w:sz w:val="20"/>
          <w:szCs w:val="20"/>
        </w:rPr>
        <w:t xml:space="preserve"/>
      </w:r>
    </w:p>
    <w:p>
      <w:pPr>
        <w:spacing w:after="120" w:line="264"/>
      </w:pPr>
      <w:r>
        <w:rPr>
          <w:sz w:val="20"/>
          <w:szCs w:val="20"/>
        </w:rPr>
        <w:t xml:space="preserve">Tutorials demonstrating several of these tool areas in practice are available in the tutorials/ folder, including biomni_101.ipynb (a general first-steps notebook) and worked examples for cloning, lab-robotics integration (PyLabRobot), and adding or exposing MCP servers.</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 xml:space="preserve">BioMentis User's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 xml:space="preserve">BioMentis User's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2026-09-02T16:40:01.106Z</dcterms:created>
  <dcterms:modified xsi:type="dcterms:W3CDTF">2026-09-02T16:40:01.107Z</dcterms:modified>
</cp:coreProperties>
</file>

<file path=docProps/custom.xml><?xml version="1.0" encoding="utf-8"?>
<Properties xmlns="http://schemas.openxmlformats.org/officeDocument/2006/custom-properties" xmlns:vt="http://schemas.openxmlformats.org/officeDocument/2006/docPropsVTypes"/>
</file>