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05C" w:rsidRDefault="008F705C" w:rsidP="002A7DC6">
      <w:pPr>
        <w:rPr>
          <w:rFonts w:cs="David" w:hint="cs"/>
          <w:rtl/>
        </w:rPr>
      </w:pPr>
      <w:bookmarkStart w:id="0" w:name="_GoBack"/>
      <w:bookmarkEnd w:id="0"/>
    </w:p>
    <w:p w:rsidR="008F705C" w:rsidRDefault="008F705C" w:rsidP="002A7DC6">
      <w:pPr>
        <w:rPr>
          <w:rFonts w:cs="David"/>
          <w:rtl/>
        </w:rPr>
      </w:pPr>
    </w:p>
    <w:p w:rsidR="008F705C" w:rsidRDefault="008F705C" w:rsidP="002A7DC6">
      <w:pPr>
        <w:rPr>
          <w:rFonts w:cs="David"/>
          <w:rtl/>
        </w:rPr>
      </w:pPr>
    </w:p>
    <w:p w:rsidR="00E9601D" w:rsidRDefault="00E9601D" w:rsidP="002A7DC6">
      <w:pPr>
        <w:rPr>
          <w:rFonts w:cs="David"/>
          <w:b/>
          <w:bCs/>
          <w:u w:val="single"/>
          <w:rtl/>
        </w:rPr>
      </w:pPr>
    </w:p>
    <w:p w:rsidR="008F705C" w:rsidRDefault="008F705C" w:rsidP="002A7DC6">
      <w:pPr>
        <w:rPr>
          <w:rFonts w:cs="David"/>
          <w:b/>
          <w:bCs/>
          <w:u w:val="single"/>
          <w:rtl/>
        </w:rPr>
      </w:pPr>
      <w:r>
        <w:rPr>
          <w:rFonts w:cs="David" w:hint="cs"/>
          <w:b/>
          <w:bCs/>
          <w:u w:val="single"/>
          <w:rtl/>
        </w:rPr>
        <w:t>פרטיכל ישיבת מועצת המוזאונים מס' 7 שהתקיימה ביום כא' באייר תשע"ג 1 במאי 2013 במוזאון ישראל</w:t>
      </w:r>
    </w:p>
    <w:p w:rsidR="008F705C" w:rsidRDefault="008F705C" w:rsidP="002A7DC6">
      <w:pPr>
        <w:rPr>
          <w:rFonts w:cs="David"/>
          <w:b/>
          <w:bCs/>
          <w:u w:val="single"/>
          <w:rtl/>
        </w:rPr>
      </w:pPr>
    </w:p>
    <w:p w:rsidR="008F705C" w:rsidRDefault="00141FA9" w:rsidP="00141FA9">
      <w:pPr>
        <w:rPr>
          <w:rFonts w:cs="David"/>
          <w:rtl/>
        </w:rPr>
      </w:pPr>
      <w:r>
        <w:rPr>
          <w:rFonts w:cs="David" w:hint="cs"/>
          <w:rtl/>
        </w:rPr>
        <w:t xml:space="preserve">לפני הישיבה התקיים סיור </w:t>
      </w:r>
      <w:r w:rsidR="008C026A">
        <w:rPr>
          <w:rFonts w:cs="David" w:hint="cs"/>
          <w:rtl/>
        </w:rPr>
        <w:t xml:space="preserve">מרתק </w:t>
      </w:r>
      <w:r w:rsidR="008F705C">
        <w:rPr>
          <w:rFonts w:cs="David" w:hint="cs"/>
          <w:rtl/>
        </w:rPr>
        <w:t>בתערוכת הורדוס בהדרכת אחד מ</w:t>
      </w:r>
      <w:r>
        <w:rPr>
          <w:rFonts w:cs="David" w:hint="cs"/>
          <w:rtl/>
        </w:rPr>
        <w:t xml:space="preserve">שני </w:t>
      </w:r>
      <w:r w:rsidR="008F705C">
        <w:rPr>
          <w:rFonts w:cs="David" w:hint="cs"/>
          <w:rtl/>
        </w:rPr>
        <w:t>אוצרי התערוכה</w:t>
      </w:r>
      <w:r>
        <w:rPr>
          <w:rFonts w:cs="David" w:hint="cs"/>
          <w:rtl/>
        </w:rPr>
        <w:t>,</w:t>
      </w:r>
      <w:r w:rsidR="008F705C">
        <w:rPr>
          <w:rFonts w:cs="David" w:hint="cs"/>
          <w:rtl/>
        </w:rPr>
        <w:t xml:space="preserve"> מר דודי מבורך.</w:t>
      </w:r>
      <w:r w:rsidR="002A7DC6">
        <w:rPr>
          <w:rFonts w:cs="David"/>
          <w:rtl/>
        </w:rPr>
        <w:tab/>
      </w:r>
      <w:r w:rsidR="002A7DC6">
        <w:rPr>
          <w:rFonts w:cs="David"/>
          <w:rtl/>
        </w:rPr>
        <w:tab/>
      </w:r>
    </w:p>
    <w:p w:rsidR="008F705C" w:rsidRDefault="008F705C" w:rsidP="002A7DC6">
      <w:pPr>
        <w:rPr>
          <w:rFonts w:cs="David"/>
          <w:rtl/>
        </w:rPr>
      </w:pPr>
    </w:p>
    <w:p w:rsidR="008F705C" w:rsidRDefault="008F705C" w:rsidP="002A7DC6">
      <w:pPr>
        <w:rPr>
          <w:rFonts w:cs="David"/>
          <w:rtl/>
        </w:rPr>
      </w:pPr>
      <w:r>
        <w:rPr>
          <w:rFonts w:cs="David" w:hint="cs"/>
          <w:rtl/>
        </w:rPr>
        <w:t>בישיבה נכחו חברי מועצה:</w:t>
      </w:r>
    </w:p>
    <w:p w:rsidR="00593608" w:rsidRDefault="00593608" w:rsidP="00593608">
      <w:pPr>
        <w:rPr>
          <w:rFonts w:cs="David"/>
          <w:rtl/>
        </w:rPr>
      </w:pPr>
      <w:r>
        <w:rPr>
          <w:rFonts w:cs="David" w:hint="cs"/>
          <w:rtl/>
        </w:rPr>
        <w:t>ד"ר שמשון שושני (יו"ר),</w:t>
      </w:r>
      <w:r w:rsidR="0084465E">
        <w:rPr>
          <w:rFonts w:cs="David" w:hint="cs"/>
          <w:rtl/>
        </w:rPr>
        <w:t xml:space="preserve"> </w:t>
      </w:r>
      <w:r>
        <w:rPr>
          <w:rFonts w:cs="David" w:hint="cs"/>
          <w:rtl/>
        </w:rPr>
        <w:t>מר שמעון אלקבץ, גב' אורה בריל, ד"ר רות דורות, מר משה כהן, גב' ליליאן ללום, גב' עדנה מושנזון, אדריכל עופר מנור, גב' אורלי צפדיה, גב' אראלה קינן, מר עמרי שלמון, ד"ר אורית שמיר.</w:t>
      </w:r>
    </w:p>
    <w:p w:rsidR="00593608" w:rsidRDefault="00593608" w:rsidP="00593608">
      <w:pPr>
        <w:rPr>
          <w:rFonts w:cs="David"/>
          <w:rtl/>
        </w:rPr>
      </w:pPr>
      <w:r>
        <w:rPr>
          <w:rFonts w:cs="David" w:hint="cs"/>
          <w:rtl/>
        </w:rPr>
        <w:t>משקיפה: גב' דורית ווליניץ</w:t>
      </w:r>
    </w:p>
    <w:p w:rsidR="00593608" w:rsidRDefault="00593608" w:rsidP="0084465E">
      <w:pPr>
        <w:rPr>
          <w:rFonts w:cs="David"/>
          <w:rtl/>
        </w:rPr>
      </w:pPr>
      <w:r>
        <w:rPr>
          <w:rFonts w:cs="David" w:hint="cs"/>
          <w:rtl/>
        </w:rPr>
        <w:t>נציגי משרד התרבות: עו"ד גבריאל מאיר, גב' שלומית נמליך, גב' עידית עמיחי</w:t>
      </w:r>
      <w:r w:rsidR="0084465E">
        <w:rPr>
          <w:rFonts w:cs="David" w:hint="cs"/>
          <w:rtl/>
        </w:rPr>
        <w:t>,</w:t>
      </w:r>
      <w:r w:rsidR="0084465E" w:rsidRPr="0084465E">
        <w:rPr>
          <w:rFonts w:cs="David" w:hint="cs"/>
          <w:rtl/>
        </w:rPr>
        <w:t xml:space="preserve"> </w:t>
      </w:r>
      <w:r w:rsidR="0084465E">
        <w:rPr>
          <w:rFonts w:cs="David" w:hint="cs"/>
          <w:rtl/>
        </w:rPr>
        <w:t>גב' נועה כהן.</w:t>
      </w:r>
    </w:p>
    <w:p w:rsidR="00593608" w:rsidRDefault="00593608" w:rsidP="00593608">
      <w:pPr>
        <w:rPr>
          <w:rFonts w:cs="David"/>
          <w:rtl/>
        </w:rPr>
      </w:pPr>
      <w:r>
        <w:rPr>
          <w:rFonts w:cs="David" w:hint="cs"/>
          <w:rtl/>
        </w:rPr>
        <w:t>מוזמן: מר רם שמעוני</w:t>
      </w:r>
      <w:r w:rsidR="002A7DC6">
        <w:rPr>
          <w:rFonts w:cs="David"/>
          <w:rtl/>
        </w:rPr>
        <w:tab/>
      </w:r>
    </w:p>
    <w:p w:rsidR="0030794E" w:rsidRDefault="00141FA9" w:rsidP="00141FA9">
      <w:pPr>
        <w:rPr>
          <w:rFonts w:cs="David"/>
          <w:rtl/>
        </w:rPr>
      </w:pPr>
      <w:r>
        <w:rPr>
          <w:rFonts w:cs="David" w:hint="cs"/>
          <w:rtl/>
        </w:rPr>
        <w:t xml:space="preserve">התנצלו </w:t>
      </w:r>
      <w:r w:rsidR="00593608">
        <w:rPr>
          <w:rFonts w:cs="David" w:hint="cs"/>
          <w:rtl/>
        </w:rPr>
        <w:t>חברי מועצה : גב' דימה אגבאריה-עפיפי, גב' איריס ביטון, מר גרשון גורביץ', ד"ר מרדכי זקן, מר עזרא חכם, מר ראובן כהן, גב' תהילה פרץ פינטו, גב' ציפי קונדה, גב' רחלה שיפר.</w:t>
      </w:r>
    </w:p>
    <w:p w:rsidR="0030794E" w:rsidRDefault="0030794E" w:rsidP="00593608">
      <w:pPr>
        <w:rPr>
          <w:rFonts w:cs="David"/>
          <w:rtl/>
        </w:rPr>
      </w:pPr>
    </w:p>
    <w:p w:rsidR="0030794E" w:rsidRPr="00FC2050" w:rsidRDefault="0030794E" w:rsidP="0030794E">
      <w:pPr>
        <w:rPr>
          <w:rFonts w:cs="David"/>
          <w:rtl/>
        </w:rPr>
      </w:pPr>
      <w:r>
        <w:rPr>
          <w:rFonts w:cs="David" w:hint="cs"/>
          <w:rtl/>
        </w:rPr>
        <w:t xml:space="preserve">בפתח </w:t>
      </w:r>
      <w:r w:rsidRPr="00FC2050">
        <w:rPr>
          <w:rFonts w:cs="David" w:hint="cs"/>
          <w:rtl/>
        </w:rPr>
        <w:t>הישיבה ברכו את חברי המועצה מר ג'יימס סניידר, מנכ"ל מוזאון ישראל וסגנו מר צח גרניט.</w:t>
      </w:r>
    </w:p>
    <w:p w:rsidR="0030794E" w:rsidRPr="00FC2050" w:rsidRDefault="0030794E" w:rsidP="0030794E">
      <w:pPr>
        <w:rPr>
          <w:rFonts w:cs="David"/>
          <w:rtl/>
        </w:rPr>
      </w:pPr>
    </w:p>
    <w:p w:rsidR="00334CD8" w:rsidRPr="00334CD8" w:rsidRDefault="0030794E" w:rsidP="0030794E">
      <w:pPr>
        <w:pStyle w:val="a8"/>
        <w:numPr>
          <w:ilvl w:val="0"/>
          <w:numId w:val="4"/>
        </w:numPr>
        <w:rPr>
          <w:rFonts w:cs="David"/>
          <w:u w:val="single"/>
        </w:rPr>
      </w:pPr>
      <w:r w:rsidRPr="00334CD8">
        <w:rPr>
          <w:rFonts w:cs="David" w:hint="cs"/>
          <w:u w:val="single"/>
          <w:rtl/>
        </w:rPr>
        <w:t xml:space="preserve">פרוטוקול ישיבה מס' 6 שהתקיימה במוזאון כפר סבא, הוצג לאישור. </w:t>
      </w:r>
    </w:p>
    <w:p w:rsidR="00711E3D" w:rsidRDefault="0030794E" w:rsidP="00334CD8">
      <w:pPr>
        <w:pStyle w:val="a8"/>
        <w:rPr>
          <w:rFonts w:cs="David"/>
        </w:rPr>
      </w:pPr>
      <w:r>
        <w:rPr>
          <w:rFonts w:cs="David" w:hint="cs"/>
          <w:rtl/>
        </w:rPr>
        <w:t xml:space="preserve">לפרוטוקול של "תרומה לקהילה" נוסף מוזאון מזכרת בתיה שנשמט בטעות </w:t>
      </w:r>
      <w:r w:rsidR="002A7DC6" w:rsidRPr="0030794E">
        <w:rPr>
          <w:rFonts w:cs="David"/>
          <w:rtl/>
        </w:rPr>
        <w:tab/>
      </w:r>
      <w:r>
        <w:rPr>
          <w:rFonts w:cs="David" w:hint="cs"/>
          <w:rtl/>
        </w:rPr>
        <w:t>מדיוני ועדת המשנה שניקדה את הבקשות. הניקוד</w:t>
      </w:r>
      <w:r w:rsidR="00711E3D">
        <w:rPr>
          <w:rFonts w:cs="David" w:hint="cs"/>
          <w:rtl/>
        </w:rPr>
        <w:t xml:space="preserve"> שניתן (2) הוא על דעת חברי ועדה זו.</w:t>
      </w:r>
    </w:p>
    <w:p w:rsidR="00711E3D" w:rsidRDefault="00711E3D" w:rsidP="00711E3D">
      <w:pPr>
        <w:pStyle w:val="a8"/>
        <w:rPr>
          <w:rFonts w:cs="David"/>
          <w:b/>
          <w:bCs/>
          <w:rtl/>
        </w:rPr>
      </w:pPr>
      <w:r>
        <w:rPr>
          <w:rFonts w:cs="David" w:hint="cs"/>
          <w:b/>
          <w:bCs/>
          <w:rtl/>
        </w:rPr>
        <w:t xml:space="preserve">פרוטוקול מס' 6 </w:t>
      </w:r>
      <w:r w:rsidR="00141FA9">
        <w:rPr>
          <w:rFonts w:cs="David" w:hint="cs"/>
          <w:b/>
          <w:bCs/>
          <w:rtl/>
        </w:rPr>
        <w:t>כולל פרוטוקול תרומה לקהילה המעודכן - מ</w:t>
      </w:r>
      <w:r>
        <w:rPr>
          <w:rFonts w:cs="David" w:hint="cs"/>
          <w:b/>
          <w:bCs/>
          <w:rtl/>
        </w:rPr>
        <w:t>אושר פה אחד.</w:t>
      </w:r>
    </w:p>
    <w:p w:rsidR="003E0612" w:rsidRDefault="003E0612" w:rsidP="00711E3D">
      <w:pPr>
        <w:pStyle w:val="a8"/>
        <w:rPr>
          <w:rFonts w:cs="David"/>
          <w:b/>
          <w:bCs/>
          <w:rtl/>
        </w:rPr>
      </w:pPr>
    </w:p>
    <w:p w:rsidR="00334CD8" w:rsidRPr="00334CD8" w:rsidRDefault="00FC2050" w:rsidP="00E16725">
      <w:pPr>
        <w:pStyle w:val="a8"/>
        <w:numPr>
          <w:ilvl w:val="0"/>
          <w:numId w:val="4"/>
        </w:numPr>
        <w:rPr>
          <w:rFonts w:cs="David"/>
          <w:u w:val="single"/>
        </w:rPr>
      </w:pPr>
      <w:r w:rsidRPr="00334CD8">
        <w:rPr>
          <w:rFonts w:cs="David" w:hint="cs"/>
          <w:u w:val="single"/>
          <w:rtl/>
        </w:rPr>
        <w:t>מוזאון הכט</w:t>
      </w:r>
      <w:r w:rsidR="00711E3D" w:rsidRPr="00334CD8">
        <w:rPr>
          <w:rFonts w:cs="David" w:hint="cs"/>
          <w:b/>
          <w:bCs/>
          <w:u w:val="single"/>
          <w:rtl/>
        </w:rPr>
        <w:t xml:space="preserve"> </w:t>
      </w:r>
      <w:r w:rsidRPr="00334CD8">
        <w:rPr>
          <w:rFonts w:cs="David"/>
          <w:u w:val="single"/>
          <w:rtl/>
        </w:rPr>
        <w:t>–</w:t>
      </w:r>
      <w:r w:rsidRPr="00334CD8">
        <w:rPr>
          <w:rFonts w:cs="David" w:hint="cs"/>
          <w:u w:val="single"/>
          <w:rtl/>
        </w:rPr>
        <w:t xml:space="preserve"> אי עמידה בתנאי סף של מספר מודרכים בשנת 2008. </w:t>
      </w:r>
    </w:p>
    <w:p w:rsidR="00334CD8" w:rsidRDefault="00FC2050" w:rsidP="00614872">
      <w:pPr>
        <w:pStyle w:val="a8"/>
        <w:rPr>
          <w:rFonts w:cs="David"/>
        </w:rPr>
      </w:pPr>
      <w:r>
        <w:rPr>
          <w:rFonts w:cs="David" w:hint="cs"/>
          <w:rtl/>
        </w:rPr>
        <w:t>עו"ד גבריאל מאיר</w:t>
      </w:r>
      <w:r w:rsidR="0084465E">
        <w:rPr>
          <w:rFonts w:cs="David" w:hint="cs"/>
          <w:rtl/>
        </w:rPr>
        <w:t>,</w:t>
      </w:r>
      <w:r>
        <w:rPr>
          <w:rFonts w:cs="David" w:hint="cs"/>
          <w:rtl/>
        </w:rPr>
        <w:t xml:space="preserve"> סגן היועצת המשפטית במשרד התרבות והספורט</w:t>
      </w:r>
      <w:r w:rsidR="0084465E">
        <w:rPr>
          <w:rFonts w:cs="David" w:hint="cs"/>
          <w:rtl/>
        </w:rPr>
        <w:t>,</w:t>
      </w:r>
      <w:r>
        <w:rPr>
          <w:rFonts w:cs="David" w:hint="cs"/>
          <w:rtl/>
        </w:rPr>
        <w:t xml:space="preserve"> הציג את הנושא: משרד האוצר </w:t>
      </w:r>
      <w:r w:rsidR="00E16725">
        <w:rPr>
          <w:rFonts w:cs="David" w:hint="cs"/>
          <w:rtl/>
        </w:rPr>
        <w:t xml:space="preserve">עורך מעת לעת </w:t>
      </w:r>
      <w:r>
        <w:rPr>
          <w:rFonts w:cs="David" w:hint="cs"/>
          <w:rtl/>
        </w:rPr>
        <w:t xml:space="preserve">ביקורת </w:t>
      </w:r>
      <w:r w:rsidR="00E16725">
        <w:rPr>
          <w:rFonts w:cs="David" w:hint="cs"/>
          <w:rtl/>
        </w:rPr>
        <w:t xml:space="preserve">עומק במוסדות הנתמכים. בביקורת </w:t>
      </w:r>
      <w:r>
        <w:rPr>
          <w:rFonts w:cs="David" w:hint="cs"/>
          <w:rtl/>
        </w:rPr>
        <w:t xml:space="preserve">המתייחסת לשנים 2006 </w:t>
      </w:r>
      <w:r>
        <w:rPr>
          <w:rFonts w:cs="David"/>
          <w:rtl/>
        </w:rPr>
        <w:t>–</w:t>
      </w:r>
      <w:r>
        <w:rPr>
          <w:rFonts w:cs="David" w:hint="cs"/>
          <w:rtl/>
        </w:rPr>
        <w:t xml:space="preserve"> 2008, התברר שבמוזאון הכט היו</w:t>
      </w:r>
      <w:r w:rsidR="00E16725">
        <w:rPr>
          <w:rFonts w:cs="David" w:hint="cs"/>
          <w:rtl/>
        </w:rPr>
        <w:t xml:space="preserve"> בשנת 2008 </w:t>
      </w:r>
      <w:r>
        <w:rPr>
          <w:rFonts w:cs="David" w:hint="cs"/>
          <w:rtl/>
        </w:rPr>
        <w:t xml:space="preserve"> 19,105 מודרכים</w:t>
      </w:r>
      <w:r w:rsidR="00E16725">
        <w:rPr>
          <w:rFonts w:cs="David" w:hint="cs"/>
          <w:rtl/>
        </w:rPr>
        <w:t xml:space="preserve"> בלבד במקום 20,000</w:t>
      </w:r>
      <w:r>
        <w:rPr>
          <w:rFonts w:cs="David" w:hint="cs"/>
          <w:rtl/>
        </w:rPr>
        <w:t xml:space="preserve"> </w:t>
      </w:r>
      <w:r w:rsidR="00E16725">
        <w:rPr>
          <w:rFonts w:cs="David" w:hint="cs"/>
          <w:rtl/>
        </w:rPr>
        <w:t xml:space="preserve">הנדרשים בתנאי הסף של קבוצה ג'. </w:t>
      </w:r>
      <w:r>
        <w:rPr>
          <w:rFonts w:cs="David" w:hint="cs"/>
          <w:rtl/>
        </w:rPr>
        <w:t xml:space="preserve">מכאן שהמוזאון לא עמד בתנאי סף הדורש בקבוצה ג' 20,000 מבקרים מודרכים לפחות. </w:t>
      </w:r>
      <w:r w:rsidR="00E16725">
        <w:rPr>
          <w:rFonts w:cs="David" w:hint="cs"/>
          <w:rtl/>
        </w:rPr>
        <w:t>ל</w:t>
      </w:r>
      <w:r>
        <w:rPr>
          <w:rFonts w:cs="David" w:hint="cs"/>
          <w:rtl/>
        </w:rPr>
        <w:t xml:space="preserve">מועצת המוזאונים </w:t>
      </w:r>
      <w:r w:rsidR="0084465E">
        <w:rPr>
          <w:rFonts w:cs="David" w:hint="cs"/>
          <w:rtl/>
        </w:rPr>
        <w:t xml:space="preserve">הסמכות </w:t>
      </w:r>
      <w:r w:rsidR="00E16725">
        <w:rPr>
          <w:rFonts w:cs="David" w:hint="cs"/>
          <w:rtl/>
        </w:rPr>
        <w:t xml:space="preserve">לאשר </w:t>
      </w:r>
      <w:r w:rsidR="0084465E">
        <w:rPr>
          <w:rFonts w:cs="David" w:hint="cs"/>
          <w:rtl/>
        </w:rPr>
        <w:t xml:space="preserve">אי עמידה </w:t>
      </w:r>
      <w:r w:rsidR="00E16725">
        <w:rPr>
          <w:rFonts w:cs="David" w:hint="cs"/>
          <w:rtl/>
        </w:rPr>
        <w:t>ב</w:t>
      </w:r>
      <w:r>
        <w:rPr>
          <w:rFonts w:cs="David" w:hint="cs"/>
          <w:rtl/>
        </w:rPr>
        <w:t xml:space="preserve">תנאי סף </w:t>
      </w:r>
      <w:r w:rsidR="00E16725">
        <w:rPr>
          <w:rFonts w:cs="David" w:hint="cs"/>
          <w:rtl/>
        </w:rPr>
        <w:t xml:space="preserve">אחד לשנה מסוימת. </w:t>
      </w:r>
      <w:r w:rsidR="00614872">
        <w:rPr>
          <w:rFonts w:cs="David" w:hint="cs"/>
          <w:rtl/>
        </w:rPr>
        <w:t>למרות שבחודש ינואר 2009 מונתה מועצת מוזאונים ונושא זה היה אמור להיות מובא לאישורה, בטעות הדבר לא</w:t>
      </w:r>
      <w:r w:rsidR="003B4123">
        <w:rPr>
          <w:rFonts w:cs="David" w:hint="cs"/>
          <w:rtl/>
        </w:rPr>
        <w:t xml:space="preserve"> </w:t>
      </w:r>
      <w:r w:rsidR="0084465E">
        <w:rPr>
          <w:rFonts w:cs="David" w:hint="cs"/>
          <w:rtl/>
        </w:rPr>
        <w:t>נעשה</w:t>
      </w:r>
      <w:r w:rsidR="00E16725">
        <w:rPr>
          <w:rFonts w:cs="David" w:hint="cs"/>
          <w:rtl/>
        </w:rPr>
        <w:t>.</w:t>
      </w:r>
      <w:r w:rsidR="00334CD8">
        <w:rPr>
          <w:rFonts w:cs="David" w:hint="cs"/>
          <w:rtl/>
        </w:rPr>
        <w:t xml:space="preserve"> חברי המועצה הנוכחית מתבקשים לאשר את </w:t>
      </w:r>
      <w:r w:rsidR="0084465E">
        <w:rPr>
          <w:rFonts w:cs="David" w:hint="cs"/>
          <w:rtl/>
        </w:rPr>
        <w:t xml:space="preserve">אי העמידה בתנאי הסף </w:t>
      </w:r>
      <w:r w:rsidR="00334CD8">
        <w:rPr>
          <w:rFonts w:cs="David" w:hint="cs"/>
          <w:rtl/>
        </w:rPr>
        <w:t>הנ"ל על מנת שהמוזאון לא ייאלץ</w:t>
      </w:r>
      <w:r w:rsidR="0084465E">
        <w:rPr>
          <w:rFonts w:cs="David" w:hint="cs"/>
          <w:rtl/>
        </w:rPr>
        <w:t xml:space="preserve"> </w:t>
      </w:r>
      <w:r w:rsidR="00334CD8">
        <w:rPr>
          <w:rFonts w:cs="David" w:hint="cs"/>
          <w:rtl/>
        </w:rPr>
        <w:t>להחזיר את כספי התמיכה שקיבל</w:t>
      </w:r>
      <w:r w:rsidR="0084465E">
        <w:rPr>
          <w:rFonts w:cs="David" w:hint="cs"/>
          <w:rtl/>
        </w:rPr>
        <w:t xml:space="preserve"> </w:t>
      </w:r>
      <w:r w:rsidR="00614872">
        <w:rPr>
          <w:rFonts w:cs="David" w:hint="cs"/>
          <w:rtl/>
        </w:rPr>
        <w:t xml:space="preserve">ממשרד התרבות </w:t>
      </w:r>
      <w:r w:rsidR="0084465E">
        <w:rPr>
          <w:rFonts w:cs="David" w:hint="cs"/>
          <w:rtl/>
        </w:rPr>
        <w:t>בשנת 2008</w:t>
      </w:r>
      <w:r w:rsidR="00334CD8">
        <w:rPr>
          <w:rFonts w:cs="David" w:hint="cs"/>
          <w:rtl/>
        </w:rPr>
        <w:t>.</w:t>
      </w:r>
    </w:p>
    <w:p w:rsidR="00334CD8" w:rsidRDefault="00334CD8" w:rsidP="00334CD8">
      <w:pPr>
        <w:pStyle w:val="a8"/>
        <w:rPr>
          <w:rFonts w:cs="David"/>
          <w:b/>
          <w:bCs/>
          <w:rtl/>
        </w:rPr>
      </w:pPr>
      <w:r>
        <w:rPr>
          <w:rFonts w:cs="David" w:hint="cs"/>
          <w:b/>
          <w:bCs/>
          <w:rtl/>
        </w:rPr>
        <w:t>בשל החריגה הקטנה במספר המודרכים בשנת 2008 ולאור העלייה היפה במספרם בשנים שלאחר מכן, החריגה אושרה פה אחד.</w:t>
      </w:r>
    </w:p>
    <w:p w:rsidR="003E0612" w:rsidRDefault="003E0612" w:rsidP="00334CD8">
      <w:pPr>
        <w:pStyle w:val="a8"/>
        <w:rPr>
          <w:rFonts w:cs="David"/>
          <w:b/>
          <w:bCs/>
          <w:rtl/>
        </w:rPr>
      </w:pPr>
    </w:p>
    <w:p w:rsidR="00334CD8" w:rsidRDefault="00334CD8" w:rsidP="00334CD8">
      <w:pPr>
        <w:pStyle w:val="a8"/>
        <w:numPr>
          <w:ilvl w:val="0"/>
          <w:numId w:val="4"/>
        </w:numPr>
        <w:rPr>
          <w:rFonts w:cs="David"/>
        </w:rPr>
      </w:pPr>
      <w:r w:rsidRPr="00334CD8">
        <w:rPr>
          <w:rFonts w:cs="David" w:hint="cs"/>
          <w:u w:val="single"/>
          <w:rtl/>
        </w:rPr>
        <w:t>הכללת מבקרים המגיעים לפעילות ייעודית במניין המבקרים בתשלום.</w:t>
      </w:r>
    </w:p>
    <w:p w:rsidR="002A7DC6" w:rsidRDefault="00334CD8" w:rsidP="00F753C5">
      <w:pPr>
        <w:pStyle w:val="a8"/>
        <w:rPr>
          <w:rFonts w:cs="David"/>
          <w:rtl/>
        </w:rPr>
      </w:pPr>
      <w:r>
        <w:rPr>
          <w:rFonts w:cs="David" w:hint="cs"/>
          <w:rtl/>
        </w:rPr>
        <w:t>גב' עידית עמיחי מציגה את ה</w:t>
      </w:r>
      <w:r w:rsidR="00141FA9">
        <w:rPr>
          <w:rFonts w:cs="David" w:hint="cs"/>
          <w:rtl/>
        </w:rPr>
        <w:t>סוגיה</w:t>
      </w:r>
      <w:r>
        <w:rPr>
          <w:rFonts w:cs="David" w:hint="cs"/>
          <w:rtl/>
        </w:rPr>
        <w:t xml:space="preserve"> של ספירת מבקרים </w:t>
      </w:r>
      <w:r w:rsidR="00F753C5">
        <w:rPr>
          <w:rFonts w:cs="David" w:hint="cs"/>
          <w:rtl/>
        </w:rPr>
        <w:t xml:space="preserve">המגיעים </w:t>
      </w:r>
      <w:r>
        <w:rPr>
          <w:rFonts w:cs="David" w:hint="cs"/>
          <w:rtl/>
        </w:rPr>
        <w:t>לקונצרטים, הצגות ואירועים שאינם</w:t>
      </w:r>
      <w:r w:rsidR="002A7DC6" w:rsidRPr="0030794E">
        <w:rPr>
          <w:rFonts w:cs="David" w:hint="eastAsia"/>
          <w:rtl/>
        </w:rPr>
        <w:t>‏</w:t>
      </w:r>
      <w:r>
        <w:rPr>
          <w:rFonts w:cs="David" w:hint="cs"/>
          <w:rtl/>
        </w:rPr>
        <w:t xml:space="preserve"> קשורים ישירות לתצוגות</w:t>
      </w:r>
      <w:r w:rsidR="00141FA9">
        <w:rPr>
          <w:rFonts w:cs="David" w:hint="cs"/>
          <w:rtl/>
        </w:rPr>
        <w:t xml:space="preserve"> כמבקרים במוזאונים</w:t>
      </w:r>
      <w:r>
        <w:rPr>
          <w:rFonts w:cs="David" w:hint="cs"/>
          <w:rtl/>
        </w:rPr>
        <w:t>,  ובכ</w:t>
      </w:r>
      <w:r w:rsidR="001E552B">
        <w:rPr>
          <w:rFonts w:cs="David" w:hint="cs"/>
          <w:rtl/>
        </w:rPr>
        <w:t xml:space="preserve">ך מגדילים את מספר המבקרים בתשלום. הגדלה זו עשויה לסייע </w:t>
      </w:r>
      <w:r w:rsidR="00E05ADA">
        <w:rPr>
          <w:rFonts w:cs="David" w:hint="cs"/>
          <w:rtl/>
        </w:rPr>
        <w:t xml:space="preserve">למוזיאונים </w:t>
      </w:r>
      <w:r w:rsidR="001E552B">
        <w:rPr>
          <w:rFonts w:cs="David" w:hint="cs"/>
          <w:rtl/>
        </w:rPr>
        <w:t>לעבור את תנאי הסף הנדרשים בקבוצת הסיווג אליה הם שייכים ואף למעבר מקבוצת סיווג אחת לשנייה.</w:t>
      </w:r>
    </w:p>
    <w:p w:rsidR="001E552B" w:rsidRDefault="001E552B" w:rsidP="00E05ADA">
      <w:pPr>
        <w:pStyle w:val="a8"/>
        <w:rPr>
          <w:rFonts w:cs="David"/>
          <w:rtl/>
        </w:rPr>
      </w:pPr>
      <w:r>
        <w:rPr>
          <w:rFonts w:cs="David" w:hint="cs"/>
          <w:rtl/>
        </w:rPr>
        <w:t>בדיון שהתקיים הוצע להיעזר בחוק המגדיר את תפקיד המוזאון, בין היתר, גם כמקום עינוג. מוזאון הוא מוסד תרבותי וכל פעילות חינוכית או תרבותית המתקיימת בו יכולה לחשב את המשתתפים בה כ"מבקרים בתשלום"</w:t>
      </w:r>
      <w:r w:rsidR="00E05ADA">
        <w:rPr>
          <w:rFonts w:cs="David" w:hint="cs"/>
          <w:rtl/>
        </w:rPr>
        <w:t>,</w:t>
      </w:r>
      <w:r>
        <w:rPr>
          <w:rFonts w:cs="David" w:hint="cs"/>
          <w:rtl/>
        </w:rPr>
        <w:t xml:space="preserve"> זאת בתנאי שבאותו זמן היו הגלריות פתוחות לביקור. יש לתת אימון בדיווח של המוזיאון ולסמוך על כך. כמו</w:t>
      </w:r>
      <w:r w:rsidR="00D2110B">
        <w:rPr>
          <w:rFonts w:cs="David" w:hint="cs"/>
          <w:rtl/>
        </w:rPr>
        <w:t xml:space="preserve">בן שאין לספור משתתפי חתונות, </w:t>
      </w:r>
      <w:r>
        <w:rPr>
          <w:rFonts w:cs="David" w:hint="cs"/>
          <w:rtl/>
        </w:rPr>
        <w:t xml:space="preserve">אירועים משפחתיים </w:t>
      </w:r>
      <w:r w:rsidR="00D2110B">
        <w:rPr>
          <w:rFonts w:cs="David" w:hint="cs"/>
          <w:rtl/>
        </w:rPr>
        <w:t xml:space="preserve">או אחרים שבהם מושכרים האולמות לפעילות שאיננה קשורה לנושאי תרבות. </w:t>
      </w:r>
    </w:p>
    <w:p w:rsidR="002C11D4" w:rsidRDefault="00E37BE6" w:rsidP="00E37BE6">
      <w:pPr>
        <w:pStyle w:val="a8"/>
        <w:rPr>
          <w:rFonts w:cs="David"/>
          <w:rtl/>
        </w:rPr>
      </w:pPr>
      <w:r>
        <w:rPr>
          <w:rFonts w:cs="David" w:hint="cs"/>
          <w:rtl/>
        </w:rPr>
        <w:t>הוצע ש</w:t>
      </w:r>
      <w:r w:rsidR="002C11D4" w:rsidRPr="00E37BE6">
        <w:rPr>
          <w:rFonts w:cs="David" w:hint="cs"/>
          <w:rtl/>
        </w:rPr>
        <w:t xml:space="preserve">כדי שתהיה אחידות בדיווח של המוזאונים, </w:t>
      </w:r>
      <w:r w:rsidRPr="00E37BE6">
        <w:rPr>
          <w:rFonts w:cs="David" w:hint="cs"/>
          <w:rtl/>
        </w:rPr>
        <w:t>יש להוסיף שאלה בטופס ה</w:t>
      </w:r>
      <w:r w:rsidR="002C11D4" w:rsidRPr="00E37BE6">
        <w:rPr>
          <w:rFonts w:cs="David" w:hint="cs"/>
          <w:rtl/>
        </w:rPr>
        <w:t xml:space="preserve">דוח השנתי (דוח פיל"ת) </w:t>
      </w:r>
      <w:r w:rsidRPr="00E37BE6">
        <w:rPr>
          <w:rFonts w:cs="David" w:hint="cs"/>
          <w:rtl/>
        </w:rPr>
        <w:t xml:space="preserve">בה יפורט </w:t>
      </w:r>
      <w:r w:rsidR="002C11D4" w:rsidRPr="00E37BE6">
        <w:rPr>
          <w:rFonts w:cs="David" w:hint="cs"/>
          <w:rtl/>
        </w:rPr>
        <w:t>האם אולמות התצוגה היו פתוחים לקהל בעת קיום האירוע.</w:t>
      </w:r>
    </w:p>
    <w:p w:rsidR="00E37BE6" w:rsidRDefault="00E37BE6" w:rsidP="00E37BE6">
      <w:pPr>
        <w:pStyle w:val="a8"/>
        <w:rPr>
          <w:rFonts w:cs="David"/>
          <w:b/>
          <w:bCs/>
          <w:rtl/>
        </w:rPr>
      </w:pPr>
      <w:r>
        <w:rPr>
          <w:rFonts w:cs="David" w:hint="cs"/>
          <w:b/>
          <w:bCs/>
          <w:rtl/>
        </w:rPr>
        <w:t>יו"ר המועצה הציע שהמחלקה תכין מסמך המפרט את כל המשמעויות והוא יובא לדיון נוסף.</w:t>
      </w:r>
    </w:p>
    <w:p w:rsidR="00E9601D" w:rsidRDefault="00E9601D" w:rsidP="00E37BE6">
      <w:pPr>
        <w:pStyle w:val="a8"/>
        <w:rPr>
          <w:rFonts w:cs="David"/>
          <w:b/>
          <w:bCs/>
          <w:rtl/>
        </w:rPr>
      </w:pPr>
    </w:p>
    <w:p w:rsidR="00E9601D" w:rsidRDefault="00E9601D" w:rsidP="00E37BE6">
      <w:pPr>
        <w:pStyle w:val="a8"/>
        <w:rPr>
          <w:rFonts w:cs="David"/>
          <w:b/>
          <w:bCs/>
          <w:rtl/>
        </w:rPr>
      </w:pPr>
    </w:p>
    <w:p w:rsidR="00E9601D" w:rsidRDefault="00E9601D" w:rsidP="00E37BE6">
      <w:pPr>
        <w:pStyle w:val="a8"/>
        <w:rPr>
          <w:rFonts w:cs="David"/>
          <w:b/>
          <w:bCs/>
          <w:rtl/>
        </w:rPr>
      </w:pPr>
    </w:p>
    <w:p w:rsidR="00E9601D" w:rsidRDefault="00E9601D" w:rsidP="00E37BE6">
      <w:pPr>
        <w:pStyle w:val="a8"/>
        <w:rPr>
          <w:rFonts w:cs="David"/>
          <w:b/>
          <w:bCs/>
          <w:rtl/>
        </w:rPr>
      </w:pPr>
    </w:p>
    <w:p w:rsidR="00E9601D" w:rsidRDefault="00E9601D" w:rsidP="00E37BE6">
      <w:pPr>
        <w:pStyle w:val="a8"/>
        <w:rPr>
          <w:rFonts w:cs="David"/>
          <w:b/>
          <w:bCs/>
          <w:rtl/>
        </w:rPr>
      </w:pPr>
    </w:p>
    <w:p w:rsidR="00E9601D" w:rsidRDefault="00E9601D" w:rsidP="00E37BE6">
      <w:pPr>
        <w:pStyle w:val="a8"/>
        <w:rPr>
          <w:rFonts w:cs="David"/>
          <w:b/>
          <w:bCs/>
          <w:rtl/>
        </w:rPr>
      </w:pPr>
    </w:p>
    <w:p w:rsidR="003E0612" w:rsidRDefault="003E0612" w:rsidP="00E37BE6">
      <w:pPr>
        <w:pStyle w:val="a8"/>
        <w:rPr>
          <w:rFonts w:cs="David"/>
          <w:b/>
          <w:bCs/>
          <w:rtl/>
        </w:rPr>
      </w:pPr>
    </w:p>
    <w:p w:rsidR="003E0612" w:rsidRDefault="003E0612" w:rsidP="00E37BE6">
      <w:pPr>
        <w:pStyle w:val="a8"/>
        <w:rPr>
          <w:rFonts w:cs="David"/>
          <w:b/>
          <w:bCs/>
          <w:rtl/>
        </w:rPr>
      </w:pPr>
    </w:p>
    <w:p w:rsidR="003E0612" w:rsidRDefault="003E0612" w:rsidP="00E37BE6">
      <w:pPr>
        <w:pStyle w:val="a8"/>
        <w:rPr>
          <w:rFonts w:cs="David"/>
          <w:b/>
          <w:bCs/>
          <w:rtl/>
        </w:rPr>
      </w:pPr>
    </w:p>
    <w:p w:rsidR="00E9601D" w:rsidRDefault="00E9601D" w:rsidP="00E37BE6">
      <w:pPr>
        <w:pStyle w:val="a8"/>
        <w:rPr>
          <w:rFonts w:cs="David"/>
          <w:b/>
          <w:bCs/>
          <w:rtl/>
        </w:rPr>
      </w:pPr>
    </w:p>
    <w:p w:rsidR="00E37BE6" w:rsidRPr="00E37BE6" w:rsidRDefault="00E37BE6" w:rsidP="00E37BE6">
      <w:pPr>
        <w:pStyle w:val="a8"/>
        <w:numPr>
          <w:ilvl w:val="0"/>
          <w:numId w:val="4"/>
        </w:numPr>
        <w:rPr>
          <w:rFonts w:cs="David"/>
        </w:rPr>
      </w:pPr>
      <w:r>
        <w:rPr>
          <w:rFonts w:cs="David" w:hint="cs"/>
          <w:u w:val="single"/>
          <w:rtl/>
        </w:rPr>
        <w:t>חלוקת התמיכות בין 4 הקבוצות.</w:t>
      </w:r>
    </w:p>
    <w:p w:rsidR="00E37BE6" w:rsidRDefault="003D68F9" w:rsidP="00E9601D">
      <w:pPr>
        <w:pStyle w:val="a8"/>
        <w:rPr>
          <w:rFonts w:cs="David"/>
          <w:rtl/>
        </w:rPr>
      </w:pPr>
      <w:r>
        <w:rPr>
          <w:rFonts w:cs="David" w:hint="cs"/>
          <w:rtl/>
        </w:rPr>
        <w:t>כהקדמה לדיון בנוש</w:t>
      </w:r>
      <w:r w:rsidR="00141FA9">
        <w:rPr>
          <w:rFonts w:cs="David" w:hint="cs"/>
          <w:rtl/>
        </w:rPr>
        <w:t>א</w:t>
      </w:r>
      <w:r>
        <w:rPr>
          <w:rFonts w:cs="David" w:hint="cs"/>
          <w:rtl/>
        </w:rPr>
        <w:t xml:space="preserve"> זה, </w:t>
      </w:r>
      <w:r w:rsidR="00E37BE6" w:rsidRPr="00E37BE6">
        <w:rPr>
          <w:rFonts w:cs="David" w:hint="cs"/>
          <w:rtl/>
        </w:rPr>
        <w:t>ד"ר שושני דווח</w:t>
      </w:r>
      <w:r w:rsidR="00E37BE6">
        <w:rPr>
          <w:rFonts w:cs="David" w:hint="cs"/>
          <w:rtl/>
        </w:rPr>
        <w:t xml:space="preserve"> על פגישתו עם נציגי האוצר </w:t>
      </w:r>
      <w:r w:rsidR="00D34D09">
        <w:rPr>
          <w:rFonts w:cs="David" w:hint="cs"/>
          <w:rtl/>
        </w:rPr>
        <w:t xml:space="preserve">מר </w:t>
      </w:r>
      <w:r w:rsidR="00E37BE6">
        <w:rPr>
          <w:rFonts w:cs="David" w:hint="cs"/>
          <w:rtl/>
        </w:rPr>
        <w:t xml:space="preserve">ראובן </w:t>
      </w:r>
      <w:r w:rsidR="00141FA9">
        <w:rPr>
          <w:rFonts w:cs="David" w:hint="cs"/>
          <w:rtl/>
        </w:rPr>
        <w:t>ק</w:t>
      </w:r>
      <w:r w:rsidR="00E37BE6">
        <w:rPr>
          <w:rFonts w:cs="David" w:hint="cs"/>
          <w:rtl/>
        </w:rPr>
        <w:t>וגן ו</w:t>
      </w:r>
      <w:r w:rsidR="00D34D09">
        <w:rPr>
          <w:rFonts w:cs="David" w:hint="cs"/>
          <w:rtl/>
        </w:rPr>
        <w:t xml:space="preserve">מר </w:t>
      </w:r>
      <w:r w:rsidR="00E37BE6">
        <w:rPr>
          <w:rFonts w:cs="David" w:hint="cs"/>
          <w:rtl/>
        </w:rPr>
        <w:t>אריאל</w:t>
      </w:r>
      <w:r w:rsidR="00141FA9">
        <w:rPr>
          <w:rFonts w:cs="David" w:hint="cs"/>
          <w:rtl/>
        </w:rPr>
        <w:t xml:space="preserve"> יוצר.</w:t>
      </w:r>
      <w:r w:rsidR="00E37BE6">
        <w:rPr>
          <w:rFonts w:cs="David" w:hint="cs"/>
          <w:rtl/>
        </w:rPr>
        <w:t xml:space="preserve"> בעקבות דוח הביניים על תקצוב המוזאונים שהכינו מר </w:t>
      </w:r>
      <w:r w:rsidR="00E9601D">
        <w:rPr>
          <w:rFonts w:cs="David" w:hint="cs"/>
          <w:rtl/>
        </w:rPr>
        <w:t xml:space="preserve">מיקי </w:t>
      </w:r>
      <w:r w:rsidR="00E37BE6">
        <w:rPr>
          <w:rFonts w:cs="David" w:hint="cs"/>
          <w:rtl/>
        </w:rPr>
        <w:t xml:space="preserve">גור וד"ר מאיר אמיר. אנשי האוצר הופתעו מהנתונים </w:t>
      </w:r>
      <w:r w:rsidR="00141FA9">
        <w:rPr>
          <w:rFonts w:cs="David" w:hint="cs"/>
          <w:rtl/>
        </w:rPr>
        <w:t>המראים קיפוח מתמשך של המוזאונים,</w:t>
      </w:r>
      <w:r w:rsidR="00D34D09">
        <w:rPr>
          <w:rFonts w:cs="David" w:hint="cs"/>
          <w:rtl/>
        </w:rPr>
        <w:t xml:space="preserve"> אך עם זאת הובהר כי תוספת לתקציב המוזאונים דורשת את התערבות השרה. תוספת מעין זו צריכה להיכלל בבסיס התקנה אחרת היא תהיה חד-פעמית ולא לכך הכוונה. כמו כן, הדגיש יו"ר המועצה</w:t>
      </w:r>
      <w:r w:rsidR="00E9601D">
        <w:rPr>
          <w:rFonts w:cs="David" w:hint="cs"/>
          <w:rtl/>
        </w:rPr>
        <w:t>,</w:t>
      </w:r>
      <w:r w:rsidR="00D34D09">
        <w:rPr>
          <w:rFonts w:cs="David" w:hint="cs"/>
          <w:rtl/>
        </w:rPr>
        <w:t xml:space="preserve"> כי מדובר לפחות בהכפלה של התקציב הקיים שכן בשונה מגופי תרבות אחרים (תיאטרון, מחול, מוסיקה) המוזאונים מופקדים על שמירת האוספים למען הדורות הבאים והאחריות על האוספים  היא למעשה של המדינה. בחוק המוזאונים, מוזאון שמזניח את אוספיו</w:t>
      </w:r>
      <w:r w:rsidR="00E9601D">
        <w:rPr>
          <w:rFonts w:cs="David" w:hint="cs"/>
          <w:rtl/>
        </w:rPr>
        <w:t>,</w:t>
      </w:r>
      <w:r w:rsidR="00D34D09">
        <w:rPr>
          <w:rFonts w:cs="David" w:hint="cs"/>
          <w:rtl/>
        </w:rPr>
        <w:t xml:space="preserve"> רשאית המדינה להוציאם ולהעבירם למשמורת</w:t>
      </w:r>
      <w:r w:rsidR="00E9601D">
        <w:rPr>
          <w:rFonts w:cs="David" w:hint="cs"/>
          <w:rtl/>
        </w:rPr>
        <w:t>,</w:t>
      </w:r>
      <w:r>
        <w:rPr>
          <w:rFonts w:cs="David" w:hint="cs"/>
          <w:rtl/>
        </w:rPr>
        <w:t xml:space="preserve"> ולכן </w:t>
      </w:r>
      <w:r w:rsidR="00D34D09">
        <w:rPr>
          <w:rFonts w:cs="David" w:hint="cs"/>
          <w:rtl/>
        </w:rPr>
        <w:t xml:space="preserve">לא ייתכן שהמדינה לא תתקצב </w:t>
      </w:r>
      <w:r w:rsidR="00E9601D">
        <w:rPr>
          <w:rFonts w:cs="David" w:hint="cs"/>
          <w:rtl/>
        </w:rPr>
        <w:t>את ה</w:t>
      </w:r>
      <w:r w:rsidR="00D34D09">
        <w:rPr>
          <w:rFonts w:cs="David" w:hint="cs"/>
          <w:rtl/>
        </w:rPr>
        <w:t xml:space="preserve">שמירה על האוספים שבאחריותה. </w:t>
      </w:r>
    </w:p>
    <w:p w:rsidR="00141FA9" w:rsidRDefault="00141FA9" w:rsidP="00141FA9">
      <w:pPr>
        <w:pStyle w:val="a8"/>
        <w:rPr>
          <w:rFonts w:cs="David"/>
          <w:rtl/>
        </w:rPr>
      </w:pPr>
    </w:p>
    <w:p w:rsidR="003D68F9" w:rsidRDefault="003D68F9" w:rsidP="00E9601D">
      <w:pPr>
        <w:pStyle w:val="a8"/>
        <w:rPr>
          <w:rFonts w:cs="David"/>
          <w:rtl/>
        </w:rPr>
      </w:pPr>
      <w:r>
        <w:rPr>
          <w:rFonts w:cs="David" w:hint="cs"/>
          <w:rtl/>
        </w:rPr>
        <w:t xml:space="preserve">גב' נועה כהן הציגה הרצות שונות לחלוקת התקציב לשנת 2013 </w:t>
      </w:r>
      <w:r w:rsidRPr="00E9601D">
        <w:rPr>
          <w:rFonts w:cs="David" w:hint="cs"/>
          <w:rtl/>
        </w:rPr>
        <w:t>כמפורט בנספח</w:t>
      </w:r>
      <w:r w:rsidR="00E9601D" w:rsidRPr="00E9601D">
        <w:rPr>
          <w:rFonts w:cs="David" w:hint="cs"/>
          <w:rtl/>
        </w:rPr>
        <w:t xml:space="preserve"> מס' 1</w:t>
      </w:r>
      <w:r w:rsidRPr="00E9601D">
        <w:rPr>
          <w:rFonts w:cs="David" w:hint="cs"/>
          <w:rtl/>
        </w:rPr>
        <w:t xml:space="preserve"> המהווה</w:t>
      </w:r>
      <w:r>
        <w:rPr>
          <w:rFonts w:cs="David" w:hint="cs"/>
          <w:rtl/>
        </w:rPr>
        <w:t xml:space="preserve"> חלק מפרוטוקול זה.</w:t>
      </w:r>
    </w:p>
    <w:p w:rsidR="003D68F9" w:rsidRDefault="003D68F9" w:rsidP="003D68F9">
      <w:pPr>
        <w:pStyle w:val="a8"/>
        <w:rPr>
          <w:rFonts w:cs="David"/>
          <w:b/>
          <w:bCs/>
          <w:rtl/>
        </w:rPr>
      </w:pPr>
      <w:r>
        <w:rPr>
          <w:rFonts w:cs="David" w:hint="cs"/>
          <w:b/>
          <w:bCs/>
          <w:rtl/>
        </w:rPr>
        <w:t>חלוקת התקציב לשנת 2013 תיעשה באותו יחס כפי שהיה ב</w:t>
      </w:r>
      <w:r w:rsidR="00E9601D">
        <w:rPr>
          <w:rFonts w:cs="David" w:hint="cs"/>
          <w:b/>
          <w:bCs/>
          <w:rtl/>
        </w:rPr>
        <w:t xml:space="preserve">סוף </w:t>
      </w:r>
      <w:r>
        <w:rPr>
          <w:rFonts w:cs="David" w:hint="cs"/>
          <w:b/>
          <w:bCs/>
          <w:rtl/>
        </w:rPr>
        <w:t>שנת 2012. ההצעה אושרה פה אחד.</w:t>
      </w:r>
    </w:p>
    <w:p w:rsidR="003E0612" w:rsidRPr="003D68F9" w:rsidRDefault="003E0612" w:rsidP="003D68F9">
      <w:pPr>
        <w:pStyle w:val="a8"/>
        <w:rPr>
          <w:rFonts w:cs="David"/>
          <w:b/>
          <w:bCs/>
          <w:rtl/>
        </w:rPr>
      </w:pPr>
    </w:p>
    <w:p w:rsidR="002A7DC6" w:rsidRPr="006A388C" w:rsidRDefault="003D68F9" w:rsidP="003D68F9">
      <w:pPr>
        <w:pStyle w:val="a8"/>
        <w:numPr>
          <w:ilvl w:val="0"/>
          <w:numId w:val="4"/>
        </w:numPr>
        <w:rPr>
          <w:rFonts w:cs="David"/>
        </w:rPr>
      </w:pPr>
      <w:r>
        <w:rPr>
          <w:rFonts w:cs="David" w:hint="cs"/>
          <w:u w:val="single"/>
          <w:rtl/>
        </w:rPr>
        <w:t>פרויקטים לתשתיות מחשוב והנגשת מידע</w:t>
      </w:r>
    </w:p>
    <w:p w:rsidR="006A388C" w:rsidRDefault="006A388C" w:rsidP="00FB06B1">
      <w:pPr>
        <w:pStyle w:val="a8"/>
        <w:rPr>
          <w:rFonts w:cs="David"/>
          <w:rtl/>
        </w:rPr>
      </w:pPr>
      <w:r>
        <w:rPr>
          <w:rFonts w:cs="David" w:hint="cs"/>
          <w:rtl/>
        </w:rPr>
        <w:t>מר רם שמעוני, מנהל פרויקט המחשוב מטעם</w:t>
      </w:r>
      <w:r w:rsidR="00AA2546">
        <w:rPr>
          <w:rFonts w:cs="David"/>
        </w:rPr>
        <w:t xml:space="preserve"> </w:t>
      </w:r>
      <w:r w:rsidR="00AA2546">
        <w:rPr>
          <w:rFonts w:cs="David" w:hint="cs"/>
          <w:rtl/>
        </w:rPr>
        <w:t>משרד התרבות, הציג את המלצות ועדת המשנה</w:t>
      </w:r>
      <w:r>
        <w:rPr>
          <w:rFonts w:cs="David" w:hint="cs"/>
          <w:rtl/>
        </w:rPr>
        <w:t xml:space="preserve"> שדנה בתמיכה בפרויקט זה לשנת 2013. המועצה הקציבה לנושא השנה 300 אש"ח, לעומת 500 אש"ח בשנת 2012. </w:t>
      </w:r>
    </w:p>
    <w:p w:rsidR="006A388C" w:rsidRDefault="006A388C" w:rsidP="00F84F08">
      <w:pPr>
        <w:pStyle w:val="a8"/>
        <w:rPr>
          <w:rFonts w:cs="David"/>
          <w:rtl/>
        </w:rPr>
      </w:pPr>
      <w:r>
        <w:rPr>
          <w:rFonts w:cs="David" w:hint="cs"/>
          <w:rtl/>
        </w:rPr>
        <w:t xml:space="preserve">בנוסף מצפים לתקצוב נוסף </w:t>
      </w:r>
      <w:r w:rsidR="003A46E8">
        <w:rPr>
          <w:rFonts w:cs="David" w:hint="cs"/>
          <w:rtl/>
        </w:rPr>
        <w:t xml:space="preserve">של כמיליון ש"ח </w:t>
      </w:r>
      <w:r>
        <w:rPr>
          <w:rFonts w:cs="David" w:hint="cs"/>
          <w:rtl/>
        </w:rPr>
        <w:t xml:space="preserve">לנושא זה שיגיע ממשרד רוה"מ (פרויקט תמ"ר), </w:t>
      </w:r>
      <w:r w:rsidR="003A46E8">
        <w:rPr>
          <w:rFonts w:cs="David" w:hint="cs"/>
          <w:rtl/>
        </w:rPr>
        <w:t xml:space="preserve">ורק עם העברתו </w:t>
      </w:r>
      <w:r w:rsidR="00AA2546">
        <w:rPr>
          <w:rFonts w:cs="David" w:hint="cs"/>
          <w:rtl/>
        </w:rPr>
        <w:t>נוכל לפרסם "קול קורא" נוסף להגש</w:t>
      </w:r>
      <w:r w:rsidR="003A46E8">
        <w:rPr>
          <w:rFonts w:cs="David" w:hint="cs"/>
          <w:rtl/>
        </w:rPr>
        <w:t>ת בקשות.</w:t>
      </w:r>
      <w:r>
        <w:rPr>
          <w:rFonts w:cs="David" w:hint="cs"/>
          <w:rtl/>
        </w:rPr>
        <w:t xml:space="preserve"> </w:t>
      </w:r>
      <w:r w:rsidR="003A46E8">
        <w:rPr>
          <w:rFonts w:cs="David" w:hint="cs"/>
          <w:rtl/>
        </w:rPr>
        <w:t xml:space="preserve"> מכיוון שבהתאם למבחני התמיכה מוזאונים רשאים להגיש רק בקשה אחת בכל נושא, ו</w:t>
      </w:r>
      <w:r w:rsidR="00F84F08">
        <w:rPr>
          <w:rFonts w:cs="David" w:hint="cs"/>
          <w:rtl/>
        </w:rPr>
        <w:t>מכיוון ש</w:t>
      </w:r>
      <w:r w:rsidR="003A46E8">
        <w:rPr>
          <w:rFonts w:cs="David" w:hint="cs"/>
          <w:rtl/>
        </w:rPr>
        <w:t>סכום הבקשה לא יעלה על 20% מהסכום הכולל שהוקצב לנושא (300 אש"ח), הוחלט על אמות מידה</w:t>
      </w:r>
      <w:r w:rsidR="00AA2546">
        <w:rPr>
          <w:rFonts w:cs="David" w:hint="cs"/>
          <w:rtl/>
        </w:rPr>
        <w:t xml:space="preserve"> לפיהן תינתן עדיפות להצטרפות מוזאונים חדשים למנ"א (מערכת ניהול אוספים), למוזאונים פריפריאליים, ולמוזאונים קטנים שביקשו לקדם את צילום הפריטים. פרטוקול הישיבה של ועדת המשנה </w:t>
      </w:r>
      <w:r w:rsidR="00A62A11">
        <w:rPr>
          <w:rFonts w:cs="David" w:hint="cs"/>
          <w:rtl/>
        </w:rPr>
        <w:t xml:space="preserve">לבדיקת פרויקטים למחשוב והנגשה </w:t>
      </w:r>
      <w:r w:rsidR="00AA2546">
        <w:rPr>
          <w:rFonts w:cs="David" w:hint="cs"/>
          <w:rtl/>
        </w:rPr>
        <w:t xml:space="preserve">מצורף </w:t>
      </w:r>
      <w:r w:rsidR="00AA2546" w:rsidRPr="00F84F08">
        <w:rPr>
          <w:rFonts w:cs="David" w:hint="cs"/>
          <w:rtl/>
        </w:rPr>
        <w:t>בזה כנספח</w:t>
      </w:r>
      <w:r w:rsidR="00F84F08" w:rsidRPr="00F84F08">
        <w:rPr>
          <w:rFonts w:cs="David" w:hint="cs"/>
          <w:rtl/>
        </w:rPr>
        <w:t xml:space="preserve"> מס' 2</w:t>
      </w:r>
      <w:r w:rsidR="00614872">
        <w:rPr>
          <w:rFonts w:cs="David" w:hint="cs"/>
          <w:rtl/>
        </w:rPr>
        <w:t>.</w:t>
      </w:r>
    </w:p>
    <w:p w:rsidR="00AA2546" w:rsidRDefault="00AA2546" w:rsidP="003A46E8">
      <w:pPr>
        <w:pStyle w:val="a8"/>
        <w:rPr>
          <w:rFonts w:cs="David"/>
          <w:b/>
          <w:bCs/>
          <w:rtl/>
        </w:rPr>
      </w:pPr>
      <w:r>
        <w:rPr>
          <w:rFonts w:cs="David" w:hint="cs"/>
          <w:b/>
          <w:bCs/>
          <w:rtl/>
        </w:rPr>
        <w:t xml:space="preserve">החלטה: המלצת ועדת המשנה לבדיקת פרויקטים לתשתיות מחשוב והנגשת מידע </w:t>
      </w:r>
      <w:r>
        <w:rPr>
          <w:rFonts w:cs="David"/>
          <w:b/>
          <w:bCs/>
          <w:rtl/>
        </w:rPr>
        <w:t>–</w:t>
      </w:r>
      <w:r>
        <w:rPr>
          <w:rFonts w:cs="David" w:hint="cs"/>
          <w:b/>
          <w:bCs/>
          <w:rtl/>
        </w:rPr>
        <w:t xml:space="preserve"> מאושר</w:t>
      </w:r>
      <w:r w:rsidR="00865F6A">
        <w:rPr>
          <w:rFonts w:cs="David" w:hint="cs"/>
          <w:b/>
          <w:bCs/>
          <w:rtl/>
        </w:rPr>
        <w:t>ת</w:t>
      </w:r>
      <w:r>
        <w:rPr>
          <w:rFonts w:cs="David" w:hint="cs"/>
          <w:b/>
          <w:bCs/>
          <w:rtl/>
        </w:rPr>
        <w:t>.</w:t>
      </w:r>
    </w:p>
    <w:p w:rsidR="003E0612" w:rsidRDefault="003E0612" w:rsidP="003A46E8">
      <w:pPr>
        <w:pStyle w:val="a8"/>
        <w:rPr>
          <w:rFonts w:cs="David"/>
          <w:b/>
          <w:bCs/>
          <w:rtl/>
        </w:rPr>
      </w:pPr>
    </w:p>
    <w:p w:rsidR="00AA2546" w:rsidRPr="0019353A" w:rsidRDefault="00AA2546" w:rsidP="00AA2546">
      <w:pPr>
        <w:pStyle w:val="a8"/>
        <w:numPr>
          <w:ilvl w:val="0"/>
          <w:numId w:val="4"/>
        </w:numPr>
        <w:rPr>
          <w:rFonts w:cs="David"/>
        </w:rPr>
      </w:pPr>
      <w:r>
        <w:rPr>
          <w:rFonts w:cs="David" w:hint="cs"/>
          <w:u w:val="single"/>
          <w:rtl/>
        </w:rPr>
        <w:t>פרויקטים לשימור אוספים</w:t>
      </w:r>
    </w:p>
    <w:p w:rsidR="0019353A" w:rsidRDefault="0019353A" w:rsidP="0019353A">
      <w:pPr>
        <w:pStyle w:val="a8"/>
        <w:rPr>
          <w:rFonts w:cs="David"/>
          <w:rtl/>
        </w:rPr>
      </w:pPr>
      <w:r>
        <w:rPr>
          <w:rFonts w:cs="David" w:hint="cs"/>
          <w:rtl/>
        </w:rPr>
        <w:t xml:space="preserve">שלומית נמליך פירטה את </w:t>
      </w:r>
      <w:r w:rsidRPr="0019353A">
        <w:rPr>
          <w:rFonts w:cs="David" w:hint="cs"/>
          <w:rtl/>
        </w:rPr>
        <w:t>תהליך ה</w:t>
      </w:r>
      <w:r>
        <w:rPr>
          <w:rFonts w:cs="David" w:hint="cs"/>
          <w:rtl/>
        </w:rPr>
        <w:t xml:space="preserve">בדיקה של הבקשות שהוגשו לשימור אוספים. הוגשו 27 בקשות רובן לוו בהצעות מחיר ובפירוט המסביר את מהות הבקשה. </w:t>
      </w:r>
      <w:r w:rsidR="00305318">
        <w:rPr>
          <w:rFonts w:cs="David" w:hint="cs"/>
          <w:rtl/>
        </w:rPr>
        <w:t>למוזאון</w:t>
      </w:r>
      <w:r>
        <w:rPr>
          <w:rFonts w:cs="David" w:hint="cs"/>
          <w:rtl/>
        </w:rPr>
        <w:t xml:space="preserve"> אשר ה</w:t>
      </w:r>
      <w:r w:rsidR="00305318">
        <w:rPr>
          <w:rFonts w:cs="David" w:hint="cs"/>
          <w:rtl/>
        </w:rPr>
        <w:t>בקשה לא הייתה מפורטת דייה נשלחה</w:t>
      </w:r>
      <w:r>
        <w:rPr>
          <w:rFonts w:cs="David" w:hint="cs"/>
          <w:rtl/>
        </w:rPr>
        <w:t xml:space="preserve"> </w:t>
      </w:r>
      <w:r w:rsidR="00305318">
        <w:rPr>
          <w:rFonts w:cs="David" w:hint="cs"/>
          <w:rtl/>
        </w:rPr>
        <w:t>בקשה להשלמת החוסרים.</w:t>
      </w:r>
      <w:r>
        <w:rPr>
          <w:rFonts w:cs="David" w:hint="cs"/>
          <w:rtl/>
        </w:rPr>
        <w:t xml:space="preserve"> </w:t>
      </w:r>
      <w:r w:rsidR="00305318">
        <w:rPr>
          <w:rFonts w:cs="David" w:hint="cs"/>
          <w:rtl/>
        </w:rPr>
        <w:t>החומר נשלח לחברי הוועדה בראשותה של ד"ר אורית שמיר ובהשתתפות גב' עדנה מושנזון ומר דוד ביגלאייזן (מנהל מעבדות השימור של מוזאון ישראל).</w:t>
      </w:r>
    </w:p>
    <w:p w:rsidR="00AA2546" w:rsidRDefault="00305318" w:rsidP="00305318">
      <w:pPr>
        <w:pStyle w:val="a8"/>
        <w:rPr>
          <w:rFonts w:cs="David"/>
          <w:rtl/>
        </w:rPr>
      </w:pPr>
      <w:r>
        <w:rPr>
          <w:rFonts w:cs="David" w:hint="cs"/>
          <w:rtl/>
        </w:rPr>
        <w:t>גם בעת הדיון בוועדה נמצאו חוסרים אחדים והמוזאונים התבקשו להשלימם.</w:t>
      </w:r>
    </w:p>
    <w:p w:rsidR="00305318" w:rsidRDefault="00305318" w:rsidP="008A08CD">
      <w:pPr>
        <w:pStyle w:val="a8"/>
        <w:rPr>
          <w:rFonts w:cs="David"/>
          <w:rtl/>
        </w:rPr>
      </w:pPr>
      <w:r>
        <w:rPr>
          <w:rFonts w:cs="David" w:hint="cs"/>
          <w:rtl/>
        </w:rPr>
        <w:t xml:space="preserve">ד"ר אורית שמיר הצרה על כי רק מחצית מהמוזאונים הגישו בקשות </w:t>
      </w:r>
      <w:r w:rsidR="00401D69">
        <w:rPr>
          <w:rFonts w:cs="David" w:hint="cs"/>
          <w:rtl/>
        </w:rPr>
        <w:t xml:space="preserve">תמיכה לשימור האוספים </w:t>
      </w:r>
      <w:r>
        <w:rPr>
          <w:rFonts w:cs="David" w:hint="cs"/>
          <w:rtl/>
        </w:rPr>
        <w:t>ותלתה זאת ב</w:t>
      </w:r>
      <w:r w:rsidR="00401D69">
        <w:rPr>
          <w:rFonts w:cs="David" w:hint="cs"/>
          <w:rtl/>
        </w:rPr>
        <w:t xml:space="preserve">קושי הנובע מההשלמה העצמית הנדרשת מהמוזיאונים בגובה </w:t>
      </w:r>
      <w:r>
        <w:rPr>
          <w:rFonts w:cs="David" w:hint="cs"/>
          <w:rtl/>
        </w:rPr>
        <w:t xml:space="preserve">25% </w:t>
      </w:r>
      <w:r w:rsidR="008A08CD">
        <w:rPr>
          <w:rFonts w:cs="David" w:hint="cs"/>
          <w:rtl/>
        </w:rPr>
        <w:t>מ</w:t>
      </w:r>
      <w:r w:rsidR="00401D69">
        <w:rPr>
          <w:rFonts w:cs="David" w:hint="cs"/>
          <w:rtl/>
        </w:rPr>
        <w:t xml:space="preserve">עלות הפרויקט שלעיתים קשה להם. </w:t>
      </w:r>
      <w:r>
        <w:rPr>
          <w:rFonts w:cs="David" w:hint="cs"/>
          <w:rtl/>
        </w:rPr>
        <w:t xml:space="preserve"> </w:t>
      </w:r>
      <w:r w:rsidR="00401D69">
        <w:rPr>
          <w:rFonts w:cs="David" w:hint="cs"/>
          <w:rtl/>
        </w:rPr>
        <w:t xml:space="preserve">ד"ר שמיר </w:t>
      </w:r>
      <w:r>
        <w:rPr>
          <w:rFonts w:cs="David" w:hint="cs"/>
          <w:rtl/>
        </w:rPr>
        <w:t xml:space="preserve">ציינה כי חלק מהבקשות לא התאימו לקריטריונים </w:t>
      </w:r>
      <w:r w:rsidR="008643E9">
        <w:rPr>
          <w:rFonts w:cs="David" w:hint="cs"/>
          <w:rtl/>
        </w:rPr>
        <w:t>המפורטים במבחני התמיכה</w:t>
      </w:r>
      <w:r>
        <w:rPr>
          <w:rFonts w:cs="David" w:hint="cs"/>
          <w:rtl/>
        </w:rPr>
        <w:t xml:space="preserve">, כמו למשל אבזור מחסן, מזגנים וכד'. חלק מהבקשות הוגשו באופן מזלזל ולעיתים היה חסר </w:t>
      </w:r>
      <w:r w:rsidR="008A08CD">
        <w:rPr>
          <w:rFonts w:cs="David" w:hint="cs"/>
          <w:rtl/>
        </w:rPr>
        <w:t xml:space="preserve">בהן </w:t>
      </w:r>
      <w:r>
        <w:rPr>
          <w:rFonts w:cs="David" w:hint="cs"/>
          <w:rtl/>
        </w:rPr>
        <w:t>הרבה מידע. ממליצה לקראת השנה הבאה לשלוח הנחיות ברורות להגשת הבקשות.</w:t>
      </w:r>
    </w:p>
    <w:p w:rsidR="00305318" w:rsidRDefault="00305318" w:rsidP="00614872">
      <w:pPr>
        <w:pStyle w:val="a8"/>
        <w:rPr>
          <w:rFonts w:cs="David"/>
          <w:rtl/>
        </w:rPr>
      </w:pPr>
      <w:r>
        <w:rPr>
          <w:rFonts w:cs="David" w:hint="cs"/>
          <w:rtl/>
        </w:rPr>
        <w:t xml:space="preserve">ד"ר שושני הדגיש את </w:t>
      </w:r>
      <w:r w:rsidR="00865F6A">
        <w:rPr>
          <w:rFonts w:cs="David" w:hint="cs"/>
          <w:rtl/>
        </w:rPr>
        <w:t xml:space="preserve">סדר </w:t>
      </w:r>
      <w:r>
        <w:rPr>
          <w:rFonts w:cs="David" w:hint="cs"/>
          <w:rtl/>
        </w:rPr>
        <w:t xml:space="preserve">חשיבות </w:t>
      </w:r>
      <w:r w:rsidR="00614872">
        <w:rPr>
          <w:rFonts w:cs="David" w:hint="cs"/>
          <w:rtl/>
        </w:rPr>
        <w:t xml:space="preserve">הדברים </w:t>
      </w:r>
      <w:r w:rsidR="00865F6A">
        <w:rPr>
          <w:rFonts w:cs="David" w:hint="cs"/>
          <w:rtl/>
        </w:rPr>
        <w:t xml:space="preserve">- </w:t>
      </w:r>
      <w:r w:rsidR="00BA4187">
        <w:rPr>
          <w:rFonts w:cs="David" w:hint="cs"/>
          <w:rtl/>
        </w:rPr>
        <w:t xml:space="preserve">במקום </w:t>
      </w:r>
      <w:r w:rsidR="00865F6A">
        <w:rPr>
          <w:rFonts w:cs="David" w:hint="cs"/>
          <w:rtl/>
        </w:rPr>
        <w:t>ה</w:t>
      </w:r>
      <w:r w:rsidR="00BA4187">
        <w:rPr>
          <w:rFonts w:cs="David" w:hint="cs"/>
          <w:rtl/>
        </w:rPr>
        <w:t>ראשון</w:t>
      </w:r>
      <w:r>
        <w:rPr>
          <w:rFonts w:cs="David" w:hint="cs"/>
          <w:rtl/>
        </w:rPr>
        <w:t xml:space="preserve"> שימור האוספים </w:t>
      </w:r>
      <w:r w:rsidR="00BA4187">
        <w:rPr>
          <w:rFonts w:cs="David" w:hint="cs"/>
          <w:rtl/>
        </w:rPr>
        <w:t xml:space="preserve">ובמקום השני - קיומן של תערוכות. הוא ציין שהשימור הוא </w:t>
      </w:r>
      <w:r>
        <w:rPr>
          <w:rFonts w:cs="David" w:hint="cs"/>
          <w:rtl/>
        </w:rPr>
        <w:t xml:space="preserve">האינטרס הלאומי שצריך לעמוד בראש מעייננו כמועצה וכמדינה </w:t>
      </w:r>
      <w:r w:rsidR="00865F6A">
        <w:rPr>
          <w:rFonts w:cs="David" w:hint="cs"/>
          <w:rtl/>
        </w:rPr>
        <w:t>ו</w:t>
      </w:r>
      <w:r>
        <w:rPr>
          <w:rFonts w:cs="David" w:hint="cs"/>
          <w:rtl/>
        </w:rPr>
        <w:t>ב</w:t>
      </w:r>
      <w:r w:rsidR="00865F6A">
        <w:rPr>
          <w:rFonts w:cs="David" w:hint="cs"/>
          <w:rtl/>
        </w:rPr>
        <w:t>י</w:t>
      </w:r>
      <w:r>
        <w:rPr>
          <w:rFonts w:cs="David" w:hint="cs"/>
          <w:rtl/>
        </w:rPr>
        <w:t xml:space="preserve">קש לקבל אינוונטר של אוספי המוזאונים כולל הצרכים התקציביים לשימורם לדורות. </w:t>
      </w:r>
      <w:r w:rsidR="00865F6A">
        <w:rPr>
          <w:rFonts w:cs="David" w:hint="cs"/>
          <w:rtl/>
        </w:rPr>
        <w:t>ה</w:t>
      </w:r>
      <w:r>
        <w:rPr>
          <w:rFonts w:cs="David" w:hint="cs"/>
          <w:rtl/>
        </w:rPr>
        <w:t xml:space="preserve">מליץ על פגישה של אורית עם עורכי הסקר. </w:t>
      </w:r>
    </w:p>
    <w:p w:rsidR="00A62A11" w:rsidRPr="00A62A11" w:rsidRDefault="00A62A11" w:rsidP="00865F6A">
      <w:pPr>
        <w:pStyle w:val="a8"/>
        <w:rPr>
          <w:rFonts w:cs="David"/>
          <w:rtl/>
        </w:rPr>
      </w:pPr>
      <w:r>
        <w:rPr>
          <w:rFonts w:cs="David" w:hint="cs"/>
          <w:rtl/>
        </w:rPr>
        <w:t>פרוטוקול היש</w:t>
      </w:r>
      <w:r w:rsidR="00865F6A">
        <w:rPr>
          <w:rFonts w:cs="David" w:hint="cs"/>
          <w:rtl/>
        </w:rPr>
        <w:t>י</w:t>
      </w:r>
      <w:r>
        <w:rPr>
          <w:rFonts w:cs="David" w:hint="cs"/>
          <w:rtl/>
        </w:rPr>
        <w:t xml:space="preserve">בה של ועדת המשנה לבדיקת פרויקטים לשימור אוספים </w:t>
      </w:r>
      <w:r w:rsidRPr="00865F6A">
        <w:rPr>
          <w:rFonts w:cs="David" w:hint="cs"/>
          <w:rtl/>
        </w:rPr>
        <w:t>מצורף כנספח</w:t>
      </w:r>
      <w:r w:rsidR="00865F6A" w:rsidRPr="00865F6A">
        <w:rPr>
          <w:rFonts w:cs="David" w:hint="cs"/>
          <w:rtl/>
        </w:rPr>
        <w:t xml:space="preserve"> מס' 3</w:t>
      </w:r>
      <w:r w:rsidRPr="00865F6A">
        <w:rPr>
          <w:rFonts w:cs="David" w:hint="cs"/>
          <w:rtl/>
        </w:rPr>
        <w:t>.</w:t>
      </w:r>
    </w:p>
    <w:p w:rsidR="00A62A11" w:rsidRDefault="00A62A11" w:rsidP="00A62A11">
      <w:pPr>
        <w:pStyle w:val="a8"/>
        <w:rPr>
          <w:rFonts w:cs="David"/>
          <w:b/>
          <w:bCs/>
          <w:rtl/>
        </w:rPr>
      </w:pPr>
      <w:r>
        <w:rPr>
          <w:rFonts w:cs="David" w:hint="cs"/>
          <w:b/>
          <w:bCs/>
          <w:rtl/>
        </w:rPr>
        <w:t xml:space="preserve">החלטה: המלצת ועדת המשנה לבדיקת פרויקטים לשימור אוספים </w:t>
      </w:r>
      <w:r>
        <w:rPr>
          <w:rFonts w:cs="David"/>
          <w:b/>
          <w:bCs/>
          <w:rtl/>
        </w:rPr>
        <w:t>–</w:t>
      </w:r>
      <w:r>
        <w:rPr>
          <w:rFonts w:cs="David" w:hint="cs"/>
          <w:b/>
          <w:bCs/>
          <w:rtl/>
        </w:rPr>
        <w:t xml:space="preserve"> מאושר</w:t>
      </w:r>
      <w:r w:rsidR="00865F6A">
        <w:rPr>
          <w:rFonts w:cs="David" w:hint="cs"/>
          <w:b/>
          <w:bCs/>
          <w:rtl/>
        </w:rPr>
        <w:t>ת</w:t>
      </w:r>
      <w:r>
        <w:rPr>
          <w:rFonts w:cs="David" w:hint="cs"/>
          <w:b/>
          <w:bCs/>
          <w:rtl/>
        </w:rPr>
        <w:t>.</w:t>
      </w:r>
    </w:p>
    <w:p w:rsidR="003E0612" w:rsidRDefault="003E0612" w:rsidP="00A62A11">
      <w:pPr>
        <w:pStyle w:val="a8"/>
        <w:rPr>
          <w:rFonts w:cs="David"/>
          <w:b/>
          <w:bCs/>
          <w:rtl/>
        </w:rPr>
      </w:pPr>
    </w:p>
    <w:p w:rsidR="003E0612" w:rsidRDefault="003E0612" w:rsidP="00A62A11">
      <w:pPr>
        <w:pStyle w:val="a8"/>
        <w:rPr>
          <w:rFonts w:cs="David"/>
          <w:b/>
          <w:bCs/>
          <w:rtl/>
        </w:rPr>
      </w:pPr>
    </w:p>
    <w:p w:rsidR="003E0612" w:rsidRDefault="003E0612" w:rsidP="00A62A11">
      <w:pPr>
        <w:pStyle w:val="a8"/>
        <w:rPr>
          <w:rFonts w:cs="David"/>
          <w:b/>
          <w:bCs/>
          <w:rtl/>
        </w:rPr>
      </w:pPr>
    </w:p>
    <w:p w:rsidR="003E0612" w:rsidRDefault="003E0612" w:rsidP="00A62A11">
      <w:pPr>
        <w:pStyle w:val="a8"/>
        <w:rPr>
          <w:rFonts w:cs="David"/>
          <w:b/>
          <w:bCs/>
          <w:rtl/>
        </w:rPr>
      </w:pPr>
    </w:p>
    <w:p w:rsidR="003E0612" w:rsidRDefault="003E0612" w:rsidP="00A62A11">
      <w:pPr>
        <w:pStyle w:val="a8"/>
        <w:rPr>
          <w:rFonts w:cs="David"/>
          <w:b/>
          <w:bCs/>
          <w:rtl/>
        </w:rPr>
      </w:pPr>
    </w:p>
    <w:p w:rsidR="003E0612" w:rsidRDefault="003E0612" w:rsidP="00A62A11">
      <w:pPr>
        <w:pStyle w:val="a8"/>
        <w:rPr>
          <w:rFonts w:cs="David"/>
          <w:b/>
          <w:bCs/>
          <w:rtl/>
        </w:rPr>
      </w:pPr>
    </w:p>
    <w:p w:rsidR="003E0612" w:rsidRDefault="003E0612" w:rsidP="00A62A11">
      <w:pPr>
        <w:pStyle w:val="a8"/>
        <w:rPr>
          <w:rFonts w:cs="David"/>
          <w:b/>
          <w:bCs/>
          <w:rtl/>
        </w:rPr>
      </w:pPr>
    </w:p>
    <w:p w:rsidR="00A24823" w:rsidRPr="00A24823" w:rsidRDefault="00A24823" w:rsidP="00A24823">
      <w:pPr>
        <w:pStyle w:val="a8"/>
        <w:numPr>
          <w:ilvl w:val="0"/>
          <w:numId w:val="4"/>
        </w:numPr>
        <w:rPr>
          <w:rFonts w:cs="David"/>
        </w:rPr>
      </w:pPr>
      <w:r>
        <w:rPr>
          <w:rFonts w:cs="David" w:hint="cs"/>
          <w:u w:val="single"/>
          <w:rtl/>
        </w:rPr>
        <w:t>הקמת ועדת חקיקה</w:t>
      </w:r>
    </w:p>
    <w:p w:rsidR="00A24823" w:rsidRDefault="00A24823" w:rsidP="003E0612">
      <w:pPr>
        <w:pStyle w:val="a8"/>
        <w:rPr>
          <w:rFonts w:cs="David"/>
          <w:rtl/>
        </w:rPr>
      </w:pPr>
      <w:r>
        <w:rPr>
          <w:rFonts w:cs="David" w:hint="cs"/>
          <w:rtl/>
        </w:rPr>
        <w:t xml:space="preserve">גב' עידית עמיחי דווחה על ועדת החקיקה שמונתה מטעם מועצת המוזאונים בתקופת הכהונה הקודמת, ועדה  בראשותו של ד"ר מרטין וייל שדנה והמליצה על </w:t>
      </w:r>
      <w:r w:rsidR="003E0612">
        <w:rPr>
          <w:rFonts w:cs="David" w:hint="cs"/>
          <w:rtl/>
        </w:rPr>
        <w:t>מספר</w:t>
      </w:r>
      <w:r>
        <w:rPr>
          <w:rFonts w:cs="David" w:hint="cs"/>
          <w:rtl/>
        </w:rPr>
        <w:t xml:space="preserve"> תיקונים בחוק המוזאונים, בתקנות ובמבחני התמיכה. אלה האחרונים אושרו ופורסמו</w:t>
      </w:r>
      <w:r w:rsidR="003E0612">
        <w:rPr>
          <w:rFonts w:cs="David" w:hint="cs"/>
          <w:rtl/>
        </w:rPr>
        <w:t>,</w:t>
      </w:r>
      <w:r>
        <w:rPr>
          <w:rFonts w:cs="David" w:hint="cs"/>
          <w:rtl/>
        </w:rPr>
        <w:t xml:space="preserve"> ואילו תיקון החוק והתקנות עדיין לא עלו לדיון בכנסת. </w:t>
      </w:r>
    </w:p>
    <w:p w:rsidR="00A24823" w:rsidRDefault="00A24823" w:rsidP="00A24823">
      <w:pPr>
        <w:pStyle w:val="a8"/>
        <w:rPr>
          <w:rFonts w:cs="David"/>
          <w:rtl/>
        </w:rPr>
      </w:pPr>
      <w:r>
        <w:rPr>
          <w:rFonts w:cs="David" w:hint="cs"/>
          <w:rtl/>
        </w:rPr>
        <w:t>מתברר שעדיין יש צורך בתיקון מספר נושאים:</w:t>
      </w:r>
    </w:p>
    <w:p w:rsidR="00A24823" w:rsidRDefault="00A24823" w:rsidP="003E0612">
      <w:pPr>
        <w:pStyle w:val="a8"/>
        <w:rPr>
          <w:rFonts w:cs="David"/>
          <w:rtl/>
        </w:rPr>
      </w:pPr>
      <w:r>
        <w:rPr>
          <w:rFonts w:cs="David" w:hint="cs"/>
          <w:rtl/>
        </w:rPr>
        <w:t>חלוקה מחודשת של קבוצות סיווג</w:t>
      </w:r>
      <w:r w:rsidR="003E0612">
        <w:rPr>
          <w:rFonts w:cs="David" w:hint="cs"/>
          <w:rtl/>
        </w:rPr>
        <w:t xml:space="preserve"> המוזאונים</w:t>
      </w:r>
    </w:p>
    <w:p w:rsidR="00A24823" w:rsidRDefault="00C138FC" w:rsidP="00A24823">
      <w:pPr>
        <w:pStyle w:val="a8"/>
        <w:rPr>
          <w:rFonts w:cs="David"/>
          <w:rtl/>
        </w:rPr>
      </w:pPr>
      <w:r>
        <w:rPr>
          <w:rFonts w:cs="David" w:hint="cs"/>
          <w:rtl/>
        </w:rPr>
        <w:t>חיוב המוזאונים המוכרים להצטרף למנ"א</w:t>
      </w:r>
    </w:p>
    <w:p w:rsidR="00C138FC" w:rsidRDefault="00C138FC" w:rsidP="00A24823">
      <w:pPr>
        <w:pStyle w:val="a8"/>
        <w:rPr>
          <w:rFonts w:cs="David"/>
          <w:rtl/>
        </w:rPr>
      </w:pPr>
      <w:r>
        <w:rPr>
          <w:rFonts w:cs="David" w:hint="cs"/>
          <w:rtl/>
        </w:rPr>
        <w:t>אתיקה של מוזאונים ועובדיהם</w:t>
      </w:r>
    </w:p>
    <w:p w:rsidR="00C138FC" w:rsidRDefault="00C138FC" w:rsidP="00A24823">
      <w:pPr>
        <w:pStyle w:val="a8"/>
        <w:rPr>
          <w:rFonts w:cs="David"/>
          <w:rtl/>
        </w:rPr>
      </w:pPr>
    </w:p>
    <w:p w:rsidR="003E0612" w:rsidRDefault="00C138FC" w:rsidP="001E18DD">
      <w:pPr>
        <w:pStyle w:val="a8"/>
        <w:rPr>
          <w:rFonts w:cs="David"/>
          <w:rtl/>
        </w:rPr>
      </w:pPr>
      <w:r>
        <w:rPr>
          <w:rFonts w:cs="David" w:hint="cs"/>
          <w:rtl/>
        </w:rPr>
        <w:t xml:space="preserve">ואלה ההצעות לחברי ועדת החקיקה: ד"ר מרטין וייל </w:t>
      </w:r>
      <w:r>
        <w:rPr>
          <w:rFonts w:cs="David"/>
          <w:rtl/>
        </w:rPr>
        <w:t>–</w:t>
      </w:r>
      <w:r w:rsidR="001E18DD">
        <w:rPr>
          <w:rFonts w:cs="David" w:hint="cs"/>
          <w:rtl/>
        </w:rPr>
        <w:t xml:space="preserve"> יו"ר, </w:t>
      </w:r>
      <w:r>
        <w:rPr>
          <w:rFonts w:cs="David" w:hint="cs"/>
          <w:rtl/>
        </w:rPr>
        <w:t xml:space="preserve"> פרופ' דוד הד (לנושא האתיקה בלבד), </w:t>
      </w:r>
    </w:p>
    <w:p w:rsidR="00C138FC" w:rsidRDefault="00C138FC" w:rsidP="001E18DD">
      <w:pPr>
        <w:pStyle w:val="a8"/>
        <w:rPr>
          <w:rFonts w:cs="David"/>
          <w:rtl/>
        </w:rPr>
      </w:pPr>
      <w:r>
        <w:rPr>
          <w:rFonts w:cs="David" w:hint="cs"/>
          <w:rtl/>
        </w:rPr>
        <w:t>גב' דורית ווליניץ, גב' עדנה מושנזון</w:t>
      </w:r>
      <w:r w:rsidR="007824C3">
        <w:rPr>
          <w:rFonts w:cs="David" w:hint="cs"/>
          <w:rtl/>
        </w:rPr>
        <w:t>, עו"ד תהילה פרץ-פינטו, נציג הל</w:t>
      </w:r>
      <w:r>
        <w:rPr>
          <w:rFonts w:cs="David" w:hint="cs"/>
          <w:rtl/>
        </w:rPr>
        <w:t>שכה המשפטית של משרד התרבות והספורט, נציג משרד המשפטים כמשקיף או כחבר.</w:t>
      </w:r>
    </w:p>
    <w:p w:rsidR="00C138FC" w:rsidRDefault="00C138FC" w:rsidP="00A24823">
      <w:pPr>
        <w:pStyle w:val="a8"/>
        <w:rPr>
          <w:rFonts w:cs="David"/>
          <w:rtl/>
        </w:rPr>
      </w:pPr>
      <w:r>
        <w:rPr>
          <w:rFonts w:cs="David" w:hint="cs"/>
          <w:b/>
          <w:bCs/>
          <w:rtl/>
        </w:rPr>
        <w:t>החלטה: רשימת ה</w:t>
      </w:r>
      <w:r w:rsidRPr="00C138FC">
        <w:rPr>
          <w:rFonts w:cs="David" w:hint="cs"/>
          <w:b/>
          <w:bCs/>
          <w:rtl/>
        </w:rPr>
        <w:t>מועמדים מאושרת.</w:t>
      </w:r>
      <w:r>
        <w:rPr>
          <w:rFonts w:cs="David" w:hint="cs"/>
          <w:rtl/>
        </w:rPr>
        <w:t xml:space="preserve"> </w:t>
      </w:r>
    </w:p>
    <w:p w:rsidR="003E0612" w:rsidRDefault="003E0612" w:rsidP="00A24823">
      <w:pPr>
        <w:pStyle w:val="a8"/>
        <w:rPr>
          <w:rFonts w:cs="David"/>
          <w:rtl/>
        </w:rPr>
      </w:pPr>
    </w:p>
    <w:p w:rsidR="00AD7A76" w:rsidRPr="00AD7A76" w:rsidRDefault="00AD7A76" w:rsidP="00AD7A76">
      <w:pPr>
        <w:pStyle w:val="a8"/>
        <w:numPr>
          <w:ilvl w:val="0"/>
          <w:numId w:val="4"/>
        </w:numPr>
        <w:rPr>
          <w:rFonts w:cs="David"/>
        </w:rPr>
      </w:pPr>
      <w:r>
        <w:rPr>
          <w:rFonts w:cs="David" w:hint="cs"/>
          <w:u w:val="single"/>
          <w:rtl/>
        </w:rPr>
        <w:t>מועמדים נוספים לוועדות לבדיקת איכות אוספים ותצוגות</w:t>
      </w:r>
    </w:p>
    <w:p w:rsidR="00AD7A76" w:rsidRDefault="00AD7A76" w:rsidP="00AD7A76">
      <w:pPr>
        <w:pStyle w:val="a8"/>
        <w:rPr>
          <w:rFonts w:cs="David"/>
          <w:rtl/>
        </w:rPr>
      </w:pPr>
      <w:r>
        <w:rPr>
          <w:rFonts w:cs="David" w:hint="cs"/>
          <w:rtl/>
        </w:rPr>
        <w:t>חברי המועצה התבקשו לאשר את מועמדותם של 4 מומחים נוספים לריענון ועדות לבדיקת איכות.</w:t>
      </w:r>
    </w:p>
    <w:p w:rsidR="001E18DD" w:rsidRDefault="001E18DD" w:rsidP="00AD7A76">
      <w:pPr>
        <w:pStyle w:val="a8"/>
        <w:rPr>
          <w:rFonts w:cs="David"/>
          <w:rtl/>
        </w:rPr>
      </w:pPr>
    </w:p>
    <w:p w:rsidR="00AD7A76" w:rsidRDefault="00AD7A76" w:rsidP="00AD7A76">
      <w:pPr>
        <w:pStyle w:val="a8"/>
        <w:rPr>
          <w:rFonts w:cs="David"/>
          <w:rtl/>
        </w:rPr>
      </w:pPr>
      <w:r>
        <w:rPr>
          <w:rFonts w:cs="David" w:hint="cs"/>
          <w:rtl/>
        </w:rPr>
        <w:t xml:space="preserve">גב' מיכל דייגי </w:t>
      </w:r>
      <w:r>
        <w:rPr>
          <w:rFonts w:cs="David"/>
          <w:rtl/>
        </w:rPr>
        <w:t>–</w:t>
      </w:r>
      <w:r>
        <w:rPr>
          <w:rFonts w:cs="David" w:hint="cs"/>
          <w:rtl/>
        </w:rPr>
        <w:t xml:space="preserve"> לתחום הארכיאולוגיה והיודאיקה</w:t>
      </w:r>
    </w:p>
    <w:p w:rsidR="00AD7A76" w:rsidRDefault="00AD7A76" w:rsidP="00AD7A76">
      <w:pPr>
        <w:pStyle w:val="a8"/>
        <w:rPr>
          <w:rFonts w:cs="David"/>
          <w:rtl/>
        </w:rPr>
      </w:pPr>
      <w:r>
        <w:rPr>
          <w:rFonts w:cs="David" w:hint="cs"/>
          <w:rtl/>
        </w:rPr>
        <w:t xml:space="preserve">גב' רות אפטר-גבריאל </w:t>
      </w:r>
      <w:r>
        <w:rPr>
          <w:rFonts w:cs="David"/>
          <w:rtl/>
        </w:rPr>
        <w:t>–</w:t>
      </w:r>
      <w:r>
        <w:rPr>
          <w:rFonts w:cs="David" w:hint="cs"/>
          <w:rtl/>
        </w:rPr>
        <w:t xml:space="preserve"> לתחום האמנות</w:t>
      </w:r>
      <w:r w:rsidR="001E18DD">
        <w:rPr>
          <w:rFonts w:cs="David" w:hint="cs"/>
          <w:rtl/>
        </w:rPr>
        <w:t xml:space="preserve"> והמוזאולוגיה</w:t>
      </w:r>
    </w:p>
    <w:p w:rsidR="00AD7A76" w:rsidRDefault="00AD7A76" w:rsidP="00AD7A76">
      <w:pPr>
        <w:pStyle w:val="a8"/>
        <w:rPr>
          <w:rFonts w:cs="David"/>
          <w:rtl/>
        </w:rPr>
      </w:pPr>
      <w:r>
        <w:rPr>
          <w:rFonts w:cs="David" w:hint="cs"/>
          <w:rtl/>
        </w:rPr>
        <w:t xml:space="preserve">ד"ר מרטין וייל </w:t>
      </w:r>
      <w:r>
        <w:rPr>
          <w:rFonts w:cs="David"/>
          <w:rtl/>
        </w:rPr>
        <w:t>–</w:t>
      </w:r>
      <w:r>
        <w:rPr>
          <w:rFonts w:cs="David" w:hint="cs"/>
          <w:rtl/>
        </w:rPr>
        <w:t xml:space="preserve"> לתחום האמנות ומוזאולוגיה</w:t>
      </w:r>
    </w:p>
    <w:p w:rsidR="00AD7A76" w:rsidRDefault="00AD7A76" w:rsidP="00AD7A76">
      <w:pPr>
        <w:pStyle w:val="a8"/>
        <w:rPr>
          <w:rFonts w:cs="David"/>
          <w:rtl/>
        </w:rPr>
      </w:pPr>
      <w:r>
        <w:rPr>
          <w:rFonts w:cs="David" w:hint="cs"/>
          <w:rtl/>
        </w:rPr>
        <w:t xml:space="preserve">גב' טלי טמיר </w:t>
      </w:r>
      <w:r>
        <w:rPr>
          <w:rFonts w:cs="David"/>
          <w:rtl/>
        </w:rPr>
        <w:t>–</w:t>
      </w:r>
      <w:r>
        <w:rPr>
          <w:rFonts w:cs="David" w:hint="cs"/>
          <w:rtl/>
        </w:rPr>
        <w:t xml:space="preserve"> לתחום האמנות</w:t>
      </w:r>
      <w:r w:rsidR="00645878">
        <w:rPr>
          <w:rFonts w:cs="David" w:hint="cs"/>
          <w:rtl/>
        </w:rPr>
        <w:t xml:space="preserve"> (קו"ח יישלחו בנפרד)</w:t>
      </w:r>
    </w:p>
    <w:p w:rsidR="00645878" w:rsidRPr="00645878" w:rsidRDefault="00645878" w:rsidP="00AD7A76">
      <w:pPr>
        <w:pStyle w:val="a8"/>
        <w:rPr>
          <w:rFonts w:cs="David"/>
          <w:b/>
          <w:bCs/>
          <w:rtl/>
        </w:rPr>
      </w:pPr>
      <w:r>
        <w:rPr>
          <w:rFonts w:cs="David" w:hint="cs"/>
          <w:b/>
          <w:bCs/>
          <w:rtl/>
        </w:rPr>
        <w:t xml:space="preserve">החלטה: רשימת המועמדים לועדות האיכות </w:t>
      </w:r>
      <w:r>
        <w:rPr>
          <w:rFonts w:cs="David"/>
          <w:b/>
          <w:bCs/>
          <w:rtl/>
        </w:rPr>
        <w:t>–</w:t>
      </w:r>
      <w:r>
        <w:rPr>
          <w:rFonts w:cs="David" w:hint="cs"/>
          <w:b/>
          <w:bCs/>
          <w:rtl/>
        </w:rPr>
        <w:t xml:space="preserve"> אושרה.</w:t>
      </w:r>
    </w:p>
    <w:sectPr w:rsidR="00645878" w:rsidRPr="00645878" w:rsidSect="000A63EC">
      <w:headerReference w:type="default" r:id="rId9"/>
      <w:footerReference w:type="default" r:id="rId10"/>
      <w:headerReference w:type="first" r:id="rId11"/>
      <w:footerReference w:type="first" r:id="rId12"/>
      <w:pgSz w:w="11907" w:h="16840" w:code="9"/>
      <w:pgMar w:top="2552" w:right="1134" w:bottom="426" w:left="1134" w:header="720" w:footer="51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9BA" w:rsidRDefault="006849BA">
      <w:r>
        <w:separator/>
      </w:r>
    </w:p>
  </w:endnote>
  <w:endnote w:type="continuationSeparator" w:id="0">
    <w:p w:rsidR="006849BA" w:rsidRDefault="00684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iriam">
    <w:panose1 w:val="020B050205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736781464"/>
      <w:docPartObj>
        <w:docPartGallery w:val="Page Numbers (Bottom of Page)"/>
        <w:docPartUnique/>
      </w:docPartObj>
    </w:sdtPr>
    <w:sdtEndPr>
      <w:rPr>
        <w:cs/>
      </w:rPr>
    </w:sdtEndPr>
    <w:sdtContent>
      <w:p w:rsidR="003E0612" w:rsidRDefault="003E0612">
        <w:pPr>
          <w:pStyle w:val="a4"/>
          <w:jc w:val="center"/>
          <w:rPr>
            <w:rtl/>
            <w:cs/>
          </w:rPr>
        </w:pPr>
        <w:r>
          <w:fldChar w:fldCharType="begin"/>
        </w:r>
        <w:r>
          <w:rPr>
            <w:rtl/>
            <w:cs/>
          </w:rPr>
          <w:instrText>PAGE   \* MERGEFORMAT</w:instrText>
        </w:r>
        <w:r>
          <w:fldChar w:fldCharType="separate"/>
        </w:r>
        <w:r w:rsidR="008B0FD2" w:rsidRPr="008B0FD2">
          <w:rPr>
            <w:noProof/>
            <w:rtl/>
            <w:lang w:val="he-IL"/>
          </w:rPr>
          <w:t>1</w:t>
        </w:r>
        <w:r>
          <w:fldChar w:fldCharType="end"/>
        </w:r>
      </w:p>
    </w:sdtContent>
  </w:sdt>
  <w:p w:rsidR="002B7E13" w:rsidRDefault="002B7E13" w:rsidP="00E06A20">
    <w:pPr>
      <w:pStyle w:val="a4"/>
      <w:jc w:val="center"/>
      <w:rPr>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E13" w:rsidRDefault="0084465E" w:rsidP="000D64A7">
    <w:pPr>
      <w:pStyle w:val="a4"/>
      <w:jc w:val="center"/>
      <w:rPr>
        <w:szCs w:val="20"/>
        <w:rtl/>
      </w:rPr>
    </w:pPr>
    <w:r>
      <w:rPr>
        <w:noProof/>
        <w:color w:val="000080"/>
        <w:spacing w:val="15"/>
        <w:sz w:val="18"/>
        <w:szCs w:val="20"/>
        <w:rtl/>
      </w:rPr>
      <mc:AlternateContent>
        <mc:Choice Requires="wps">
          <w:drawing>
            <wp:anchor distT="4294967295" distB="4294967295" distL="114300" distR="114300" simplePos="0" relativeHeight="251654144" behindDoc="0" locked="0" layoutInCell="1" allowOverlap="1">
              <wp:simplePos x="0" y="0"/>
              <wp:positionH relativeFrom="column">
                <wp:posOffset>-21590</wp:posOffset>
              </wp:positionH>
              <wp:positionV relativeFrom="paragraph">
                <wp:posOffset>36194</wp:posOffset>
              </wp:positionV>
              <wp:extent cx="6172200" cy="0"/>
              <wp:effectExtent l="0" t="0" r="19050" b="190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2.85pt" to="484.3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" strokeweight=".25pt"/>
          </w:pict>
        </mc:Fallback>
      </mc:AlternateContent>
    </w:r>
    <w:r w:rsidR="008F705C">
      <w:rPr>
        <w:noProof/>
      </w:rPr>
      <w:drawing>
        <wp:anchor distT="0" distB="0" distL="114300" distR="114300" simplePos="0" relativeHeight="251653120" behindDoc="0" locked="0" layoutInCell="1" allowOverlap="1">
          <wp:simplePos x="0" y="0"/>
          <wp:positionH relativeFrom="column">
            <wp:posOffset>17145</wp:posOffset>
          </wp:positionH>
          <wp:positionV relativeFrom="paragraph">
            <wp:posOffset>62865</wp:posOffset>
          </wp:positionV>
          <wp:extent cx="571500" cy="421005"/>
          <wp:effectExtent l="0" t="0" r="0" b="0"/>
          <wp:wrapNone/>
          <wp:docPr id="7" name="תמונה 1" descr="לוגו GOV_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לוגו GOV_I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421005"/>
                  </a:xfrm>
                  <a:prstGeom prst="rect">
                    <a:avLst/>
                  </a:prstGeom>
                  <a:noFill/>
                  <a:ln>
                    <a:noFill/>
                  </a:ln>
                </pic:spPr>
              </pic:pic>
            </a:graphicData>
          </a:graphic>
        </wp:anchor>
      </w:drawing>
    </w:r>
  </w:p>
  <w:p w:rsidR="002B7E13" w:rsidRPr="009D3029" w:rsidRDefault="002B7E13" w:rsidP="005048D2">
    <w:pPr>
      <w:pStyle w:val="a4"/>
      <w:tabs>
        <w:tab w:val="clear" w:pos="8306"/>
      </w:tabs>
      <w:ind w:left="567" w:hanging="567"/>
      <w:jc w:val="both"/>
      <w:rPr>
        <w:rFonts w:cs="David"/>
        <w:b/>
        <w:bCs/>
        <w:color w:val="000000"/>
        <w:spacing w:val="2"/>
        <w:szCs w:val="20"/>
        <w:rtl/>
      </w:rPr>
    </w:pPr>
    <w:r w:rsidRPr="009D3029">
      <w:rPr>
        <w:rFonts w:cs="David" w:hint="cs"/>
        <w:b/>
        <w:bCs/>
        <w:color w:val="000000"/>
        <w:spacing w:val="2"/>
        <w:szCs w:val="20"/>
        <w:rtl/>
      </w:rPr>
      <w:t>משרדי הממשלה, הקריה המזרחית, בניין ג', ת.ד. 49100, ירושלים 91490, טל': 02-5411169,  פקס': 02-5823030</w:t>
    </w:r>
  </w:p>
  <w:p w:rsidR="002B7E13" w:rsidRPr="009D3029" w:rsidRDefault="002B7E13" w:rsidP="005048D2">
    <w:pPr>
      <w:pStyle w:val="a4"/>
      <w:tabs>
        <w:tab w:val="left" w:pos="8788"/>
      </w:tabs>
      <w:spacing w:before="10"/>
      <w:ind w:left="567" w:right="426" w:hanging="567"/>
      <w:jc w:val="both"/>
      <w:rPr>
        <w:rFonts w:cs="David"/>
        <w:color w:val="000000"/>
        <w:spacing w:val="22"/>
        <w:sz w:val="18"/>
        <w:szCs w:val="20"/>
        <w:rtl/>
      </w:rPr>
    </w:pPr>
    <w:r w:rsidRPr="009D3029">
      <w:rPr>
        <w:rFonts w:cs="David"/>
        <w:color w:val="000000"/>
        <w:spacing w:val="22"/>
        <w:sz w:val="18"/>
        <w:szCs w:val="20"/>
        <w:rtl/>
      </w:rPr>
      <w:t xml:space="preserve">דואר אלקטרוני: </w:t>
    </w:r>
    <w:hyperlink r:id="rId2" w:history="1">
      <w:r w:rsidRPr="009D3029">
        <w:rPr>
          <w:rStyle w:val="Hyperlink"/>
          <w:rFonts w:cs="David"/>
          <w:color w:val="000000"/>
          <w:spacing w:val="22"/>
          <w:sz w:val="18"/>
          <w:szCs w:val="20"/>
        </w:rPr>
        <w:t>sigi@most.gov.il</w:t>
      </w:r>
    </w:hyperlink>
    <w:r w:rsidRPr="009D3029">
      <w:rPr>
        <w:rFonts w:cs="David" w:hint="cs"/>
        <w:color w:val="000000"/>
        <w:spacing w:val="22"/>
        <w:sz w:val="18"/>
        <w:szCs w:val="20"/>
        <w:rtl/>
      </w:rPr>
      <w:t xml:space="preserve">  </w:t>
    </w:r>
    <w:r>
      <w:rPr>
        <w:rFonts w:cs="David" w:hint="cs"/>
        <w:color w:val="000000"/>
        <w:spacing w:val="22"/>
        <w:sz w:val="18"/>
        <w:szCs w:val="20"/>
        <w:rtl/>
      </w:rPr>
      <w:t xml:space="preserve"> </w:t>
    </w:r>
    <w:r w:rsidRPr="009D3029">
      <w:rPr>
        <w:rFonts w:cs="David"/>
        <w:color w:val="000000"/>
        <w:spacing w:val="22"/>
        <w:sz w:val="18"/>
        <w:szCs w:val="20"/>
        <w:rtl/>
      </w:rPr>
      <w:t>כתובת אתר המשרד באינטרנט:</w:t>
    </w:r>
    <w:r w:rsidRPr="009D3029">
      <w:rPr>
        <w:rFonts w:cs="David" w:hint="cs"/>
        <w:color w:val="000000"/>
        <w:spacing w:val="22"/>
        <w:sz w:val="18"/>
        <w:szCs w:val="20"/>
      </w:rPr>
      <w:t xml:space="preserve"> </w:t>
    </w:r>
    <w:r w:rsidRPr="009D3029">
      <w:rPr>
        <w:rFonts w:cs="David"/>
        <w:color w:val="000000"/>
        <w:spacing w:val="22"/>
        <w:sz w:val="18"/>
        <w:szCs w:val="20"/>
        <w:rtl/>
      </w:rPr>
      <w:t xml:space="preserve"> </w:t>
    </w:r>
    <w:r w:rsidRPr="009D3029">
      <w:rPr>
        <w:rFonts w:cs="David"/>
        <w:color w:val="000000"/>
        <w:spacing w:val="22"/>
        <w:sz w:val="18"/>
        <w:szCs w:val="20"/>
      </w:rPr>
      <w:t>http://www.m</w:t>
    </w:r>
    <w:r>
      <w:rPr>
        <w:rFonts w:cs="David"/>
        <w:color w:val="000000"/>
        <w:spacing w:val="22"/>
        <w:sz w:val="18"/>
        <w:szCs w:val="20"/>
      </w:rPr>
      <w:t>cs</w:t>
    </w:r>
    <w:r w:rsidRPr="009D3029">
      <w:rPr>
        <w:rFonts w:cs="David"/>
        <w:color w:val="000000"/>
        <w:spacing w:val="22"/>
        <w:sz w:val="18"/>
        <w:szCs w:val="20"/>
      </w:rPr>
      <w:t>.gov.il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9BA" w:rsidRDefault="006849BA">
      <w:r>
        <w:separator/>
      </w:r>
    </w:p>
  </w:footnote>
  <w:footnote w:type="continuationSeparator" w:id="0">
    <w:p w:rsidR="006849BA" w:rsidRDefault="006849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E13" w:rsidRDefault="0084465E">
    <w:pPr>
      <w:pStyle w:val="a3"/>
    </w:pPr>
    <w:r>
      <w:rPr>
        <w:noProof/>
      </w:rPr>
      <mc:AlternateContent>
        <mc:Choice Requires="wps">
          <w:drawing>
            <wp:anchor distT="0" distB="0" distL="114300" distR="114300" simplePos="0" relativeHeight="251660288" behindDoc="0" locked="0" layoutInCell="1" allowOverlap="1">
              <wp:simplePos x="0" y="0"/>
              <wp:positionH relativeFrom="column">
                <wp:posOffset>2404110</wp:posOffset>
              </wp:positionH>
              <wp:positionV relativeFrom="paragraph">
                <wp:posOffset>936625</wp:posOffset>
              </wp:positionV>
              <wp:extent cx="3089275" cy="61277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275" cy="612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7E13" w:rsidRDefault="002B7E13" w:rsidP="00E06A20">
                          <w:pPr>
                            <w:rPr>
                              <w:rFonts w:ascii="Arial" w:hAnsi="Arial" w:cs="Arial"/>
                              <w:w w:val="125"/>
                              <w:rtl/>
                            </w:rPr>
                          </w:pPr>
                          <w:r>
                            <w:rPr>
                              <w:rFonts w:ascii="Arial" w:hAnsi="Arial" w:cs="Arial" w:hint="cs"/>
                              <w:w w:val="125"/>
                              <w:rtl/>
                            </w:rPr>
                            <w:t>מינהל התרבות</w:t>
                          </w:r>
                        </w:p>
                        <w:p w:rsidR="002B7E13" w:rsidRPr="00723E34" w:rsidRDefault="002B7E13" w:rsidP="00E06A20">
                          <w:pPr>
                            <w:rPr>
                              <w:rFonts w:ascii="Arial" w:hAnsi="Arial" w:cs="Arial"/>
                              <w:w w:val="125"/>
                              <w:rtl/>
                            </w:rPr>
                          </w:pPr>
                          <w:r>
                            <w:rPr>
                              <w:rFonts w:ascii="Arial" w:hAnsi="Arial" w:cs="Arial" w:hint="cs"/>
                              <w:w w:val="125"/>
                              <w:rtl/>
                            </w:rPr>
                            <w:t>המחלקה למוזיאונים ולאמנות פלסטית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89.3pt;margin-top:73.75pt;width:243.25pt;height:4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" filled="f" stroked="f">
              <v:textbox>
                <w:txbxContent>
                  <w:p w:rsidR="002B7E13" w:rsidRDefault="002B7E13" w:rsidP="00E06A20">
                    <w:pPr>
                      <w:rPr>
                        <w:rFonts w:ascii="Arial" w:hAnsi="Arial" w:cs="Arial"/>
                        <w:w w:val="125"/>
                        <w:rtl/>
                      </w:rPr>
                    </w:pPr>
                    <w:proofErr w:type="spellStart"/>
                    <w:r>
                      <w:rPr>
                        <w:rFonts w:ascii="Arial" w:hAnsi="Arial" w:cs="Arial" w:hint="cs"/>
                        <w:w w:val="125"/>
                        <w:rtl/>
                      </w:rPr>
                      <w:t>מינהל</w:t>
                    </w:r>
                    <w:proofErr w:type="spellEnd"/>
                    <w:r>
                      <w:rPr>
                        <w:rFonts w:ascii="Arial" w:hAnsi="Arial" w:cs="Arial" w:hint="cs"/>
                        <w:w w:val="125"/>
                        <w:rtl/>
                      </w:rPr>
                      <w:t xml:space="preserve"> התרבות</w:t>
                    </w:r>
                  </w:p>
                  <w:p w:rsidR="002B7E13" w:rsidRPr="00723E34" w:rsidRDefault="002B7E13" w:rsidP="00E06A20">
                    <w:pPr>
                      <w:rPr>
                        <w:rFonts w:ascii="Arial" w:hAnsi="Arial" w:cs="Arial"/>
                        <w:w w:val="125"/>
                        <w:rtl/>
                      </w:rPr>
                    </w:pPr>
                    <w:r>
                      <w:rPr>
                        <w:rFonts w:ascii="Arial" w:hAnsi="Arial" w:cs="Arial" w:hint="cs"/>
                        <w:w w:val="125"/>
                        <w:rtl/>
                      </w:rPr>
                      <w:t>המחלקה למוזיאונים ולאמנות פלסטית</w:t>
                    </w:r>
                  </w:p>
                </w:txbxContent>
              </v:textbox>
            </v:shape>
          </w:pict>
        </mc:Fallback>
      </mc:AlternateContent>
    </w:r>
    <w:r>
      <w:rPr>
        <w:noProof/>
      </w:rPr>
      <mc:AlternateContent>
        <mc:Choice Requires="wps">
          <w:drawing>
            <wp:anchor distT="4294967295" distB="4294967295" distL="114300" distR="114300" simplePos="0" relativeHeight="251659264" behindDoc="0" locked="0" layoutInCell="1" allowOverlap="1">
              <wp:simplePos x="0" y="0"/>
              <wp:positionH relativeFrom="column">
                <wp:posOffset>130810</wp:posOffset>
              </wp:positionH>
              <wp:positionV relativeFrom="paragraph">
                <wp:posOffset>881379</wp:posOffset>
              </wp:positionV>
              <wp:extent cx="5266055" cy="0"/>
              <wp:effectExtent l="0" t="0" r="10795" b="190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605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3pt,69.4pt" to="424.95pt,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UfHEQ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" strokeweight=".25pt"/>
          </w:pict>
        </mc:Fallback>
      </mc:AlternateContent>
    </w:r>
    <w:r w:rsidR="008F705C">
      <w:rPr>
        <w:noProof/>
      </w:rPr>
      <w:drawing>
        <wp:anchor distT="0" distB="0" distL="114300" distR="114300" simplePos="0" relativeHeight="251658240" behindDoc="0" locked="0" layoutInCell="1" allowOverlap="1">
          <wp:simplePos x="0" y="0"/>
          <wp:positionH relativeFrom="column">
            <wp:posOffset>4373245</wp:posOffset>
          </wp:positionH>
          <wp:positionV relativeFrom="paragraph">
            <wp:posOffset>-60325</wp:posOffset>
          </wp:positionV>
          <wp:extent cx="2090420" cy="1246505"/>
          <wp:effectExtent l="0" t="0" r="5080" b="0"/>
          <wp:wrapNone/>
          <wp:docPr id="1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1">
                    <a:extLst>
                      <a:ext uri="{28A0092B-C50C-407E-A947-70E740481C1C}">
                        <a14:useLocalDpi xmlns:a14="http://schemas.microsoft.com/office/drawing/2010/main" val="0"/>
                      </a:ext>
                    </a:extLst>
                  </a:blip>
                  <a:srcRect l="35036" t="39955" r="22887" b="28668"/>
                  <a:stretch>
                    <a:fillRect/>
                  </a:stretch>
                </pic:blipFill>
                <pic:spPr bwMode="auto">
                  <a:xfrm>
                    <a:off x="0" y="0"/>
                    <a:ext cx="2090420" cy="1246505"/>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E13" w:rsidRPr="006D3AAD" w:rsidRDefault="008F705C" w:rsidP="006D3AAD">
    <w:pPr>
      <w:pStyle w:val="a3"/>
      <w:rPr>
        <w:sz w:val="10"/>
        <w:szCs w:val="10"/>
      </w:rPr>
    </w:pPr>
    <w:r>
      <w:rPr>
        <w:noProof/>
        <w:rtl/>
      </w:rPr>
      <w:drawing>
        <wp:anchor distT="0" distB="0" distL="114300" distR="114300" simplePos="0" relativeHeight="251655168" behindDoc="0" locked="0" layoutInCell="1" allowOverlap="1">
          <wp:simplePos x="0" y="0"/>
          <wp:positionH relativeFrom="column">
            <wp:posOffset>4220845</wp:posOffset>
          </wp:positionH>
          <wp:positionV relativeFrom="paragraph">
            <wp:posOffset>-212725</wp:posOffset>
          </wp:positionV>
          <wp:extent cx="2090420" cy="1246505"/>
          <wp:effectExtent l="0" t="0" r="5080" b="0"/>
          <wp:wrapNone/>
          <wp:docPr id="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1">
                    <a:extLst>
                      <a:ext uri="{28A0092B-C50C-407E-A947-70E740481C1C}">
                        <a14:useLocalDpi xmlns:a14="http://schemas.microsoft.com/office/drawing/2010/main" val="0"/>
                      </a:ext>
                    </a:extLst>
                  </a:blip>
                  <a:srcRect l="35036" t="39955" r="22887" b="28668"/>
                  <a:stretch>
                    <a:fillRect/>
                  </a:stretch>
                </pic:blipFill>
                <pic:spPr bwMode="auto">
                  <a:xfrm>
                    <a:off x="0" y="0"/>
                    <a:ext cx="2090420" cy="1246505"/>
                  </a:xfrm>
                  <a:prstGeom prst="rect">
                    <a:avLst/>
                  </a:prstGeom>
                  <a:noFill/>
                  <a:ln>
                    <a:noFill/>
                  </a:ln>
                </pic:spPr>
              </pic:pic>
            </a:graphicData>
          </a:graphic>
        </wp:anchor>
      </w:drawing>
    </w:r>
  </w:p>
  <w:p w:rsidR="002B7E13" w:rsidRPr="006D3AAD" w:rsidRDefault="0084465E" w:rsidP="006D3AAD">
    <w:pPr>
      <w:pStyle w:val="a3"/>
      <w:rPr>
        <w:sz w:val="20"/>
        <w:rtl/>
      </w:rPr>
    </w:pPr>
    <w:r>
      <w:rPr>
        <w:noProof/>
        <w:color w:val="000080"/>
        <w:spacing w:val="15"/>
        <w:sz w:val="18"/>
        <w:szCs w:val="20"/>
        <w:rtl/>
      </w:rPr>
      <mc:AlternateContent>
        <mc:Choice Requires="wps">
          <w:drawing>
            <wp:anchor distT="0" distB="0" distL="114300" distR="114300" simplePos="0" relativeHeight="251657216" behindDoc="0" locked="0" layoutInCell="1" allowOverlap="1">
              <wp:simplePos x="0" y="0"/>
              <wp:positionH relativeFrom="column">
                <wp:posOffset>2963545</wp:posOffset>
              </wp:positionH>
              <wp:positionV relativeFrom="paragraph">
                <wp:posOffset>675640</wp:posOffset>
              </wp:positionV>
              <wp:extent cx="2377440" cy="323215"/>
              <wp:effectExtent l="0" t="0" r="0" b="6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7E13" w:rsidRPr="00723E34" w:rsidRDefault="002B7E13">
                          <w:pPr>
                            <w:rPr>
                              <w:rFonts w:ascii="Arial" w:hAnsi="Arial" w:cs="Arial"/>
                              <w:w w:val="125"/>
                            </w:rPr>
                          </w:pPr>
                          <w:r>
                            <w:rPr>
                              <w:rFonts w:ascii="Arial" w:hAnsi="Arial" w:cs="Arial" w:hint="cs"/>
                              <w:w w:val="125"/>
                              <w:rtl/>
                            </w:rPr>
                            <w:t>מינהל התרבות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233.35pt;margin-top:53.2pt;width:187.2pt;height:25.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wZFtwIAAMA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" filled="f" stroked="f">
              <v:textbox>
                <w:txbxContent>
                  <w:p w:rsidR="002B7E13" w:rsidRPr="00723E34" w:rsidRDefault="002B7E13">
                    <w:pPr>
                      <w:rPr>
                        <w:rFonts w:ascii="Arial" w:hAnsi="Arial" w:cs="Arial"/>
                        <w:w w:val="125"/>
                      </w:rPr>
                    </w:pPr>
                    <w:proofErr w:type="spellStart"/>
                    <w:r>
                      <w:rPr>
                        <w:rFonts w:ascii="Arial" w:hAnsi="Arial" w:cs="Arial" w:hint="cs"/>
                        <w:w w:val="125"/>
                        <w:rtl/>
                      </w:rPr>
                      <w:t>מינהל</w:t>
                    </w:r>
                    <w:proofErr w:type="spellEnd"/>
                    <w:r>
                      <w:rPr>
                        <w:rFonts w:ascii="Arial" w:hAnsi="Arial" w:cs="Arial" w:hint="cs"/>
                        <w:w w:val="125"/>
                        <w:rtl/>
                      </w:rPr>
                      <w:t xml:space="preserve"> התרבות</w:t>
                    </w:r>
                  </w:p>
                </w:txbxContent>
              </v:textbox>
            </v:shape>
          </w:pict>
        </mc:Fallback>
      </mc:AlternateContent>
    </w:r>
    <w:r>
      <w:rPr>
        <w:noProof/>
        <w:color w:val="000080"/>
        <w:spacing w:val="15"/>
        <w:sz w:val="18"/>
        <w:szCs w:val="20"/>
        <w:rtl/>
      </w:rPr>
      <mc:AlternateContent>
        <mc:Choice Requires="wps">
          <w:drawing>
            <wp:anchor distT="4294967295" distB="4294967295" distL="114300" distR="114300" simplePos="0" relativeHeight="251656192" behindDoc="0" locked="0" layoutInCell="1" allowOverlap="1">
              <wp:simplePos x="0" y="0"/>
              <wp:positionH relativeFrom="column">
                <wp:posOffset>-21590</wp:posOffset>
              </wp:positionH>
              <wp:positionV relativeFrom="paragraph">
                <wp:posOffset>655954</wp:posOffset>
              </wp:positionV>
              <wp:extent cx="5266055" cy="0"/>
              <wp:effectExtent l="0" t="0" r="10795"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605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left:0;text-align:left;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51.65pt" to="412.9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" strokeweight=".25pt"/>
          </w:pict>
        </mc:Fallback>
      </mc:AlternateContent>
    </w:r>
    <w:r w:rsidR="002B7E13" w:rsidRPr="006D3AAD">
      <w:rPr>
        <w:szCs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51791"/>
    <w:multiLevelType w:val="hybridMultilevel"/>
    <w:tmpl w:val="D6762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0567C8"/>
    <w:multiLevelType w:val="hybridMultilevel"/>
    <w:tmpl w:val="A38EE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BC6E90"/>
    <w:multiLevelType w:val="hybridMultilevel"/>
    <w:tmpl w:val="2A426CAC"/>
    <w:lvl w:ilvl="0" w:tplc="4B5A0FAA">
      <w:start w:val="6"/>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nsid w:val="7BD56DFA"/>
    <w:multiLevelType w:val="hybridMultilevel"/>
    <w:tmpl w:val="C83E8130"/>
    <w:lvl w:ilvl="0" w:tplc="0409000F">
      <w:start w:val="1"/>
      <w:numFmt w:val="decimal"/>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05C"/>
    <w:rsid w:val="00023B9B"/>
    <w:rsid w:val="00056980"/>
    <w:rsid w:val="0007316B"/>
    <w:rsid w:val="0007470C"/>
    <w:rsid w:val="00096359"/>
    <w:rsid w:val="000A172D"/>
    <w:rsid w:val="000A63EC"/>
    <w:rsid w:val="000B39CB"/>
    <w:rsid w:val="000B4E4F"/>
    <w:rsid w:val="000D2DC4"/>
    <w:rsid w:val="000D64A7"/>
    <w:rsid w:val="000D7B35"/>
    <w:rsid w:val="000E5406"/>
    <w:rsid w:val="000F3A51"/>
    <w:rsid w:val="00100455"/>
    <w:rsid w:val="00101D16"/>
    <w:rsid w:val="00111F70"/>
    <w:rsid w:val="00120ACC"/>
    <w:rsid w:val="00122EE4"/>
    <w:rsid w:val="00134B53"/>
    <w:rsid w:val="00141FA9"/>
    <w:rsid w:val="00164CDB"/>
    <w:rsid w:val="00180DCE"/>
    <w:rsid w:val="00191A5B"/>
    <w:rsid w:val="0019353A"/>
    <w:rsid w:val="001A7746"/>
    <w:rsid w:val="001B0594"/>
    <w:rsid w:val="001C423D"/>
    <w:rsid w:val="001D1C31"/>
    <w:rsid w:val="001E18DD"/>
    <w:rsid w:val="001E552B"/>
    <w:rsid w:val="0020541A"/>
    <w:rsid w:val="00212FB3"/>
    <w:rsid w:val="00276AC3"/>
    <w:rsid w:val="002A7DC6"/>
    <w:rsid w:val="002B7E13"/>
    <w:rsid w:val="002C11D4"/>
    <w:rsid w:val="002C1670"/>
    <w:rsid w:val="002E2432"/>
    <w:rsid w:val="00305318"/>
    <w:rsid w:val="0030794E"/>
    <w:rsid w:val="00310FA9"/>
    <w:rsid w:val="00320CD4"/>
    <w:rsid w:val="00322F90"/>
    <w:rsid w:val="00334CD8"/>
    <w:rsid w:val="00362D86"/>
    <w:rsid w:val="00375FD6"/>
    <w:rsid w:val="00395D7F"/>
    <w:rsid w:val="003A46E8"/>
    <w:rsid w:val="003B4123"/>
    <w:rsid w:val="003D68F9"/>
    <w:rsid w:val="003E0612"/>
    <w:rsid w:val="003E41AA"/>
    <w:rsid w:val="00401D69"/>
    <w:rsid w:val="0043202F"/>
    <w:rsid w:val="004731A2"/>
    <w:rsid w:val="00486E73"/>
    <w:rsid w:val="004B2BEC"/>
    <w:rsid w:val="004C0462"/>
    <w:rsid w:val="004C30FA"/>
    <w:rsid w:val="004E4DFE"/>
    <w:rsid w:val="004F6D16"/>
    <w:rsid w:val="00501F6D"/>
    <w:rsid w:val="005048D2"/>
    <w:rsid w:val="00532D0E"/>
    <w:rsid w:val="00567DA8"/>
    <w:rsid w:val="005743BC"/>
    <w:rsid w:val="005748A0"/>
    <w:rsid w:val="00577488"/>
    <w:rsid w:val="00585ACA"/>
    <w:rsid w:val="00593608"/>
    <w:rsid w:val="0059593C"/>
    <w:rsid w:val="0059796D"/>
    <w:rsid w:val="005A2D1F"/>
    <w:rsid w:val="005B5A3A"/>
    <w:rsid w:val="005D1687"/>
    <w:rsid w:val="005D66AF"/>
    <w:rsid w:val="005F0745"/>
    <w:rsid w:val="005F3BFF"/>
    <w:rsid w:val="0060759B"/>
    <w:rsid w:val="0061358A"/>
    <w:rsid w:val="00613FAA"/>
    <w:rsid w:val="00614872"/>
    <w:rsid w:val="00633B0E"/>
    <w:rsid w:val="00645878"/>
    <w:rsid w:val="00672CD8"/>
    <w:rsid w:val="006849BA"/>
    <w:rsid w:val="00696464"/>
    <w:rsid w:val="006A355A"/>
    <w:rsid w:val="006A388C"/>
    <w:rsid w:val="006C2864"/>
    <w:rsid w:val="006D3AAD"/>
    <w:rsid w:val="006E2CD2"/>
    <w:rsid w:val="00711E3D"/>
    <w:rsid w:val="0072338D"/>
    <w:rsid w:val="00723E34"/>
    <w:rsid w:val="0072555C"/>
    <w:rsid w:val="00741F52"/>
    <w:rsid w:val="00757951"/>
    <w:rsid w:val="00762B56"/>
    <w:rsid w:val="007824C3"/>
    <w:rsid w:val="00782905"/>
    <w:rsid w:val="00795A17"/>
    <w:rsid w:val="007A0A38"/>
    <w:rsid w:val="007A59B0"/>
    <w:rsid w:val="007C065C"/>
    <w:rsid w:val="007E0250"/>
    <w:rsid w:val="0084465E"/>
    <w:rsid w:val="00861217"/>
    <w:rsid w:val="008643E9"/>
    <w:rsid w:val="00865F6A"/>
    <w:rsid w:val="00870620"/>
    <w:rsid w:val="008723E3"/>
    <w:rsid w:val="008944D9"/>
    <w:rsid w:val="008A08CD"/>
    <w:rsid w:val="008A51E6"/>
    <w:rsid w:val="008B0FD2"/>
    <w:rsid w:val="008C026A"/>
    <w:rsid w:val="008D35C4"/>
    <w:rsid w:val="008D3D11"/>
    <w:rsid w:val="008E6647"/>
    <w:rsid w:val="008F705C"/>
    <w:rsid w:val="00914364"/>
    <w:rsid w:val="00955675"/>
    <w:rsid w:val="00957B4A"/>
    <w:rsid w:val="009C6C77"/>
    <w:rsid w:val="009C7579"/>
    <w:rsid w:val="009D0423"/>
    <w:rsid w:val="009D0737"/>
    <w:rsid w:val="009D3029"/>
    <w:rsid w:val="009D5F84"/>
    <w:rsid w:val="00A24823"/>
    <w:rsid w:val="00A33CDA"/>
    <w:rsid w:val="00A41B1F"/>
    <w:rsid w:val="00A53CFB"/>
    <w:rsid w:val="00A62A11"/>
    <w:rsid w:val="00A95D74"/>
    <w:rsid w:val="00AA2546"/>
    <w:rsid w:val="00AD7A76"/>
    <w:rsid w:val="00B045F3"/>
    <w:rsid w:val="00B143BC"/>
    <w:rsid w:val="00B25F00"/>
    <w:rsid w:val="00B6383A"/>
    <w:rsid w:val="00B70D28"/>
    <w:rsid w:val="00B82D85"/>
    <w:rsid w:val="00B94772"/>
    <w:rsid w:val="00BA4187"/>
    <w:rsid w:val="00BA6F18"/>
    <w:rsid w:val="00BB4721"/>
    <w:rsid w:val="00BC6B15"/>
    <w:rsid w:val="00BD74DA"/>
    <w:rsid w:val="00BF47DF"/>
    <w:rsid w:val="00C0593B"/>
    <w:rsid w:val="00C138FC"/>
    <w:rsid w:val="00C24AC5"/>
    <w:rsid w:val="00C25C62"/>
    <w:rsid w:val="00C33468"/>
    <w:rsid w:val="00C357B2"/>
    <w:rsid w:val="00C40408"/>
    <w:rsid w:val="00C5708F"/>
    <w:rsid w:val="00C7217D"/>
    <w:rsid w:val="00C97AAE"/>
    <w:rsid w:val="00CB7F8A"/>
    <w:rsid w:val="00CD3612"/>
    <w:rsid w:val="00D0618A"/>
    <w:rsid w:val="00D2110B"/>
    <w:rsid w:val="00D34D09"/>
    <w:rsid w:val="00D360E1"/>
    <w:rsid w:val="00D70C95"/>
    <w:rsid w:val="00D77E92"/>
    <w:rsid w:val="00D82542"/>
    <w:rsid w:val="00DB4CE9"/>
    <w:rsid w:val="00DB7940"/>
    <w:rsid w:val="00DC7582"/>
    <w:rsid w:val="00DD1A11"/>
    <w:rsid w:val="00DE0820"/>
    <w:rsid w:val="00DE6542"/>
    <w:rsid w:val="00E0406A"/>
    <w:rsid w:val="00E05ADA"/>
    <w:rsid w:val="00E06A20"/>
    <w:rsid w:val="00E10B59"/>
    <w:rsid w:val="00E16725"/>
    <w:rsid w:val="00E20538"/>
    <w:rsid w:val="00E37BE6"/>
    <w:rsid w:val="00E5652B"/>
    <w:rsid w:val="00E618DD"/>
    <w:rsid w:val="00E71862"/>
    <w:rsid w:val="00E874C0"/>
    <w:rsid w:val="00E9601D"/>
    <w:rsid w:val="00EA12DA"/>
    <w:rsid w:val="00EB052D"/>
    <w:rsid w:val="00EB1C5D"/>
    <w:rsid w:val="00EC09D3"/>
    <w:rsid w:val="00EC4AB7"/>
    <w:rsid w:val="00EE207E"/>
    <w:rsid w:val="00EF5358"/>
    <w:rsid w:val="00F10D7E"/>
    <w:rsid w:val="00F3337E"/>
    <w:rsid w:val="00F35559"/>
    <w:rsid w:val="00F357FA"/>
    <w:rsid w:val="00F41588"/>
    <w:rsid w:val="00F60D32"/>
    <w:rsid w:val="00F64AB9"/>
    <w:rsid w:val="00F70024"/>
    <w:rsid w:val="00F753C5"/>
    <w:rsid w:val="00F84F08"/>
    <w:rsid w:val="00F87406"/>
    <w:rsid w:val="00F93A00"/>
    <w:rsid w:val="00FB06B1"/>
    <w:rsid w:val="00FC2050"/>
    <w:rsid w:val="00FD3EA1"/>
    <w:rsid w:val="00FD45B8"/>
    <w:rsid w:val="00FE07BB"/>
    <w:rsid w:val="00FF51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D3AAD"/>
    <w:pPr>
      <w:bidi/>
    </w:pPr>
    <w:rPr>
      <w:rFonts w:cs="Times New Roman"/>
      <w:sz w:val="24"/>
      <w:szCs w:val="24"/>
    </w:rPr>
  </w:style>
  <w:style w:type="paragraph" w:styleId="1">
    <w:name w:val="heading 1"/>
    <w:basedOn w:val="a"/>
    <w:next w:val="a"/>
    <w:qFormat/>
    <w:rsid w:val="00F357FA"/>
    <w:pPr>
      <w:keepNext/>
      <w:outlineLvl w:val="0"/>
    </w:pPr>
    <w:rPr>
      <w:rFonts w:cs="David"/>
      <w:b/>
      <w:bCs/>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F357FA"/>
    <w:pPr>
      <w:tabs>
        <w:tab w:val="center" w:pos="4153"/>
        <w:tab w:val="right" w:pos="8306"/>
      </w:tabs>
    </w:pPr>
  </w:style>
  <w:style w:type="paragraph" w:styleId="a4">
    <w:name w:val="footer"/>
    <w:basedOn w:val="a"/>
    <w:link w:val="a5"/>
    <w:uiPriority w:val="99"/>
    <w:rsid w:val="00F357FA"/>
    <w:pPr>
      <w:tabs>
        <w:tab w:val="center" w:pos="4153"/>
        <w:tab w:val="right" w:pos="8306"/>
      </w:tabs>
    </w:pPr>
  </w:style>
  <w:style w:type="character" w:styleId="Hyperlink">
    <w:name w:val="Hyperlink"/>
    <w:rsid w:val="00F357FA"/>
    <w:rPr>
      <w:color w:val="0000FF"/>
      <w:u w:val="single"/>
    </w:rPr>
  </w:style>
  <w:style w:type="character" w:customStyle="1" w:styleId="a5">
    <w:name w:val="כותרת תחתונה תו"/>
    <w:link w:val="a4"/>
    <w:uiPriority w:val="99"/>
    <w:rsid w:val="002E2432"/>
    <w:rPr>
      <w:rFonts w:cs="Times New Roman"/>
      <w:sz w:val="24"/>
      <w:szCs w:val="24"/>
    </w:rPr>
  </w:style>
  <w:style w:type="paragraph" w:styleId="a6">
    <w:name w:val="Balloon Text"/>
    <w:basedOn w:val="a"/>
    <w:link w:val="a7"/>
    <w:rsid w:val="006C2864"/>
    <w:rPr>
      <w:rFonts w:ascii="Tahoma" w:hAnsi="Tahoma" w:cs="Tahoma"/>
      <w:sz w:val="16"/>
      <w:szCs w:val="16"/>
    </w:rPr>
  </w:style>
  <w:style w:type="character" w:customStyle="1" w:styleId="a7">
    <w:name w:val="טקסט בלונים תו"/>
    <w:link w:val="a6"/>
    <w:rsid w:val="006C2864"/>
    <w:rPr>
      <w:rFonts w:ascii="Tahoma" w:hAnsi="Tahoma" w:cs="Tahoma"/>
      <w:sz w:val="16"/>
      <w:szCs w:val="16"/>
    </w:rPr>
  </w:style>
  <w:style w:type="paragraph" w:styleId="a8">
    <w:name w:val="List Paragraph"/>
    <w:basedOn w:val="a"/>
    <w:uiPriority w:val="34"/>
    <w:qFormat/>
    <w:rsid w:val="003079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D3AAD"/>
    <w:pPr>
      <w:bidi/>
    </w:pPr>
    <w:rPr>
      <w:rFonts w:cs="Times New Roman"/>
      <w:sz w:val="24"/>
      <w:szCs w:val="24"/>
    </w:rPr>
  </w:style>
  <w:style w:type="paragraph" w:styleId="1">
    <w:name w:val="heading 1"/>
    <w:basedOn w:val="a"/>
    <w:next w:val="a"/>
    <w:qFormat/>
    <w:rsid w:val="00F357FA"/>
    <w:pPr>
      <w:keepNext/>
      <w:outlineLvl w:val="0"/>
    </w:pPr>
    <w:rPr>
      <w:rFonts w:cs="David"/>
      <w:b/>
      <w:bCs/>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F357FA"/>
    <w:pPr>
      <w:tabs>
        <w:tab w:val="center" w:pos="4153"/>
        <w:tab w:val="right" w:pos="8306"/>
      </w:tabs>
    </w:pPr>
  </w:style>
  <w:style w:type="paragraph" w:styleId="a4">
    <w:name w:val="footer"/>
    <w:basedOn w:val="a"/>
    <w:link w:val="a5"/>
    <w:uiPriority w:val="99"/>
    <w:rsid w:val="00F357FA"/>
    <w:pPr>
      <w:tabs>
        <w:tab w:val="center" w:pos="4153"/>
        <w:tab w:val="right" w:pos="8306"/>
      </w:tabs>
    </w:pPr>
  </w:style>
  <w:style w:type="character" w:styleId="Hyperlink">
    <w:name w:val="Hyperlink"/>
    <w:rsid w:val="00F357FA"/>
    <w:rPr>
      <w:color w:val="0000FF"/>
      <w:u w:val="single"/>
    </w:rPr>
  </w:style>
  <w:style w:type="character" w:customStyle="1" w:styleId="a5">
    <w:name w:val="כותרת תחתונה תו"/>
    <w:link w:val="a4"/>
    <w:uiPriority w:val="99"/>
    <w:rsid w:val="002E2432"/>
    <w:rPr>
      <w:rFonts w:cs="Times New Roman"/>
      <w:sz w:val="24"/>
      <w:szCs w:val="24"/>
    </w:rPr>
  </w:style>
  <w:style w:type="paragraph" w:styleId="a6">
    <w:name w:val="Balloon Text"/>
    <w:basedOn w:val="a"/>
    <w:link w:val="a7"/>
    <w:rsid w:val="006C2864"/>
    <w:rPr>
      <w:rFonts w:ascii="Tahoma" w:hAnsi="Tahoma" w:cs="Tahoma"/>
      <w:sz w:val="16"/>
      <w:szCs w:val="16"/>
    </w:rPr>
  </w:style>
  <w:style w:type="character" w:customStyle="1" w:styleId="a7">
    <w:name w:val="טקסט בלונים תו"/>
    <w:link w:val="a6"/>
    <w:rsid w:val="006C2864"/>
    <w:rPr>
      <w:rFonts w:ascii="Tahoma" w:hAnsi="Tahoma" w:cs="Tahoma"/>
      <w:sz w:val="16"/>
      <w:szCs w:val="16"/>
    </w:rPr>
  </w:style>
  <w:style w:type="paragraph" w:styleId="a8">
    <w:name w:val="List Paragraph"/>
    <w:basedOn w:val="a"/>
    <w:uiPriority w:val="34"/>
    <w:qFormat/>
    <w:rsid w:val="00307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767306">
      <w:bodyDiv w:val="1"/>
      <w:marLeft w:val="0"/>
      <w:marRight w:val="0"/>
      <w:marTop w:val="0"/>
      <w:marBottom w:val="0"/>
      <w:divBdr>
        <w:top w:val="none" w:sz="0" w:space="0" w:color="auto"/>
        <w:left w:val="none" w:sz="0" w:space="0" w:color="auto"/>
        <w:bottom w:val="none" w:sz="0" w:space="0" w:color="auto"/>
        <w:right w:val="none" w:sz="0" w:space="0" w:color="auto"/>
      </w:divBdr>
    </w:div>
    <w:div w:id="1570531496">
      <w:bodyDiv w:val="1"/>
      <w:marLeft w:val="0"/>
      <w:marRight w:val="0"/>
      <w:marTop w:val="0"/>
      <w:marBottom w:val="0"/>
      <w:divBdr>
        <w:top w:val="none" w:sz="0" w:space="0" w:color="auto"/>
        <w:left w:val="none" w:sz="0" w:space="0" w:color="auto"/>
        <w:bottom w:val="none" w:sz="0" w:space="0" w:color="auto"/>
        <w:right w:val="none" w:sz="0" w:space="0" w:color="auto"/>
      </w:divBdr>
    </w:div>
    <w:div w:id="193292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file:///C:\Documents%20and%20Settings\noaco\Local%20Settings\Documents%20and%20Settings\sigi\Desktop\0"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5B4E0-AB5D-4742-9C3A-A42684C98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1155</Words>
  <Characters>5777</Characters>
  <Application>Microsoft Office Word</Application>
  <DocSecurity>0</DocSecurity>
  <Lines>48</Lines>
  <Paragraphs>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דף פירמה</vt:lpstr>
      <vt:lpstr>דף פירמה</vt:lpstr>
    </vt:vector>
  </TitlesOfParts>
  <Company>ויסטה</Company>
  <LinksUpToDate>false</LinksUpToDate>
  <CharactersWithSpaces>6919</CharactersWithSpaces>
  <SharedDoc>false</SharedDoc>
  <HLinks>
    <vt:vector size="6" baseType="variant">
      <vt:variant>
        <vt:i4>7012380</vt:i4>
      </vt:variant>
      <vt:variant>
        <vt:i4>0</vt:i4>
      </vt:variant>
      <vt:variant>
        <vt:i4>0</vt:i4>
      </vt:variant>
      <vt:variant>
        <vt:i4>5</vt:i4>
      </vt:variant>
      <vt:variant>
        <vt:lpwstr>C:\Documents and Settings\noaco\Local Settings\Documents and Settings\sigi\Desktop\0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דף פירמה</dc:title>
  <dc:creator>Shlomit Nemlih</dc:creator>
  <cp:lastModifiedBy>icom</cp:lastModifiedBy>
  <cp:revision>2</cp:revision>
  <cp:lastPrinted>2011-08-29T12:45:00Z</cp:lastPrinted>
  <dcterms:created xsi:type="dcterms:W3CDTF">2013-05-30T11:27:00Z</dcterms:created>
  <dcterms:modified xsi:type="dcterms:W3CDTF">2013-05-30T11:27:00Z</dcterms:modified>
</cp:coreProperties>
</file>