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0037E" w14:textId="77777777" w:rsidR="00AD7846" w:rsidRPr="00AD7846" w:rsidRDefault="00AD7846" w:rsidP="00AD7846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AD78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📜</w:t>
      </w:r>
      <w:r w:rsidRPr="00AD7846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 xml:space="preserve"> Portafolio de Innovación y Experiencia Digital: ALISER</w:t>
      </w:r>
    </w:p>
    <w:p w14:paraId="41F2B444" w14:textId="77777777" w:rsidR="00AD7846" w:rsidRPr="00AD7846" w:rsidRDefault="00AD7846" w:rsidP="00AD784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Este documento detalla las capacidades exclusivas y los beneficios tácticos integrados en la plataforma digital de </w:t>
      </w: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ALISER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>, diseñados para ofrecer una experiencia de usuario fluida, imponente y de alta fidelidad.</w:t>
      </w:r>
    </w:p>
    <w:p w14:paraId="16FA7716" w14:textId="77777777" w:rsidR="00AD7846" w:rsidRPr="00AD7846" w:rsidRDefault="00AD7846" w:rsidP="00AD7846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sz w:val="24"/>
          <w:szCs w:val="24"/>
          <w:lang w:eastAsia="es-MX"/>
        </w:rPr>
        <w:pict w14:anchorId="47989337">
          <v:rect id="_x0000_i1025" style="width:0;height:1.5pt" o:hralign="center" o:hrstd="t" o:hr="t" fillcolor="#a0a0a0" stroked="f"/>
        </w:pict>
      </w:r>
    </w:p>
    <w:p w14:paraId="21B74D6D" w14:textId="77777777" w:rsidR="00AD7846" w:rsidRPr="00AD7846" w:rsidRDefault="00AD7846" w:rsidP="00AD784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1. Arquitectura de Identidad Dinámica (</w:t>
      </w:r>
      <w:proofErr w:type="spellStart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Morphing</w:t>
      </w:r>
      <w:proofErr w:type="spellEnd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 xml:space="preserve"> </w:t>
      </w:r>
      <w:proofErr w:type="spellStart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Header</w:t>
      </w:r>
      <w:proofErr w:type="spellEnd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)</w:t>
      </w:r>
    </w:p>
    <w:p w14:paraId="10221E8D" w14:textId="77777777" w:rsidR="00AD7846" w:rsidRPr="00AD7846" w:rsidRDefault="00AD7846" w:rsidP="00AD784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sz w:val="24"/>
          <w:szCs w:val="24"/>
          <w:lang w:eastAsia="es-MX"/>
        </w:rPr>
        <w:t>La plataforma cuenta con una cabecera inteligente que se transforma según el comportamiento del usuario:</w:t>
      </w:r>
    </w:p>
    <w:p w14:paraId="07FAB36F" w14:textId="77777777" w:rsidR="00AD7846" w:rsidRPr="00AD7846" w:rsidRDefault="00AD7846" w:rsidP="00AD784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Presencia Constante de Marca: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El logotipo y el eslogan institucional ("La Única Cadena de </w:t>
      </w:r>
      <w:proofErr w:type="spellStart"/>
      <w:r w:rsidRPr="00AD7846">
        <w:rPr>
          <w:rFonts w:ascii="Arial" w:eastAsia="Times New Roman" w:hAnsi="Arial" w:cs="Arial"/>
          <w:sz w:val="24"/>
          <w:szCs w:val="24"/>
          <w:lang w:eastAsia="es-MX"/>
        </w:rPr>
        <w:t>Sudcalifornia</w:t>
      </w:r>
      <w:proofErr w:type="spellEnd"/>
      <w:r w:rsidRPr="00AD7846">
        <w:rPr>
          <w:rFonts w:ascii="Arial" w:eastAsia="Times New Roman" w:hAnsi="Arial" w:cs="Arial"/>
          <w:sz w:val="24"/>
          <w:szCs w:val="24"/>
          <w:lang w:eastAsia="es-MX"/>
        </w:rPr>
        <w:t>") se mantienen siempre visibles, ajustando su posición y tamaño de forma elegante para no interrumpir la navegación.</w:t>
      </w:r>
    </w:p>
    <w:p w14:paraId="37C2633F" w14:textId="77777777" w:rsidR="00AD7846" w:rsidRPr="00AD7846" w:rsidRDefault="00AD7846" w:rsidP="00AD784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Transiciones Orgánicas: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Al navegar hacia abajo, la barra de identidad se compacta con un movimiento fluido (estilo </w:t>
      </w:r>
      <w:proofErr w:type="spellStart"/>
      <w:r w:rsidRPr="00AD7846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Morphing</w:t>
      </w:r>
      <w:proofErr w:type="spellEnd"/>
      <w:r w:rsidRPr="00AD7846">
        <w:rPr>
          <w:rFonts w:ascii="Arial" w:eastAsia="Times New Roman" w:hAnsi="Arial" w:cs="Arial"/>
          <w:sz w:val="24"/>
          <w:szCs w:val="24"/>
          <w:lang w:eastAsia="es-MX"/>
        </w:rPr>
        <w:t>), permitiendo que el contenido sea el protagonista sin perder el sello de ALISER.</w:t>
      </w:r>
    </w:p>
    <w:p w14:paraId="37662B06" w14:textId="77777777" w:rsidR="00AD7846" w:rsidRPr="00AD7846" w:rsidRDefault="00AD7846" w:rsidP="00AD784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Cápsula de Identidad en Móvil: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En dispositivos móviles, la marca se resguarda en una barra compacta diseñada para la comodidad del pulgar, manteniendo un equilibrio visual perfecto.</w:t>
      </w:r>
    </w:p>
    <w:p w14:paraId="658D556D" w14:textId="77777777" w:rsidR="00AD7846" w:rsidRPr="00AD7846" w:rsidRDefault="00AD7846" w:rsidP="00AD784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2. Sistema de Iluminación y Estética Digital (</w:t>
      </w:r>
      <w:proofErr w:type="spellStart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Glow</w:t>
      </w:r>
      <w:proofErr w:type="spellEnd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 xml:space="preserve"> &amp; </w:t>
      </w:r>
      <w:proofErr w:type="spellStart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Shimmer</w:t>
      </w:r>
      <w:proofErr w:type="spellEnd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)</w:t>
      </w:r>
    </w:p>
    <w:p w14:paraId="7A13250A" w14:textId="77777777" w:rsidR="00AD7846" w:rsidRPr="00AD7846" w:rsidRDefault="00AD7846" w:rsidP="00AD784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Hemos integrado </w:t>
      </w:r>
      <w:proofErr w:type="spellStart"/>
      <w:r w:rsidRPr="00AD7846">
        <w:rPr>
          <w:rFonts w:ascii="Arial" w:eastAsia="Times New Roman" w:hAnsi="Arial" w:cs="Arial"/>
          <w:sz w:val="24"/>
          <w:szCs w:val="24"/>
          <w:lang w:eastAsia="es-MX"/>
        </w:rPr>
        <w:t>micro-interacciones</w:t>
      </w:r>
      <w:proofErr w:type="spellEnd"/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de luz para elevar la percepción de calidad:</w:t>
      </w:r>
    </w:p>
    <w:p w14:paraId="4B80E6CB" w14:textId="77777777" w:rsidR="00AD7846" w:rsidRPr="00AD7846" w:rsidRDefault="00AD7846" w:rsidP="00AD784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Eslogan Radiante: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El lema de la empresa cuenta con un efecto de "Luminosidad Metálica" (</w:t>
      </w:r>
      <w:proofErr w:type="spellStart"/>
      <w:r w:rsidRPr="00AD7846">
        <w:rPr>
          <w:rFonts w:ascii="Arial" w:eastAsia="Times New Roman" w:hAnsi="Arial" w:cs="Arial"/>
          <w:sz w:val="24"/>
          <w:szCs w:val="24"/>
          <w:lang w:eastAsia="es-MX"/>
        </w:rPr>
        <w:t>Shimmer</w:t>
      </w:r>
      <w:proofErr w:type="spellEnd"/>
      <w:r w:rsidRPr="00AD7846">
        <w:rPr>
          <w:rFonts w:ascii="Arial" w:eastAsia="Times New Roman" w:hAnsi="Arial" w:cs="Arial"/>
          <w:sz w:val="24"/>
          <w:szCs w:val="24"/>
          <w:lang w:eastAsia="es-MX"/>
        </w:rPr>
        <w:t>). Es un destello sutil que recorre las letras de forma periódica, captando la atención del cliente de manera elegante y premium.</w:t>
      </w:r>
    </w:p>
    <w:p w14:paraId="2B22E4D2" w14:textId="77777777" w:rsidR="00AD7846" w:rsidRPr="00AD7846" w:rsidRDefault="00AD7846" w:rsidP="00AD784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Foco en Beneficios: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Este mismo sistema de iluminación se aplica a las ofertas y cupones, guiando el ojo del usuario hacia lo más importante: el ahorro y las promociones.</w:t>
      </w:r>
    </w:p>
    <w:p w14:paraId="74B1156B" w14:textId="77777777" w:rsidR="00AD7846" w:rsidRPr="00AD7846" w:rsidRDefault="00AD7846" w:rsidP="00AD784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 xml:space="preserve">3. Navegación Fluida Inteligente (Smart </w:t>
      </w:r>
      <w:proofErr w:type="spellStart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Navigation</w:t>
      </w:r>
      <w:proofErr w:type="spellEnd"/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)</w:t>
      </w:r>
    </w:p>
    <w:p w14:paraId="488F8E80" w14:textId="77777777" w:rsidR="00AD7846" w:rsidRPr="00AD7846" w:rsidRDefault="00AD7846" w:rsidP="00AD784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sz w:val="24"/>
          <w:szCs w:val="24"/>
          <w:lang w:eastAsia="es-MX"/>
        </w:rPr>
        <w:t>Diseñada para que encontrar productos y servicios sea un placer visual:</w:t>
      </w:r>
    </w:p>
    <w:p w14:paraId="465A9C3E" w14:textId="77777777" w:rsidR="00AD7846" w:rsidRPr="00AD7846" w:rsidRDefault="00AD7846" w:rsidP="00AD78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Menús de Alta Respuesta: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Los botones de navegación reaccionan al tacto y al puntero con efectos de profundidad y cambio de tono, confirmando cada acción del usuario con suavidad.</w:t>
      </w:r>
    </w:p>
    <w:p w14:paraId="1D28C4E7" w14:textId="77777777" w:rsidR="00AD7846" w:rsidRPr="00AD7846" w:rsidRDefault="00AD7846" w:rsidP="00AD78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Adaptabilidad Total (Responsive </w:t>
      </w:r>
      <w:proofErr w:type="spellStart"/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Design</w:t>
      </w:r>
      <w:proofErr w:type="spellEnd"/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La página "entiende" en qué dispositivo se está viendo. El tamaño de la letra y la disposición de las imágenes cambian automáticamente para que la lectura sea siempre perfecta, sin que el usuario tenga que hacer zoom.</w:t>
      </w:r>
    </w:p>
    <w:p w14:paraId="4016853F" w14:textId="77777777" w:rsidR="00AD7846" w:rsidRPr="00AD7846" w:rsidRDefault="00AD7846" w:rsidP="00AD784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AD784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4. Estabilidad Estructural (Rock-Solid Performance)</w:t>
      </w:r>
    </w:p>
    <w:p w14:paraId="3B02859F" w14:textId="77777777" w:rsidR="00AD7846" w:rsidRPr="00AD7846" w:rsidRDefault="00AD7846" w:rsidP="00AD784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Navegación sin Interrupciones: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Gracias a una programación de raíz, la página no presenta saltos bruscos ni parpadeos al moverse por ella. La sensación es de solidez y confianza, proyectando una empresa profesional y moderna.</w:t>
      </w:r>
    </w:p>
    <w:p w14:paraId="6ACD0664" w14:textId="77777777" w:rsidR="00AD7846" w:rsidRPr="00AD7846" w:rsidRDefault="00AD7846" w:rsidP="00AD784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Optimización de Carga:</w:t>
      </w: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La arquitectura está diseñada para que la página sea ligera y rápida, respetando el tiempo del cliente y mejorando su satisfacción de compra.</w:t>
      </w:r>
    </w:p>
    <w:p w14:paraId="567B1E2B" w14:textId="77777777" w:rsidR="00AD7846" w:rsidRPr="00AD7846" w:rsidRDefault="00AD7846" w:rsidP="00AD7846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sz w:val="24"/>
          <w:szCs w:val="24"/>
          <w:lang w:eastAsia="es-MX"/>
        </w:rPr>
        <w:pict w14:anchorId="43547381">
          <v:rect id="_x0000_i1026" style="width:0;height:1.5pt" o:hralign="center" o:hrstd="t" o:hr="t" fillcolor="#a0a0a0" stroked="f"/>
        </w:pict>
      </w:r>
    </w:p>
    <w:p w14:paraId="4C412A91" w14:textId="77777777" w:rsidR="00AD7846" w:rsidRPr="00AD7846" w:rsidRDefault="00AD7846" w:rsidP="00AD784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AD7846">
        <w:rPr>
          <w:rFonts w:ascii="Arial" w:eastAsia="Times New Roman" w:hAnsi="Arial" w:cs="Arial"/>
          <w:b/>
          <w:bCs/>
          <w:sz w:val="27"/>
          <w:szCs w:val="27"/>
          <w:lang w:eastAsia="es-MX"/>
        </w:rPr>
        <w:lastRenderedPageBreak/>
        <w:t>Notas de Valor ORO:</w:t>
      </w:r>
    </w:p>
    <w:p w14:paraId="7B0AD96F" w14:textId="77777777" w:rsidR="00AD7846" w:rsidRPr="00AD7846" w:rsidRDefault="00AD7846" w:rsidP="00AD7846">
      <w:pPr>
        <w:spacing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Todo el diseño respeta estrictamente la paleta de colores institucional (Verde </w:t>
      </w:r>
      <w:proofErr w:type="spellStart"/>
      <w:r w:rsidRPr="00AD7846">
        <w:rPr>
          <w:rFonts w:ascii="Arial" w:eastAsia="Times New Roman" w:hAnsi="Arial" w:cs="Arial"/>
          <w:sz w:val="24"/>
          <w:szCs w:val="24"/>
          <w:lang w:eastAsia="es-MX"/>
        </w:rPr>
        <w:t>Aliser</w:t>
      </w:r>
      <w:proofErr w:type="spellEnd"/>
      <w:r w:rsidRPr="00AD7846">
        <w:rPr>
          <w:rFonts w:ascii="Arial" w:eastAsia="Times New Roman" w:hAnsi="Arial" w:cs="Arial"/>
          <w:sz w:val="24"/>
          <w:szCs w:val="24"/>
          <w:lang w:eastAsia="es-MX"/>
        </w:rPr>
        <w:t xml:space="preserve"> y Arena), asegurando que la experiencia digital sea una extensión exacta de la experiencia física en tienda.</w:t>
      </w:r>
    </w:p>
    <w:p w14:paraId="3B004C74" w14:textId="77777777" w:rsidR="00603A52" w:rsidRPr="00AD7846" w:rsidRDefault="00603A52" w:rsidP="00AD7846">
      <w:pPr>
        <w:spacing w:line="360" w:lineRule="auto"/>
        <w:rPr>
          <w:rFonts w:ascii="Arial" w:hAnsi="Arial" w:cs="Arial"/>
        </w:rPr>
      </w:pPr>
    </w:p>
    <w:sectPr w:rsidR="00603A52" w:rsidRPr="00AD78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1484"/>
    <w:multiLevelType w:val="multilevel"/>
    <w:tmpl w:val="982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7935"/>
    <w:multiLevelType w:val="multilevel"/>
    <w:tmpl w:val="968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5311D"/>
    <w:multiLevelType w:val="multilevel"/>
    <w:tmpl w:val="BD5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8470A"/>
    <w:multiLevelType w:val="multilevel"/>
    <w:tmpl w:val="2EC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24"/>
    <w:rsid w:val="00603A52"/>
    <w:rsid w:val="00813224"/>
    <w:rsid w:val="0086327C"/>
    <w:rsid w:val="00AD7846"/>
    <w:rsid w:val="00AE7917"/>
    <w:rsid w:val="00E2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26E17-FE72-4CBA-9CF1-4FFA4538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D7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D7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D7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84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D784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D784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D7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2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431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Cabrera</dc:creator>
  <cp:keywords/>
  <dc:description/>
  <cp:lastModifiedBy>David Cabrera</cp:lastModifiedBy>
  <cp:revision>2</cp:revision>
  <dcterms:created xsi:type="dcterms:W3CDTF">2026-01-15T18:42:00Z</dcterms:created>
  <dcterms:modified xsi:type="dcterms:W3CDTF">2026-01-15T18:46:00Z</dcterms:modified>
</cp:coreProperties>
</file>